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5441DB" w:rsidR="00230976" w:rsidP="008248D0" w:rsidRDefault="00230976" w14:paraId="54B835BD" w14:textId="77777777">
      <w:pPr>
        <w:spacing w:after="0" w:line="240" w:lineRule="auto"/>
        <w:jc w:val="center"/>
        <w:rPr>
          <w:rFonts w:ascii="Calibri" w:hAnsi="Calibri" w:eastAsia="Times New Roman" w:cs="Calibri"/>
          <w:b/>
          <w:bCs/>
          <w:color w:val="000000"/>
        </w:rPr>
      </w:pPr>
      <w:r w:rsidRPr="005441DB">
        <w:rPr>
          <w:rFonts w:ascii="Calibri" w:hAnsi="Calibri" w:eastAsia="Calibri" w:cs="Arial"/>
          <w:noProof/>
        </w:rPr>
        <w:drawing>
          <wp:inline distT="0" distB="0" distL="0" distR="0" wp14:anchorId="66CB8784" wp14:editId="291ABF87">
            <wp:extent cx="2467430" cy="858550"/>
            <wp:effectExtent l="0" t="0" r="0" b="9525"/>
            <wp:docPr id="2009399976" name="Picture 2009399976"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2009399976" descr="A blue and black logo&#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2467430" cy="858550"/>
                    </a:xfrm>
                    <a:prstGeom prst="rect">
                      <a:avLst/>
                    </a:prstGeom>
                  </pic:spPr>
                </pic:pic>
              </a:graphicData>
            </a:graphic>
          </wp:inline>
        </w:drawing>
      </w:r>
    </w:p>
    <w:p w:rsidR="00230976" w:rsidP="008248D0" w:rsidRDefault="00230976" w14:paraId="39F27392" w14:textId="77777777">
      <w:pPr>
        <w:spacing w:before="240" w:after="0" w:line="240" w:lineRule="exact"/>
        <w:jc w:val="center"/>
        <w:rPr>
          <w:rFonts w:ascii="Segoe UI" w:hAnsi="Segoe UI" w:cs="Segoe UI"/>
        </w:rPr>
      </w:pPr>
      <w:r w:rsidRPr="007F6D4D">
        <w:rPr>
          <w:rFonts w:ascii="Segoe UI" w:hAnsi="Segoe UI" w:cs="Segoe UI"/>
          <w:b/>
          <w:bCs/>
        </w:rPr>
        <w:t xml:space="preserve">Virtual Meeting </w:t>
      </w:r>
      <w:r>
        <w:rPr>
          <w:rFonts w:ascii="Segoe UI" w:hAnsi="Segoe UI" w:cs="Segoe UI"/>
          <w:b/>
          <w:bCs/>
        </w:rPr>
        <w:t>6</w:t>
      </w:r>
      <w:r w:rsidRPr="007F6D4D">
        <w:rPr>
          <w:rFonts w:ascii="Segoe UI" w:hAnsi="Segoe UI" w:cs="Segoe UI"/>
          <w:b/>
          <w:bCs/>
        </w:rPr>
        <w:t xml:space="preserve"> of </w:t>
      </w:r>
      <w:r>
        <w:rPr>
          <w:rFonts w:ascii="Segoe UI" w:hAnsi="Segoe UI" w:cs="Segoe UI"/>
          <w:b/>
          <w:bCs/>
        </w:rPr>
        <w:t>ROP-IWG</w:t>
      </w:r>
      <w:r>
        <w:rPr>
          <w:rFonts w:ascii="Segoe UI" w:hAnsi="Segoe UI" w:cs="Segoe UI"/>
        </w:rPr>
        <w:t xml:space="preserve"> </w:t>
      </w:r>
    </w:p>
    <w:p w:rsidRPr="005441DB" w:rsidR="00230976" w:rsidP="00230976" w:rsidRDefault="00230976" w14:paraId="25486EB3" w14:textId="77777777">
      <w:pPr>
        <w:spacing w:after="0" w:line="240" w:lineRule="exact"/>
        <w:jc w:val="center"/>
        <w:rPr>
          <w:rFonts w:ascii="Calibri" w:hAnsi="Calibri" w:eastAsia="Times New Roman" w:cs="Calibri"/>
        </w:rPr>
      </w:pPr>
      <w:r>
        <w:rPr>
          <w:rFonts w:ascii="Segoe UI" w:hAnsi="Segoe UI" w:cs="Segoe UI"/>
        </w:rPr>
        <w:t>20 June 2025 10:00h – 14:00h (Pohnpei time)</w:t>
      </w:r>
    </w:p>
    <w:tbl>
      <w:tblPr>
        <w:tblStyle w:val="TableGrid"/>
        <w:tblW w:w="0" w:type="auto"/>
        <w:tblBorders>
          <w:top w:val="single" w:color="auto" w:sz="12" w:space="0"/>
          <w:left w:val="none" w:color="auto" w:sz="0" w:space="0"/>
          <w:bottom w:val="single" w:color="auto" w:sz="12" w:space="0"/>
          <w:right w:val="none" w:color="auto" w:sz="0" w:space="0"/>
          <w:insideH w:val="none" w:color="auto" w:sz="0" w:space="0"/>
          <w:insideV w:val="none" w:color="auto" w:sz="0" w:space="0"/>
        </w:tblBorders>
        <w:tblLook w:val="04A0" w:firstRow="1" w:lastRow="0" w:firstColumn="1" w:lastColumn="0" w:noHBand="0" w:noVBand="1"/>
      </w:tblPr>
      <w:tblGrid>
        <w:gridCol w:w="9350"/>
      </w:tblGrid>
      <w:tr w:rsidR="00576DCD" w:rsidTr="00CC3616" w14:paraId="24135692" w14:textId="77777777">
        <w:tc>
          <w:tcPr>
            <w:tcW w:w="9350" w:type="dxa"/>
          </w:tcPr>
          <w:p w:rsidR="00576DCD" w:rsidP="009D614B" w:rsidRDefault="003F7779" w14:paraId="098A9218" w14:textId="0D994174">
            <w:pPr>
              <w:jc w:val="center"/>
              <w:rPr>
                <w:sz w:val="22"/>
                <w:szCs w:val="22"/>
              </w:rPr>
            </w:pPr>
            <w:r w:rsidRPr="003F7779">
              <w:rPr>
                <w:b/>
                <w:bCs/>
                <w:sz w:val="22"/>
                <w:szCs w:val="22"/>
              </w:rPr>
              <w:t>Consideration of Non-Fish Transfers</w:t>
            </w:r>
          </w:p>
        </w:tc>
      </w:tr>
    </w:tbl>
    <w:p w:rsidRPr="003F55A0" w:rsidR="00322C3C" w:rsidP="73B58D6A" w:rsidRDefault="003F55A0" w14:paraId="56020BDA" w14:textId="0A14DB17">
      <w:pPr>
        <w:spacing w:after="0"/>
        <w:jc w:val="right"/>
        <w:rPr>
          <w:sz w:val="22"/>
          <w:szCs w:val="22"/>
        </w:rPr>
      </w:pPr>
      <w:r w:rsidRPr="73B58D6A" w:rsidR="003F55A0">
        <w:rPr>
          <w:rFonts w:eastAsia="Times New Roman" w:cs="Aptos" w:cstheme="minorAscii"/>
          <w:b w:val="1"/>
          <w:bCs w:val="1"/>
          <w:color w:val="000000" w:themeColor="text1" w:themeTint="FF" w:themeShade="FF"/>
          <w:lang w:val="en-AU"/>
        </w:rPr>
        <w:t>WCPFC-ROP-IW</w:t>
      </w:r>
      <w:r w:rsidRPr="73B58D6A" w:rsidR="003F55A0">
        <w:rPr>
          <w:rFonts w:eastAsia="Times New Roman" w:cs="Aptos" w:cstheme="minorAscii"/>
          <w:b w:val="1"/>
          <w:bCs w:val="1"/>
          <w:color w:val="000000" w:themeColor="text1" w:themeTint="FF" w:themeShade="FF"/>
          <w:lang w:val="en-AU"/>
        </w:rPr>
        <w:t>G</w:t>
      </w:r>
      <w:r w:rsidRPr="73B58D6A" w:rsidR="003F55A0">
        <w:rPr>
          <w:rFonts w:eastAsia="Times New Roman" w:cs="Aptos" w:cstheme="minorAscii"/>
          <w:b w:val="1"/>
          <w:bCs w:val="1"/>
          <w:color w:val="000000" w:themeColor="text1" w:themeTint="FF" w:themeShade="FF"/>
          <w:lang w:val="en-AU"/>
        </w:rPr>
        <w:t>06</w:t>
      </w:r>
      <w:r w:rsidRPr="73B58D6A" w:rsidR="003F55A0">
        <w:rPr>
          <w:rFonts w:eastAsia="Times New Roman" w:cs="Aptos" w:cstheme="minorAscii"/>
          <w:b w:val="1"/>
          <w:bCs w:val="1"/>
          <w:color w:val="000000" w:themeColor="text1" w:themeTint="FF" w:themeShade="FF"/>
          <w:lang w:val="en-AU"/>
        </w:rPr>
        <w:t>-2025-0</w:t>
      </w:r>
      <w:r w:rsidRPr="73B58D6A" w:rsidR="00FB6282">
        <w:rPr>
          <w:rFonts w:eastAsia="Times New Roman" w:cs="Aptos" w:cstheme="minorAscii"/>
          <w:b w:val="1"/>
          <w:bCs w:val="1"/>
          <w:color w:val="000000" w:themeColor="text1" w:themeTint="FF" w:themeShade="FF"/>
          <w:lang w:val="en-AU"/>
        </w:rPr>
        <w:t>3</w:t>
      </w:r>
    </w:p>
    <w:p w:rsidRPr="00322C3C" w:rsidR="00322C3C" w:rsidP="00160E72" w:rsidRDefault="003B420D" w14:paraId="278D94BF" w14:textId="6F2619D2">
      <w:pPr>
        <w:jc w:val="right"/>
        <w:rPr>
          <w:sz w:val="22"/>
          <w:szCs w:val="22"/>
        </w:rPr>
      </w:pPr>
      <w:r w:rsidRPr="73B58D6A" w:rsidR="1D842DB6">
        <w:rPr>
          <w:b w:val="1"/>
          <w:bCs w:val="1"/>
          <w:sz w:val="22"/>
          <w:szCs w:val="22"/>
        </w:rPr>
        <w:t>4</w:t>
      </w:r>
      <w:r w:rsidRPr="73B58D6A" w:rsidR="003B420D">
        <w:rPr>
          <w:b w:val="1"/>
          <w:bCs w:val="1"/>
          <w:sz w:val="22"/>
          <w:szCs w:val="22"/>
        </w:rPr>
        <w:t xml:space="preserve"> June</w:t>
      </w:r>
      <w:r w:rsidRPr="73B58D6A" w:rsidR="003F55A0">
        <w:rPr>
          <w:b w:val="1"/>
          <w:bCs w:val="1"/>
          <w:sz w:val="22"/>
          <w:szCs w:val="22"/>
        </w:rPr>
        <w:t xml:space="preserve"> 2025</w:t>
      </w:r>
    </w:p>
    <w:p w:rsidRPr="002C79D6" w:rsidR="0046614D" w:rsidP="73B58D6A" w:rsidRDefault="0046614D" w14:paraId="7E211583" w14:textId="1EEF43A2">
      <w:pPr>
        <w:pStyle w:val="Heading2"/>
        <w:rPr>
          <w:sz w:val="24"/>
          <w:szCs w:val="24"/>
        </w:rPr>
      </w:pPr>
      <w:r w:rsidRPr="73B58D6A" w:rsidR="0046614D">
        <w:rPr>
          <w:sz w:val="24"/>
          <w:szCs w:val="24"/>
        </w:rPr>
        <w:t>Background</w:t>
      </w:r>
    </w:p>
    <w:p w:rsidRPr="004C5E99" w:rsidR="00400E44" w:rsidP="004C5E99" w:rsidRDefault="001D7A82" w14:paraId="7A786A21" w14:textId="190023BF">
      <w:pPr>
        <w:pStyle w:val="ListParagraph"/>
        <w:numPr>
          <w:ilvl w:val="0"/>
          <w:numId w:val="20"/>
        </w:numPr>
        <w:rPr>
          <w:sz w:val="22"/>
          <w:szCs w:val="22"/>
        </w:rPr>
      </w:pPr>
      <w:r w:rsidRPr="004C5E99">
        <w:rPr>
          <w:sz w:val="22"/>
          <w:szCs w:val="22"/>
        </w:rPr>
        <w:t>At WCPFC21 in December 2024, the Commission tasked the ROP-IWG with discussing the addition of non-fish transfers to the</w:t>
      </w:r>
      <w:r w:rsidRPr="004C5E99" w:rsidR="00400E44">
        <w:rPr>
          <w:sz w:val="22"/>
          <w:szCs w:val="22"/>
        </w:rPr>
        <w:t xml:space="preserve"> </w:t>
      </w:r>
      <w:hyperlink w:tgtFrame="_blank" w:history="1" r:id="rId12">
        <w:r w:rsidRPr="004C5E99" w:rsidR="00400E44">
          <w:rPr>
            <w:rStyle w:val="Hyperlink"/>
            <w:sz w:val="22"/>
            <w:szCs w:val="22"/>
          </w:rPr>
          <w:t>observer minimum data fields for monitoring transshipment</w:t>
        </w:r>
      </w:hyperlink>
      <w:r w:rsidRPr="004C5E99" w:rsidR="00400E44">
        <w:rPr>
          <w:sz w:val="22"/>
          <w:szCs w:val="22"/>
        </w:rPr>
        <w:t xml:space="preserve"> (WCPFC21 Summary Report paragraph 511).  This </w:t>
      </w:r>
      <w:r w:rsidRPr="004C5E99" w:rsidR="008A7895">
        <w:rPr>
          <w:sz w:val="22"/>
          <w:szCs w:val="22"/>
        </w:rPr>
        <w:t>followed</w:t>
      </w:r>
      <w:r w:rsidRPr="004C5E99" w:rsidR="00400E44">
        <w:rPr>
          <w:sz w:val="22"/>
          <w:szCs w:val="22"/>
        </w:rPr>
        <w:t xml:space="preserve"> discussions </w:t>
      </w:r>
      <w:r w:rsidRPr="004C5E99" w:rsidR="008A7895">
        <w:rPr>
          <w:sz w:val="22"/>
          <w:szCs w:val="22"/>
        </w:rPr>
        <w:t>during</w:t>
      </w:r>
      <w:r w:rsidRPr="004C5E99" w:rsidR="00400E44">
        <w:rPr>
          <w:sz w:val="22"/>
          <w:szCs w:val="22"/>
        </w:rPr>
        <w:t xml:space="preserve"> the review of the Transhipment </w:t>
      </w:r>
      <w:r w:rsidRPr="004C5E99" w:rsidR="008A7895">
        <w:rPr>
          <w:sz w:val="22"/>
          <w:szCs w:val="22"/>
        </w:rPr>
        <w:t>C</w:t>
      </w:r>
      <w:r w:rsidRPr="004C5E99" w:rsidR="00400E44">
        <w:rPr>
          <w:sz w:val="22"/>
          <w:szCs w:val="22"/>
        </w:rPr>
        <w:t>MM (</w:t>
      </w:r>
      <w:hyperlink w:tgtFrame="_blank" w:history="1" r:id="rId13">
        <w:r w:rsidRPr="004C5E99" w:rsidR="00400E44">
          <w:rPr>
            <w:rStyle w:val="Hyperlink"/>
            <w:sz w:val="22"/>
            <w:szCs w:val="22"/>
          </w:rPr>
          <w:t>CMM 2009-06</w:t>
        </w:r>
      </w:hyperlink>
      <w:r w:rsidRPr="004C5E99" w:rsidR="00400E44">
        <w:rPr>
          <w:sz w:val="22"/>
          <w:szCs w:val="22"/>
        </w:rPr>
        <w:t xml:space="preserve">), which </w:t>
      </w:r>
      <w:r w:rsidRPr="004C5E99" w:rsidR="00F838FE">
        <w:rPr>
          <w:sz w:val="22"/>
          <w:szCs w:val="22"/>
        </w:rPr>
        <w:t>highlighted</w:t>
      </w:r>
      <w:r w:rsidRPr="004C5E99" w:rsidR="00400E44">
        <w:rPr>
          <w:sz w:val="22"/>
          <w:szCs w:val="22"/>
        </w:rPr>
        <w:t xml:space="preserve"> the challenges in identifying and understanding these transfers</w:t>
      </w:r>
      <w:r w:rsidRPr="004C5E99" w:rsidR="007776BF">
        <w:rPr>
          <w:sz w:val="22"/>
          <w:szCs w:val="22"/>
        </w:rPr>
        <w:t>. The review also</w:t>
      </w:r>
      <w:r w:rsidRPr="004C5E99" w:rsidR="00400E44">
        <w:rPr>
          <w:sz w:val="22"/>
          <w:szCs w:val="22"/>
        </w:rPr>
        <w:t xml:space="preserve"> identified </w:t>
      </w:r>
      <w:r w:rsidRPr="004C5E99" w:rsidR="007776BF">
        <w:rPr>
          <w:sz w:val="22"/>
          <w:szCs w:val="22"/>
        </w:rPr>
        <w:t xml:space="preserve">the need for </w:t>
      </w:r>
      <w:r w:rsidRPr="004C5E99" w:rsidR="00400E44">
        <w:rPr>
          <w:sz w:val="22"/>
          <w:szCs w:val="22"/>
        </w:rPr>
        <w:t xml:space="preserve">enhanced reporting </w:t>
      </w:r>
      <w:r w:rsidRPr="004C5E99" w:rsidR="00A2470E">
        <w:rPr>
          <w:sz w:val="22"/>
          <w:szCs w:val="22"/>
        </w:rPr>
        <w:t>which is</w:t>
      </w:r>
      <w:r w:rsidRPr="004C5E99" w:rsidR="00400E44">
        <w:rPr>
          <w:sz w:val="22"/>
          <w:szCs w:val="22"/>
        </w:rPr>
        <w:t xml:space="preserve"> critical for validating and verifying activities within the Convention Area. </w:t>
      </w:r>
    </w:p>
    <w:p w:rsidRPr="002B3B01" w:rsidR="00F34591" w:rsidP="73B58D6A" w:rsidRDefault="00400E44" w14:paraId="23D3E06E" w14:textId="3892B83E">
      <w:pPr>
        <w:pStyle w:val="Heading2"/>
        <w:rPr>
          <w:sz w:val="24"/>
          <w:szCs w:val="24"/>
        </w:rPr>
      </w:pPr>
      <w:r w:rsidRPr="73B58D6A" w:rsidR="00400E44">
        <w:rPr>
          <w:sz w:val="24"/>
          <w:szCs w:val="24"/>
        </w:rPr>
        <w:t> </w:t>
      </w:r>
      <w:r w:rsidRPr="73B58D6A" w:rsidR="00F34591">
        <w:rPr>
          <w:sz w:val="24"/>
          <w:szCs w:val="24"/>
        </w:rPr>
        <w:t>The Proposal</w:t>
      </w:r>
    </w:p>
    <w:p w:rsidRPr="004C5E99" w:rsidR="00400E44" w:rsidP="004C5E99" w:rsidRDefault="00A2470E" w14:paraId="3C48AC13" w14:textId="61E580BC">
      <w:pPr>
        <w:pStyle w:val="ListParagraph"/>
        <w:numPr>
          <w:ilvl w:val="0"/>
          <w:numId w:val="20"/>
        </w:numPr>
        <w:rPr>
          <w:sz w:val="22"/>
          <w:szCs w:val="22"/>
        </w:rPr>
      </w:pPr>
      <w:r w:rsidRPr="004C5E99">
        <w:rPr>
          <w:sz w:val="22"/>
          <w:szCs w:val="22"/>
        </w:rPr>
        <w:t>In 2024, a</w:t>
      </w:r>
      <w:r w:rsidRPr="004C5E99" w:rsidR="00400E44">
        <w:rPr>
          <w:sz w:val="22"/>
          <w:szCs w:val="22"/>
        </w:rPr>
        <w:t xml:space="preserve"> proposal was </w:t>
      </w:r>
      <w:r w:rsidRPr="004C5E99">
        <w:rPr>
          <w:sz w:val="22"/>
          <w:szCs w:val="22"/>
        </w:rPr>
        <w:t>submitted</w:t>
      </w:r>
      <w:r w:rsidRPr="004C5E99" w:rsidR="00400E44">
        <w:rPr>
          <w:sz w:val="22"/>
          <w:szCs w:val="22"/>
        </w:rPr>
        <w:t xml:space="preserve"> to the Transhipment IWG </w:t>
      </w:r>
      <w:r w:rsidRPr="004C5E99" w:rsidR="006217B3">
        <w:rPr>
          <w:sz w:val="22"/>
          <w:szCs w:val="22"/>
        </w:rPr>
        <w:t>to amend</w:t>
      </w:r>
      <w:r w:rsidRPr="004C5E99" w:rsidR="00400E44">
        <w:rPr>
          <w:sz w:val="22"/>
          <w:szCs w:val="22"/>
        </w:rPr>
        <w:t xml:space="preserve"> Annexes I and III of the Transhipment CMM</w:t>
      </w:r>
      <w:r w:rsidRPr="004C5E99" w:rsidR="006217B3">
        <w:rPr>
          <w:sz w:val="22"/>
          <w:szCs w:val="22"/>
        </w:rPr>
        <w:t>. These Annexes</w:t>
      </w:r>
      <w:r w:rsidRPr="004C5E99" w:rsidR="00400E44">
        <w:rPr>
          <w:sz w:val="22"/>
          <w:szCs w:val="22"/>
        </w:rPr>
        <w:t xml:space="preserve"> </w:t>
      </w:r>
      <w:r w:rsidRPr="004C5E99" w:rsidR="00A32E95">
        <w:rPr>
          <w:sz w:val="22"/>
          <w:szCs w:val="22"/>
        </w:rPr>
        <w:t>list the required</w:t>
      </w:r>
      <w:r w:rsidRPr="004C5E99" w:rsidR="00400E44">
        <w:rPr>
          <w:sz w:val="22"/>
          <w:szCs w:val="22"/>
        </w:rPr>
        <w:t xml:space="preserve"> information </w:t>
      </w:r>
      <w:r w:rsidRPr="004C5E99" w:rsidR="00A32E95">
        <w:rPr>
          <w:sz w:val="22"/>
          <w:szCs w:val="22"/>
        </w:rPr>
        <w:t>for</w:t>
      </w:r>
      <w:r w:rsidRPr="004C5E99" w:rsidR="00400E44">
        <w:rPr>
          <w:sz w:val="22"/>
          <w:szCs w:val="22"/>
        </w:rPr>
        <w:t xml:space="preserve"> WCPFC Transhipment Declaration and Notices (Notifications) to the Executive Director</w:t>
      </w:r>
      <w:r w:rsidRPr="004C5E99" w:rsidR="006217B3">
        <w:rPr>
          <w:sz w:val="22"/>
          <w:szCs w:val="22"/>
        </w:rPr>
        <w:t>. The propos</w:t>
      </w:r>
      <w:r w:rsidRPr="004C5E99" w:rsidR="00A32E95">
        <w:rPr>
          <w:sz w:val="22"/>
          <w:szCs w:val="22"/>
        </w:rPr>
        <w:t>ed amendments were as follows</w:t>
      </w:r>
      <w:r w:rsidRPr="004C5E99" w:rsidR="00400E44">
        <w:rPr>
          <w:sz w:val="22"/>
          <w:szCs w:val="22"/>
        </w:rPr>
        <w:t>: </w:t>
      </w:r>
    </w:p>
    <w:p w:rsidRPr="00400E44" w:rsidR="00400E44" w:rsidP="00400E44" w:rsidRDefault="00400E44" w14:paraId="4AFE3C27" w14:textId="61F90768">
      <w:pPr>
        <w:numPr>
          <w:ilvl w:val="0"/>
          <w:numId w:val="8"/>
        </w:numPr>
        <w:rPr>
          <w:sz w:val="22"/>
          <w:szCs w:val="22"/>
        </w:rPr>
      </w:pPr>
      <w:r w:rsidRPr="00400E44">
        <w:rPr>
          <w:sz w:val="22"/>
          <w:szCs w:val="22"/>
        </w:rPr>
        <w:t xml:space="preserve">In Annex 1 </w:t>
      </w:r>
      <w:r w:rsidR="003E0D4D">
        <w:rPr>
          <w:sz w:val="22"/>
          <w:szCs w:val="22"/>
        </w:rPr>
        <w:t>(D</w:t>
      </w:r>
      <w:r w:rsidRPr="00400E44">
        <w:rPr>
          <w:sz w:val="22"/>
          <w:szCs w:val="22"/>
        </w:rPr>
        <w:t>eclaration</w:t>
      </w:r>
      <w:r w:rsidR="003E0D4D">
        <w:rPr>
          <w:sz w:val="22"/>
          <w:szCs w:val="22"/>
        </w:rPr>
        <w:t>)</w:t>
      </w:r>
      <w:r w:rsidRPr="00400E44">
        <w:rPr>
          <w:sz w:val="22"/>
          <w:szCs w:val="22"/>
        </w:rPr>
        <w:t xml:space="preserve"> - “</w:t>
      </w:r>
      <w:r w:rsidRPr="00400E44">
        <w:rPr>
          <w:i/>
          <w:iCs/>
          <w:sz w:val="22"/>
          <w:szCs w:val="22"/>
        </w:rPr>
        <w:t xml:space="preserve">7. Did non-fish transfer occur? (yes or no”) </w:t>
      </w:r>
      <w:r w:rsidRPr="00400E44">
        <w:rPr>
          <w:i/>
          <w:iCs/>
          <w:sz w:val="22"/>
          <w:szCs w:val="22"/>
          <w:lang w:val="en-NZ"/>
        </w:rPr>
        <w:t>If yes, provide details of this non-fish transfer, including the exchange of crew (numbers) and provision of supplies between vessels.</w:t>
      </w:r>
      <w:r w:rsidRPr="00400E44">
        <w:rPr>
          <w:rFonts w:ascii="Arial" w:hAnsi="Arial" w:cs="Arial"/>
          <w:sz w:val="22"/>
          <w:szCs w:val="22"/>
          <w:lang w:val="en-NZ"/>
        </w:rPr>
        <w:t> </w:t>
      </w:r>
      <w:r w:rsidRPr="00400E44">
        <w:rPr>
          <w:rFonts w:ascii="Aptos" w:hAnsi="Aptos" w:cs="Aptos"/>
          <w:sz w:val="22"/>
          <w:szCs w:val="22"/>
          <w:lang w:val="en-NZ"/>
        </w:rPr>
        <w:t>“</w:t>
      </w:r>
      <w:r w:rsidRPr="00400E44">
        <w:rPr>
          <w:sz w:val="22"/>
          <w:szCs w:val="22"/>
          <w:lang w:val="en-NZ"/>
        </w:rPr>
        <w:t> </w:t>
      </w:r>
      <w:r w:rsidRPr="00400E44">
        <w:rPr>
          <w:sz w:val="22"/>
          <w:szCs w:val="22"/>
        </w:rPr>
        <w:t> </w:t>
      </w:r>
    </w:p>
    <w:p w:rsidRPr="00400E44" w:rsidR="00400E44" w:rsidP="00400E44" w:rsidRDefault="00400E44" w14:paraId="1656898C" w14:textId="2885B225">
      <w:pPr>
        <w:numPr>
          <w:ilvl w:val="0"/>
          <w:numId w:val="9"/>
        </w:numPr>
        <w:rPr>
          <w:sz w:val="22"/>
          <w:szCs w:val="22"/>
        </w:rPr>
      </w:pPr>
      <w:r w:rsidRPr="00400E44">
        <w:rPr>
          <w:sz w:val="22"/>
          <w:szCs w:val="22"/>
          <w:lang w:val="en-NZ"/>
        </w:rPr>
        <w:t xml:space="preserve">In Annex 3 </w:t>
      </w:r>
      <w:r w:rsidR="003E0D4D">
        <w:rPr>
          <w:sz w:val="22"/>
          <w:szCs w:val="22"/>
          <w:lang w:val="en-NZ"/>
        </w:rPr>
        <w:t>(N</w:t>
      </w:r>
      <w:r w:rsidRPr="00400E44">
        <w:rPr>
          <w:sz w:val="22"/>
          <w:szCs w:val="22"/>
          <w:lang w:val="en-NZ"/>
        </w:rPr>
        <w:t>otification</w:t>
      </w:r>
      <w:r w:rsidR="003E0D4D">
        <w:rPr>
          <w:sz w:val="22"/>
          <w:szCs w:val="22"/>
          <w:lang w:val="en-NZ"/>
        </w:rPr>
        <w:t>)</w:t>
      </w:r>
      <w:r w:rsidRPr="00400E44">
        <w:rPr>
          <w:sz w:val="22"/>
          <w:szCs w:val="22"/>
          <w:lang w:val="en-NZ"/>
        </w:rPr>
        <w:t xml:space="preserve"> – “</w:t>
      </w:r>
      <w:r w:rsidRPr="00400E44">
        <w:rPr>
          <w:i/>
          <w:iCs/>
          <w:sz w:val="22"/>
          <w:szCs w:val="22"/>
          <w:lang w:val="en-NZ"/>
        </w:rPr>
        <w:t>7. Will non-fish transfers occur? (“Yes” or “No”). If yes, provide details of this proposed non-fish transfer, including the exchange of crew (numbers) and provision of supplies between vessels.</w:t>
      </w:r>
      <w:r w:rsidRPr="00400E44">
        <w:rPr>
          <w:sz w:val="22"/>
          <w:szCs w:val="22"/>
          <w:lang w:val="en-NZ"/>
        </w:rPr>
        <w:t>”</w:t>
      </w:r>
      <w:r w:rsidRPr="00400E44">
        <w:rPr>
          <w:sz w:val="22"/>
          <w:szCs w:val="22"/>
        </w:rPr>
        <w:t> </w:t>
      </w:r>
    </w:p>
    <w:p w:rsidRPr="00400E44" w:rsidR="00400E44" w:rsidP="00400E44" w:rsidRDefault="00477AC3" w14:paraId="10E7907C" w14:textId="4C808CC4">
      <w:pPr>
        <w:numPr>
          <w:ilvl w:val="0"/>
          <w:numId w:val="10"/>
        </w:numPr>
        <w:rPr>
          <w:sz w:val="22"/>
          <w:szCs w:val="22"/>
        </w:rPr>
      </w:pPr>
      <w:r>
        <w:rPr>
          <w:sz w:val="22"/>
          <w:szCs w:val="22"/>
          <w:lang w:val="en-NZ"/>
        </w:rPr>
        <w:t xml:space="preserve">To </w:t>
      </w:r>
      <w:r w:rsidR="00CB669A">
        <w:rPr>
          <w:sz w:val="22"/>
          <w:szCs w:val="22"/>
          <w:lang w:val="en-NZ"/>
        </w:rPr>
        <w:t>include a footnote to define</w:t>
      </w:r>
      <w:r w:rsidR="00891D83">
        <w:rPr>
          <w:sz w:val="22"/>
          <w:szCs w:val="22"/>
          <w:lang w:val="en-NZ"/>
        </w:rPr>
        <w:t xml:space="preserve"> ‘non-fish transfer’</w:t>
      </w:r>
      <w:r w:rsidRPr="00400E44" w:rsidR="00400E44">
        <w:rPr>
          <w:sz w:val="22"/>
          <w:szCs w:val="22"/>
          <w:lang w:val="en-NZ"/>
        </w:rPr>
        <w:t xml:space="preserve"> </w:t>
      </w:r>
      <w:r w:rsidR="007006C7">
        <w:rPr>
          <w:sz w:val="22"/>
          <w:szCs w:val="22"/>
          <w:lang w:val="en-NZ"/>
        </w:rPr>
        <w:t xml:space="preserve">based on </w:t>
      </w:r>
      <w:r w:rsidRPr="00400E44" w:rsidR="00400E44">
        <w:rPr>
          <w:sz w:val="22"/>
          <w:szCs w:val="22"/>
          <w:lang w:val="en-NZ"/>
        </w:rPr>
        <w:t xml:space="preserve">the North Pacific Fisheries Commission (NPFC) </w:t>
      </w:r>
      <w:r w:rsidR="007006C7">
        <w:rPr>
          <w:sz w:val="22"/>
          <w:szCs w:val="22"/>
          <w:lang w:val="en-NZ"/>
        </w:rPr>
        <w:t>CMM definition</w:t>
      </w:r>
      <w:r w:rsidRPr="00400E44" w:rsidR="00400E44">
        <w:rPr>
          <w:sz w:val="22"/>
          <w:szCs w:val="22"/>
          <w:lang w:val="en-NZ"/>
        </w:rPr>
        <w:t xml:space="preserve"> – “</w:t>
      </w:r>
      <w:r w:rsidRPr="00400E44" w:rsidR="00400E44">
        <w:rPr>
          <w:i/>
          <w:iCs/>
          <w:sz w:val="22"/>
          <w:szCs w:val="22"/>
          <w:lang w:val="en-NZ"/>
        </w:rPr>
        <w:t>“means a transfer of fuel, gear, materials, or other supplies, or a transfer of at least one person, from one fishing vessel to another fishing vessel in the Convention Area”</w:t>
      </w:r>
      <w:r w:rsidRPr="00400E44" w:rsidR="00400E44">
        <w:rPr>
          <w:sz w:val="22"/>
          <w:szCs w:val="22"/>
        </w:rPr>
        <w:t> </w:t>
      </w:r>
    </w:p>
    <w:p w:rsidRPr="004C5E99" w:rsidR="00400E44" w:rsidP="004C5E99" w:rsidRDefault="00EC2F95" w14:paraId="1E9EA99C" w14:textId="51974B05">
      <w:pPr>
        <w:pStyle w:val="ListParagraph"/>
        <w:numPr>
          <w:ilvl w:val="0"/>
          <w:numId w:val="20"/>
        </w:numPr>
        <w:rPr>
          <w:sz w:val="22"/>
          <w:szCs w:val="22"/>
        </w:rPr>
      </w:pPr>
      <w:r w:rsidRPr="004C5E99">
        <w:rPr>
          <w:sz w:val="22"/>
          <w:szCs w:val="22"/>
        </w:rPr>
        <w:t>The proposal aims to improve monitoring of interactions at sea where no fish were transferred but other activities occurred—such as the exchange of crew or supplies. Capturing this data would help verify such encounters and reduce potential compliance queries, especially as the Secretariat continues to develop tools to detect vessel proximity.</w:t>
      </w:r>
      <w:r w:rsidRPr="004C5E99" w:rsidR="00400E44">
        <w:rPr>
          <w:sz w:val="22"/>
          <w:szCs w:val="22"/>
          <w:lang w:val="en-NZ"/>
        </w:rPr>
        <w:t> </w:t>
      </w:r>
      <w:r w:rsidRPr="004C5E99" w:rsidR="00400E44">
        <w:rPr>
          <w:sz w:val="22"/>
          <w:szCs w:val="22"/>
        </w:rPr>
        <w:t> </w:t>
      </w:r>
    </w:p>
    <w:p w:rsidRPr="00565602" w:rsidR="00EC2F95" w:rsidP="00565602" w:rsidRDefault="00EC2F95" w14:paraId="189073A3" w14:textId="77777777">
      <w:pPr>
        <w:pStyle w:val="ListParagraph"/>
        <w:numPr>
          <w:ilvl w:val="0"/>
          <w:numId w:val="20"/>
        </w:numPr>
        <w:rPr>
          <w:sz w:val="22"/>
          <w:szCs w:val="22"/>
        </w:rPr>
      </w:pPr>
      <w:r w:rsidRPr="00565602">
        <w:rPr>
          <w:sz w:val="22"/>
          <w:szCs w:val="22"/>
        </w:rPr>
        <w:lastRenderedPageBreak/>
        <w:t>Although the Commission has yet to fully consider changes to CMM 2009-06, assigning this task to the ROP-IWG is a step toward identifying necessary data and assessing how additional reporting might impact observer programmes.</w:t>
      </w:r>
    </w:p>
    <w:p w:rsidRPr="002B3B01" w:rsidR="00E94D1D" w:rsidP="00E94D1D" w:rsidRDefault="0031750D" w14:paraId="24C0B076" w14:textId="78B0F241">
      <w:pPr>
        <w:rPr>
          <w:b w:val="1"/>
          <w:bCs w:val="1"/>
          <w:sz w:val="22"/>
          <w:szCs w:val="22"/>
        </w:rPr>
      </w:pPr>
      <w:r w:rsidRPr="73B58D6A" w:rsidR="0031750D">
        <w:rPr>
          <w:rStyle w:val="Heading2Char"/>
          <w:sz w:val="24"/>
          <w:szCs w:val="24"/>
        </w:rPr>
        <w:t xml:space="preserve">Refresh of </w:t>
      </w:r>
      <w:r w:rsidRPr="73B58D6A" w:rsidR="002B3B01">
        <w:rPr>
          <w:rStyle w:val="Heading2Char"/>
          <w:sz w:val="24"/>
          <w:szCs w:val="24"/>
        </w:rPr>
        <w:t>CCM consideration at ROP-IWG05</w:t>
      </w:r>
      <w:r>
        <w:rPr>
          <w:rStyle w:val="FootnoteReference"/>
          <w:b w:val="1"/>
          <w:bCs w:val="1"/>
          <w:sz w:val="22"/>
          <w:szCs w:val="22"/>
        </w:rPr>
        <w:footnoteReference w:id="1"/>
      </w:r>
    </w:p>
    <w:p w:rsidRPr="00565602" w:rsidR="00193FA4" w:rsidP="00733857" w:rsidRDefault="002B3B01" w14:paraId="1B40527C" w14:textId="4D3151C8">
      <w:pPr>
        <w:pStyle w:val="ListParagraph"/>
        <w:numPr>
          <w:ilvl w:val="0"/>
          <w:numId w:val="20"/>
        </w:numPr>
        <w:rPr>
          <w:sz w:val="22"/>
          <w:szCs w:val="22"/>
        </w:rPr>
      </w:pPr>
      <w:r w:rsidRPr="00565602">
        <w:rPr>
          <w:sz w:val="22"/>
          <w:szCs w:val="22"/>
        </w:rPr>
        <w:t>Th</w:t>
      </w:r>
      <w:r w:rsidR="007A324C">
        <w:rPr>
          <w:sz w:val="22"/>
          <w:szCs w:val="22"/>
        </w:rPr>
        <w:t>e tasking to the ROP-IWG</w:t>
      </w:r>
      <w:r w:rsidRPr="00565602">
        <w:rPr>
          <w:sz w:val="22"/>
          <w:szCs w:val="22"/>
        </w:rPr>
        <w:t xml:space="preserve"> was briefly discussed at the ROP-IWG05 </w:t>
      </w:r>
      <w:r w:rsidRPr="00565602" w:rsidR="002875D1">
        <w:rPr>
          <w:sz w:val="22"/>
          <w:szCs w:val="22"/>
        </w:rPr>
        <w:t>meeting April</w:t>
      </w:r>
      <w:r w:rsidRPr="00565602">
        <w:rPr>
          <w:sz w:val="22"/>
          <w:szCs w:val="22"/>
        </w:rPr>
        <w:t xml:space="preserve"> 2025</w:t>
      </w:r>
      <w:r w:rsidRPr="00565602" w:rsidR="00193FA4">
        <w:rPr>
          <w:sz w:val="22"/>
          <w:szCs w:val="22"/>
        </w:rPr>
        <w:t xml:space="preserve"> and </w:t>
      </w:r>
      <w:r w:rsidRPr="00565602" w:rsidR="008E19DD">
        <w:rPr>
          <w:sz w:val="22"/>
          <w:szCs w:val="22"/>
        </w:rPr>
        <w:t xml:space="preserve">the </w:t>
      </w:r>
      <w:r w:rsidRPr="00565602" w:rsidR="00193FA4">
        <w:rPr>
          <w:sz w:val="22"/>
          <w:szCs w:val="22"/>
        </w:rPr>
        <w:t>following points raise</w:t>
      </w:r>
      <w:r w:rsidRPr="00565602" w:rsidR="00426B2D">
        <w:rPr>
          <w:sz w:val="22"/>
          <w:szCs w:val="22"/>
        </w:rPr>
        <w:t>d</w:t>
      </w:r>
      <w:r w:rsidRPr="00565602" w:rsidR="00193FA4">
        <w:rPr>
          <w:sz w:val="22"/>
          <w:szCs w:val="22"/>
        </w:rPr>
        <w:t>:</w:t>
      </w:r>
    </w:p>
    <w:p w:rsidRPr="001764C6" w:rsidR="001764C6" w:rsidP="001764C6" w:rsidRDefault="001764C6" w14:paraId="6EE2DB00" w14:textId="77777777">
      <w:pPr>
        <w:numPr>
          <w:ilvl w:val="0"/>
          <w:numId w:val="11"/>
        </w:numPr>
        <w:rPr>
          <w:sz w:val="22"/>
          <w:szCs w:val="22"/>
        </w:rPr>
      </w:pPr>
      <w:r w:rsidRPr="001764C6">
        <w:rPr>
          <w:sz w:val="22"/>
          <w:szCs w:val="22"/>
        </w:rPr>
        <w:t xml:space="preserve">General support to revising the </w:t>
      </w:r>
      <w:hyperlink w:tgtFrame="_blank" w:history="1" r:id="rId14">
        <w:r w:rsidRPr="001764C6">
          <w:rPr>
            <w:rStyle w:val="Hyperlink"/>
            <w:sz w:val="22"/>
            <w:szCs w:val="22"/>
          </w:rPr>
          <w:t>observer minimum data fields for monitoring transshipment</w:t>
        </w:r>
      </w:hyperlink>
      <w:r w:rsidRPr="001764C6">
        <w:rPr>
          <w:rFonts w:ascii="Arial" w:hAnsi="Arial" w:cs="Arial"/>
          <w:sz w:val="22"/>
          <w:szCs w:val="22"/>
        </w:rPr>
        <w:t> </w:t>
      </w:r>
      <w:r w:rsidRPr="001764C6">
        <w:rPr>
          <w:sz w:val="22"/>
          <w:szCs w:val="22"/>
        </w:rPr>
        <w:t>in response to the tasking. </w:t>
      </w:r>
    </w:p>
    <w:p w:rsidRPr="001764C6" w:rsidR="001764C6" w:rsidP="001764C6" w:rsidRDefault="001764C6" w14:paraId="0FF890EE" w14:textId="77777777">
      <w:pPr>
        <w:numPr>
          <w:ilvl w:val="0"/>
          <w:numId w:val="12"/>
        </w:numPr>
        <w:rPr>
          <w:sz w:val="22"/>
          <w:szCs w:val="22"/>
        </w:rPr>
      </w:pPr>
      <w:r w:rsidRPr="001764C6">
        <w:rPr>
          <w:sz w:val="22"/>
          <w:szCs w:val="22"/>
        </w:rPr>
        <w:t>Recalling that the discussions at TCC in 2024, had identified that bait is also “fish”, and the importance of having clear phrasing and/or specific guidance. </w:t>
      </w:r>
    </w:p>
    <w:p w:rsidRPr="001764C6" w:rsidR="001764C6" w:rsidP="001764C6" w:rsidRDefault="001764C6" w14:paraId="4DDCACBD" w14:textId="77777777">
      <w:pPr>
        <w:numPr>
          <w:ilvl w:val="0"/>
          <w:numId w:val="13"/>
        </w:numPr>
        <w:rPr>
          <w:sz w:val="22"/>
          <w:szCs w:val="22"/>
        </w:rPr>
      </w:pPr>
      <w:r w:rsidRPr="001764C6">
        <w:rPr>
          <w:sz w:val="22"/>
          <w:szCs w:val="22"/>
        </w:rPr>
        <w:t>Desirability of WCPFC considering harmonizing with other RFMOs, noting that ICCAT uses “supply services” as the equivalent of “non-fish transfers”, and IOTC has adopted an explicit definition of “non-catch transfer”. </w:t>
      </w:r>
    </w:p>
    <w:p w:rsidRPr="001764C6" w:rsidR="001764C6" w:rsidP="001764C6" w:rsidRDefault="001764C6" w14:paraId="25DBA3EE" w14:textId="77777777">
      <w:pPr>
        <w:numPr>
          <w:ilvl w:val="0"/>
          <w:numId w:val="14"/>
        </w:numPr>
        <w:rPr>
          <w:sz w:val="22"/>
          <w:szCs w:val="22"/>
        </w:rPr>
      </w:pPr>
      <w:r w:rsidRPr="001764C6">
        <w:rPr>
          <w:sz w:val="22"/>
          <w:szCs w:val="22"/>
        </w:rPr>
        <w:t xml:space="preserve">An interest in reviewing other changes to the </w:t>
      </w:r>
      <w:hyperlink w:tgtFrame="_blank" w:history="1" r:id="rId15">
        <w:r w:rsidRPr="001764C6">
          <w:rPr>
            <w:rStyle w:val="Hyperlink"/>
            <w:sz w:val="22"/>
            <w:szCs w:val="22"/>
          </w:rPr>
          <w:t>observer minimum data fields for monitoring transshipment</w:t>
        </w:r>
      </w:hyperlink>
      <w:r w:rsidRPr="001764C6">
        <w:rPr>
          <w:sz w:val="22"/>
          <w:szCs w:val="22"/>
        </w:rPr>
        <w:t>, for example SP_number which is currently non-mandatory. </w:t>
      </w:r>
    </w:p>
    <w:p w:rsidRPr="009F4AF4" w:rsidR="00193FA4" w:rsidP="009F4AF4" w:rsidRDefault="00426B2D" w14:paraId="2A15F1E8" w14:textId="708BA5FD">
      <w:pPr>
        <w:pStyle w:val="ListParagraph"/>
        <w:numPr>
          <w:ilvl w:val="0"/>
          <w:numId w:val="20"/>
        </w:numPr>
        <w:rPr>
          <w:sz w:val="22"/>
          <w:szCs w:val="22"/>
        </w:rPr>
      </w:pPr>
      <w:r w:rsidRPr="009F4AF4">
        <w:rPr>
          <w:sz w:val="22"/>
          <w:szCs w:val="22"/>
        </w:rPr>
        <w:t>There was also brief reference to the appropriateness of the name ‘non-fish transfers’.</w:t>
      </w:r>
    </w:p>
    <w:p w:rsidRPr="00601807" w:rsidR="00601807" w:rsidP="73B58D6A" w:rsidRDefault="00601807" w14:paraId="31CEE471" w14:textId="78C45377">
      <w:pPr>
        <w:pStyle w:val="Heading2"/>
        <w:rPr>
          <w:sz w:val="24"/>
          <w:szCs w:val="24"/>
        </w:rPr>
      </w:pPr>
      <w:r w:rsidRPr="73B58D6A" w:rsidR="00601807">
        <w:rPr>
          <w:sz w:val="24"/>
          <w:szCs w:val="24"/>
        </w:rPr>
        <w:t>Discussion Points for ROP-IWG</w:t>
      </w:r>
    </w:p>
    <w:p w:rsidRPr="001A4B3C" w:rsidR="00AE5B72" w:rsidP="001A4B3C" w:rsidRDefault="00AE5B72" w14:paraId="7C2897F5" w14:textId="0670B1E1">
      <w:pPr>
        <w:pStyle w:val="ListParagraph"/>
        <w:numPr>
          <w:ilvl w:val="0"/>
          <w:numId w:val="20"/>
        </w:numPr>
        <w:rPr>
          <w:sz w:val="22"/>
          <w:szCs w:val="22"/>
        </w:rPr>
      </w:pPr>
      <w:r w:rsidRPr="001A4B3C">
        <w:rPr>
          <w:sz w:val="22"/>
          <w:szCs w:val="22"/>
        </w:rPr>
        <w:t>T</w:t>
      </w:r>
      <w:r w:rsidRPr="001A4B3C" w:rsidR="00A0084F">
        <w:rPr>
          <w:sz w:val="22"/>
          <w:szCs w:val="22"/>
        </w:rPr>
        <w:t xml:space="preserve">he following points </w:t>
      </w:r>
      <w:r w:rsidRPr="001A4B3C" w:rsidR="00E860F1">
        <w:rPr>
          <w:sz w:val="22"/>
          <w:szCs w:val="22"/>
        </w:rPr>
        <w:t xml:space="preserve">are </w:t>
      </w:r>
      <w:r w:rsidRPr="001A4B3C" w:rsidR="00D60885">
        <w:rPr>
          <w:sz w:val="22"/>
          <w:szCs w:val="22"/>
        </w:rPr>
        <w:t xml:space="preserve">provided </w:t>
      </w:r>
      <w:r w:rsidRPr="001A4B3C" w:rsidR="00E860F1">
        <w:rPr>
          <w:sz w:val="22"/>
          <w:szCs w:val="22"/>
        </w:rPr>
        <w:t xml:space="preserve">to </w:t>
      </w:r>
      <w:r w:rsidRPr="001A4B3C" w:rsidR="00D60885">
        <w:rPr>
          <w:sz w:val="22"/>
          <w:szCs w:val="22"/>
        </w:rPr>
        <w:t>support</w:t>
      </w:r>
      <w:r w:rsidRPr="001A4B3C" w:rsidR="00A0084F">
        <w:rPr>
          <w:sz w:val="22"/>
          <w:szCs w:val="22"/>
        </w:rPr>
        <w:t xml:space="preserve"> ROP-IWG discussion</w:t>
      </w:r>
      <w:r w:rsidRPr="001A4B3C" w:rsidR="00E860F1">
        <w:rPr>
          <w:sz w:val="22"/>
          <w:szCs w:val="22"/>
        </w:rPr>
        <w:t xml:space="preserve">. They </w:t>
      </w:r>
      <w:r w:rsidRPr="001A4B3C" w:rsidR="00D60885">
        <w:rPr>
          <w:sz w:val="22"/>
          <w:szCs w:val="22"/>
        </w:rPr>
        <w:t>reflect the proposal</w:t>
      </w:r>
      <w:r w:rsidRPr="001A4B3C" w:rsidR="00B14B5C">
        <w:rPr>
          <w:sz w:val="22"/>
          <w:szCs w:val="22"/>
        </w:rPr>
        <w:t xml:space="preserve"> on</w:t>
      </w:r>
      <w:r w:rsidRPr="001A4B3C" w:rsidR="00E86762">
        <w:rPr>
          <w:sz w:val="22"/>
          <w:szCs w:val="22"/>
        </w:rPr>
        <w:t xml:space="preserve"> </w:t>
      </w:r>
      <w:r w:rsidRPr="001A4B3C" w:rsidR="00B72BC1">
        <w:rPr>
          <w:sz w:val="22"/>
          <w:szCs w:val="22"/>
        </w:rPr>
        <w:t>non-fish transfer</w:t>
      </w:r>
      <w:r w:rsidRPr="001A4B3C" w:rsidR="00B14B5C">
        <w:rPr>
          <w:sz w:val="22"/>
          <w:szCs w:val="22"/>
        </w:rPr>
        <w:t>s submitted</w:t>
      </w:r>
      <w:r w:rsidRPr="001A4B3C" w:rsidR="00B72BC1">
        <w:rPr>
          <w:sz w:val="22"/>
          <w:szCs w:val="22"/>
        </w:rPr>
        <w:t xml:space="preserve"> to TCC20</w:t>
      </w:r>
      <w:r w:rsidRPr="001A4B3C" w:rsidR="00E860F1">
        <w:rPr>
          <w:sz w:val="22"/>
          <w:szCs w:val="22"/>
        </w:rPr>
        <w:t>,</w:t>
      </w:r>
      <w:r w:rsidRPr="001A4B3C" w:rsidR="00A0084F">
        <w:rPr>
          <w:sz w:val="22"/>
          <w:szCs w:val="22"/>
        </w:rPr>
        <w:t xml:space="preserve"> </w:t>
      </w:r>
      <w:r w:rsidRPr="001A4B3C" w:rsidR="00B72BC1">
        <w:rPr>
          <w:sz w:val="22"/>
          <w:szCs w:val="22"/>
        </w:rPr>
        <w:t xml:space="preserve">initial discussion </w:t>
      </w:r>
      <w:r w:rsidRPr="001A4B3C" w:rsidR="00480ED6">
        <w:rPr>
          <w:sz w:val="22"/>
          <w:szCs w:val="22"/>
        </w:rPr>
        <w:t xml:space="preserve">and outcomes </w:t>
      </w:r>
      <w:r w:rsidRPr="001A4B3C" w:rsidR="00B14B5C">
        <w:rPr>
          <w:sz w:val="22"/>
          <w:szCs w:val="22"/>
        </w:rPr>
        <w:t>from</w:t>
      </w:r>
      <w:r w:rsidRPr="001A4B3C" w:rsidR="00A0084F">
        <w:rPr>
          <w:sz w:val="22"/>
          <w:szCs w:val="22"/>
        </w:rPr>
        <w:t xml:space="preserve"> ROP_IWG5</w:t>
      </w:r>
      <w:r w:rsidRPr="001A4B3C" w:rsidR="00E860F1">
        <w:rPr>
          <w:sz w:val="22"/>
          <w:szCs w:val="22"/>
        </w:rPr>
        <w:t xml:space="preserve"> and the tasking to consider harmoni</w:t>
      </w:r>
      <w:r w:rsidRPr="001A4B3C" w:rsidR="00D92F68">
        <w:rPr>
          <w:sz w:val="22"/>
          <w:szCs w:val="22"/>
        </w:rPr>
        <w:t>s</w:t>
      </w:r>
      <w:r w:rsidRPr="001A4B3C" w:rsidR="00E860F1">
        <w:rPr>
          <w:sz w:val="22"/>
          <w:szCs w:val="22"/>
        </w:rPr>
        <w:t>ation with other RFMOs.</w:t>
      </w:r>
    </w:p>
    <w:p w:rsidR="001A4B3C" w:rsidP="001A4B3C" w:rsidRDefault="001A4B3C" w14:paraId="2B11ECB3" w14:textId="77777777">
      <w:pPr>
        <w:pStyle w:val="ListParagraph"/>
        <w:rPr>
          <w:sz w:val="22"/>
          <w:szCs w:val="22"/>
        </w:rPr>
      </w:pPr>
    </w:p>
    <w:p w:rsidR="00D92F68" w:rsidP="00F5044B" w:rsidRDefault="00D92F68" w14:paraId="5AB3FA5F" w14:textId="77777777">
      <w:pPr>
        <w:pStyle w:val="ListParagraph"/>
        <w:numPr>
          <w:ilvl w:val="0"/>
          <w:numId w:val="15"/>
        </w:numPr>
        <w:ind w:left="1080"/>
        <w:rPr>
          <w:sz w:val="22"/>
          <w:szCs w:val="22"/>
        </w:rPr>
      </w:pPr>
      <w:r>
        <w:rPr>
          <w:sz w:val="22"/>
          <w:szCs w:val="22"/>
        </w:rPr>
        <w:t>Definition of Non-Fish Transfer</w:t>
      </w:r>
    </w:p>
    <w:p w:rsidR="009E23D1" w:rsidP="00F5044B" w:rsidRDefault="00D33603" w14:paraId="51C10AC3" w14:textId="1C5C1B8B">
      <w:pPr>
        <w:pStyle w:val="ListParagraph"/>
        <w:ind w:left="1440"/>
        <w:rPr>
          <w:sz w:val="22"/>
          <w:szCs w:val="22"/>
        </w:rPr>
      </w:pPr>
      <w:r w:rsidRPr="00D33603">
        <w:rPr>
          <w:sz w:val="22"/>
          <w:szCs w:val="22"/>
        </w:rPr>
        <w:t xml:space="preserve">The proposed definition—drawing on the NPFC’s approach—lists specific items such as fuel, gear, and materials, and includes a broader reference to “other supplies.” Standard interpretation suggests that “other supplies” would be of a similar nature to those specifically listed. One issue for </w:t>
      </w:r>
      <w:r>
        <w:rPr>
          <w:sz w:val="22"/>
          <w:szCs w:val="22"/>
        </w:rPr>
        <w:t xml:space="preserve">TCC </w:t>
      </w:r>
      <w:r w:rsidRPr="00D33603">
        <w:rPr>
          <w:sz w:val="22"/>
          <w:szCs w:val="22"/>
        </w:rPr>
        <w:t>consideration is whether “bait” should be explicitly included within this definition.</w:t>
      </w:r>
      <w:r>
        <w:rPr>
          <w:sz w:val="22"/>
          <w:szCs w:val="22"/>
        </w:rPr>
        <w:t xml:space="preserve"> </w:t>
      </w:r>
    </w:p>
    <w:p w:rsidRPr="00AE5B72" w:rsidR="00D33603" w:rsidP="0091573E" w:rsidRDefault="00D33603" w14:paraId="7B7AE193" w14:textId="77777777">
      <w:pPr>
        <w:pStyle w:val="ListParagraph"/>
        <w:ind w:left="360"/>
        <w:rPr>
          <w:sz w:val="22"/>
          <w:szCs w:val="22"/>
        </w:rPr>
      </w:pPr>
    </w:p>
    <w:p w:rsidRPr="00703066" w:rsidR="00703066" w:rsidP="00F5044B" w:rsidRDefault="005309BB" w14:paraId="109D212C" w14:textId="77777777">
      <w:pPr>
        <w:pStyle w:val="ListParagraph"/>
        <w:numPr>
          <w:ilvl w:val="0"/>
          <w:numId w:val="15"/>
        </w:numPr>
        <w:ind w:left="1080"/>
        <w:rPr>
          <w:sz w:val="22"/>
          <w:szCs w:val="22"/>
          <w:lang w:val="en-NZ"/>
        </w:rPr>
      </w:pPr>
      <w:r w:rsidRPr="005309BB">
        <w:rPr>
          <w:sz w:val="22"/>
          <w:szCs w:val="22"/>
        </w:rPr>
        <w:t xml:space="preserve">CCMs should note that a high-level review of other RFMOs reveals </w:t>
      </w:r>
      <w:r>
        <w:rPr>
          <w:sz w:val="22"/>
          <w:szCs w:val="22"/>
        </w:rPr>
        <w:t xml:space="preserve">they share </w:t>
      </w:r>
      <w:r w:rsidRPr="005309BB">
        <w:rPr>
          <w:sz w:val="22"/>
          <w:szCs w:val="22"/>
        </w:rPr>
        <w:t xml:space="preserve">similar </w:t>
      </w:r>
      <w:r>
        <w:rPr>
          <w:sz w:val="22"/>
          <w:szCs w:val="22"/>
        </w:rPr>
        <w:t>approaches to reporting</w:t>
      </w:r>
      <w:r w:rsidRPr="005309BB">
        <w:rPr>
          <w:sz w:val="22"/>
          <w:szCs w:val="22"/>
        </w:rPr>
        <w:t xml:space="preserve"> requirements for non-fish transfers. These typically involve confirming whether such transfers took place, identifying the time and location, and specifying the type of supplies exchanged. Examples include:</w:t>
      </w:r>
    </w:p>
    <w:p w:rsidR="00830EFE" w:rsidP="00F5044B" w:rsidRDefault="009E23D1" w14:paraId="53DA1735" w14:textId="44A53FDB">
      <w:pPr>
        <w:pStyle w:val="ListParagraph"/>
        <w:numPr>
          <w:ilvl w:val="0"/>
          <w:numId w:val="19"/>
        </w:numPr>
        <w:ind w:left="1800"/>
        <w:rPr>
          <w:sz w:val="22"/>
          <w:szCs w:val="22"/>
          <w:lang w:val="en-NZ"/>
        </w:rPr>
      </w:pPr>
      <w:r w:rsidRPr="005309BB">
        <w:rPr>
          <w:sz w:val="22"/>
          <w:szCs w:val="22"/>
          <w:lang w:val="en-NZ"/>
        </w:rPr>
        <w:t xml:space="preserve">NPFC </w:t>
      </w:r>
      <w:r w:rsidR="00703066">
        <w:rPr>
          <w:sz w:val="22"/>
          <w:szCs w:val="22"/>
          <w:lang w:val="en-NZ"/>
        </w:rPr>
        <w:t>-</w:t>
      </w:r>
      <w:r w:rsidRPr="00703066" w:rsidR="00703066">
        <w:t xml:space="preserve"> </w:t>
      </w:r>
      <w:r w:rsidRPr="00703066" w:rsidR="00703066">
        <w:rPr>
          <w:sz w:val="22"/>
          <w:szCs w:val="22"/>
        </w:rPr>
        <w:t xml:space="preserve">Requires reporting </w:t>
      </w:r>
      <w:r w:rsidR="00882CCA">
        <w:rPr>
          <w:sz w:val="22"/>
          <w:szCs w:val="22"/>
        </w:rPr>
        <w:t xml:space="preserve">and </w:t>
      </w:r>
      <w:r w:rsidR="006F5248">
        <w:rPr>
          <w:sz w:val="22"/>
          <w:szCs w:val="22"/>
        </w:rPr>
        <w:t xml:space="preserve">records of reporting </w:t>
      </w:r>
      <w:r w:rsidRPr="00703066" w:rsidR="00703066">
        <w:rPr>
          <w:sz w:val="22"/>
          <w:szCs w:val="22"/>
        </w:rPr>
        <w:t>on “Other Transfer Activities” between fishing vessels, including the timing and location of the transfer.</w:t>
      </w:r>
      <w:r w:rsidRPr="005309BB">
        <w:rPr>
          <w:sz w:val="22"/>
          <w:szCs w:val="22"/>
          <w:lang w:val="en-NZ"/>
        </w:rPr>
        <w:t xml:space="preserve"> </w:t>
      </w:r>
    </w:p>
    <w:p w:rsidR="00830EFE" w:rsidP="00F5044B" w:rsidRDefault="00830EFE" w14:paraId="0DC88C6C" w14:textId="77777777">
      <w:pPr>
        <w:pStyle w:val="ListParagraph"/>
        <w:ind w:left="1800"/>
        <w:rPr>
          <w:sz w:val="22"/>
          <w:szCs w:val="22"/>
          <w:lang w:val="en-NZ"/>
        </w:rPr>
      </w:pPr>
    </w:p>
    <w:p w:rsidR="00830EFE" w:rsidP="00F5044B" w:rsidRDefault="009E23D1" w14:paraId="082FFFDD" w14:textId="363918BC">
      <w:pPr>
        <w:pStyle w:val="ListParagraph"/>
        <w:numPr>
          <w:ilvl w:val="0"/>
          <w:numId w:val="19"/>
        </w:numPr>
        <w:ind w:left="1800"/>
        <w:rPr>
          <w:sz w:val="22"/>
          <w:szCs w:val="22"/>
          <w:lang w:val="en-NZ"/>
        </w:rPr>
      </w:pPr>
      <w:r w:rsidRPr="00830EFE">
        <w:rPr>
          <w:sz w:val="22"/>
          <w:szCs w:val="22"/>
          <w:lang w:val="en-NZ"/>
        </w:rPr>
        <w:lastRenderedPageBreak/>
        <w:t xml:space="preserve">IOTC, ICCAT and CCSBT </w:t>
      </w:r>
      <w:r w:rsidR="00DC22BD">
        <w:rPr>
          <w:sz w:val="22"/>
          <w:szCs w:val="22"/>
          <w:lang w:val="en-NZ"/>
        </w:rPr>
        <w:t xml:space="preserve">- </w:t>
      </w:r>
      <w:r w:rsidRPr="00DC22BD" w:rsidR="00DC22BD">
        <w:rPr>
          <w:sz w:val="22"/>
          <w:szCs w:val="22"/>
        </w:rPr>
        <w:t>Refer to “Supply services” and require a “Supply Declaration” between a carrier and another vessel. These declarations generally include details on the goods supplied, such as fuel, bait, provisions, spare parts, medical supplies, and the transfer of passengers or crew.</w:t>
      </w:r>
    </w:p>
    <w:p w:rsidRPr="00830EFE" w:rsidR="00830EFE" w:rsidP="00F5044B" w:rsidRDefault="00830EFE" w14:paraId="34777ECD" w14:textId="77777777">
      <w:pPr>
        <w:pStyle w:val="ListParagraph"/>
        <w:ind w:left="1440"/>
        <w:rPr>
          <w:sz w:val="22"/>
          <w:szCs w:val="22"/>
          <w:lang w:val="en-NZ"/>
        </w:rPr>
      </w:pPr>
    </w:p>
    <w:p w:rsidRPr="00DC22BD" w:rsidR="009E23D1" w:rsidP="00F5044B" w:rsidRDefault="009E23D1" w14:paraId="65DC8AF4" w14:textId="286A72CA">
      <w:pPr>
        <w:pStyle w:val="ListParagraph"/>
        <w:numPr>
          <w:ilvl w:val="0"/>
          <w:numId w:val="19"/>
        </w:numPr>
        <w:ind w:left="1800"/>
        <w:rPr>
          <w:sz w:val="22"/>
          <w:szCs w:val="22"/>
          <w:lang w:val="en-NZ"/>
        </w:rPr>
      </w:pPr>
      <w:r w:rsidRPr="00830EFE">
        <w:rPr>
          <w:sz w:val="22"/>
          <w:szCs w:val="22"/>
          <w:lang w:val="en-NZ"/>
        </w:rPr>
        <w:t xml:space="preserve">SPRFMO </w:t>
      </w:r>
      <w:r w:rsidR="00DC22BD">
        <w:rPr>
          <w:sz w:val="22"/>
          <w:szCs w:val="22"/>
          <w:lang w:val="en-NZ"/>
        </w:rPr>
        <w:t xml:space="preserve">- </w:t>
      </w:r>
      <w:r w:rsidRPr="00DC22BD" w:rsidR="00DC22BD">
        <w:rPr>
          <w:sz w:val="22"/>
          <w:szCs w:val="22"/>
        </w:rPr>
        <w:t>Mentions transfers of fuel, crew, gear, or any other supplies between vessels.</w:t>
      </w:r>
    </w:p>
    <w:p w:rsidRPr="00DC22BD" w:rsidR="00DC22BD" w:rsidP="00DC22BD" w:rsidRDefault="00DC22BD" w14:paraId="3F3EFB1E" w14:textId="77777777">
      <w:pPr>
        <w:pStyle w:val="ListParagraph"/>
        <w:rPr>
          <w:sz w:val="22"/>
          <w:szCs w:val="22"/>
          <w:lang w:val="en-NZ"/>
        </w:rPr>
      </w:pPr>
    </w:p>
    <w:p w:rsidRPr="00421507" w:rsidR="00510F05" w:rsidP="00421507" w:rsidRDefault="00635B56" w14:paraId="1BA6F012" w14:textId="6BF32CF2">
      <w:pPr>
        <w:pStyle w:val="ListParagraph"/>
        <w:numPr>
          <w:ilvl w:val="0"/>
          <w:numId w:val="20"/>
        </w:numPr>
        <w:rPr>
          <w:sz w:val="22"/>
          <w:szCs w:val="22"/>
          <w:lang w:val="en-NZ"/>
        </w:rPr>
      </w:pPr>
      <w:r w:rsidRPr="00635B56">
        <w:rPr>
          <w:sz w:val="22"/>
          <w:szCs w:val="22"/>
        </w:rPr>
        <w:t xml:space="preserve">While these requirements are directed at flag </w:t>
      </w:r>
      <w:r>
        <w:rPr>
          <w:sz w:val="22"/>
          <w:szCs w:val="22"/>
        </w:rPr>
        <w:t>CCM</w:t>
      </w:r>
      <w:r w:rsidRPr="00635B56">
        <w:rPr>
          <w:sz w:val="22"/>
          <w:szCs w:val="22"/>
        </w:rPr>
        <w:t xml:space="preserve"> reporting, they provide valuable insight into the types of information that </w:t>
      </w:r>
      <w:r>
        <w:rPr>
          <w:sz w:val="22"/>
          <w:szCs w:val="22"/>
        </w:rPr>
        <w:t xml:space="preserve">might be considered by the ROP-IWG as the basis for </w:t>
      </w:r>
      <w:r w:rsidR="004B73E2">
        <w:rPr>
          <w:sz w:val="22"/>
          <w:szCs w:val="22"/>
        </w:rPr>
        <w:t xml:space="preserve">categorizing and </w:t>
      </w:r>
      <w:r w:rsidR="004F6E61">
        <w:rPr>
          <w:sz w:val="22"/>
          <w:szCs w:val="22"/>
        </w:rPr>
        <w:t xml:space="preserve">capturing </w:t>
      </w:r>
      <w:r w:rsidRPr="00635B56">
        <w:rPr>
          <w:sz w:val="22"/>
          <w:szCs w:val="22"/>
        </w:rPr>
        <w:t>through observer data fields</w:t>
      </w:r>
      <w:r w:rsidR="004B73E2">
        <w:rPr>
          <w:sz w:val="22"/>
          <w:szCs w:val="22"/>
        </w:rPr>
        <w:t xml:space="preserve"> for consistent and effective monitoring</w:t>
      </w:r>
      <w:r w:rsidRPr="00635B56">
        <w:rPr>
          <w:sz w:val="22"/>
          <w:szCs w:val="22"/>
        </w:rPr>
        <w:t xml:space="preserve">. </w:t>
      </w:r>
    </w:p>
    <w:p w:rsidRPr="00810CE6" w:rsidR="00421507" w:rsidP="00810CE6" w:rsidRDefault="00421507" w14:paraId="3AA47B92" w14:textId="77777777">
      <w:pPr>
        <w:pStyle w:val="Heading2"/>
      </w:pPr>
      <w:r w:rsidRPr="00810CE6">
        <w:t>Next steps</w:t>
      </w:r>
    </w:p>
    <w:p w:rsidR="00421507" w:rsidP="00421507" w:rsidRDefault="00421507" w14:paraId="6D1D2F41" w14:textId="707DEA69">
      <w:pPr>
        <w:pStyle w:val="ListParagraph"/>
        <w:numPr>
          <w:ilvl w:val="0"/>
          <w:numId w:val="20"/>
        </w:numPr>
        <w:rPr>
          <w:sz w:val="22"/>
          <w:szCs w:val="22"/>
        </w:rPr>
      </w:pPr>
      <w:r w:rsidRPr="00421507">
        <w:rPr>
          <w:sz w:val="22"/>
          <w:szCs w:val="22"/>
        </w:rPr>
        <w:t>The ROP-IWG Chair requests further feedback on this paper and this will be used to further consider proposals for changes to</w:t>
      </w:r>
      <w:r w:rsidR="00137C9E">
        <w:rPr>
          <w:sz w:val="22"/>
          <w:szCs w:val="22"/>
        </w:rPr>
        <w:t xml:space="preserve"> </w:t>
      </w:r>
      <w:hyperlink w:history="1" r:id="rId16">
        <w:r w:rsidRPr="00137C9E" w:rsidR="00137C9E">
          <w:rPr>
            <w:rStyle w:val="Hyperlink"/>
            <w:sz w:val="22"/>
            <w:szCs w:val="22"/>
          </w:rPr>
          <w:t>observer minimum data fields for monitoring transshipment</w:t>
        </w:r>
      </w:hyperlink>
      <w:r w:rsidRPr="00137C9E" w:rsidR="00137C9E">
        <w:rPr>
          <w:sz w:val="22"/>
          <w:szCs w:val="22"/>
        </w:rPr>
        <w:t> </w:t>
      </w:r>
      <w:r w:rsidR="00137C9E">
        <w:rPr>
          <w:sz w:val="22"/>
          <w:szCs w:val="22"/>
        </w:rPr>
        <w:t xml:space="preserve"> and the formulation of other recommendations related to </w:t>
      </w:r>
      <w:r w:rsidR="00810CE6">
        <w:rPr>
          <w:sz w:val="22"/>
          <w:szCs w:val="22"/>
        </w:rPr>
        <w:t xml:space="preserve">“other supplies”.  </w:t>
      </w:r>
    </w:p>
    <w:p w:rsidRPr="00421507" w:rsidR="00810CE6" w:rsidP="00810CE6" w:rsidRDefault="00810CE6" w14:paraId="1384D6F3" w14:textId="77777777">
      <w:pPr>
        <w:pStyle w:val="ListParagraph"/>
        <w:ind w:left="360"/>
        <w:rPr>
          <w:sz w:val="22"/>
          <w:szCs w:val="22"/>
        </w:rPr>
      </w:pPr>
    </w:p>
    <w:p w:rsidRPr="00421507" w:rsidR="00421507" w:rsidP="00810CE6" w:rsidRDefault="00421507" w14:paraId="5EE11802" w14:textId="77777777">
      <w:pPr>
        <w:pStyle w:val="ListParagraph"/>
        <w:ind w:left="360"/>
        <w:rPr>
          <w:sz w:val="22"/>
          <w:szCs w:val="22"/>
          <w:lang w:val="en-NZ"/>
        </w:rPr>
      </w:pPr>
    </w:p>
    <w:p w:rsidRPr="005D7B2E" w:rsidR="00F81516" w:rsidP="00D0588A" w:rsidRDefault="00F81516" w14:paraId="5FC2200F" w14:textId="68902A12">
      <w:pPr>
        <w:pStyle w:val="ListParagraph"/>
        <w:ind w:left="1080"/>
        <w:rPr>
          <w:sz w:val="22"/>
          <w:szCs w:val="22"/>
        </w:rPr>
      </w:pPr>
    </w:p>
    <w:p w:rsidRPr="002C79D6" w:rsidR="00E94BBB" w:rsidRDefault="00E94BBB" w14:paraId="4293CE87" w14:textId="77777777">
      <w:pPr>
        <w:rPr>
          <w:sz w:val="22"/>
          <w:szCs w:val="22"/>
        </w:rPr>
      </w:pPr>
    </w:p>
    <w:p w:rsidRPr="002C79D6" w:rsidR="0046614D" w:rsidRDefault="0046614D" w14:paraId="64741BF7" w14:textId="77777777">
      <w:pPr>
        <w:rPr>
          <w:sz w:val="22"/>
          <w:szCs w:val="22"/>
        </w:rPr>
      </w:pPr>
    </w:p>
    <w:p w:rsidRPr="002C79D6" w:rsidR="00E94BBB" w:rsidRDefault="00E94BBB" w14:paraId="2B9EDFE5" w14:textId="77777777">
      <w:pPr>
        <w:rPr>
          <w:sz w:val="22"/>
          <w:szCs w:val="22"/>
        </w:rPr>
      </w:pPr>
    </w:p>
    <w:p w:rsidRPr="002C79D6" w:rsidR="00D37191" w:rsidP="008248D0" w:rsidRDefault="00D37191" w14:paraId="0A01D536" w14:textId="77777777">
      <w:pPr>
        <w:rPr>
          <w:sz w:val="22"/>
          <w:szCs w:val="22"/>
        </w:rPr>
      </w:pPr>
    </w:p>
    <w:sectPr w:rsidRPr="002C79D6" w:rsidR="00D37191">
      <w:headerReference w:type="even" r:id="rId17"/>
      <w:headerReference w:type="default" r:id="rId18"/>
      <w:footerReference w:type="even" r:id="rId19"/>
      <w:footerReference w:type="default" r:id="rId20"/>
      <w:headerReference w:type="first" r:id="rId21"/>
      <w:footerReference w:type="first" r:id="rId22"/>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83E67" w:rsidP="00D0588A" w:rsidRDefault="00283E67" w14:paraId="4B78DBBE" w14:textId="77777777">
      <w:pPr>
        <w:spacing w:after="0" w:line="240" w:lineRule="auto"/>
      </w:pPr>
      <w:r>
        <w:separator/>
      </w:r>
    </w:p>
  </w:endnote>
  <w:endnote w:type="continuationSeparator" w:id="0">
    <w:p w:rsidR="00283E67" w:rsidP="00D0588A" w:rsidRDefault="00283E67" w14:paraId="7CECA19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9414F" w:rsidRDefault="00C9414F" w14:paraId="4F4DEE7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0712804"/>
      <w:docPartObj>
        <w:docPartGallery w:val="Page Numbers (Bottom of Page)"/>
        <w:docPartUnique/>
      </w:docPartObj>
    </w:sdtPr>
    <w:sdtEndPr>
      <w:rPr>
        <w:noProof/>
      </w:rPr>
    </w:sdtEndPr>
    <w:sdtContent>
      <w:p w:rsidR="004C5E99" w:rsidRDefault="004C5E99" w14:paraId="3ABCD499" w14:textId="3BD18ED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4C5E99" w:rsidRDefault="004C5E99" w14:paraId="4D072782"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9414F" w:rsidRDefault="00C9414F" w14:paraId="4EFDAEF2" w14:textId="55EA73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83E67" w:rsidP="00D0588A" w:rsidRDefault="00283E67" w14:paraId="3002A0A8" w14:textId="77777777">
      <w:pPr>
        <w:spacing w:after="0" w:line="240" w:lineRule="auto"/>
      </w:pPr>
      <w:r>
        <w:separator/>
      </w:r>
    </w:p>
  </w:footnote>
  <w:footnote w:type="continuationSeparator" w:id="0">
    <w:p w:rsidR="00283E67" w:rsidP="00D0588A" w:rsidRDefault="00283E67" w14:paraId="1DA21B3D" w14:textId="77777777">
      <w:pPr>
        <w:spacing w:after="0" w:line="240" w:lineRule="auto"/>
      </w:pPr>
      <w:r>
        <w:continuationSeparator/>
      </w:r>
    </w:p>
  </w:footnote>
  <w:footnote w:id="1">
    <w:p w:rsidR="0031750D" w:rsidRDefault="0031750D" w14:paraId="1A2F32C9" w14:textId="25250A94">
      <w:pPr>
        <w:pStyle w:val="FootnoteText"/>
      </w:pPr>
      <w:r>
        <w:rPr>
          <w:rStyle w:val="FootnoteReference"/>
        </w:rPr>
        <w:footnoteRef/>
      </w:r>
      <w:r>
        <w:t xml:space="preserve"> </w:t>
      </w:r>
      <w:hyperlink w:history="1" r:id="rId1">
        <w:r w:rsidRPr="00810CE6" w:rsidR="00E86762">
          <w:rPr>
            <w:rStyle w:val="Hyperlink"/>
            <w:rFonts w:ascii="Calibri" w:hAnsi="Calibri" w:cs="Calibri"/>
            <w:b/>
            <w:bCs/>
          </w:rPr>
          <w:t>Chairs Summary Report of Meeting 5 of ROP-IWG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9414F" w:rsidRDefault="00C9414F" w14:paraId="2B662F0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10CE6" w:rsidRDefault="00C7508D" w14:paraId="10E71C8F" w14:textId="2C7C4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9414F" w:rsidRDefault="00C9414F" w14:paraId="0EF3706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37FF"/>
    <w:multiLevelType w:val="hybridMultilevel"/>
    <w:tmpl w:val="F97CA13E"/>
    <w:lvl w:ilvl="0" w:tplc="012AFCE2">
      <w:start w:val="32"/>
      <w:numFmt w:val="decimal"/>
      <w:lvlText w:val="%1."/>
      <w:lvlJc w:val="left"/>
      <w:pPr>
        <w:ind w:left="1080" w:hanging="360"/>
      </w:pPr>
    </w:lvl>
    <w:lvl w:ilvl="1" w:tplc="14090019">
      <w:start w:val="1"/>
      <w:numFmt w:val="lowerLetter"/>
      <w:lvlText w:val="%2."/>
      <w:lvlJc w:val="left"/>
      <w:pPr>
        <w:ind w:left="1800" w:hanging="360"/>
      </w:pPr>
    </w:lvl>
    <w:lvl w:ilvl="2" w:tplc="1409001B">
      <w:start w:val="1"/>
      <w:numFmt w:val="lowerRoman"/>
      <w:lvlText w:val="%3."/>
      <w:lvlJc w:val="right"/>
      <w:pPr>
        <w:ind w:left="2520" w:hanging="180"/>
      </w:pPr>
    </w:lvl>
    <w:lvl w:ilvl="3" w:tplc="1409000F">
      <w:start w:val="1"/>
      <w:numFmt w:val="decimal"/>
      <w:lvlText w:val="%4."/>
      <w:lvlJc w:val="left"/>
      <w:pPr>
        <w:ind w:left="3240" w:hanging="360"/>
      </w:pPr>
    </w:lvl>
    <w:lvl w:ilvl="4" w:tplc="14090019">
      <w:start w:val="1"/>
      <w:numFmt w:val="lowerLetter"/>
      <w:lvlText w:val="%5."/>
      <w:lvlJc w:val="left"/>
      <w:pPr>
        <w:ind w:left="3960" w:hanging="360"/>
      </w:pPr>
    </w:lvl>
    <w:lvl w:ilvl="5" w:tplc="1409001B">
      <w:start w:val="1"/>
      <w:numFmt w:val="lowerRoman"/>
      <w:lvlText w:val="%6."/>
      <w:lvlJc w:val="right"/>
      <w:pPr>
        <w:ind w:left="4680" w:hanging="180"/>
      </w:pPr>
    </w:lvl>
    <w:lvl w:ilvl="6" w:tplc="1409000F">
      <w:start w:val="1"/>
      <w:numFmt w:val="decimal"/>
      <w:lvlText w:val="%7."/>
      <w:lvlJc w:val="left"/>
      <w:pPr>
        <w:ind w:left="5400" w:hanging="360"/>
      </w:pPr>
    </w:lvl>
    <w:lvl w:ilvl="7" w:tplc="14090019">
      <w:start w:val="1"/>
      <w:numFmt w:val="lowerLetter"/>
      <w:lvlText w:val="%8."/>
      <w:lvlJc w:val="left"/>
      <w:pPr>
        <w:ind w:left="6120" w:hanging="360"/>
      </w:pPr>
    </w:lvl>
    <w:lvl w:ilvl="8" w:tplc="1409001B">
      <w:start w:val="1"/>
      <w:numFmt w:val="lowerRoman"/>
      <w:lvlText w:val="%9."/>
      <w:lvlJc w:val="right"/>
      <w:pPr>
        <w:ind w:left="6840" w:hanging="180"/>
      </w:pPr>
    </w:lvl>
  </w:abstractNum>
  <w:abstractNum w:abstractNumId="1" w15:restartNumberingAfterBreak="0">
    <w:nsid w:val="00BA7FBC"/>
    <w:multiLevelType w:val="multilevel"/>
    <w:tmpl w:val="5F7ECD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9C207D6"/>
    <w:multiLevelType w:val="hybridMultilevel"/>
    <w:tmpl w:val="B1BAC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97FCF"/>
    <w:multiLevelType w:val="hybridMultilevel"/>
    <w:tmpl w:val="620256A4"/>
    <w:lvl w:ilvl="0" w:tplc="C240AD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387952"/>
    <w:multiLevelType w:val="hybridMultilevel"/>
    <w:tmpl w:val="2C3431FE"/>
    <w:lvl w:ilvl="0" w:tplc="188864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794E14"/>
    <w:multiLevelType w:val="hybridMultilevel"/>
    <w:tmpl w:val="3B42C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A52F5D"/>
    <w:multiLevelType w:val="hybridMultilevel"/>
    <w:tmpl w:val="2C74D0C8"/>
    <w:lvl w:ilvl="0" w:tplc="81E0F5A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B60980"/>
    <w:multiLevelType w:val="hybridMultilevel"/>
    <w:tmpl w:val="3AEE4860"/>
    <w:lvl w:ilvl="0" w:tplc="D234ABF4">
      <w:start w:val="1"/>
      <w:numFmt w:val="lowerLetter"/>
      <w:lvlText w:val="%1)"/>
      <w:lvlJc w:val="left"/>
      <w:pPr>
        <w:tabs>
          <w:tab w:val="num" w:pos="1080"/>
        </w:tabs>
        <w:ind w:left="1440" w:hanging="360"/>
      </w:p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8" w15:restartNumberingAfterBreak="0">
    <w:nsid w:val="381B3183"/>
    <w:multiLevelType w:val="hybridMultilevel"/>
    <w:tmpl w:val="D2E4F6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BE466ED"/>
    <w:multiLevelType w:val="multilevel"/>
    <w:tmpl w:val="CD629DC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401B0CD7"/>
    <w:multiLevelType w:val="multilevel"/>
    <w:tmpl w:val="A15E460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46921E82"/>
    <w:multiLevelType w:val="multilevel"/>
    <w:tmpl w:val="40846D1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498D5F61"/>
    <w:multiLevelType w:val="multilevel"/>
    <w:tmpl w:val="C48242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4E926AEA"/>
    <w:multiLevelType w:val="hybridMultilevel"/>
    <w:tmpl w:val="C2F26EB6"/>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53930AB"/>
    <w:multiLevelType w:val="hybridMultilevel"/>
    <w:tmpl w:val="0A8E54DC"/>
    <w:lvl w:ilvl="0" w:tplc="04090013">
      <w:start w:val="1"/>
      <w:numFmt w:val="upperRoman"/>
      <w:lvlText w:val="%1."/>
      <w:lvlJc w:val="righ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5CF2D3D"/>
    <w:multiLevelType w:val="hybridMultilevel"/>
    <w:tmpl w:val="D0FE55E2"/>
    <w:lvl w:ilvl="0" w:tplc="C8E44B6C">
      <w:start w:val="1"/>
      <w:numFmt w:val="bullet"/>
      <w:lvlText w:val="-"/>
      <w:lvlJc w:val="left"/>
      <w:pPr>
        <w:ind w:left="720" w:hanging="360"/>
      </w:pPr>
      <w:rPr>
        <w:rFonts w:hint="default" w:ascii="Aptos" w:hAnsi="Aptos"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5A094CEF"/>
    <w:multiLevelType w:val="hybridMultilevel"/>
    <w:tmpl w:val="4F306EB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7" w15:restartNumberingAfterBreak="0">
    <w:nsid w:val="60CB1849"/>
    <w:multiLevelType w:val="multilevel"/>
    <w:tmpl w:val="B8D4152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6BC95D99"/>
    <w:multiLevelType w:val="hybridMultilevel"/>
    <w:tmpl w:val="166A510A"/>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9" w15:restartNumberingAfterBreak="0">
    <w:nsid w:val="74250979"/>
    <w:multiLevelType w:val="multilevel"/>
    <w:tmpl w:val="353EF41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76E32FA7"/>
    <w:multiLevelType w:val="hybridMultilevel"/>
    <w:tmpl w:val="2126FC22"/>
    <w:lvl w:ilvl="0" w:tplc="E4B80ECC">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8129B3"/>
    <w:multiLevelType w:val="hybridMultilevel"/>
    <w:tmpl w:val="A9442EF6"/>
    <w:lvl w:ilvl="0" w:tplc="CCCAF3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499248">
    <w:abstractNumId w:val="2"/>
  </w:num>
  <w:num w:numId="2" w16cid:durableId="2087876751">
    <w:abstractNumId w:val="15"/>
  </w:num>
  <w:num w:numId="3" w16cid:durableId="2013139305">
    <w:abstractNumId w:val="4"/>
  </w:num>
  <w:num w:numId="4" w16cid:durableId="1043099279">
    <w:abstractNumId w:val="6"/>
  </w:num>
  <w:num w:numId="5" w16cid:durableId="1786076635">
    <w:abstractNumId w:val="20"/>
  </w:num>
  <w:num w:numId="6" w16cid:durableId="902907172">
    <w:abstractNumId w:val="0"/>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641714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9418891">
    <w:abstractNumId w:val="10"/>
  </w:num>
  <w:num w:numId="9" w16cid:durableId="1916236561">
    <w:abstractNumId w:val="19"/>
  </w:num>
  <w:num w:numId="10" w16cid:durableId="299920681">
    <w:abstractNumId w:val="1"/>
  </w:num>
  <w:num w:numId="11" w16cid:durableId="1594128707">
    <w:abstractNumId w:val="11"/>
  </w:num>
  <w:num w:numId="12" w16cid:durableId="1637032095">
    <w:abstractNumId w:val="17"/>
  </w:num>
  <w:num w:numId="13" w16cid:durableId="962543788">
    <w:abstractNumId w:val="9"/>
  </w:num>
  <w:num w:numId="14" w16cid:durableId="201334019">
    <w:abstractNumId w:val="12"/>
  </w:num>
  <w:num w:numId="15" w16cid:durableId="366955116">
    <w:abstractNumId w:val="14"/>
  </w:num>
  <w:num w:numId="16" w16cid:durableId="460269899">
    <w:abstractNumId w:val="3"/>
  </w:num>
  <w:num w:numId="17" w16cid:durableId="767316189">
    <w:abstractNumId w:val="21"/>
  </w:num>
  <w:num w:numId="18" w16cid:durableId="1166943486">
    <w:abstractNumId w:val="18"/>
  </w:num>
  <w:num w:numId="19" w16cid:durableId="176314739">
    <w:abstractNumId w:val="16"/>
  </w:num>
  <w:num w:numId="20" w16cid:durableId="1404064577">
    <w:abstractNumId w:val="8"/>
  </w:num>
  <w:num w:numId="21" w16cid:durableId="68960981">
    <w:abstractNumId w:val="5"/>
  </w:num>
  <w:num w:numId="22" w16cid:durableId="81095029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191"/>
    <w:rsid w:val="000609D3"/>
    <w:rsid w:val="000A1EE3"/>
    <w:rsid w:val="000B429E"/>
    <w:rsid w:val="000C7F38"/>
    <w:rsid w:val="000D1D57"/>
    <w:rsid w:val="000E31A3"/>
    <w:rsid w:val="00107967"/>
    <w:rsid w:val="00114FBC"/>
    <w:rsid w:val="00137531"/>
    <w:rsid w:val="00137C9E"/>
    <w:rsid w:val="0014262C"/>
    <w:rsid w:val="00160E72"/>
    <w:rsid w:val="001659F0"/>
    <w:rsid w:val="001764C6"/>
    <w:rsid w:val="0018426A"/>
    <w:rsid w:val="00193FA4"/>
    <w:rsid w:val="001A4B3C"/>
    <w:rsid w:val="001D0050"/>
    <w:rsid w:val="001D0CD8"/>
    <w:rsid w:val="001D7A82"/>
    <w:rsid w:val="001E106C"/>
    <w:rsid w:val="001E7B0D"/>
    <w:rsid w:val="001F1010"/>
    <w:rsid w:val="001F7C8D"/>
    <w:rsid w:val="00230976"/>
    <w:rsid w:val="002349B9"/>
    <w:rsid w:val="0025012D"/>
    <w:rsid w:val="00264E9B"/>
    <w:rsid w:val="00265D06"/>
    <w:rsid w:val="0027721C"/>
    <w:rsid w:val="002801FF"/>
    <w:rsid w:val="00283369"/>
    <w:rsid w:val="00283E67"/>
    <w:rsid w:val="002875D1"/>
    <w:rsid w:val="00297612"/>
    <w:rsid w:val="002A0F5C"/>
    <w:rsid w:val="002B3B01"/>
    <w:rsid w:val="002C79D6"/>
    <w:rsid w:val="002D77C9"/>
    <w:rsid w:val="002D7A1A"/>
    <w:rsid w:val="002F0B8E"/>
    <w:rsid w:val="00301386"/>
    <w:rsid w:val="00313D31"/>
    <w:rsid w:val="00314CCD"/>
    <w:rsid w:val="0031750D"/>
    <w:rsid w:val="00317993"/>
    <w:rsid w:val="00322C3C"/>
    <w:rsid w:val="00332642"/>
    <w:rsid w:val="0033278E"/>
    <w:rsid w:val="00336FF4"/>
    <w:rsid w:val="00355F01"/>
    <w:rsid w:val="0036473F"/>
    <w:rsid w:val="003758E3"/>
    <w:rsid w:val="0039734D"/>
    <w:rsid w:val="003A6164"/>
    <w:rsid w:val="003B3AB0"/>
    <w:rsid w:val="003B420D"/>
    <w:rsid w:val="003C508D"/>
    <w:rsid w:val="003D1CD7"/>
    <w:rsid w:val="003D443B"/>
    <w:rsid w:val="003E0D4D"/>
    <w:rsid w:val="003F422D"/>
    <w:rsid w:val="003F55A0"/>
    <w:rsid w:val="003F7779"/>
    <w:rsid w:val="00400E44"/>
    <w:rsid w:val="004052D0"/>
    <w:rsid w:val="00414829"/>
    <w:rsid w:val="00421507"/>
    <w:rsid w:val="0042544F"/>
    <w:rsid w:val="00425ED9"/>
    <w:rsid w:val="00426B2D"/>
    <w:rsid w:val="004352F6"/>
    <w:rsid w:val="00435738"/>
    <w:rsid w:val="00455C95"/>
    <w:rsid w:val="00461791"/>
    <w:rsid w:val="00464C20"/>
    <w:rsid w:val="0046614D"/>
    <w:rsid w:val="00475F56"/>
    <w:rsid w:val="00477AC3"/>
    <w:rsid w:val="00480ED6"/>
    <w:rsid w:val="004829ED"/>
    <w:rsid w:val="00491045"/>
    <w:rsid w:val="0049150D"/>
    <w:rsid w:val="0049588D"/>
    <w:rsid w:val="004A4ABA"/>
    <w:rsid w:val="004A6D9C"/>
    <w:rsid w:val="004B73E2"/>
    <w:rsid w:val="004C5E99"/>
    <w:rsid w:val="004C7162"/>
    <w:rsid w:val="004E6585"/>
    <w:rsid w:val="004F6E61"/>
    <w:rsid w:val="00500274"/>
    <w:rsid w:val="00510F05"/>
    <w:rsid w:val="005309BB"/>
    <w:rsid w:val="0053117F"/>
    <w:rsid w:val="00532459"/>
    <w:rsid w:val="005352CA"/>
    <w:rsid w:val="00545213"/>
    <w:rsid w:val="005458A4"/>
    <w:rsid w:val="00553DC8"/>
    <w:rsid w:val="00565602"/>
    <w:rsid w:val="00576DCD"/>
    <w:rsid w:val="00587BF6"/>
    <w:rsid w:val="005973F4"/>
    <w:rsid w:val="005A23A8"/>
    <w:rsid w:val="005A3FD2"/>
    <w:rsid w:val="005B14D9"/>
    <w:rsid w:val="005B7E17"/>
    <w:rsid w:val="005C000B"/>
    <w:rsid w:val="005C4CBB"/>
    <w:rsid w:val="005D7B2E"/>
    <w:rsid w:val="005E6FF7"/>
    <w:rsid w:val="005F4C17"/>
    <w:rsid w:val="00601807"/>
    <w:rsid w:val="006025DC"/>
    <w:rsid w:val="006102E1"/>
    <w:rsid w:val="00615C84"/>
    <w:rsid w:val="006161F5"/>
    <w:rsid w:val="0062033B"/>
    <w:rsid w:val="006217B3"/>
    <w:rsid w:val="00623A7D"/>
    <w:rsid w:val="00635B56"/>
    <w:rsid w:val="0063707B"/>
    <w:rsid w:val="0067401C"/>
    <w:rsid w:val="006A66C0"/>
    <w:rsid w:val="006B437E"/>
    <w:rsid w:val="006C641B"/>
    <w:rsid w:val="006C7985"/>
    <w:rsid w:val="006E21A9"/>
    <w:rsid w:val="006F1645"/>
    <w:rsid w:val="006F5248"/>
    <w:rsid w:val="006F7D42"/>
    <w:rsid w:val="007006C7"/>
    <w:rsid w:val="00703066"/>
    <w:rsid w:val="0070586E"/>
    <w:rsid w:val="00707806"/>
    <w:rsid w:val="00710E95"/>
    <w:rsid w:val="00714E05"/>
    <w:rsid w:val="00724C6F"/>
    <w:rsid w:val="00733857"/>
    <w:rsid w:val="00734B37"/>
    <w:rsid w:val="007432EE"/>
    <w:rsid w:val="00747A72"/>
    <w:rsid w:val="007776BF"/>
    <w:rsid w:val="00777A09"/>
    <w:rsid w:val="007805B7"/>
    <w:rsid w:val="007818EB"/>
    <w:rsid w:val="0078249B"/>
    <w:rsid w:val="007A324C"/>
    <w:rsid w:val="007B13BE"/>
    <w:rsid w:val="007B6B83"/>
    <w:rsid w:val="007B6E0F"/>
    <w:rsid w:val="007C0953"/>
    <w:rsid w:val="007C0C54"/>
    <w:rsid w:val="007C3D83"/>
    <w:rsid w:val="007E1945"/>
    <w:rsid w:val="007E1A1C"/>
    <w:rsid w:val="007F3C50"/>
    <w:rsid w:val="00810CE6"/>
    <w:rsid w:val="008157AC"/>
    <w:rsid w:val="008248D0"/>
    <w:rsid w:val="00830EFE"/>
    <w:rsid w:val="00845837"/>
    <w:rsid w:val="0086788A"/>
    <w:rsid w:val="0087044E"/>
    <w:rsid w:val="00882CCA"/>
    <w:rsid w:val="00891D83"/>
    <w:rsid w:val="008A7895"/>
    <w:rsid w:val="008B51B3"/>
    <w:rsid w:val="008D2AA8"/>
    <w:rsid w:val="008D4E8B"/>
    <w:rsid w:val="008D6224"/>
    <w:rsid w:val="008E19DD"/>
    <w:rsid w:val="008E746E"/>
    <w:rsid w:val="008F5C22"/>
    <w:rsid w:val="0091354B"/>
    <w:rsid w:val="0091573E"/>
    <w:rsid w:val="00920542"/>
    <w:rsid w:val="00953408"/>
    <w:rsid w:val="00986723"/>
    <w:rsid w:val="00994EF0"/>
    <w:rsid w:val="009C071A"/>
    <w:rsid w:val="009D614B"/>
    <w:rsid w:val="009E23D1"/>
    <w:rsid w:val="009E7FC8"/>
    <w:rsid w:val="009F4AF4"/>
    <w:rsid w:val="009F74B5"/>
    <w:rsid w:val="00A0084F"/>
    <w:rsid w:val="00A00FCD"/>
    <w:rsid w:val="00A06E7D"/>
    <w:rsid w:val="00A10901"/>
    <w:rsid w:val="00A21FCC"/>
    <w:rsid w:val="00A2345E"/>
    <w:rsid w:val="00A2470E"/>
    <w:rsid w:val="00A32E95"/>
    <w:rsid w:val="00A34D16"/>
    <w:rsid w:val="00A4766A"/>
    <w:rsid w:val="00A57423"/>
    <w:rsid w:val="00A650BB"/>
    <w:rsid w:val="00A71CF8"/>
    <w:rsid w:val="00A8575D"/>
    <w:rsid w:val="00AA18AB"/>
    <w:rsid w:val="00AA226A"/>
    <w:rsid w:val="00AB5288"/>
    <w:rsid w:val="00AB5450"/>
    <w:rsid w:val="00AC320C"/>
    <w:rsid w:val="00AC4880"/>
    <w:rsid w:val="00AE48E5"/>
    <w:rsid w:val="00AE58F2"/>
    <w:rsid w:val="00AE5B72"/>
    <w:rsid w:val="00B03752"/>
    <w:rsid w:val="00B14B5C"/>
    <w:rsid w:val="00B26C2C"/>
    <w:rsid w:val="00B42138"/>
    <w:rsid w:val="00B425E6"/>
    <w:rsid w:val="00B44D37"/>
    <w:rsid w:val="00B63B76"/>
    <w:rsid w:val="00B72BC1"/>
    <w:rsid w:val="00B80648"/>
    <w:rsid w:val="00B809FB"/>
    <w:rsid w:val="00B925F1"/>
    <w:rsid w:val="00B96188"/>
    <w:rsid w:val="00BA24DB"/>
    <w:rsid w:val="00BA7932"/>
    <w:rsid w:val="00BB65AB"/>
    <w:rsid w:val="00BD3184"/>
    <w:rsid w:val="00BD5BDA"/>
    <w:rsid w:val="00C13717"/>
    <w:rsid w:val="00C1471F"/>
    <w:rsid w:val="00C14D59"/>
    <w:rsid w:val="00C174EC"/>
    <w:rsid w:val="00C74CAD"/>
    <w:rsid w:val="00C7508D"/>
    <w:rsid w:val="00C9414F"/>
    <w:rsid w:val="00C95B62"/>
    <w:rsid w:val="00CA47B9"/>
    <w:rsid w:val="00CB669A"/>
    <w:rsid w:val="00CB6B41"/>
    <w:rsid w:val="00CC15EA"/>
    <w:rsid w:val="00CC3616"/>
    <w:rsid w:val="00CE477D"/>
    <w:rsid w:val="00CF0577"/>
    <w:rsid w:val="00D03821"/>
    <w:rsid w:val="00D0588A"/>
    <w:rsid w:val="00D1193E"/>
    <w:rsid w:val="00D33603"/>
    <w:rsid w:val="00D37191"/>
    <w:rsid w:val="00D4610B"/>
    <w:rsid w:val="00D5382B"/>
    <w:rsid w:val="00D60885"/>
    <w:rsid w:val="00D65F87"/>
    <w:rsid w:val="00D66448"/>
    <w:rsid w:val="00D6733B"/>
    <w:rsid w:val="00D74685"/>
    <w:rsid w:val="00D879B7"/>
    <w:rsid w:val="00D92F68"/>
    <w:rsid w:val="00DA7E9B"/>
    <w:rsid w:val="00DB7FE7"/>
    <w:rsid w:val="00DC22BD"/>
    <w:rsid w:val="00DC3D95"/>
    <w:rsid w:val="00DC44F2"/>
    <w:rsid w:val="00DC503A"/>
    <w:rsid w:val="00DD0B75"/>
    <w:rsid w:val="00DD5FDF"/>
    <w:rsid w:val="00E21612"/>
    <w:rsid w:val="00E32D1D"/>
    <w:rsid w:val="00E35E8F"/>
    <w:rsid w:val="00E45832"/>
    <w:rsid w:val="00E8101D"/>
    <w:rsid w:val="00E860F1"/>
    <w:rsid w:val="00E86762"/>
    <w:rsid w:val="00E87242"/>
    <w:rsid w:val="00E94BBB"/>
    <w:rsid w:val="00E94D1D"/>
    <w:rsid w:val="00EA0214"/>
    <w:rsid w:val="00EB0BAC"/>
    <w:rsid w:val="00EB5A8C"/>
    <w:rsid w:val="00EC2650"/>
    <w:rsid w:val="00EC2F95"/>
    <w:rsid w:val="00EC6AC3"/>
    <w:rsid w:val="00EE2758"/>
    <w:rsid w:val="00EE3626"/>
    <w:rsid w:val="00EF02D3"/>
    <w:rsid w:val="00EF21A3"/>
    <w:rsid w:val="00EF6915"/>
    <w:rsid w:val="00F021A2"/>
    <w:rsid w:val="00F03BBE"/>
    <w:rsid w:val="00F15596"/>
    <w:rsid w:val="00F15E21"/>
    <w:rsid w:val="00F30182"/>
    <w:rsid w:val="00F30F81"/>
    <w:rsid w:val="00F33FE2"/>
    <w:rsid w:val="00F34591"/>
    <w:rsid w:val="00F46528"/>
    <w:rsid w:val="00F5044B"/>
    <w:rsid w:val="00F81516"/>
    <w:rsid w:val="00F838FE"/>
    <w:rsid w:val="00FA72C7"/>
    <w:rsid w:val="00FB6282"/>
    <w:rsid w:val="00FC638E"/>
    <w:rsid w:val="00FD07FA"/>
    <w:rsid w:val="00FD1562"/>
    <w:rsid w:val="00FD74AF"/>
    <w:rsid w:val="00FD7A59"/>
    <w:rsid w:val="1D842DB6"/>
    <w:rsid w:val="306F22FA"/>
    <w:rsid w:val="73B58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EDE66"/>
  <w15:chartTrackingRefBased/>
  <w15:docId w15:val="{5686842B-EBA7-43C0-8D6D-3BFDCB440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D37191"/>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10CE6"/>
    <w:pPr>
      <w:outlineLvl w:val="1"/>
    </w:pPr>
    <w:rPr>
      <w:b/>
      <w:bCs/>
      <w:color w:val="074F6A" w:themeColor="accent4" w:themeShade="80"/>
      <w:sz w:val="22"/>
      <w:szCs w:val="22"/>
    </w:rPr>
  </w:style>
  <w:style w:type="paragraph" w:styleId="Heading3">
    <w:name w:val="heading 3"/>
    <w:basedOn w:val="Normal"/>
    <w:next w:val="Normal"/>
    <w:link w:val="Heading3Char"/>
    <w:uiPriority w:val="9"/>
    <w:semiHidden/>
    <w:unhideWhenUsed/>
    <w:qFormat/>
    <w:rsid w:val="00D3719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3719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3719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371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371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371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37191"/>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D37191"/>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810CE6"/>
    <w:rPr>
      <w:b/>
      <w:bCs/>
      <w:color w:val="074F6A" w:themeColor="accent4" w:themeShade="80"/>
      <w:sz w:val="22"/>
      <w:szCs w:val="22"/>
    </w:rPr>
  </w:style>
  <w:style w:type="character" w:styleId="Heading3Char" w:customStyle="1">
    <w:name w:val="Heading 3 Char"/>
    <w:basedOn w:val="DefaultParagraphFont"/>
    <w:link w:val="Heading3"/>
    <w:uiPriority w:val="9"/>
    <w:semiHidden/>
    <w:rsid w:val="00D37191"/>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D37191"/>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D37191"/>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D37191"/>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D37191"/>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D37191"/>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D37191"/>
    <w:rPr>
      <w:rFonts w:eastAsiaTheme="majorEastAsia" w:cstheme="majorBidi"/>
      <w:color w:val="272727" w:themeColor="text1" w:themeTint="D8"/>
    </w:rPr>
  </w:style>
  <w:style w:type="paragraph" w:styleId="Title">
    <w:name w:val="Title"/>
    <w:basedOn w:val="Normal"/>
    <w:next w:val="Normal"/>
    <w:link w:val="TitleChar"/>
    <w:uiPriority w:val="10"/>
    <w:qFormat/>
    <w:rsid w:val="00D37191"/>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D37191"/>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D37191"/>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D371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7191"/>
    <w:pPr>
      <w:spacing w:before="160"/>
      <w:jc w:val="center"/>
    </w:pPr>
    <w:rPr>
      <w:i/>
      <w:iCs/>
      <w:color w:val="404040" w:themeColor="text1" w:themeTint="BF"/>
    </w:rPr>
  </w:style>
  <w:style w:type="character" w:styleId="QuoteChar" w:customStyle="1">
    <w:name w:val="Quote Char"/>
    <w:basedOn w:val="DefaultParagraphFont"/>
    <w:link w:val="Quote"/>
    <w:uiPriority w:val="29"/>
    <w:rsid w:val="00D37191"/>
    <w:rPr>
      <w:i/>
      <w:iCs/>
      <w:color w:val="404040" w:themeColor="text1" w:themeTint="BF"/>
    </w:rPr>
  </w:style>
  <w:style w:type="paragraph" w:styleId="ListParagraph">
    <w:name w:val="List Paragraph"/>
    <w:basedOn w:val="Normal"/>
    <w:uiPriority w:val="34"/>
    <w:qFormat/>
    <w:rsid w:val="00D37191"/>
    <w:pPr>
      <w:ind w:left="720"/>
      <w:contextualSpacing/>
    </w:pPr>
  </w:style>
  <w:style w:type="character" w:styleId="IntenseEmphasis">
    <w:name w:val="Intense Emphasis"/>
    <w:basedOn w:val="DefaultParagraphFont"/>
    <w:uiPriority w:val="21"/>
    <w:qFormat/>
    <w:rsid w:val="00D37191"/>
    <w:rPr>
      <w:i/>
      <w:iCs/>
      <w:color w:val="0F4761" w:themeColor="accent1" w:themeShade="BF"/>
    </w:rPr>
  </w:style>
  <w:style w:type="paragraph" w:styleId="IntenseQuote">
    <w:name w:val="Intense Quote"/>
    <w:basedOn w:val="Normal"/>
    <w:next w:val="Normal"/>
    <w:link w:val="IntenseQuoteChar"/>
    <w:uiPriority w:val="30"/>
    <w:qFormat/>
    <w:rsid w:val="00D37191"/>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D37191"/>
    <w:rPr>
      <w:i/>
      <w:iCs/>
      <w:color w:val="0F4761" w:themeColor="accent1" w:themeShade="BF"/>
    </w:rPr>
  </w:style>
  <w:style w:type="character" w:styleId="IntenseReference">
    <w:name w:val="Intense Reference"/>
    <w:basedOn w:val="DefaultParagraphFont"/>
    <w:uiPriority w:val="32"/>
    <w:qFormat/>
    <w:rsid w:val="00D37191"/>
    <w:rPr>
      <w:b/>
      <w:bCs/>
      <w:smallCaps/>
      <w:color w:val="0F4761" w:themeColor="accent1" w:themeShade="BF"/>
      <w:spacing w:val="5"/>
    </w:rPr>
  </w:style>
  <w:style w:type="character" w:styleId="Hyperlink">
    <w:name w:val="Hyperlink"/>
    <w:basedOn w:val="DefaultParagraphFont"/>
    <w:uiPriority w:val="99"/>
    <w:unhideWhenUsed/>
    <w:rsid w:val="00E94BBB"/>
    <w:rPr>
      <w:color w:val="467886" w:themeColor="hyperlink"/>
      <w:u w:val="single"/>
    </w:rPr>
  </w:style>
  <w:style w:type="character" w:styleId="UnresolvedMention">
    <w:name w:val="Unresolved Mention"/>
    <w:basedOn w:val="DefaultParagraphFont"/>
    <w:uiPriority w:val="99"/>
    <w:semiHidden/>
    <w:unhideWhenUsed/>
    <w:rsid w:val="00E94BBB"/>
    <w:rPr>
      <w:color w:val="605E5C"/>
      <w:shd w:val="clear" w:color="auto" w:fill="E1DFDD"/>
    </w:rPr>
  </w:style>
  <w:style w:type="table" w:styleId="TableGrid">
    <w:name w:val="Table Grid"/>
    <w:basedOn w:val="TableNormal"/>
    <w:uiPriority w:val="39"/>
    <w:rsid w:val="00E94BB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markedcontent" w:customStyle="1">
    <w:name w:val="markedcontent"/>
    <w:basedOn w:val="DefaultParagraphFont"/>
    <w:rsid w:val="00D0588A"/>
  </w:style>
  <w:style w:type="paragraph" w:styleId="FootnoteText">
    <w:name w:val="footnote text"/>
    <w:basedOn w:val="Normal"/>
    <w:link w:val="FootnoteTextChar"/>
    <w:uiPriority w:val="99"/>
    <w:semiHidden/>
    <w:unhideWhenUsed/>
    <w:rsid w:val="00D0588A"/>
    <w:pPr>
      <w:spacing w:after="0" w:line="240" w:lineRule="auto"/>
    </w:pPr>
    <w:rPr>
      <w:rFonts w:ascii="Times New Roman" w:hAnsi="Times New Roman" w:cs="Times New Roman"/>
      <w:kern w:val="0"/>
      <w:sz w:val="20"/>
      <w:szCs w:val="20"/>
      <w14:ligatures w14:val="none"/>
    </w:rPr>
  </w:style>
  <w:style w:type="character" w:styleId="FootnoteTextChar" w:customStyle="1">
    <w:name w:val="Footnote Text Char"/>
    <w:basedOn w:val="DefaultParagraphFont"/>
    <w:link w:val="FootnoteText"/>
    <w:uiPriority w:val="99"/>
    <w:semiHidden/>
    <w:rsid w:val="00D0588A"/>
    <w:rPr>
      <w:rFonts w:ascii="Times New Roman" w:hAnsi="Times New Roman" w:cs="Times New Roman"/>
      <w:kern w:val="0"/>
      <w:sz w:val="20"/>
      <w:szCs w:val="20"/>
      <w14:ligatures w14:val="none"/>
    </w:rPr>
  </w:style>
  <w:style w:type="character" w:styleId="FootnoteReference">
    <w:name w:val="footnote reference"/>
    <w:basedOn w:val="DefaultParagraphFont"/>
    <w:uiPriority w:val="99"/>
    <w:semiHidden/>
    <w:unhideWhenUsed/>
    <w:rsid w:val="00D0588A"/>
    <w:rPr>
      <w:vertAlign w:val="superscript"/>
    </w:rPr>
  </w:style>
  <w:style w:type="paragraph" w:styleId="Header">
    <w:name w:val="header"/>
    <w:basedOn w:val="Normal"/>
    <w:link w:val="HeaderChar"/>
    <w:uiPriority w:val="99"/>
    <w:unhideWhenUsed/>
    <w:rsid w:val="0086788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6788A"/>
  </w:style>
  <w:style w:type="paragraph" w:styleId="Footer">
    <w:name w:val="footer"/>
    <w:basedOn w:val="Normal"/>
    <w:link w:val="FooterChar"/>
    <w:uiPriority w:val="99"/>
    <w:unhideWhenUsed/>
    <w:rsid w:val="0086788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6788A"/>
  </w:style>
  <w:style w:type="character" w:styleId="CommentReference">
    <w:name w:val="annotation reference"/>
    <w:basedOn w:val="DefaultParagraphFont"/>
    <w:uiPriority w:val="99"/>
    <w:semiHidden/>
    <w:unhideWhenUsed/>
    <w:rsid w:val="008157AC"/>
    <w:rPr>
      <w:sz w:val="16"/>
      <w:szCs w:val="16"/>
    </w:rPr>
  </w:style>
  <w:style w:type="paragraph" w:styleId="CommentText">
    <w:name w:val="annotation text"/>
    <w:basedOn w:val="Normal"/>
    <w:link w:val="CommentTextChar"/>
    <w:uiPriority w:val="99"/>
    <w:unhideWhenUsed/>
    <w:rsid w:val="008157AC"/>
    <w:pPr>
      <w:spacing w:line="240" w:lineRule="auto"/>
    </w:pPr>
    <w:rPr>
      <w:sz w:val="20"/>
      <w:szCs w:val="20"/>
    </w:rPr>
  </w:style>
  <w:style w:type="character" w:styleId="CommentTextChar" w:customStyle="1">
    <w:name w:val="Comment Text Char"/>
    <w:basedOn w:val="DefaultParagraphFont"/>
    <w:link w:val="CommentText"/>
    <w:uiPriority w:val="99"/>
    <w:rsid w:val="008157AC"/>
    <w:rPr>
      <w:sz w:val="20"/>
      <w:szCs w:val="20"/>
    </w:rPr>
  </w:style>
  <w:style w:type="paragraph" w:styleId="CommentSubject">
    <w:name w:val="annotation subject"/>
    <w:basedOn w:val="CommentText"/>
    <w:next w:val="CommentText"/>
    <w:link w:val="CommentSubjectChar"/>
    <w:uiPriority w:val="99"/>
    <w:semiHidden/>
    <w:unhideWhenUsed/>
    <w:rsid w:val="008157AC"/>
    <w:rPr>
      <w:b/>
      <w:bCs/>
    </w:rPr>
  </w:style>
  <w:style w:type="character" w:styleId="CommentSubjectChar" w:customStyle="1">
    <w:name w:val="Comment Subject Char"/>
    <w:basedOn w:val="CommentTextChar"/>
    <w:link w:val="CommentSubject"/>
    <w:uiPriority w:val="99"/>
    <w:semiHidden/>
    <w:rsid w:val="008157AC"/>
    <w:rPr>
      <w:b/>
      <w:bCs/>
      <w:sz w:val="20"/>
      <w:szCs w:val="20"/>
    </w:rPr>
  </w:style>
  <w:style w:type="character" w:styleId="Mention">
    <w:name w:val="Mention"/>
    <w:basedOn w:val="DefaultParagraphFont"/>
    <w:uiPriority w:val="99"/>
    <w:unhideWhenUsed/>
    <w:rsid w:val="00F5044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258865">
      <w:bodyDiv w:val="1"/>
      <w:marLeft w:val="0"/>
      <w:marRight w:val="0"/>
      <w:marTop w:val="0"/>
      <w:marBottom w:val="0"/>
      <w:divBdr>
        <w:top w:val="none" w:sz="0" w:space="0" w:color="auto"/>
        <w:left w:val="none" w:sz="0" w:space="0" w:color="auto"/>
        <w:bottom w:val="none" w:sz="0" w:space="0" w:color="auto"/>
        <w:right w:val="none" w:sz="0" w:space="0" w:color="auto"/>
      </w:divBdr>
    </w:div>
    <w:div w:id="514735715">
      <w:bodyDiv w:val="1"/>
      <w:marLeft w:val="0"/>
      <w:marRight w:val="0"/>
      <w:marTop w:val="0"/>
      <w:marBottom w:val="0"/>
      <w:divBdr>
        <w:top w:val="none" w:sz="0" w:space="0" w:color="auto"/>
        <w:left w:val="none" w:sz="0" w:space="0" w:color="auto"/>
        <w:bottom w:val="none" w:sz="0" w:space="0" w:color="auto"/>
        <w:right w:val="none" w:sz="0" w:space="0" w:color="auto"/>
      </w:divBdr>
      <w:divsChild>
        <w:div w:id="384720179">
          <w:marLeft w:val="0"/>
          <w:marRight w:val="0"/>
          <w:marTop w:val="0"/>
          <w:marBottom w:val="0"/>
          <w:divBdr>
            <w:top w:val="none" w:sz="0" w:space="0" w:color="auto"/>
            <w:left w:val="none" w:sz="0" w:space="0" w:color="auto"/>
            <w:bottom w:val="none" w:sz="0" w:space="0" w:color="auto"/>
            <w:right w:val="none" w:sz="0" w:space="0" w:color="auto"/>
          </w:divBdr>
        </w:div>
        <w:div w:id="683941684">
          <w:marLeft w:val="0"/>
          <w:marRight w:val="0"/>
          <w:marTop w:val="0"/>
          <w:marBottom w:val="0"/>
          <w:divBdr>
            <w:top w:val="none" w:sz="0" w:space="0" w:color="auto"/>
            <w:left w:val="none" w:sz="0" w:space="0" w:color="auto"/>
            <w:bottom w:val="none" w:sz="0" w:space="0" w:color="auto"/>
            <w:right w:val="none" w:sz="0" w:space="0" w:color="auto"/>
          </w:divBdr>
        </w:div>
        <w:div w:id="736443924">
          <w:marLeft w:val="0"/>
          <w:marRight w:val="0"/>
          <w:marTop w:val="0"/>
          <w:marBottom w:val="0"/>
          <w:divBdr>
            <w:top w:val="none" w:sz="0" w:space="0" w:color="auto"/>
            <w:left w:val="none" w:sz="0" w:space="0" w:color="auto"/>
            <w:bottom w:val="none" w:sz="0" w:space="0" w:color="auto"/>
            <w:right w:val="none" w:sz="0" w:space="0" w:color="auto"/>
          </w:divBdr>
        </w:div>
        <w:div w:id="1180194635">
          <w:marLeft w:val="0"/>
          <w:marRight w:val="0"/>
          <w:marTop w:val="0"/>
          <w:marBottom w:val="0"/>
          <w:divBdr>
            <w:top w:val="none" w:sz="0" w:space="0" w:color="auto"/>
            <w:left w:val="none" w:sz="0" w:space="0" w:color="auto"/>
            <w:bottom w:val="none" w:sz="0" w:space="0" w:color="auto"/>
            <w:right w:val="none" w:sz="0" w:space="0" w:color="auto"/>
          </w:divBdr>
        </w:div>
        <w:div w:id="1181504060">
          <w:marLeft w:val="0"/>
          <w:marRight w:val="0"/>
          <w:marTop w:val="0"/>
          <w:marBottom w:val="0"/>
          <w:divBdr>
            <w:top w:val="none" w:sz="0" w:space="0" w:color="auto"/>
            <w:left w:val="none" w:sz="0" w:space="0" w:color="auto"/>
            <w:bottom w:val="none" w:sz="0" w:space="0" w:color="auto"/>
            <w:right w:val="none" w:sz="0" w:space="0" w:color="auto"/>
          </w:divBdr>
        </w:div>
        <w:div w:id="1221089752">
          <w:marLeft w:val="0"/>
          <w:marRight w:val="0"/>
          <w:marTop w:val="0"/>
          <w:marBottom w:val="0"/>
          <w:divBdr>
            <w:top w:val="none" w:sz="0" w:space="0" w:color="auto"/>
            <w:left w:val="none" w:sz="0" w:space="0" w:color="auto"/>
            <w:bottom w:val="none" w:sz="0" w:space="0" w:color="auto"/>
            <w:right w:val="none" w:sz="0" w:space="0" w:color="auto"/>
          </w:divBdr>
        </w:div>
        <w:div w:id="1265649778">
          <w:marLeft w:val="0"/>
          <w:marRight w:val="0"/>
          <w:marTop w:val="0"/>
          <w:marBottom w:val="0"/>
          <w:divBdr>
            <w:top w:val="none" w:sz="0" w:space="0" w:color="auto"/>
            <w:left w:val="none" w:sz="0" w:space="0" w:color="auto"/>
            <w:bottom w:val="none" w:sz="0" w:space="0" w:color="auto"/>
            <w:right w:val="none" w:sz="0" w:space="0" w:color="auto"/>
          </w:divBdr>
        </w:div>
        <w:div w:id="1480227010">
          <w:marLeft w:val="0"/>
          <w:marRight w:val="0"/>
          <w:marTop w:val="0"/>
          <w:marBottom w:val="0"/>
          <w:divBdr>
            <w:top w:val="none" w:sz="0" w:space="0" w:color="auto"/>
            <w:left w:val="none" w:sz="0" w:space="0" w:color="auto"/>
            <w:bottom w:val="none" w:sz="0" w:space="0" w:color="auto"/>
            <w:right w:val="none" w:sz="0" w:space="0" w:color="auto"/>
          </w:divBdr>
        </w:div>
      </w:divsChild>
    </w:div>
    <w:div w:id="524907839">
      <w:bodyDiv w:val="1"/>
      <w:marLeft w:val="0"/>
      <w:marRight w:val="0"/>
      <w:marTop w:val="0"/>
      <w:marBottom w:val="0"/>
      <w:divBdr>
        <w:top w:val="none" w:sz="0" w:space="0" w:color="auto"/>
        <w:left w:val="none" w:sz="0" w:space="0" w:color="auto"/>
        <w:bottom w:val="none" w:sz="0" w:space="0" w:color="auto"/>
        <w:right w:val="none" w:sz="0" w:space="0" w:color="auto"/>
      </w:divBdr>
      <w:divsChild>
        <w:div w:id="8063973">
          <w:marLeft w:val="0"/>
          <w:marRight w:val="0"/>
          <w:marTop w:val="0"/>
          <w:marBottom w:val="0"/>
          <w:divBdr>
            <w:top w:val="none" w:sz="0" w:space="0" w:color="auto"/>
            <w:left w:val="none" w:sz="0" w:space="0" w:color="auto"/>
            <w:bottom w:val="none" w:sz="0" w:space="0" w:color="auto"/>
            <w:right w:val="none" w:sz="0" w:space="0" w:color="auto"/>
          </w:divBdr>
        </w:div>
        <w:div w:id="574243299">
          <w:marLeft w:val="0"/>
          <w:marRight w:val="0"/>
          <w:marTop w:val="0"/>
          <w:marBottom w:val="0"/>
          <w:divBdr>
            <w:top w:val="none" w:sz="0" w:space="0" w:color="auto"/>
            <w:left w:val="none" w:sz="0" w:space="0" w:color="auto"/>
            <w:bottom w:val="none" w:sz="0" w:space="0" w:color="auto"/>
            <w:right w:val="none" w:sz="0" w:space="0" w:color="auto"/>
          </w:divBdr>
        </w:div>
        <w:div w:id="816150223">
          <w:marLeft w:val="0"/>
          <w:marRight w:val="0"/>
          <w:marTop w:val="0"/>
          <w:marBottom w:val="0"/>
          <w:divBdr>
            <w:top w:val="none" w:sz="0" w:space="0" w:color="auto"/>
            <w:left w:val="none" w:sz="0" w:space="0" w:color="auto"/>
            <w:bottom w:val="none" w:sz="0" w:space="0" w:color="auto"/>
            <w:right w:val="none" w:sz="0" w:space="0" w:color="auto"/>
          </w:divBdr>
        </w:div>
        <w:div w:id="930625453">
          <w:marLeft w:val="0"/>
          <w:marRight w:val="0"/>
          <w:marTop w:val="0"/>
          <w:marBottom w:val="0"/>
          <w:divBdr>
            <w:top w:val="none" w:sz="0" w:space="0" w:color="auto"/>
            <w:left w:val="none" w:sz="0" w:space="0" w:color="auto"/>
            <w:bottom w:val="none" w:sz="0" w:space="0" w:color="auto"/>
            <w:right w:val="none" w:sz="0" w:space="0" w:color="auto"/>
          </w:divBdr>
        </w:div>
        <w:div w:id="1180925305">
          <w:marLeft w:val="0"/>
          <w:marRight w:val="0"/>
          <w:marTop w:val="0"/>
          <w:marBottom w:val="0"/>
          <w:divBdr>
            <w:top w:val="none" w:sz="0" w:space="0" w:color="auto"/>
            <w:left w:val="none" w:sz="0" w:space="0" w:color="auto"/>
            <w:bottom w:val="none" w:sz="0" w:space="0" w:color="auto"/>
            <w:right w:val="none" w:sz="0" w:space="0" w:color="auto"/>
          </w:divBdr>
        </w:div>
        <w:div w:id="1578320982">
          <w:marLeft w:val="0"/>
          <w:marRight w:val="0"/>
          <w:marTop w:val="0"/>
          <w:marBottom w:val="0"/>
          <w:divBdr>
            <w:top w:val="none" w:sz="0" w:space="0" w:color="auto"/>
            <w:left w:val="none" w:sz="0" w:space="0" w:color="auto"/>
            <w:bottom w:val="none" w:sz="0" w:space="0" w:color="auto"/>
            <w:right w:val="none" w:sz="0" w:space="0" w:color="auto"/>
          </w:divBdr>
        </w:div>
      </w:divsChild>
    </w:div>
    <w:div w:id="631208641">
      <w:bodyDiv w:val="1"/>
      <w:marLeft w:val="0"/>
      <w:marRight w:val="0"/>
      <w:marTop w:val="0"/>
      <w:marBottom w:val="0"/>
      <w:divBdr>
        <w:top w:val="none" w:sz="0" w:space="0" w:color="auto"/>
        <w:left w:val="none" w:sz="0" w:space="0" w:color="auto"/>
        <w:bottom w:val="none" w:sz="0" w:space="0" w:color="auto"/>
        <w:right w:val="none" w:sz="0" w:space="0" w:color="auto"/>
      </w:divBdr>
    </w:div>
    <w:div w:id="686980352">
      <w:bodyDiv w:val="1"/>
      <w:marLeft w:val="0"/>
      <w:marRight w:val="0"/>
      <w:marTop w:val="0"/>
      <w:marBottom w:val="0"/>
      <w:divBdr>
        <w:top w:val="none" w:sz="0" w:space="0" w:color="auto"/>
        <w:left w:val="none" w:sz="0" w:space="0" w:color="auto"/>
        <w:bottom w:val="none" w:sz="0" w:space="0" w:color="auto"/>
        <w:right w:val="none" w:sz="0" w:space="0" w:color="auto"/>
      </w:divBdr>
    </w:div>
    <w:div w:id="727001331">
      <w:bodyDiv w:val="1"/>
      <w:marLeft w:val="0"/>
      <w:marRight w:val="0"/>
      <w:marTop w:val="0"/>
      <w:marBottom w:val="0"/>
      <w:divBdr>
        <w:top w:val="none" w:sz="0" w:space="0" w:color="auto"/>
        <w:left w:val="none" w:sz="0" w:space="0" w:color="auto"/>
        <w:bottom w:val="none" w:sz="0" w:space="0" w:color="auto"/>
        <w:right w:val="none" w:sz="0" w:space="0" w:color="auto"/>
      </w:divBdr>
      <w:divsChild>
        <w:div w:id="195430377">
          <w:marLeft w:val="0"/>
          <w:marRight w:val="0"/>
          <w:marTop w:val="0"/>
          <w:marBottom w:val="0"/>
          <w:divBdr>
            <w:top w:val="none" w:sz="0" w:space="0" w:color="auto"/>
            <w:left w:val="none" w:sz="0" w:space="0" w:color="auto"/>
            <w:bottom w:val="none" w:sz="0" w:space="0" w:color="auto"/>
            <w:right w:val="none" w:sz="0" w:space="0" w:color="auto"/>
          </w:divBdr>
        </w:div>
        <w:div w:id="253561904">
          <w:marLeft w:val="0"/>
          <w:marRight w:val="0"/>
          <w:marTop w:val="0"/>
          <w:marBottom w:val="0"/>
          <w:divBdr>
            <w:top w:val="none" w:sz="0" w:space="0" w:color="auto"/>
            <w:left w:val="none" w:sz="0" w:space="0" w:color="auto"/>
            <w:bottom w:val="none" w:sz="0" w:space="0" w:color="auto"/>
            <w:right w:val="none" w:sz="0" w:space="0" w:color="auto"/>
          </w:divBdr>
        </w:div>
        <w:div w:id="420611021">
          <w:marLeft w:val="0"/>
          <w:marRight w:val="0"/>
          <w:marTop w:val="0"/>
          <w:marBottom w:val="0"/>
          <w:divBdr>
            <w:top w:val="none" w:sz="0" w:space="0" w:color="auto"/>
            <w:left w:val="none" w:sz="0" w:space="0" w:color="auto"/>
            <w:bottom w:val="none" w:sz="0" w:space="0" w:color="auto"/>
            <w:right w:val="none" w:sz="0" w:space="0" w:color="auto"/>
          </w:divBdr>
        </w:div>
        <w:div w:id="524291086">
          <w:marLeft w:val="0"/>
          <w:marRight w:val="0"/>
          <w:marTop w:val="0"/>
          <w:marBottom w:val="0"/>
          <w:divBdr>
            <w:top w:val="none" w:sz="0" w:space="0" w:color="auto"/>
            <w:left w:val="none" w:sz="0" w:space="0" w:color="auto"/>
            <w:bottom w:val="none" w:sz="0" w:space="0" w:color="auto"/>
            <w:right w:val="none" w:sz="0" w:space="0" w:color="auto"/>
          </w:divBdr>
        </w:div>
        <w:div w:id="690228828">
          <w:marLeft w:val="0"/>
          <w:marRight w:val="0"/>
          <w:marTop w:val="0"/>
          <w:marBottom w:val="0"/>
          <w:divBdr>
            <w:top w:val="none" w:sz="0" w:space="0" w:color="auto"/>
            <w:left w:val="none" w:sz="0" w:space="0" w:color="auto"/>
            <w:bottom w:val="none" w:sz="0" w:space="0" w:color="auto"/>
            <w:right w:val="none" w:sz="0" w:space="0" w:color="auto"/>
          </w:divBdr>
        </w:div>
        <w:div w:id="1043404475">
          <w:marLeft w:val="0"/>
          <w:marRight w:val="0"/>
          <w:marTop w:val="0"/>
          <w:marBottom w:val="0"/>
          <w:divBdr>
            <w:top w:val="none" w:sz="0" w:space="0" w:color="auto"/>
            <w:left w:val="none" w:sz="0" w:space="0" w:color="auto"/>
            <w:bottom w:val="none" w:sz="0" w:space="0" w:color="auto"/>
            <w:right w:val="none" w:sz="0" w:space="0" w:color="auto"/>
          </w:divBdr>
        </w:div>
        <w:div w:id="1188913777">
          <w:marLeft w:val="0"/>
          <w:marRight w:val="0"/>
          <w:marTop w:val="0"/>
          <w:marBottom w:val="0"/>
          <w:divBdr>
            <w:top w:val="none" w:sz="0" w:space="0" w:color="auto"/>
            <w:left w:val="none" w:sz="0" w:space="0" w:color="auto"/>
            <w:bottom w:val="none" w:sz="0" w:space="0" w:color="auto"/>
            <w:right w:val="none" w:sz="0" w:space="0" w:color="auto"/>
          </w:divBdr>
        </w:div>
        <w:div w:id="1481844100">
          <w:marLeft w:val="0"/>
          <w:marRight w:val="0"/>
          <w:marTop w:val="0"/>
          <w:marBottom w:val="0"/>
          <w:divBdr>
            <w:top w:val="none" w:sz="0" w:space="0" w:color="auto"/>
            <w:left w:val="none" w:sz="0" w:space="0" w:color="auto"/>
            <w:bottom w:val="none" w:sz="0" w:space="0" w:color="auto"/>
            <w:right w:val="none" w:sz="0" w:space="0" w:color="auto"/>
          </w:divBdr>
        </w:div>
      </w:divsChild>
    </w:div>
    <w:div w:id="734937243">
      <w:bodyDiv w:val="1"/>
      <w:marLeft w:val="0"/>
      <w:marRight w:val="0"/>
      <w:marTop w:val="0"/>
      <w:marBottom w:val="0"/>
      <w:divBdr>
        <w:top w:val="none" w:sz="0" w:space="0" w:color="auto"/>
        <w:left w:val="none" w:sz="0" w:space="0" w:color="auto"/>
        <w:bottom w:val="none" w:sz="0" w:space="0" w:color="auto"/>
        <w:right w:val="none" w:sz="0" w:space="0" w:color="auto"/>
      </w:divBdr>
    </w:div>
    <w:div w:id="744454411">
      <w:bodyDiv w:val="1"/>
      <w:marLeft w:val="0"/>
      <w:marRight w:val="0"/>
      <w:marTop w:val="0"/>
      <w:marBottom w:val="0"/>
      <w:divBdr>
        <w:top w:val="none" w:sz="0" w:space="0" w:color="auto"/>
        <w:left w:val="none" w:sz="0" w:space="0" w:color="auto"/>
        <w:bottom w:val="none" w:sz="0" w:space="0" w:color="auto"/>
        <w:right w:val="none" w:sz="0" w:space="0" w:color="auto"/>
      </w:divBdr>
    </w:div>
    <w:div w:id="1040857407">
      <w:bodyDiv w:val="1"/>
      <w:marLeft w:val="0"/>
      <w:marRight w:val="0"/>
      <w:marTop w:val="0"/>
      <w:marBottom w:val="0"/>
      <w:divBdr>
        <w:top w:val="none" w:sz="0" w:space="0" w:color="auto"/>
        <w:left w:val="none" w:sz="0" w:space="0" w:color="auto"/>
        <w:bottom w:val="none" w:sz="0" w:space="0" w:color="auto"/>
        <w:right w:val="none" w:sz="0" w:space="0" w:color="auto"/>
      </w:divBdr>
    </w:div>
    <w:div w:id="1066958354">
      <w:bodyDiv w:val="1"/>
      <w:marLeft w:val="0"/>
      <w:marRight w:val="0"/>
      <w:marTop w:val="0"/>
      <w:marBottom w:val="0"/>
      <w:divBdr>
        <w:top w:val="none" w:sz="0" w:space="0" w:color="auto"/>
        <w:left w:val="none" w:sz="0" w:space="0" w:color="auto"/>
        <w:bottom w:val="none" w:sz="0" w:space="0" w:color="auto"/>
        <w:right w:val="none" w:sz="0" w:space="0" w:color="auto"/>
      </w:divBdr>
      <w:divsChild>
        <w:div w:id="359982">
          <w:marLeft w:val="0"/>
          <w:marRight w:val="0"/>
          <w:marTop w:val="0"/>
          <w:marBottom w:val="0"/>
          <w:divBdr>
            <w:top w:val="none" w:sz="0" w:space="0" w:color="auto"/>
            <w:left w:val="none" w:sz="0" w:space="0" w:color="auto"/>
            <w:bottom w:val="none" w:sz="0" w:space="0" w:color="auto"/>
            <w:right w:val="none" w:sz="0" w:space="0" w:color="auto"/>
          </w:divBdr>
        </w:div>
        <w:div w:id="118643415">
          <w:marLeft w:val="0"/>
          <w:marRight w:val="0"/>
          <w:marTop w:val="0"/>
          <w:marBottom w:val="0"/>
          <w:divBdr>
            <w:top w:val="none" w:sz="0" w:space="0" w:color="auto"/>
            <w:left w:val="none" w:sz="0" w:space="0" w:color="auto"/>
            <w:bottom w:val="none" w:sz="0" w:space="0" w:color="auto"/>
            <w:right w:val="none" w:sz="0" w:space="0" w:color="auto"/>
          </w:divBdr>
        </w:div>
        <w:div w:id="363135904">
          <w:marLeft w:val="0"/>
          <w:marRight w:val="0"/>
          <w:marTop w:val="0"/>
          <w:marBottom w:val="0"/>
          <w:divBdr>
            <w:top w:val="none" w:sz="0" w:space="0" w:color="auto"/>
            <w:left w:val="none" w:sz="0" w:space="0" w:color="auto"/>
            <w:bottom w:val="none" w:sz="0" w:space="0" w:color="auto"/>
            <w:right w:val="none" w:sz="0" w:space="0" w:color="auto"/>
          </w:divBdr>
        </w:div>
        <w:div w:id="502554319">
          <w:marLeft w:val="0"/>
          <w:marRight w:val="0"/>
          <w:marTop w:val="0"/>
          <w:marBottom w:val="0"/>
          <w:divBdr>
            <w:top w:val="none" w:sz="0" w:space="0" w:color="auto"/>
            <w:left w:val="none" w:sz="0" w:space="0" w:color="auto"/>
            <w:bottom w:val="none" w:sz="0" w:space="0" w:color="auto"/>
            <w:right w:val="none" w:sz="0" w:space="0" w:color="auto"/>
          </w:divBdr>
        </w:div>
        <w:div w:id="1545487279">
          <w:marLeft w:val="0"/>
          <w:marRight w:val="0"/>
          <w:marTop w:val="0"/>
          <w:marBottom w:val="0"/>
          <w:divBdr>
            <w:top w:val="none" w:sz="0" w:space="0" w:color="auto"/>
            <w:left w:val="none" w:sz="0" w:space="0" w:color="auto"/>
            <w:bottom w:val="none" w:sz="0" w:space="0" w:color="auto"/>
            <w:right w:val="none" w:sz="0" w:space="0" w:color="auto"/>
          </w:divBdr>
        </w:div>
        <w:div w:id="1572931034">
          <w:marLeft w:val="0"/>
          <w:marRight w:val="0"/>
          <w:marTop w:val="0"/>
          <w:marBottom w:val="0"/>
          <w:divBdr>
            <w:top w:val="none" w:sz="0" w:space="0" w:color="auto"/>
            <w:left w:val="none" w:sz="0" w:space="0" w:color="auto"/>
            <w:bottom w:val="none" w:sz="0" w:space="0" w:color="auto"/>
            <w:right w:val="none" w:sz="0" w:space="0" w:color="auto"/>
          </w:divBdr>
        </w:div>
      </w:divsChild>
    </w:div>
    <w:div w:id="1162356837">
      <w:bodyDiv w:val="1"/>
      <w:marLeft w:val="0"/>
      <w:marRight w:val="0"/>
      <w:marTop w:val="0"/>
      <w:marBottom w:val="0"/>
      <w:divBdr>
        <w:top w:val="none" w:sz="0" w:space="0" w:color="auto"/>
        <w:left w:val="none" w:sz="0" w:space="0" w:color="auto"/>
        <w:bottom w:val="none" w:sz="0" w:space="0" w:color="auto"/>
        <w:right w:val="none" w:sz="0" w:space="0" w:color="auto"/>
      </w:divBdr>
    </w:div>
    <w:div w:id="1180511380">
      <w:bodyDiv w:val="1"/>
      <w:marLeft w:val="0"/>
      <w:marRight w:val="0"/>
      <w:marTop w:val="0"/>
      <w:marBottom w:val="0"/>
      <w:divBdr>
        <w:top w:val="none" w:sz="0" w:space="0" w:color="auto"/>
        <w:left w:val="none" w:sz="0" w:space="0" w:color="auto"/>
        <w:bottom w:val="none" w:sz="0" w:space="0" w:color="auto"/>
        <w:right w:val="none" w:sz="0" w:space="0" w:color="auto"/>
      </w:divBdr>
    </w:div>
    <w:div w:id="1304122181">
      <w:bodyDiv w:val="1"/>
      <w:marLeft w:val="0"/>
      <w:marRight w:val="0"/>
      <w:marTop w:val="0"/>
      <w:marBottom w:val="0"/>
      <w:divBdr>
        <w:top w:val="none" w:sz="0" w:space="0" w:color="auto"/>
        <w:left w:val="none" w:sz="0" w:space="0" w:color="auto"/>
        <w:bottom w:val="none" w:sz="0" w:space="0" w:color="auto"/>
        <w:right w:val="none" w:sz="0" w:space="0" w:color="auto"/>
      </w:divBdr>
    </w:div>
    <w:div w:id="1403604919">
      <w:bodyDiv w:val="1"/>
      <w:marLeft w:val="0"/>
      <w:marRight w:val="0"/>
      <w:marTop w:val="0"/>
      <w:marBottom w:val="0"/>
      <w:divBdr>
        <w:top w:val="none" w:sz="0" w:space="0" w:color="auto"/>
        <w:left w:val="none" w:sz="0" w:space="0" w:color="auto"/>
        <w:bottom w:val="none" w:sz="0" w:space="0" w:color="auto"/>
        <w:right w:val="none" w:sz="0" w:space="0" w:color="auto"/>
      </w:divBdr>
    </w:div>
    <w:div w:id="1611014561">
      <w:bodyDiv w:val="1"/>
      <w:marLeft w:val="0"/>
      <w:marRight w:val="0"/>
      <w:marTop w:val="0"/>
      <w:marBottom w:val="0"/>
      <w:divBdr>
        <w:top w:val="none" w:sz="0" w:space="0" w:color="auto"/>
        <w:left w:val="none" w:sz="0" w:space="0" w:color="auto"/>
        <w:bottom w:val="none" w:sz="0" w:space="0" w:color="auto"/>
        <w:right w:val="none" w:sz="0" w:space="0" w:color="auto"/>
      </w:divBdr>
      <w:divsChild>
        <w:div w:id="1293051386">
          <w:marLeft w:val="0"/>
          <w:marRight w:val="0"/>
          <w:marTop w:val="15"/>
          <w:marBottom w:val="0"/>
          <w:divBdr>
            <w:top w:val="single" w:sz="48" w:space="0" w:color="auto"/>
            <w:left w:val="single" w:sz="48" w:space="0" w:color="auto"/>
            <w:bottom w:val="single" w:sz="48" w:space="0" w:color="auto"/>
            <w:right w:val="single" w:sz="48" w:space="0" w:color="auto"/>
          </w:divBdr>
          <w:divsChild>
            <w:div w:id="1478958381">
              <w:marLeft w:val="0"/>
              <w:marRight w:val="0"/>
              <w:marTop w:val="0"/>
              <w:marBottom w:val="0"/>
              <w:divBdr>
                <w:top w:val="none" w:sz="0" w:space="0" w:color="auto"/>
                <w:left w:val="none" w:sz="0" w:space="0" w:color="auto"/>
                <w:bottom w:val="none" w:sz="0" w:space="0" w:color="auto"/>
                <w:right w:val="none" w:sz="0" w:space="0" w:color="auto"/>
              </w:divBdr>
            </w:div>
          </w:divsChild>
        </w:div>
        <w:div w:id="1728334001">
          <w:marLeft w:val="0"/>
          <w:marRight w:val="0"/>
          <w:marTop w:val="15"/>
          <w:marBottom w:val="0"/>
          <w:divBdr>
            <w:top w:val="single" w:sz="48" w:space="0" w:color="auto"/>
            <w:left w:val="single" w:sz="48" w:space="0" w:color="auto"/>
            <w:bottom w:val="single" w:sz="48" w:space="0" w:color="auto"/>
            <w:right w:val="single" w:sz="48" w:space="0" w:color="auto"/>
          </w:divBdr>
          <w:divsChild>
            <w:div w:id="33345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79237">
      <w:bodyDiv w:val="1"/>
      <w:marLeft w:val="0"/>
      <w:marRight w:val="0"/>
      <w:marTop w:val="0"/>
      <w:marBottom w:val="0"/>
      <w:divBdr>
        <w:top w:val="none" w:sz="0" w:space="0" w:color="auto"/>
        <w:left w:val="none" w:sz="0" w:space="0" w:color="auto"/>
        <w:bottom w:val="none" w:sz="0" w:space="0" w:color="auto"/>
        <w:right w:val="none" w:sz="0" w:space="0" w:color="auto"/>
      </w:divBdr>
    </w:div>
    <w:div w:id="212942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cmm.wcpfc.int/measure/cmm-2009-06" TargetMode="External"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header" Target="header3.xml" Id="rId21" /><Relationship Type="http://schemas.openxmlformats.org/officeDocument/2006/relationships/settings" Target="settings.xml" Id="rId7" /><Relationship Type="http://schemas.openxmlformats.org/officeDocument/2006/relationships/hyperlink" Target="https://cmm.wcpfc.int/supplementary-info/supplcmm-2009-06-3"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https://cmm.wcpfc.int/supplementary-info/supplcmm-2009-06-3"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s://cmm.wcpfc.int/supplementary-info/supplcmm-2009-06-3"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cmm.wcpfc.int/supplementary-info/supplcmm-2009-06-3" TargetMode="External" Id="rId14" /><Relationship Type="http://schemas.openxmlformats.org/officeDocument/2006/relationships/footer" Target="footer3.xml" Id="rId22" /></Relationships>
</file>

<file path=word/_rels/footnotes.xml.rels><?xml version="1.0" encoding="UTF-8" standalone="yes"?>
<Relationships xmlns="http://schemas.openxmlformats.org/package/2006/relationships"><Relationship Id="rId1" Type="http://schemas.openxmlformats.org/officeDocument/2006/relationships/hyperlink" Target="Chairs%20Summary%20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3FC9AED01C2C4FA79478106CEFB345" ma:contentTypeVersion="14" ma:contentTypeDescription="Create a new document." ma:contentTypeScope="" ma:versionID="eb707ee0fb7938c85ad967506323a999">
  <xsd:schema xmlns:xsd="http://www.w3.org/2001/XMLSchema" xmlns:xs="http://www.w3.org/2001/XMLSchema" xmlns:p="http://schemas.microsoft.com/office/2006/metadata/properties" xmlns:ns2="bc261124-a7d1-4933-a581-0b9b977d34a5" xmlns:ns3="b8a27d95-57c2-43e3-b476-b594a7140c79" targetNamespace="http://schemas.microsoft.com/office/2006/metadata/properties" ma:root="true" ma:fieldsID="8b250174c83712a43e2698a8fd952133" ns2:_="" ns3:_="">
    <xsd:import namespace="bc261124-a7d1-4933-a581-0b9b977d34a5"/>
    <xsd:import namespace="b8a27d95-57c2-43e3-b476-b594a7140c79"/>
    <xsd:element name="properties">
      <xsd:complexType>
        <xsd:sequence>
          <xsd:element name="documentManagement">
            <xsd:complexType>
              <xsd:all>
                <xsd:element ref="ns2:MediaServiceMetadata" minOccurs="0"/>
                <xsd:element ref="ns2:MediaServiceFastMetadata" minOccurs="0"/>
                <xsd:element ref="ns2:planningtopic"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61124-a7d1-4933-a581-0b9b977d34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lanningtopic" ma:index="10" nillable="true" ma:displayName="planning topic" ma:format="Dropdown" ma:internalName="planningtopic">
      <xsd:complexType>
        <xsd:complexContent>
          <xsd:extension base="dms:MultiChoiceFillIn">
            <xsd:sequence>
              <xsd:element name="Value" maxOccurs="unbounded" minOccurs="0" nillable="true">
                <xsd:simpleType>
                  <xsd:union memberTypes="dms:Text">
                    <xsd:simpleType>
                      <xsd:restriction base="dms:Choice">
                        <xsd:enumeration value="post-WCPFC19 updates"/>
                        <xsd:enumeration value="dCMR RY 2021 and RY 2022"/>
                        <xsd:enumeration value="Analytical work"/>
                        <xsd:enumeration value="IMS upgrades and streamlining"/>
                        <xsd:enumeration value="2023 IWG support"/>
                        <xsd:enumeration value="2023 Additional info to support CMS"/>
                      </xsd:restriction>
                    </xsd:simpleType>
                  </xsd:union>
                </xsd:simpleType>
              </xsd:element>
            </xsd:sequence>
          </xsd:extension>
        </xsd:complexContent>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c3206a9-ba80-4caf-8b0d-9c8108546b7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27d95-57c2-43e3-b476-b594a7140c7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ae31d97e-b712-4ead-b042-c98b7961487a}" ma:internalName="TaxCatchAll" ma:showField="CatchAllData" ma:web="b8a27d95-57c2-43e3-b476-b594a7140c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c261124-a7d1-4933-a581-0b9b977d34a5">
      <Terms xmlns="http://schemas.microsoft.com/office/infopath/2007/PartnerControls"/>
    </lcf76f155ced4ddcb4097134ff3c332f>
    <planningtopic xmlns="bc261124-a7d1-4933-a581-0b9b977d34a5" xsi:nil="true"/>
    <TaxCatchAll xmlns="b8a27d95-57c2-43e3-b476-b594a7140c79" xsi:nil="true"/>
  </documentManagement>
</p:properties>
</file>

<file path=customXml/itemProps1.xml><?xml version="1.0" encoding="utf-8"?>
<ds:datastoreItem xmlns:ds="http://schemas.openxmlformats.org/officeDocument/2006/customXml" ds:itemID="{3DA5099F-8176-4216-BF12-6D83CE6363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261124-a7d1-4933-a581-0b9b977d34a5"/>
    <ds:schemaRef ds:uri="b8a27d95-57c2-43e3-b476-b594a7140c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481B6D-590C-40FE-A121-61292167493F}">
  <ds:schemaRefs>
    <ds:schemaRef ds:uri="http://schemas.openxmlformats.org/officeDocument/2006/bibliography"/>
  </ds:schemaRefs>
</ds:datastoreItem>
</file>

<file path=customXml/itemProps3.xml><?xml version="1.0" encoding="utf-8"?>
<ds:datastoreItem xmlns:ds="http://schemas.openxmlformats.org/officeDocument/2006/customXml" ds:itemID="{80A17EF1-6F4B-4712-9647-DDAC4C14C314}">
  <ds:schemaRefs>
    <ds:schemaRef ds:uri="http://schemas.microsoft.com/sharepoint/v3/contenttype/forms"/>
  </ds:schemaRefs>
</ds:datastoreItem>
</file>

<file path=customXml/itemProps4.xml><?xml version="1.0" encoding="utf-8"?>
<ds:datastoreItem xmlns:ds="http://schemas.openxmlformats.org/officeDocument/2006/customXml" ds:itemID="{A1E585D5-DCA9-4E03-BD82-D49DC1280B28}">
  <ds:schemaRefs>
    <ds:schemaRef ds:uri="http://schemas.microsoft.com/office/2006/metadata/properties"/>
    <ds:schemaRef ds:uri="http://schemas.microsoft.com/office/infopath/2007/PartnerControls"/>
    <ds:schemaRef ds:uri="bc261124-a7d1-4933-a581-0b9b977d34a5"/>
    <ds:schemaRef ds:uri="b8a27d95-57c2-43e3-b476-b594a7140c7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Eidre Sharp</dc:creator>
  <keywords/>
  <dc:description/>
  <lastModifiedBy>Eidre Sharp</lastModifiedBy>
  <revision>130</revision>
  <lastPrinted>2025-05-29T17:37:00.0000000Z</lastPrinted>
  <dcterms:created xsi:type="dcterms:W3CDTF">2025-05-29T19:01:00.0000000Z</dcterms:created>
  <dcterms:modified xsi:type="dcterms:W3CDTF">2025-06-04T02:12:11.2699234Z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0x0101002B3FC9AED01C2C4FA79478106CEFB345</vt:lpwstr>
  </property>
  <property fmtid="{D5CDD505-2E9C-101B-9397-08002B2CF9AE}" pid="3" name="MediaServiceImageTags">
    <vt:lpwstr/>
  </property>
</Properties>
</file>