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F2F5" w14:textId="77777777" w:rsidR="002C3AF0" w:rsidRPr="00935945" w:rsidRDefault="002C3AF0" w:rsidP="002C3AF0">
      <w:pPr>
        <w:pStyle w:val="Title"/>
        <w:jc w:val="center"/>
        <w:rPr>
          <w:lang w:val="en-NZ"/>
        </w:rPr>
      </w:pPr>
      <w:r w:rsidRPr="00935945">
        <w:rPr>
          <w:noProof/>
          <w:lang w:eastAsia="zh-CN" w:bidi="mn-Mong-CN"/>
        </w:rPr>
        <w:drawing>
          <wp:inline distT="0" distB="0" distL="0" distR="0" wp14:anchorId="367F5260" wp14:editId="4D880E0E">
            <wp:extent cx="2095500" cy="1095375"/>
            <wp:effectExtent l="1905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760A9990" w14:textId="77777777" w:rsidR="002C3AF0" w:rsidRPr="006847CB" w:rsidRDefault="002C3AF0" w:rsidP="002C3AF0">
      <w:pPr>
        <w:adjustRightInd w:val="0"/>
        <w:snapToGrid w:val="0"/>
        <w:jc w:val="center"/>
        <w:rPr>
          <w:b/>
          <w:lang w:val="en-NZ"/>
        </w:rPr>
      </w:pPr>
      <w:r w:rsidRPr="006847CB">
        <w:rPr>
          <w:b/>
          <w:lang w:val="en-NZ"/>
        </w:rPr>
        <w:t>NORTHERN COMMITTEE</w:t>
      </w:r>
    </w:p>
    <w:p w14:paraId="0FB20D1F" w14:textId="77777777" w:rsidR="002C3AF0" w:rsidRPr="006847CB" w:rsidRDefault="002C3AF0" w:rsidP="002C3AF0">
      <w:pPr>
        <w:adjustRightInd w:val="0"/>
        <w:snapToGrid w:val="0"/>
        <w:jc w:val="center"/>
        <w:rPr>
          <w:b/>
          <w:lang w:val="en-NZ"/>
        </w:rPr>
      </w:pPr>
      <w:r>
        <w:rPr>
          <w:b/>
          <w:lang w:val="en-NZ" w:eastAsia="ko-KR"/>
        </w:rPr>
        <w:t>SEVENTEENTH</w:t>
      </w:r>
      <w:r w:rsidRPr="006847CB">
        <w:rPr>
          <w:b/>
          <w:lang w:val="en-NZ" w:eastAsia="ko-KR"/>
        </w:rPr>
        <w:t xml:space="preserve"> </w:t>
      </w:r>
      <w:r w:rsidRPr="006847CB">
        <w:rPr>
          <w:b/>
          <w:lang w:val="en-NZ"/>
        </w:rPr>
        <w:t>REGULAR SESSION</w:t>
      </w:r>
    </w:p>
    <w:p w14:paraId="3CAE0FA4" w14:textId="77777777" w:rsidR="002C3AF0" w:rsidRDefault="002C3AF0" w:rsidP="002C3AF0">
      <w:pPr>
        <w:adjustRightInd w:val="0"/>
        <w:snapToGrid w:val="0"/>
        <w:jc w:val="center"/>
        <w:rPr>
          <w:lang w:val="en-NZ" w:eastAsia="ko-KR"/>
        </w:rPr>
      </w:pPr>
    </w:p>
    <w:p w14:paraId="7C9AD4F3" w14:textId="77777777" w:rsidR="002C3AF0" w:rsidRPr="006847CB" w:rsidRDefault="002C3AF0" w:rsidP="002C3AF0">
      <w:pPr>
        <w:adjustRightInd w:val="0"/>
        <w:snapToGrid w:val="0"/>
        <w:jc w:val="center"/>
        <w:rPr>
          <w:rFonts w:eastAsia="Malgun Gothic"/>
          <w:lang w:val="en-NZ" w:eastAsia="ko-KR"/>
        </w:rPr>
      </w:pPr>
      <w:r>
        <w:rPr>
          <w:lang w:val="en-NZ" w:eastAsia="ko-KR"/>
        </w:rPr>
        <w:t>ELECTRONIC MEETING</w:t>
      </w:r>
    </w:p>
    <w:p w14:paraId="5AE86E54" w14:textId="77777777" w:rsidR="002C3AF0" w:rsidRPr="006847CB" w:rsidRDefault="002C3AF0" w:rsidP="002C3AF0">
      <w:pPr>
        <w:adjustRightInd w:val="0"/>
        <w:snapToGrid w:val="0"/>
        <w:jc w:val="center"/>
        <w:rPr>
          <w:lang w:val="en-NZ" w:eastAsia="ko-KR"/>
        </w:rPr>
      </w:pPr>
      <w:r>
        <w:rPr>
          <w:lang w:val="en-NZ" w:eastAsia="ko-KR"/>
        </w:rPr>
        <w:t>5 – 7 October 2021</w:t>
      </w:r>
    </w:p>
    <w:p w14:paraId="21DD76B1" w14:textId="07FA8F60" w:rsidR="002C3AF0" w:rsidRDefault="002C3AF0" w:rsidP="002C3AF0">
      <w:pPr>
        <w:pStyle w:val="BodyText"/>
        <w:pBdr>
          <w:top w:val="single" w:sz="18" w:space="1" w:color="auto"/>
          <w:bottom w:val="single" w:sz="18" w:space="1" w:color="auto"/>
        </w:pBdr>
        <w:adjustRightInd w:val="0"/>
        <w:snapToGrid w:val="0"/>
        <w:jc w:val="center"/>
        <w:rPr>
          <w:rFonts w:eastAsiaTheme="minorEastAsia"/>
          <w:b/>
          <w:sz w:val="22"/>
          <w:szCs w:val="22"/>
          <w:lang w:val="en-NZ" w:eastAsia="ko-KR"/>
        </w:rPr>
      </w:pPr>
      <w:r w:rsidRPr="00F85176">
        <w:rPr>
          <w:rFonts w:eastAsiaTheme="minorEastAsia"/>
          <w:b/>
          <w:sz w:val="22"/>
          <w:szCs w:val="22"/>
          <w:lang w:val="en-NZ" w:eastAsia="ko-KR"/>
        </w:rPr>
        <w:t xml:space="preserve">DRAFT </w:t>
      </w:r>
      <w:r>
        <w:rPr>
          <w:rFonts w:eastAsiaTheme="minorEastAsia" w:hint="eastAsia"/>
          <w:b/>
          <w:sz w:val="22"/>
          <w:szCs w:val="22"/>
          <w:lang w:val="en-NZ" w:eastAsia="ko-KR"/>
        </w:rPr>
        <w:t>H</w:t>
      </w:r>
      <w:r>
        <w:rPr>
          <w:rFonts w:eastAsiaTheme="minorEastAsia"/>
          <w:b/>
          <w:sz w:val="22"/>
          <w:szCs w:val="22"/>
          <w:lang w:val="en-NZ" w:eastAsia="ko-KR"/>
        </w:rPr>
        <w:t>arvest Strategy</w:t>
      </w:r>
      <w:r w:rsidRPr="00F85176">
        <w:rPr>
          <w:rFonts w:eastAsiaTheme="minorEastAsia"/>
          <w:b/>
          <w:sz w:val="22"/>
          <w:szCs w:val="22"/>
          <w:lang w:val="en-NZ" w:eastAsia="ko-KR"/>
        </w:rPr>
        <w:t xml:space="preserve"> for Pacific Bluefin Tuna</w:t>
      </w:r>
      <w:r>
        <w:rPr>
          <w:rFonts w:eastAsiaTheme="minorEastAsia"/>
          <w:b/>
          <w:sz w:val="22"/>
          <w:szCs w:val="22"/>
          <w:lang w:val="en-NZ" w:eastAsia="ko-KR"/>
        </w:rPr>
        <w:t xml:space="preserve"> Fisheries</w:t>
      </w:r>
    </w:p>
    <w:p w14:paraId="325B1A96" w14:textId="48A251F4" w:rsidR="007E2AA6" w:rsidRPr="00F85176" w:rsidRDefault="007E2AA6" w:rsidP="002C3AF0">
      <w:pPr>
        <w:pStyle w:val="BodyText"/>
        <w:pBdr>
          <w:top w:val="single" w:sz="18" w:space="1" w:color="auto"/>
          <w:bottom w:val="single" w:sz="18" w:space="1" w:color="auto"/>
        </w:pBdr>
        <w:adjustRightInd w:val="0"/>
        <w:snapToGrid w:val="0"/>
        <w:jc w:val="center"/>
        <w:rPr>
          <w:rFonts w:eastAsiaTheme="minorEastAsia"/>
          <w:b/>
          <w:sz w:val="22"/>
          <w:szCs w:val="22"/>
          <w:lang w:val="en-NZ" w:eastAsia="ko-KR"/>
        </w:rPr>
      </w:pPr>
      <w:r>
        <w:rPr>
          <w:rFonts w:eastAsiaTheme="minorEastAsia"/>
          <w:b/>
          <w:sz w:val="22"/>
          <w:szCs w:val="22"/>
          <w:lang w:val="en-NZ" w:eastAsia="ko-KR"/>
        </w:rPr>
        <w:t>(NC Chair’s proposed revision to HS 2017-02)</w:t>
      </w:r>
    </w:p>
    <w:p w14:paraId="481F268A" w14:textId="77777777" w:rsidR="002C3AF0" w:rsidRDefault="002C3AF0" w:rsidP="002C3AF0">
      <w:pPr>
        <w:adjustRightInd w:val="0"/>
        <w:snapToGrid w:val="0"/>
        <w:jc w:val="right"/>
        <w:rPr>
          <w:b/>
          <w:lang w:val="en-NZ" w:eastAsia="ko-KR"/>
        </w:rPr>
      </w:pPr>
      <w:r w:rsidRPr="006847CB">
        <w:rPr>
          <w:rFonts w:eastAsia="MS Mincho"/>
          <w:b/>
          <w:lang w:val="en-NZ"/>
        </w:rPr>
        <w:t>WCPFC-NC</w:t>
      </w:r>
      <w:r w:rsidRPr="006847CB">
        <w:rPr>
          <w:b/>
          <w:lang w:val="en-NZ" w:eastAsia="ko-KR"/>
        </w:rPr>
        <w:t>1</w:t>
      </w:r>
      <w:r>
        <w:rPr>
          <w:b/>
          <w:lang w:val="en-NZ" w:eastAsia="ko-KR"/>
        </w:rPr>
        <w:t>7</w:t>
      </w:r>
      <w:r w:rsidRPr="006847CB">
        <w:rPr>
          <w:rFonts w:eastAsia="MS Mincho"/>
          <w:b/>
          <w:lang w:val="en-NZ"/>
        </w:rPr>
        <w:t>-20</w:t>
      </w:r>
      <w:r>
        <w:rPr>
          <w:rFonts w:eastAsia="MS Mincho"/>
          <w:b/>
          <w:lang w:val="en-NZ"/>
        </w:rPr>
        <w:t>21</w:t>
      </w:r>
      <w:r w:rsidRPr="006847CB">
        <w:rPr>
          <w:rFonts w:eastAsia="MS Mincho"/>
          <w:b/>
          <w:lang w:val="en-NZ"/>
        </w:rPr>
        <w:t>/</w:t>
      </w:r>
      <w:r w:rsidRPr="006847CB">
        <w:rPr>
          <w:b/>
          <w:lang w:val="en-NZ" w:eastAsia="ko-KR"/>
        </w:rPr>
        <w:t>WP-0</w:t>
      </w:r>
      <w:r>
        <w:rPr>
          <w:b/>
          <w:lang w:val="en-NZ" w:eastAsia="ko-KR"/>
        </w:rPr>
        <w:t>4</w:t>
      </w:r>
    </w:p>
    <w:p w14:paraId="6E16457C" w14:textId="77777777" w:rsidR="002C3AF0" w:rsidRPr="00935945" w:rsidRDefault="002C3AF0" w:rsidP="002C3AF0">
      <w:pPr>
        <w:adjustRightInd w:val="0"/>
        <w:snapToGrid w:val="0"/>
        <w:jc w:val="right"/>
        <w:rPr>
          <w:rFonts w:eastAsia="MS Mincho"/>
          <w:b/>
          <w:lang w:val="en-NZ"/>
        </w:rPr>
      </w:pPr>
    </w:p>
    <w:p w14:paraId="67749F94" w14:textId="77777777" w:rsidR="002C3AF0" w:rsidRPr="00935945" w:rsidRDefault="002C3AF0" w:rsidP="002C3AF0">
      <w:pPr>
        <w:adjustRightInd w:val="0"/>
        <w:snapToGrid w:val="0"/>
        <w:jc w:val="center"/>
        <w:rPr>
          <w:rFonts w:eastAsia="MS Mincho"/>
          <w:b/>
          <w:lang w:val="en-NZ"/>
        </w:rPr>
      </w:pPr>
    </w:p>
    <w:p w14:paraId="001AE296" w14:textId="77777777" w:rsidR="002C3AF0" w:rsidRDefault="002C3AF0" w:rsidP="002C3AF0">
      <w:pPr>
        <w:adjustRightInd w:val="0"/>
        <w:snapToGrid w:val="0"/>
        <w:jc w:val="center"/>
        <w:rPr>
          <w:b/>
          <w:lang w:val="en-NZ" w:eastAsia="ko-KR"/>
        </w:rPr>
      </w:pPr>
    </w:p>
    <w:p w14:paraId="22734499" w14:textId="77777777" w:rsidR="002C3AF0" w:rsidRDefault="002C3AF0" w:rsidP="002C3AF0">
      <w:pPr>
        <w:adjustRightInd w:val="0"/>
        <w:snapToGrid w:val="0"/>
        <w:jc w:val="center"/>
        <w:rPr>
          <w:b/>
          <w:lang w:val="en-NZ" w:eastAsia="ko-KR"/>
        </w:rPr>
      </w:pPr>
    </w:p>
    <w:p w14:paraId="3B1B6C96" w14:textId="77777777" w:rsidR="002C3AF0" w:rsidRDefault="002C3AF0" w:rsidP="002C3AF0">
      <w:pPr>
        <w:adjustRightInd w:val="0"/>
        <w:snapToGrid w:val="0"/>
        <w:jc w:val="center"/>
        <w:rPr>
          <w:b/>
          <w:lang w:val="en-NZ" w:eastAsia="ko-KR"/>
        </w:rPr>
      </w:pPr>
    </w:p>
    <w:p w14:paraId="262197E7" w14:textId="77777777" w:rsidR="002C3AF0" w:rsidRDefault="002C3AF0" w:rsidP="002C3AF0">
      <w:pPr>
        <w:adjustRightInd w:val="0"/>
        <w:snapToGrid w:val="0"/>
        <w:jc w:val="center"/>
        <w:rPr>
          <w:b/>
          <w:lang w:val="en-NZ" w:eastAsia="ko-KR"/>
        </w:rPr>
      </w:pPr>
    </w:p>
    <w:p w14:paraId="71CD317C" w14:textId="77777777" w:rsidR="002C3AF0" w:rsidRDefault="002C3AF0" w:rsidP="002C3AF0">
      <w:pPr>
        <w:adjustRightInd w:val="0"/>
        <w:snapToGrid w:val="0"/>
        <w:jc w:val="center"/>
        <w:rPr>
          <w:b/>
          <w:lang w:val="en-NZ" w:eastAsia="ko-KR"/>
        </w:rPr>
      </w:pPr>
    </w:p>
    <w:p w14:paraId="67F06791" w14:textId="77777777" w:rsidR="002C3AF0" w:rsidRDefault="002C3AF0" w:rsidP="002C3AF0">
      <w:pPr>
        <w:adjustRightInd w:val="0"/>
        <w:snapToGrid w:val="0"/>
        <w:jc w:val="center"/>
        <w:rPr>
          <w:rFonts w:eastAsia="MS Mincho"/>
          <w:b/>
          <w:lang w:val="en-NZ"/>
        </w:rPr>
      </w:pPr>
    </w:p>
    <w:p w14:paraId="0CC219E5" w14:textId="77777777" w:rsidR="002C3AF0" w:rsidRDefault="002C3AF0" w:rsidP="002C3AF0">
      <w:pPr>
        <w:adjustRightInd w:val="0"/>
        <w:snapToGrid w:val="0"/>
        <w:jc w:val="center"/>
        <w:rPr>
          <w:rFonts w:eastAsia="MS Mincho"/>
          <w:b/>
          <w:lang w:val="en-NZ"/>
        </w:rPr>
      </w:pPr>
    </w:p>
    <w:p w14:paraId="0D680F1B" w14:textId="77777777" w:rsidR="002C3AF0" w:rsidRDefault="002C3AF0" w:rsidP="002C3AF0">
      <w:pPr>
        <w:adjustRightInd w:val="0"/>
        <w:snapToGrid w:val="0"/>
        <w:jc w:val="center"/>
        <w:rPr>
          <w:rFonts w:eastAsia="MS Mincho"/>
          <w:b/>
          <w:lang w:val="en-NZ"/>
        </w:rPr>
      </w:pPr>
    </w:p>
    <w:p w14:paraId="6C183907" w14:textId="77777777" w:rsidR="002C3AF0" w:rsidRDefault="002C3AF0" w:rsidP="002C3AF0">
      <w:pPr>
        <w:adjustRightInd w:val="0"/>
        <w:snapToGrid w:val="0"/>
        <w:jc w:val="center"/>
        <w:rPr>
          <w:rFonts w:eastAsia="MS Mincho"/>
          <w:b/>
          <w:lang w:val="en-NZ"/>
        </w:rPr>
      </w:pPr>
    </w:p>
    <w:p w14:paraId="7850A08D" w14:textId="77777777" w:rsidR="002C3AF0" w:rsidRDefault="002C3AF0" w:rsidP="002C3AF0">
      <w:pPr>
        <w:adjustRightInd w:val="0"/>
        <w:snapToGrid w:val="0"/>
        <w:jc w:val="center"/>
        <w:rPr>
          <w:rFonts w:eastAsia="MS Mincho"/>
          <w:b/>
          <w:lang w:val="en-NZ"/>
        </w:rPr>
      </w:pPr>
    </w:p>
    <w:p w14:paraId="482C275A" w14:textId="77777777" w:rsidR="002C3AF0" w:rsidRDefault="002C3AF0" w:rsidP="002C3AF0">
      <w:pPr>
        <w:adjustRightInd w:val="0"/>
        <w:snapToGrid w:val="0"/>
        <w:jc w:val="center"/>
        <w:rPr>
          <w:rFonts w:eastAsia="MS Mincho"/>
          <w:b/>
          <w:lang w:val="en-NZ"/>
        </w:rPr>
      </w:pPr>
    </w:p>
    <w:p w14:paraId="60EE7159" w14:textId="77777777" w:rsidR="002C3AF0" w:rsidRPr="00614C3A" w:rsidRDefault="002C3AF0" w:rsidP="002C3AF0">
      <w:pPr>
        <w:adjustRightInd w:val="0"/>
        <w:snapToGrid w:val="0"/>
        <w:jc w:val="center"/>
      </w:pPr>
      <w:r>
        <w:rPr>
          <w:rFonts w:eastAsia="MS Mincho"/>
          <w:b/>
          <w:lang w:val="en-NZ"/>
        </w:rPr>
        <w:t>NC Chair</w:t>
      </w:r>
    </w:p>
    <w:p w14:paraId="00938F31" w14:textId="0DFF2B2E" w:rsidR="002C3AF0" w:rsidRDefault="002C3AF0">
      <w:pPr>
        <w:rPr>
          <w:sz w:val="17"/>
          <w:szCs w:val="24"/>
        </w:rPr>
      </w:pPr>
      <w:r>
        <w:rPr>
          <w:sz w:val="17"/>
        </w:rPr>
        <w:br w:type="page"/>
      </w:r>
    </w:p>
    <w:p w14:paraId="11282F79" w14:textId="77777777" w:rsidR="004712C8" w:rsidRDefault="004712C8">
      <w:pPr>
        <w:pStyle w:val="BodyText"/>
        <w:spacing w:before="1"/>
        <w:rPr>
          <w:sz w:val="17"/>
        </w:rPr>
      </w:pPr>
    </w:p>
    <w:p w14:paraId="37E8F057" w14:textId="77777777" w:rsidR="004712C8" w:rsidRDefault="00A6061C">
      <w:pPr>
        <w:pStyle w:val="BodyText"/>
        <w:ind w:left="3173"/>
        <w:rPr>
          <w:sz w:val="20"/>
        </w:rPr>
      </w:pPr>
      <w:r>
        <w:rPr>
          <w:noProof/>
          <w:sz w:val="20"/>
        </w:rPr>
        <w:drawing>
          <wp:inline distT="0" distB="0" distL="0" distR="0" wp14:anchorId="6E615073" wp14:editId="26583BCC">
            <wp:extent cx="2064301" cy="10687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64301" cy="1068704"/>
                    </a:xfrm>
                    <a:prstGeom prst="rect">
                      <a:avLst/>
                    </a:prstGeom>
                  </pic:spPr>
                </pic:pic>
              </a:graphicData>
            </a:graphic>
          </wp:inline>
        </w:drawing>
      </w:r>
    </w:p>
    <w:p w14:paraId="3A4EB96C" w14:textId="2AD30E41" w:rsidR="004712C8" w:rsidRDefault="004712C8">
      <w:pPr>
        <w:ind w:left="3852" w:right="3834" w:firstLine="86"/>
      </w:pPr>
    </w:p>
    <w:p w14:paraId="792C317B" w14:textId="036CA70B" w:rsidR="004712C8" w:rsidRDefault="00FC715E">
      <w:pPr>
        <w:pStyle w:val="BodyText"/>
        <w:spacing w:line="30" w:lineRule="exact"/>
        <w:ind w:left="105"/>
        <w:rPr>
          <w:sz w:val="3"/>
        </w:rPr>
      </w:pPr>
      <w:r>
        <w:rPr>
          <w:noProof/>
          <w:sz w:val="3"/>
        </w:rPr>
        <mc:AlternateContent>
          <mc:Choice Requires="wpg">
            <w:drawing>
              <wp:inline distT="0" distB="0" distL="0" distR="0" wp14:anchorId="21FAC9DE" wp14:editId="08641B01">
                <wp:extent cx="5944870" cy="18415"/>
                <wp:effectExtent l="9525" t="6350" r="17780" b="381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10" name="Line 9"/>
                        <wps:cNvCnPr>
                          <a:cxnSpLocks noChangeShapeType="1"/>
                        </wps:cNvCnPr>
                        <wps:spPr bwMode="auto">
                          <a:xfrm>
                            <a:off x="0" y="14"/>
                            <a:ext cx="936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306CF2" id="Group 8"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DbMgIAANUEAAAOAAAAZHJzL2Uyb0RvYy54bWyklM1y2jAQx++d6TtodC/GlKTGg8kBEi5p&#10;y0zSB1hk2dZUljSSwPD2XUkOacilk3LQSN4P7f7+K5Z3p16SI7dOaFXRfDKlhCuma6Haiv56fvhS&#10;UOI8qBqkVryiZ+7o3erzp+VgSj7TnZY1twSTKFcOpqKd96bMMsc63oObaMMVGhtte/B4tG1WWxgw&#10;ey+z2XR6mw3a1sZqxp3Dr5tkpKuYv2k48z+bxnFPZEWxNh9XG9d9WLPVEsrWgukEG8uAD1TRg1B4&#10;6SXVBjyQgxXvUvWCWe104ydM95luGsF47AG7yadX3WytPpjYS1sOrblgQrRXnD6clv047iwRdUUX&#10;lCjoUaJ4KykCmsG0JXpsrXkyO5v6w+2jZr8dmrNrezi3yZnsh++6xnRw8DqiOTW2DymwaXKKCpwv&#10;CvCTJww/3izm8+IbCsXQlhfz/CYpxDqU8V0U6+7HuMXX21kKmi1CRAZlui6WOJYU+sEpc68g3f+B&#10;fOrA8KiPC5hGkDmWn0g+CsVJrCdcjB5rlSiykxopEqXXHaiWx1zPZ4PE8tjBm5BwcCjBP1LN5wnb&#10;C1bEkyc8ceIvdKA01vkt1z0Jm4pKrDiKBcdH5xPIF5egndIPQkr8DqVUZAgazYoiRjgtRR2swehs&#10;u19LS44Q3l38jbK8cQupN+C65BdNqXAcfFXHazoO9f249yBk2mMHUsUBTFyStHtdn3c2VD0KPY4o&#10;vp04EuM7D4/z73P0ev03Wv0BAAD//wMAUEsDBBQABgAIAAAAIQAglVfM2wAAAAMBAAAPAAAAZHJz&#10;L2Rvd25yZXYueG1sTI9Ba8JAEIXvQv/DMoXedJNIpabZiEjbkxSqhdLbmB2TYHY2ZNck/vuuXupl&#10;4PEe732TrUbTiJ46V1tWEM8iEMSF1TWXCr7379MXEM4ja2wsk4ILOVjlD5MMU20H/qJ+50sRStil&#10;qKDyvk2ldEVFBt3MtsTBO9rOoA+yK6XucAjlppFJFC2kwZrDQoUtbSoqTruzUfAx4LCex2/99nTc&#10;XH73z58/25iUenoc168gPI3+PwxX/IAOeWA62DNrJxoF4RF/u8FbzhcJiIOCZAkyz+Q9e/4HAAD/&#10;/wMAUEsBAi0AFAAGAAgAAAAhALaDOJL+AAAA4QEAABMAAAAAAAAAAAAAAAAAAAAAAFtDb250ZW50&#10;X1R5cGVzXS54bWxQSwECLQAUAAYACAAAACEAOP0h/9YAAACUAQAACwAAAAAAAAAAAAAAAAAvAQAA&#10;X3JlbHMvLnJlbHNQSwECLQAUAAYACAAAACEA1nnQ2zICAADVBAAADgAAAAAAAAAAAAAAAAAuAgAA&#10;ZHJzL2Uyb0RvYy54bWxQSwECLQAUAAYACAAAACEAIJVXzNsAAAADAQAADwAAAAAAAAAAAAAAAACM&#10;BAAAZHJzL2Rvd25yZXYueG1sUEsFBgAAAAAEAAQA8wAAAJQFAAAAAA==&#10;">
                <v:line id="Line 9"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w10:anchorlock/>
              </v:group>
            </w:pict>
          </mc:Fallback>
        </mc:AlternateContent>
      </w:r>
    </w:p>
    <w:p w14:paraId="61CE2B9E" w14:textId="77777777" w:rsidR="003A1DF4" w:rsidRDefault="003A1DF4">
      <w:pPr>
        <w:pStyle w:val="Heading1"/>
        <w:spacing w:after="3"/>
        <w:ind w:left="1092" w:right="1093" w:firstLine="0"/>
        <w:jc w:val="center"/>
      </w:pPr>
      <w:r w:rsidRPr="003A1DF4">
        <w:rPr>
          <w:rFonts w:eastAsia="MS Mincho"/>
          <w:u w:val="single"/>
          <w:lang w:eastAsia="ja-JP"/>
        </w:rPr>
        <w:t>DRAFT</w:t>
      </w:r>
      <w:r>
        <w:rPr>
          <w:rFonts w:eastAsia="MS Mincho"/>
          <w:lang w:eastAsia="ja-JP"/>
        </w:rPr>
        <w:t xml:space="preserve"> </w:t>
      </w:r>
      <w:r w:rsidR="00A6061C">
        <w:t xml:space="preserve">HARVEST STRATEGY FOR </w:t>
      </w:r>
    </w:p>
    <w:p w14:paraId="2F73464D" w14:textId="106BAF83" w:rsidR="004712C8" w:rsidRDefault="00A6061C">
      <w:pPr>
        <w:pStyle w:val="Heading1"/>
        <w:spacing w:after="3"/>
        <w:ind w:left="1092" w:right="1093" w:firstLine="0"/>
        <w:jc w:val="center"/>
      </w:pPr>
      <w:r>
        <w:t>PACIFIC BLUEFIN TUNA FISHERIES</w:t>
      </w:r>
    </w:p>
    <w:p w14:paraId="0E38F4A8" w14:textId="0290AE80" w:rsidR="003A1DF4" w:rsidRPr="003A1DF4" w:rsidRDefault="003A1DF4">
      <w:pPr>
        <w:pStyle w:val="Heading1"/>
        <w:spacing w:after="3"/>
        <w:ind w:left="1092" w:right="1093" w:firstLine="0"/>
        <w:jc w:val="center"/>
        <w:rPr>
          <w:rFonts w:eastAsiaTheme="minorEastAsia"/>
          <w:u w:val="single"/>
          <w:lang w:eastAsia="ja-JP"/>
        </w:rPr>
      </w:pPr>
      <w:r w:rsidRPr="003A1DF4">
        <w:rPr>
          <w:rFonts w:eastAsiaTheme="minorEastAsia" w:hint="eastAsia"/>
          <w:u w:val="single"/>
          <w:lang w:eastAsia="ja-JP"/>
        </w:rPr>
        <w:t>(</w:t>
      </w:r>
      <w:r w:rsidRPr="003A1DF4">
        <w:rPr>
          <w:rFonts w:eastAsiaTheme="minorEastAsia"/>
          <w:u w:val="single"/>
          <w:lang w:eastAsia="ja-JP"/>
        </w:rPr>
        <w:t>Proposal by the NC Chair for consideration at NC17)</w:t>
      </w:r>
    </w:p>
    <w:p w14:paraId="745CD34F" w14:textId="596302C4" w:rsidR="004712C8" w:rsidRDefault="00FC715E">
      <w:pPr>
        <w:pStyle w:val="BodyText"/>
        <w:spacing w:line="30" w:lineRule="exact"/>
        <w:ind w:left="91"/>
        <w:rPr>
          <w:sz w:val="3"/>
        </w:rPr>
      </w:pPr>
      <w:r>
        <w:rPr>
          <w:noProof/>
          <w:sz w:val="3"/>
        </w:rPr>
        <mc:AlternateContent>
          <mc:Choice Requires="wpg">
            <w:drawing>
              <wp:inline distT="0" distB="0" distL="0" distR="0" wp14:anchorId="1B068D99" wp14:editId="71F18407">
                <wp:extent cx="5953760" cy="18415"/>
                <wp:effectExtent l="10160" t="2540" r="17780" b="762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8415"/>
                          <a:chOff x="0" y="0"/>
                          <a:chExt cx="9376" cy="29"/>
                        </a:xfrm>
                      </wpg:grpSpPr>
                      <wps:wsp>
                        <wps:cNvPr id="8" name="Line 7"/>
                        <wps:cNvCnPr>
                          <a:cxnSpLocks noChangeShapeType="1"/>
                        </wps:cNvCnPr>
                        <wps:spPr bwMode="auto">
                          <a:xfrm>
                            <a:off x="0" y="14"/>
                            <a:ext cx="93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77AFEB" id="Group 6" o:spid="_x0000_s1026" style="width:468.8pt;height:1.45pt;mso-position-horizontal-relative:char;mso-position-vertical-relative:line" coordsize="93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U0MAIAANQEAAAOAAAAZHJzL2Uyb0RvYy54bWyklM2O2jAQx++V+g6W7yVAl6+IsAfY5UJb&#10;pN0+wOA4iVXHtmxD4O07trPQspdqy8GyMx+e+f3HLB/PrSQnbp3QqqCjwZASrpguhaoL+vP1+cuc&#10;EudBlSC14gW9cEcfV58/LTuT87FutCy5JZhEubwzBW28N3mWOdbwFtxAG67QWGnbgsejrbPSQofZ&#10;W5mNh8Np1mlbGqsZdw6/bpKRrmL+quLM/6gqxz2RBcXafFxtXA9hzVZLyGsLphGsLwM+UEULQuGl&#10;11Qb8ECOVrxL1QpmtdOVHzDdZrqqBOOxB+xmNLzrZmv10cRe6ryrzRUTor3j9OG07Ptpb4koCzqj&#10;REGLEsVbyTSg6Uydo8fWmhezt6k/3O40++XQnN3bw7lOzuTQfdMlpoOj1xHNubJtSIFNk3NU4HJV&#10;gJ89Yfhxsph8nU1RKIa20fxhNEkKsQZlfBfFmqc+boFRKWi8CBEZ5Om6WGJfUugHp8zdQLr/A/nS&#10;gOFRHxcw9SBx4hPInVCczBLH6LBWCSI7qx4iUXrdgKp5TPV6MQhsFBsIpWLOFBIODhX4R6ijh0Tt&#10;jeqNThz4KxzIjXV+y3VLwqagEiuOWsFp53zi+OYSpFP6WUiJ3yGXinRBovF8HiOclqIM1mB0tj6s&#10;pSUnCM8u/npV/nILqTfgmuQXTalwnHtVxmsaDuVTv/cgZNpjB1LF+UtckrIHXV72NlTd69xPKD6d&#10;OBH9Mw9v889z9Lr9Ga1+AwAA//8DAFBLAwQUAAYACAAAACEAvxhPiNwAAAADAQAADwAAAGRycy9k&#10;b3ducmV2LnhtbEyPQWvCQBCF7wX/wzKCt7qJUltjNiJie5JCtVC8jdkxCWZnQ3ZN4r/vtpf2MvB4&#10;j/e+SdeDqUVHrassK4inEQji3OqKCwWfx9fHFxDOI2usLZOCOzlYZ6OHFBNte/6g7uALEUrYJaig&#10;9L5JpHR5SQbd1DbEwbvY1qAPsi2kbrEP5aaWsyhaSIMVh4USG9qWlF8PN6Pgrcd+M4933f562d5P&#10;x6f3r31MSk3Gw2YFwtPg/8Lwgx/QIQtMZ3tj7UStIDzif2/wlvPnBYizgtkSZJbK/+zZNwAAAP//&#10;AwBQSwECLQAUAAYACAAAACEAtoM4kv4AAADhAQAAEwAAAAAAAAAAAAAAAAAAAAAAW0NvbnRlbnRf&#10;VHlwZXNdLnhtbFBLAQItABQABgAIAAAAIQA4/SH/1gAAAJQBAAALAAAAAAAAAAAAAAAAAC8BAABf&#10;cmVscy8ucmVsc1BLAQItABQABgAIAAAAIQCv5kU0MAIAANQEAAAOAAAAAAAAAAAAAAAAAC4CAABk&#10;cnMvZTJvRG9jLnhtbFBLAQItABQABgAIAAAAIQC/GE+I3AAAAAMBAAAPAAAAAAAAAAAAAAAAAIoE&#10;AABkcnMvZG93bnJldi54bWxQSwUGAAAAAAQABADzAAAAkwUAAAAA&#10;">
                <v:line id="Line 7" o:spid="_x0000_s1027" style="position:absolute;visibility:visible;mso-wrap-style:square" from="0,14" to="93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w10:anchorlock/>
              </v:group>
            </w:pict>
          </mc:Fallback>
        </mc:AlternateContent>
      </w:r>
    </w:p>
    <w:p w14:paraId="282367A6" w14:textId="7AE3CE3B" w:rsidR="004712C8" w:rsidRDefault="00A6061C">
      <w:pPr>
        <w:ind w:right="113"/>
        <w:jc w:val="right"/>
        <w:rPr>
          <w:b/>
        </w:rPr>
      </w:pPr>
      <w:r>
        <w:rPr>
          <w:b/>
        </w:rPr>
        <w:t>Harvest Strategy 20</w:t>
      </w:r>
      <w:r w:rsidR="00FC715E" w:rsidRPr="003A1DF4">
        <w:rPr>
          <w:b/>
          <w:u w:val="single"/>
        </w:rPr>
        <w:t>21</w:t>
      </w:r>
      <w:r>
        <w:rPr>
          <w:b/>
        </w:rPr>
        <w:t>-</w:t>
      </w:r>
      <w:r w:rsidR="00FC715E" w:rsidRPr="003A1DF4">
        <w:rPr>
          <w:b/>
          <w:u w:val="single"/>
        </w:rPr>
        <w:t>XX</w:t>
      </w:r>
    </w:p>
    <w:p w14:paraId="714C1F26" w14:textId="77777777" w:rsidR="004712C8" w:rsidRDefault="004712C8">
      <w:pPr>
        <w:pStyle w:val="BodyText"/>
        <w:rPr>
          <w:b/>
          <w:sz w:val="14"/>
        </w:rPr>
      </w:pPr>
    </w:p>
    <w:p w14:paraId="1053D876" w14:textId="77777777" w:rsidR="004712C8" w:rsidRDefault="00A6061C">
      <w:pPr>
        <w:pStyle w:val="Heading1"/>
        <w:spacing w:before="90"/>
        <w:ind w:left="120" w:firstLine="0"/>
        <w:jc w:val="both"/>
      </w:pPr>
      <w:r>
        <w:t>Introduction and scope</w:t>
      </w:r>
    </w:p>
    <w:p w14:paraId="7BA3F0D1" w14:textId="77777777" w:rsidR="004712C8" w:rsidRDefault="004712C8">
      <w:pPr>
        <w:pStyle w:val="BodyText"/>
        <w:spacing w:before="7"/>
        <w:rPr>
          <w:b/>
          <w:sz w:val="23"/>
        </w:rPr>
      </w:pPr>
    </w:p>
    <w:p w14:paraId="5B5A8CD7" w14:textId="77777777" w:rsidR="004712C8" w:rsidRDefault="00A6061C">
      <w:pPr>
        <w:pStyle w:val="BodyText"/>
        <w:ind w:left="120" w:right="123"/>
        <w:jc w:val="both"/>
      </w:pPr>
      <w:r>
        <w:t>This harvest strategy has been prepared in accordance with the Commission’s Conservation and Management Measure on Establishing a Harvest Strategy for Key Fisheries and Stocks in the Western and Central Pacific Ocean.</w:t>
      </w:r>
    </w:p>
    <w:p w14:paraId="3BDA0B51" w14:textId="77777777" w:rsidR="004712C8" w:rsidRDefault="004712C8">
      <w:pPr>
        <w:pStyle w:val="BodyText"/>
      </w:pPr>
    </w:p>
    <w:p w14:paraId="36F0FBE4" w14:textId="77777777" w:rsidR="004712C8" w:rsidRDefault="00A6061C">
      <w:pPr>
        <w:pStyle w:val="BodyText"/>
        <w:ind w:left="120" w:right="118"/>
        <w:jc w:val="both"/>
      </w:pPr>
      <w:r>
        <w:t>Although</w:t>
      </w:r>
      <w:r>
        <w:rPr>
          <w:spacing w:val="-3"/>
        </w:rPr>
        <w:t xml:space="preserve"> </w:t>
      </w:r>
      <w:r>
        <w:t>the</w:t>
      </w:r>
      <w:r>
        <w:rPr>
          <w:spacing w:val="-2"/>
        </w:rPr>
        <w:t xml:space="preserve"> </w:t>
      </w:r>
      <w:r>
        <w:t>provisions</w:t>
      </w:r>
      <w:r>
        <w:rPr>
          <w:spacing w:val="-2"/>
        </w:rPr>
        <w:t xml:space="preserve"> </w:t>
      </w:r>
      <w:r>
        <w:t>of</w:t>
      </w:r>
      <w:r>
        <w:rPr>
          <w:spacing w:val="-3"/>
        </w:rPr>
        <w:t xml:space="preserve"> </w:t>
      </w:r>
      <w:r>
        <w:t>this</w:t>
      </w:r>
      <w:r>
        <w:rPr>
          <w:spacing w:val="-3"/>
        </w:rPr>
        <w:t xml:space="preserve"> </w:t>
      </w:r>
      <w:r>
        <w:t>harvest</w:t>
      </w:r>
      <w:r>
        <w:rPr>
          <w:spacing w:val="-1"/>
        </w:rPr>
        <w:t xml:space="preserve"> </w:t>
      </w:r>
      <w:r>
        <w:t>strategy</w:t>
      </w:r>
      <w:r>
        <w:rPr>
          <w:spacing w:val="-7"/>
        </w:rPr>
        <w:t xml:space="preserve"> </w:t>
      </w:r>
      <w:r>
        <w:t>are</w:t>
      </w:r>
      <w:r>
        <w:rPr>
          <w:spacing w:val="-4"/>
        </w:rPr>
        <w:t xml:space="preserve"> </w:t>
      </w:r>
      <w:r>
        <w:t>expressed</w:t>
      </w:r>
      <w:r>
        <w:rPr>
          <w:spacing w:val="-2"/>
        </w:rPr>
        <w:t xml:space="preserve"> </w:t>
      </w:r>
      <w:r>
        <w:t>in</w:t>
      </w:r>
      <w:r>
        <w:rPr>
          <w:spacing w:val="-2"/>
        </w:rPr>
        <w:t xml:space="preserve"> </w:t>
      </w:r>
      <w:r>
        <w:t>terms</w:t>
      </w:r>
      <w:r>
        <w:rPr>
          <w:spacing w:val="-2"/>
        </w:rPr>
        <w:t xml:space="preserve"> </w:t>
      </w:r>
      <w:r>
        <w:t>of</w:t>
      </w:r>
      <w:r>
        <w:rPr>
          <w:spacing w:val="-3"/>
        </w:rPr>
        <w:t xml:space="preserve"> </w:t>
      </w:r>
      <w:r>
        <w:t>a</w:t>
      </w:r>
      <w:r>
        <w:rPr>
          <w:spacing w:val="-1"/>
        </w:rPr>
        <w:t xml:space="preserve"> </w:t>
      </w:r>
      <w:r>
        <w:t>single</w:t>
      </w:r>
      <w:r>
        <w:rPr>
          <w:spacing w:val="-2"/>
        </w:rPr>
        <w:t xml:space="preserve"> </w:t>
      </w:r>
      <w:r>
        <w:t>stock,</w:t>
      </w:r>
      <w:r>
        <w:rPr>
          <w:spacing w:val="-3"/>
        </w:rPr>
        <w:t xml:space="preserve"> </w:t>
      </w:r>
      <w:r>
        <w:t>they</w:t>
      </w:r>
      <w:r>
        <w:rPr>
          <w:spacing w:val="-7"/>
        </w:rPr>
        <w:t xml:space="preserve"> </w:t>
      </w:r>
      <w:r>
        <w:t>may be applied to multiple stocks as appropriate and as determined by the Northern</w:t>
      </w:r>
      <w:r>
        <w:rPr>
          <w:spacing w:val="-10"/>
        </w:rPr>
        <w:t xml:space="preserve"> </w:t>
      </w:r>
      <w:r>
        <w:t>Committee.</w:t>
      </w:r>
    </w:p>
    <w:p w14:paraId="55FC2F05" w14:textId="77777777" w:rsidR="004712C8" w:rsidRDefault="004712C8">
      <w:pPr>
        <w:pStyle w:val="BodyText"/>
        <w:spacing w:before="5"/>
      </w:pPr>
    </w:p>
    <w:p w14:paraId="46A4C0D0" w14:textId="77777777" w:rsidR="004712C8" w:rsidRDefault="00A6061C">
      <w:pPr>
        <w:pStyle w:val="Heading1"/>
        <w:numPr>
          <w:ilvl w:val="0"/>
          <w:numId w:val="3"/>
        </w:numPr>
        <w:tabs>
          <w:tab w:val="left" w:pos="421"/>
        </w:tabs>
        <w:ind w:hanging="301"/>
      </w:pPr>
      <w:r>
        <w:t>Management</w:t>
      </w:r>
      <w:r>
        <w:rPr>
          <w:spacing w:val="-1"/>
        </w:rPr>
        <w:t xml:space="preserve"> </w:t>
      </w:r>
      <w:r>
        <w:t>objectives</w:t>
      </w:r>
    </w:p>
    <w:p w14:paraId="3985B7EA" w14:textId="77777777" w:rsidR="004712C8" w:rsidRDefault="004712C8">
      <w:pPr>
        <w:pStyle w:val="BodyText"/>
        <w:spacing w:before="7"/>
        <w:rPr>
          <w:b/>
          <w:sz w:val="23"/>
        </w:rPr>
      </w:pPr>
    </w:p>
    <w:p w14:paraId="59ED695E" w14:textId="77777777" w:rsidR="004712C8" w:rsidRDefault="00A6061C">
      <w:pPr>
        <w:pStyle w:val="BodyText"/>
        <w:ind w:left="120" w:right="117"/>
        <w:jc w:val="both"/>
      </w:pPr>
      <w:r>
        <w:t>The management objectives are, first, to support thriving Pacific bluefin tuna fisheries across the Pacific Ocean while recognizing that the management objectives of the WCPFC are to maintain or</w:t>
      </w:r>
      <w:r>
        <w:rPr>
          <w:spacing w:val="-9"/>
        </w:rPr>
        <w:t xml:space="preserve"> </w:t>
      </w:r>
      <w:r>
        <w:t>restore</w:t>
      </w:r>
      <w:r>
        <w:rPr>
          <w:spacing w:val="-10"/>
        </w:rPr>
        <w:t xml:space="preserve"> </w:t>
      </w:r>
      <w:r>
        <w:t>the</w:t>
      </w:r>
      <w:r>
        <w:rPr>
          <w:spacing w:val="-9"/>
        </w:rPr>
        <w:t xml:space="preserve"> </w:t>
      </w:r>
      <w:r>
        <w:t>stock</w:t>
      </w:r>
      <w:r>
        <w:rPr>
          <w:spacing w:val="-6"/>
        </w:rPr>
        <w:t xml:space="preserve"> </w:t>
      </w:r>
      <w:r>
        <w:t>at</w:t>
      </w:r>
      <w:r>
        <w:rPr>
          <w:spacing w:val="-8"/>
        </w:rPr>
        <w:t xml:space="preserve"> </w:t>
      </w:r>
      <w:r>
        <w:t>levels</w:t>
      </w:r>
      <w:r>
        <w:rPr>
          <w:spacing w:val="-8"/>
        </w:rPr>
        <w:t xml:space="preserve"> </w:t>
      </w:r>
      <w:r>
        <w:t>capable</w:t>
      </w:r>
      <w:r>
        <w:rPr>
          <w:spacing w:val="-8"/>
        </w:rPr>
        <w:t xml:space="preserve"> </w:t>
      </w:r>
      <w:r>
        <w:t>of</w:t>
      </w:r>
      <w:r>
        <w:rPr>
          <w:spacing w:val="-9"/>
        </w:rPr>
        <w:t xml:space="preserve"> </w:t>
      </w:r>
      <w:r>
        <w:t>producing</w:t>
      </w:r>
      <w:r>
        <w:rPr>
          <w:spacing w:val="-9"/>
        </w:rPr>
        <w:t xml:space="preserve"> </w:t>
      </w:r>
      <w:r>
        <w:t>maximum</w:t>
      </w:r>
      <w:r>
        <w:rPr>
          <w:spacing w:val="-11"/>
        </w:rPr>
        <w:t xml:space="preserve"> </w:t>
      </w:r>
      <w:r>
        <w:t>sustainable</w:t>
      </w:r>
      <w:r>
        <w:rPr>
          <w:spacing w:val="-6"/>
        </w:rPr>
        <w:t xml:space="preserve"> </w:t>
      </w:r>
      <w:r>
        <w:t>yield,</w:t>
      </w:r>
      <w:r>
        <w:rPr>
          <w:spacing w:val="-8"/>
        </w:rPr>
        <w:t xml:space="preserve"> </w:t>
      </w:r>
      <w:r>
        <w:t>second,</w:t>
      </w:r>
      <w:r>
        <w:rPr>
          <w:spacing w:val="-9"/>
        </w:rPr>
        <w:t xml:space="preserve"> </w:t>
      </w:r>
      <w:r>
        <w:t>to</w:t>
      </w:r>
      <w:r>
        <w:rPr>
          <w:spacing w:val="-7"/>
        </w:rPr>
        <w:t xml:space="preserve"> </w:t>
      </w:r>
      <w:r>
        <w:t>maintain an equitable balance of fishing privileges among CCMs and, third, to seek cooperation with IATTC</w:t>
      </w:r>
      <w:r>
        <w:rPr>
          <w:spacing w:val="-6"/>
        </w:rPr>
        <w:t xml:space="preserve"> </w:t>
      </w:r>
      <w:r>
        <w:t>to</w:t>
      </w:r>
      <w:r>
        <w:rPr>
          <w:spacing w:val="-6"/>
        </w:rPr>
        <w:t xml:space="preserve"> </w:t>
      </w:r>
      <w:r>
        <w:t>find</w:t>
      </w:r>
      <w:r>
        <w:rPr>
          <w:spacing w:val="-7"/>
        </w:rPr>
        <w:t xml:space="preserve"> </w:t>
      </w:r>
      <w:r>
        <w:t>an</w:t>
      </w:r>
      <w:r>
        <w:rPr>
          <w:spacing w:val="-6"/>
        </w:rPr>
        <w:t xml:space="preserve"> </w:t>
      </w:r>
      <w:r>
        <w:t>equitable</w:t>
      </w:r>
      <w:r>
        <w:rPr>
          <w:spacing w:val="-6"/>
        </w:rPr>
        <w:t xml:space="preserve"> </w:t>
      </w:r>
      <w:r>
        <w:t>balance</w:t>
      </w:r>
      <w:r>
        <w:rPr>
          <w:spacing w:val="-7"/>
        </w:rPr>
        <w:t xml:space="preserve"> </w:t>
      </w:r>
      <w:r>
        <w:t>between</w:t>
      </w:r>
      <w:r>
        <w:rPr>
          <w:spacing w:val="-6"/>
        </w:rPr>
        <w:t xml:space="preserve"> </w:t>
      </w:r>
      <w:r>
        <w:t>the</w:t>
      </w:r>
      <w:r>
        <w:rPr>
          <w:spacing w:val="-7"/>
        </w:rPr>
        <w:t xml:space="preserve"> </w:t>
      </w:r>
      <w:r>
        <w:t>fisheries</w:t>
      </w:r>
      <w:r>
        <w:rPr>
          <w:spacing w:val="-6"/>
        </w:rPr>
        <w:t xml:space="preserve"> </w:t>
      </w:r>
      <w:r>
        <w:t>in</w:t>
      </w:r>
      <w:r>
        <w:rPr>
          <w:spacing w:val="-5"/>
        </w:rPr>
        <w:t xml:space="preserve"> </w:t>
      </w:r>
      <w:r>
        <w:t>the</w:t>
      </w:r>
      <w:r>
        <w:rPr>
          <w:spacing w:val="-7"/>
        </w:rPr>
        <w:t xml:space="preserve"> </w:t>
      </w:r>
      <w:r>
        <w:t>western</w:t>
      </w:r>
      <w:r>
        <w:rPr>
          <w:spacing w:val="-6"/>
        </w:rPr>
        <w:t xml:space="preserve"> </w:t>
      </w:r>
      <w:r>
        <w:t>and</w:t>
      </w:r>
      <w:r>
        <w:rPr>
          <w:spacing w:val="-6"/>
        </w:rPr>
        <w:t xml:space="preserve"> </w:t>
      </w:r>
      <w:r>
        <w:t>central</w:t>
      </w:r>
      <w:r>
        <w:rPr>
          <w:spacing w:val="-6"/>
        </w:rPr>
        <w:t xml:space="preserve"> </w:t>
      </w:r>
      <w:r>
        <w:t>Pacific</w:t>
      </w:r>
      <w:r>
        <w:rPr>
          <w:spacing w:val="-6"/>
        </w:rPr>
        <w:t xml:space="preserve"> </w:t>
      </w:r>
      <w:r>
        <w:t>Ocean (WCPO) and those in the eastern Pacific Ocean</w:t>
      </w:r>
      <w:r>
        <w:rPr>
          <w:spacing w:val="-4"/>
        </w:rPr>
        <w:t xml:space="preserve"> </w:t>
      </w:r>
      <w:r>
        <w:t>(EPO).</w:t>
      </w:r>
    </w:p>
    <w:p w14:paraId="03F0216E" w14:textId="77777777" w:rsidR="004712C8" w:rsidRDefault="004712C8">
      <w:pPr>
        <w:pStyle w:val="BodyText"/>
        <w:spacing w:before="5"/>
      </w:pPr>
    </w:p>
    <w:p w14:paraId="2E3F2A1E" w14:textId="77777777" w:rsidR="004712C8" w:rsidRDefault="00A6061C">
      <w:pPr>
        <w:pStyle w:val="Heading1"/>
        <w:numPr>
          <w:ilvl w:val="0"/>
          <w:numId w:val="3"/>
        </w:numPr>
        <w:tabs>
          <w:tab w:val="left" w:pos="421"/>
        </w:tabs>
        <w:ind w:hanging="301"/>
      </w:pPr>
      <w:r>
        <w:t>Reference</w:t>
      </w:r>
      <w:r>
        <w:rPr>
          <w:spacing w:val="-2"/>
        </w:rPr>
        <w:t xml:space="preserve"> </w:t>
      </w:r>
      <w:r>
        <w:t>points</w:t>
      </w:r>
    </w:p>
    <w:p w14:paraId="483F7A5E" w14:textId="77777777" w:rsidR="004712C8" w:rsidRDefault="004712C8">
      <w:pPr>
        <w:pStyle w:val="BodyText"/>
        <w:spacing w:before="2"/>
        <w:rPr>
          <w:b/>
        </w:rPr>
      </w:pPr>
    </w:p>
    <w:p w14:paraId="46464E33" w14:textId="6A43CF40" w:rsidR="004712C8" w:rsidRDefault="00A6061C">
      <w:pPr>
        <w:pStyle w:val="BodyText"/>
        <w:spacing w:line="232" w:lineRule="auto"/>
        <w:ind w:left="120" w:right="119"/>
        <w:jc w:val="both"/>
      </w:pPr>
      <w:r>
        <w:t>Because steepness in the stock-recruitment relationship is not well known but the key biological and fishery variables are reasonably well estimated</w:t>
      </w:r>
      <w:r w:rsidR="00EF7A27">
        <w:rPr>
          <w:rStyle w:val="FootnoteReference"/>
        </w:rPr>
        <w:footnoteReference w:customMarkFollows="1" w:id="1"/>
        <w:t>1</w:t>
      </w:r>
      <w:r>
        <w:t>,</w:t>
      </w:r>
      <w:r>
        <w:rPr>
          <w:position w:val="9"/>
          <w:sz w:val="16"/>
        </w:rPr>
        <w:t xml:space="preserve"> </w:t>
      </w:r>
      <w:r>
        <w:t>the stock of PBF is to be treated as a Level</w:t>
      </w:r>
      <w:r>
        <w:rPr>
          <w:spacing w:val="-25"/>
        </w:rPr>
        <w:t xml:space="preserve"> </w:t>
      </w:r>
      <w:r>
        <w:t>2 stock under the Commission’s hierarchical approach for setting biological limit reference</w:t>
      </w:r>
      <w:r>
        <w:rPr>
          <w:spacing w:val="-22"/>
        </w:rPr>
        <w:t xml:space="preserve"> </w:t>
      </w:r>
      <w:r>
        <w:t>points.</w:t>
      </w:r>
    </w:p>
    <w:p w14:paraId="1232E381" w14:textId="77777777" w:rsidR="004712C8" w:rsidRDefault="004712C8">
      <w:pPr>
        <w:pStyle w:val="BodyText"/>
        <w:spacing w:before="8"/>
      </w:pPr>
    </w:p>
    <w:p w14:paraId="454E91B2" w14:textId="77777777" w:rsidR="004712C8" w:rsidRDefault="00A6061C">
      <w:pPr>
        <w:pStyle w:val="Heading1"/>
        <w:numPr>
          <w:ilvl w:val="1"/>
          <w:numId w:val="3"/>
        </w:numPr>
        <w:tabs>
          <w:tab w:val="left" w:pos="541"/>
        </w:tabs>
        <w:ind w:hanging="421"/>
      </w:pPr>
      <w:r>
        <w:t>Rebuilding</w:t>
      </w:r>
      <w:r>
        <w:rPr>
          <w:spacing w:val="-1"/>
        </w:rPr>
        <w:t xml:space="preserve"> </w:t>
      </w:r>
      <w:r>
        <w:t>targets</w:t>
      </w:r>
    </w:p>
    <w:p w14:paraId="72383E97" w14:textId="77777777" w:rsidR="004712C8" w:rsidRDefault="004712C8">
      <w:pPr>
        <w:pStyle w:val="BodyText"/>
        <w:spacing w:before="7"/>
        <w:rPr>
          <w:b/>
          <w:sz w:val="23"/>
        </w:rPr>
      </w:pPr>
    </w:p>
    <w:p w14:paraId="5A0A836F" w14:textId="77777777" w:rsidR="00EF7A27" w:rsidRDefault="00A6061C" w:rsidP="00EF7A27">
      <w:pPr>
        <w:pStyle w:val="BodyText"/>
        <w:ind w:left="120" w:right="121"/>
        <w:jc w:val="both"/>
      </w:pPr>
      <w:r>
        <w:rPr>
          <w:b/>
        </w:rPr>
        <w:t xml:space="preserve">Initial rebuilding target: </w:t>
      </w:r>
      <w:r>
        <w:t>The initial rebuilding target for the PBF stock size is the median SSB estimated for the period 1952 through 2014, to be reached by 2024 with at least 60% probability.</w:t>
      </w:r>
    </w:p>
    <w:p w14:paraId="0B5653D3" w14:textId="77777777" w:rsidR="00EF7A27" w:rsidRDefault="00EF7A27" w:rsidP="00EF7A27">
      <w:pPr>
        <w:pStyle w:val="BodyText"/>
        <w:ind w:left="120" w:right="121"/>
        <w:jc w:val="both"/>
      </w:pPr>
    </w:p>
    <w:p w14:paraId="3784377B" w14:textId="77777777" w:rsidR="00C06959" w:rsidRDefault="00A6061C" w:rsidP="00C06959">
      <w:pPr>
        <w:pStyle w:val="BodyText"/>
        <w:ind w:left="120" w:right="121"/>
        <w:jc w:val="both"/>
      </w:pPr>
      <w:proofErr w:type="gramStart"/>
      <w:r>
        <w:rPr>
          <w:b/>
        </w:rPr>
        <w:t>Recruitment  scenario</w:t>
      </w:r>
      <w:proofErr w:type="gramEnd"/>
      <w:r>
        <w:rPr>
          <w:b/>
        </w:rPr>
        <w:t xml:space="preserve">   during  initial </w:t>
      </w:r>
      <w:r>
        <w:rPr>
          <w:b/>
          <w:spacing w:val="36"/>
        </w:rPr>
        <w:t xml:space="preserve"> </w:t>
      </w:r>
      <w:r>
        <w:rPr>
          <w:b/>
        </w:rPr>
        <w:t xml:space="preserve">rebuilding </w:t>
      </w:r>
      <w:r>
        <w:rPr>
          <w:b/>
          <w:spacing w:val="23"/>
        </w:rPr>
        <w:t xml:space="preserve"> </w:t>
      </w:r>
      <w:r>
        <w:rPr>
          <w:b/>
        </w:rPr>
        <w:t>period:</w:t>
      </w:r>
      <w:r>
        <w:rPr>
          <w:b/>
        </w:rPr>
        <w:tab/>
      </w:r>
      <w:r>
        <w:t xml:space="preserve">The low recruitment </w:t>
      </w:r>
      <w:r>
        <w:rPr>
          <w:spacing w:val="-3"/>
        </w:rPr>
        <w:t xml:space="preserve">scenario </w:t>
      </w:r>
      <w:r>
        <w:t xml:space="preserve">(resampling from the relatively low recruitment period (1980-1989)) or the recent recruitment scenario (resampling from the last 10 years), whichever is lower, will be used for the ISC’s SSB </w:t>
      </w:r>
      <w:r>
        <w:lastRenderedPageBreak/>
        <w:t xml:space="preserve">projections until 2024 or until the SSB reaches the initial rebuilding target, whichever is earlier. The ISC is requested to periodically evaluate whether the recruitment scenario used during the initial rebuilding period is reasonable given current conditions, and to make recommendations on whether a different scenario should be used. </w:t>
      </w:r>
      <w:r>
        <w:rPr>
          <w:spacing w:val="-3"/>
        </w:rPr>
        <w:t xml:space="preserve">If </w:t>
      </w:r>
      <w:r>
        <w:t>ISC recommends a different scenario, this will be considered by the</w:t>
      </w:r>
      <w:r>
        <w:rPr>
          <w:spacing w:val="-4"/>
        </w:rPr>
        <w:t xml:space="preserve"> </w:t>
      </w:r>
      <w:r>
        <w:t>NC.</w:t>
      </w:r>
    </w:p>
    <w:p w14:paraId="5592A91F" w14:textId="77777777" w:rsidR="00C06959" w:rsidRDefault="00C06959" w:rsidP="00C06959">
      <w:pPr>
        <w:pStyle w:val="BodyText"/>
        <w:ind w:left="120" w:right="121"/>
        <w:jc w:val="both"/>
      </w:pPr>
    </w:p>
    <w:p w14:paraId="5920BA85" w14:textId="66513CB4" w:rsidR="004712C8" w:rsidRPr="00EF7A27" w:rsidRDefault="00A6061C" w:rsidP="00C06959">
      <w:pPr>
        <w:pStyle w:val="BodyText"/>
        <w:ind w:left="120" w:right="121"/>
        <w:jc w:val="both"/>
      </w:pPr>
      <w:r>
        <w:rPr>
          <w:b/>
        </w:rPr>
        <w:t xml:space="preserve">Second rebuilding target: </w:t>
      </w:r>
      <w:r>
        <w:t>The second rebuilding target for the PBF stock size is 20%SSB</w:t>
      </w:r>
      <w:r w:rsidR="00EF7A27" w:rsidRPr="00EF7A27">
        <w:rPr>
          <w:vertAlign w:val="subscript"/>
        </w:rPr>
        <w:t>F=0</w:t>
      </w:r>
      <w:r w:rsidR="00EF7A27">
        <w:rPr>
          <w:rStyle w:val="FootnoteReference"/>
        </w:rPr>
        <w:footnoteReference w:customMarkFollows="1" w:id="2"/>
        <w:t>2</w:t>
      </w:r>
      <w:r w:rsidR="00EF7A27">
        <w:t xml:space="preserve">, </w:t>
      </w:r>
      <w:r>
        <w:t>to</w:t>
      </w:r>
      <w:r>
        <w:rPr>
          <w:spacing w:val="-3"/>
        </w:rPr>
        <w:t xml:space="preserve"> </w:t>
      </w:r>
      <w:r>
        <w:t>be</w:t>
      </w:r>
      <w:r>
        <w:rPr>
          <w:spacing w:val="-4"/>
        </w:rPr>
        <w:t xml:space="preserve"> </w:t>
      </w:r>
      <w:r>
        <w:t>reached</w:t>
      </w:r>
      <w:r>
        <w:rPr>
          <w:spacing w:val="-3"/>
        </w:rPr>
        <w:t xml:space="preserve"> </w:t>
      </w:r>
      <w:r>
        <w:t>by</w:t>
      </w:r>
      <w:r>
        <w:rPr>
          <w:spacing w:val="-8"/>
        </w:rPr>
        <w:t xml:space="preserve"> </w:t>
      </w:r>
      <w:r>
        <w:t>2034,</w:t>
      </w:r>
      <w:r>
        <w:rPr>
          <w:spacing w:val="-4"/>
        </w:rPr>
        <w:t xml:space="preserve"> </w:t>
      </w:r>
      <w:r>
        <w:t>or</w:t>
      </w:r>
      <w:r>
        <w:rPr>
          <w:spacing w:val="-1"/>
        </w:rPr>
        <w:t xml:space="preserve"> </w:t>
      </w:r>
      <w:r>
        <w:t>10 years</w:t>
      </w:r>
      <w:r>
        <w:rPr>
          <w:spacing w:val="-3"/>
        </w:rPr>
        <w:t xml:space="preserve"> </w:t>
      </w:r>
      <w:r>
        <w:t>after</w:t>
      </w:r>
      <w:r>
        <w:rPr>
          <w:spacing w:val="-5"/>
        </w:rPr>
        <w:t xml:space="preserve"> </w:t>
      </w:r>
      <w:r>
        <w:t>reaching</w:t>
      </w:r>
      <w:r>
        <w:rPr>
          <w:spacing w:val="-2"/>
        </w:rPr>
        <w:t xml:space="preserve"> </w:t>
      </w:r>
      <w:r>
        <w:t>the</w:t>
      </w:r>
      <w:r>
        <w:rPr>
          <w:spacing w:val="-3"/>
        </w:rPr>
        <w:t xml:space="preserve"> </w:t>
      </w:r>
      <w:r>
        <w:t>initial</w:t>
      </w:r>
      <w:r>
        <w:rPr>
          <w:spacing w:val="-2"/>
        </w:rPr>
        <w:t xml:space="preserve"> </w:t>
      </w:r>
      <w:r>
        <w:t>rebuilding</w:t>
      </w:r>
      <w:r>
        <w:rPr>
          <w:spacing w:val="-6"/>
        </w:rPr>
        <w:t xml:space="preserve"> </w:t>
      </w:r>
      <w:r>
        <w:t>target,</w:t>
      </w:r>
      <w:r>
        <w:rPr>
          <w:spacing w:val="-2"/>
        </w:rPr>
        <w:t xml:space="preserve"> </w:t>
      </w:r>
      <w:r>
        <w:t>whichever</w:t>
      </w:r>
      <w:r>
        <w:rPr>
          <w:spacing w:val="-4"/>
        </w:rPr>
        <w:t xml:space="preserve"> </w:t>
      </w:r>
      <w:r>
        <w:t>is</w:t>
      </w:r>
      <w:r>
        <w:rPr>
          <w:spacing w:val="-2"/>
        </w:rPr>
        <w:t xml:space="preserve"> </w:t>
      </w:r>
      <w:r>
        <w:t>earlier, with at least 60%</w:t>
      </w:r>
      <w:r>
        <w:rPr>
          <w:spacing w:val="-1"/>
        </w:rPr>
        <w:t xml:space="preserve"> </w:t>
      </w:r>
      <w:r>
        <w:t>probability.</w:t>
      </w:r>
    </w:p>
    <w:p w14:paraId="57A07521" w14:textId="77777777" w:rsidR="004712C8" w:rsidRDefault="004712C8">
      <w:pPr>
        <w:pStyle w:val="BodyText"/>
        <w:spacing w:before="10"/>
        <w:rPr>
          <w:sz w:val="23"/>
        </w:rPr>
      </w:pPr>
    </w:p>
    <w:p w14:paraId="41BA53A5" w14:textId="77777777" w:rsidR="004712C8" w:rsidRDefault="00A6061C">
      <w:pPr>
        <w:pStyle w:val="BodyText"/>
        <w:ind w:left="120" w:right="121"/>
        <w:jc w:val="both"/>
      </w:pPr>
      <w:r>
        <w:t>However, if: (1) the SSB reaches the initial rebuilding target earlier than 2024; (2) ISC recommends a recruitment scenario lower than the average recruitment scenario; and (3) the SSB projections indicate that the second rebuilding target will not be achieved on this schedule, the deadline for rebuilding may be extended to 2034 at the latest.</w:t>
      </w:r>
    </w:p>
    <w:p w14:paraId="2427C6EC" w14:textId="77777777" w:rsidR="004712C8" w:rsidRDefault="004712C8">
      <w:pPr>
        <w:pStyle w:val="BodyText"/>
        <w:spacing w:before="11"/>
        <w:rPr>
          <w:sz w:val="23"/>
        </w:rPr>
      </w:pPr>
    </w:p>
    <w:p w14:paraId="25070761" w14:textId="77777777" w:rsidR="004712C8" w:rsidRDefault="00A6061C">
      <w:pPr>
        <w:pStyle w:val="BodyText"/>
        <w:ind w:left="120" w:right="116"/>
        <w:jc w:val="both"/>
      </w:pPr>
      <w:r>
        <w:rPr>
          <w:position w:val="2"/>
        </w:rPr>
        <w:t>Also, if there is a recommendation from the Northern Committee that 20%SSB</w:t>
      </w:r>
      <w:r>
        <w:rPr>
          <w:sz w:val="16"/>
        </w:rPr>
        <w:t xml:space="preserve">F=0 </w:t>
      </w:r>
      <w:r>
        <w:rPr>
          <w:position w:val="2"/>
        </w:rPr>
        <w:t xml:space="preserve">is not </w:t>
      </w:r>
      <w:r>
        <w:t xml:space="preserve">appropriate as the second rebuilding target, </w:t>
      </w:r>
      <w:proofErr w:type="gramStart"/>
      <w:r>
        <w:t>taking into account</w:t>
      </w:r>
      <w:proofErr w:type="gramEnd"/>
      <w:r>
        <w:t xml:space="preserve"> consideration from IATTC, scientific advice from ISC, IATTC or WCPFC SC, and socioeconomic factors, another objective may be established.</w:t>
      </w:r>
    </w:p>
    <w:p w14:paraId="19B2DE32" w14:textId="77777777" w:rsidR="004712C8" w:rsidRDefault="004712C8">
      <w:pPr>
        <w:pStyle w:val="BodyText"/>
        <w:spacing w:before="9"/>
        <w:rPr>
          <w:sz w:val="23"/>
        </w:rPr>
      </w:pPr>
    </w:p>
    <w:p w14:paraId="7E02E25A" w14:textId="77777777" w:rsidR="004712C8" w:rsidRDefault="00A6061C">
      <w:pPr>
        <w:pStyle w:val="BodyText"/>
        <w:spacing w:before="1"/>
        <w:ind w:left="120" w:right="119"/>
        <w:jc w:val="both"/>
      </w:pPr>
      <w:r>
        <w:rPr>
          <w:b/>
        </w:rPr>
        <w:t xml:space="preserve">Recruitment scenario during second rebuilding period: </w:t>
      </w:r>
      <w:r>
        <w:t>After the initial rebuilding target is reached and until the second rebuilding target is reached, the recruitment scenario to be used for the SSB projections will tentatively be the average recruitment scenario (resampling from the entire recruitment period).</w:t>
      </w:r>
    </w:p>
    <w:p w14:paraId="4FB28DC1" w14:textId="77777777" w:rsidR="004712C8" w:rsidRDefault="004712C8">
      <w:pPr>
        <w:pStyle w:val="BodyText"/>
      </w:pPr>
    </w:p>
    <w:p w14:paraId="0FF51715" w14:textId="77777777" w:rsidR="004712C8" w:rsidRDefault="00A6061C">
      <w:pPr>
        <w:pStyle w:val="BodyText"/>
        <w:ind w:left="120" w:right="116"/>
        <w:jc w:val="both"/>
      </w:pPr>
      <w:r>
        <w:t>The ISC is requested to periodically evaluate whether the recruitment scenario used during the second</w:t>
      </w:r>
      <w:r>
        <w:rPr>
          <w:spacing w:val="-9"/>
        </w:rPr>
        <w:t xml:space="preserve"> </w:t>
      </w:r>
      <w:r>
        <w:t>rebuilding</w:t>
      </w:r>
      <w:r>
        <w:rPr>
          <w:spacing w:val="-11"/>
        </w:rPr>
        <w:t xml:space="preserve"> </w:t>
      </w:r>
      <w:r>
        <w:t>period</w:t>
      </w:r>
      <w:r>
        <w:rPr>
          <w:spacing w:val="-6"/>
        </w:rPr>
        <w:t xml:space="preserve"> </w:t>
      </w:r>
      <w:r>
        <w:t>is</w:t>
      </w:r>
      <w:r>
        <w:rPr>
          <w:spacing w:val="-8"/>
        </w:rPr>
        <w:t xml:space="preserve"> </w:t>
      </w:r>
      <w:r>
        <w:t>reasonable</w:t>
      </w:r>
      <w:r>
        <w:rPr>
          <w:spacing w:val="-7"/>
        </w:rPr>
        <w:t xml:space="preserve"> </w:t>
      </w:r>
      <w:r>
        <w:t>given</w:t>
      </w:r>
      <w:r>
        <w:rPr>
          <w:spacing w:val="-8"/>
        </w:rPr>
        <w:t xml:space="preserve"> </w:t>
      </w:r>
      <w:r>
        <w:t>current</w:t>
      </w:r>
      <w:r>
        <w:rPr>
          <w:spacing w:val="-8"/>
        </w:rPr>
        <w:t xml:space="preserve"> </w:t>
      </w:r>
      <w:r>
        <w:t>conditions,</w:t>
      </w:r>
      <w:r>
        <w:rPr>
          <w:spacing w:val="-8"/>
        </w:rPr>
        <w:t xml:space="preserve"> </w:t>
      </w:r>
      <w:r>
        <w:t>and</w:t>
      </w:r>
      <w:r>
        <w:rPr>
          <w:spacing w:val="-8"/>
        </w:rPr>
        <w:t xml:space="preserve"> </w:t>
      </w:r>
      <w:r>
        <w:t>to</w:t>
      </w:r>
      <w:r>
        <w:rPr>
          <w:spacing w:val="-8"/>
        </w:rPr>
        <w:t xml:space="preserve"> </w:t>
      </w:r>
      <w:r>
        <w:t>make</w:t>
      </w:r>
      <w:r>
        <w:rPr>
          <w:spacing w:val="-10"/>
        </w:rPr>
        <w:t xml:space="preserve"> </w:t>
      </w:r>
      <w:r>
        <w:t>recommendations</w:t>
      </w:r>
      <w:r>
        <w:rPr>
          <w:spacing w:val="-7"/>
        </w:rPr>
        <w:t xml:space="preserve"> </w:t>
      </w:r>
      <w:r>
        <w:t xml:space="preserve">on whether a different scenario should be used. </w:t>
      </w:r>
      <w:r>
        <w:rPr>
          <w:spacing w:val="-3"/>
        </w:rPr>
        <w:t xml:space="preserve">If </w:t>
      </w:r>
      <w:r>
        <w:t>ISC recommends a different scenario, this will be considered by the</w:t>
      </w:r>
      <w:r>
        <w:rPr>
          <w:spacing w:val="-4"/>
        </w:rPr>
        <w:t xml:space="preserve"> </w:t>
      </w:r>
      <w:r>
        <w:t>NC.</w:t>
      </w:r>
    </w:p>
    <w:p w14:paraId="48833EAB" w14:textId="77777777" w:rsidR="004712C8" w:rsidRDefault="004712C8">
      <w:pPr>
        <w:pStyle w:val="BodyText"/>
        <w:spacing w:before="5"/>
      </w:pPr>
    </w:p>
    <w:p w14:paraId="6E080F3E" w14:textId="77777777" w:rsidR="004712C8" w:rsidRDefault="00A6061C">
      <w:pPr>
        <w:pStyle w:val="Heading1"/>
        <w:numPr>
          <w:ilvl w:val="1"/>
          <w:numId w:val="3"/>
        </w:numPr>
        <w:tabs>
          <w:tab w:val="left" w:pos="541"/>
        </w:tabs>
        <w:ind w:hanging="421"/>
      </w:pPr>
      <w:r>
        <w:t>Development of reference</w:t>
      </w:r>
      <w:r>
        <w:rPr>
          <w:spacing w:val="-2"/>
        </w:rPr>
        <w:t xml:space="preserve"> </w:t>
      </w:r>
      <w:r>
        <w:t>points</w:t>
      </w:r>
    </w:p>
    <w:p w14:paraId="463DB7A8" w14:textId="77777777" w:rsidR="004712C8" w:rsidRDefault="004712C8">
      <w:pPr>
        <w:pStyle w:val="BodyText"/>
        <w:spacing w:before="7"/>
        <w:rPr>
          <w:b/>
          <w:sz w:val="23"/>
        </w:rPr>
      </w:pPr>
    </w:p>
    <w:p w14:paraId="48BB84DE" w14:textId="77777777" w:rsidR="004712C8" w:rsidRDefault="00A6061C">
      <w:pPr>
        <w:pStyle w:val="BodyText"/>
        <w:ind w:left="120" w:right="114"/>
        <w:jc w:val="both"/>
      </w:pPr>
      <w:r>
        <w:t>The Northern Committee will develop more refined management objectives as well as limit reference point(s) and target reference point(s) through MSE process specified in Section 6.</w:t>
      </w:r>
    </w:p>
    <w:p w14:paraId="5CE51482" w14:textId="77777777" w:rsidR="004712C8" w:rsidRDefault="004712C8">
      <w:pPr>
        <w:pStyle w:val="BodyText"/>
        <w:spacing w:before="5"/>
      </w:pPr>
    </w:p>
    <w:p w14:paraId="5B50B397" w14:textId="77777777" w:rsidR="004712C8" w:rsidRDefault="00A6061C">
      <w:pPr>
        <w:pStyle w:val="Heading1"/>
        <w:numPr>
          <w:ilvl w:val="0"/>
          <w:numId w:val="3"/>
        </w:numPr>
        <w:tabs>
          <w:tab w:val="left" w:pos="421"/>
        </w:tabs>
        <w:ind w:hanging="301"/>
      </w:pPr>
      <w:r>
        <w:t>Acceptable levels of risk</w:t>
      </w:r>
    </w:p>
    <w:p w14:paraId="42068511" w14:textId="77777777" w:rsidR="004712C8" w:rsidRDefault="004712C8">
      <w:pPr>
        <w:pStyle w:val="BodyText"/>
        <w:spacing w:before="7"/>
        <w:rPr>
          <w:b/>
          <w:sz w:val="23"/>
        </w:rPr>
      </w:pPr>
    </w:p>
    <w:p w14:paraId="0F2BB585" w14:textId="77777777" w:rsidR="004712C8" w:rsidRDefault="00A6061C">
      <w:pPr>
        <w:pStyle w:val="BodyText"/>
        <w:ind w:left="120" w:right="120"/>
        <w:jc w:val="both"/>
      </w:pPr>
      <w:r>
        <w:t>Until</w:t>
      </w:r>
      <w:r>
        <w:rPr>
          <w:spacing w:val="-4"/>
        </w:rPr>
        <w:t xml:space="preserve"> </w:t>
      </w:r>
      <w:r>
        <w:t>the</w:t>
      </w:r>
      <w:r>
        <w:rPr>
          <w:spacing w:val="-4"/>
        </w:rPr>
        <w:t xml:space="preserve"> </w:t>
      </w:r>
      <w:r>
        <w:t>stock</w:t>
      </w:r>
      <w:r>
        <w:rPr>
          <w:spacing w:val="-4"/>
        </w:rPr>
        <w:t xml:space="preserve"> </w:t>
      </w:r>
      <w:r>
        <w:t>is</w:t>
      </w:r>
      <w:r>
        <w:rPr>
          <w:spacing w:val="-3"/>
        </w:rPr>
        <w:t xml:space="preserve"> </w:t>
      </w:r>
      <w:r>
        <w:t>rebuilt,</w:t>
      </w:r>
      <w:r>
        <w:rPr>
          <w:spacing w:val="-7"/>
        </w:rPr>
        <w:t xml:space="preserve"> </w:t>
      </w:r>
      <w:r>
        <w:t>the</w:t>
      </w:r>
      <w:r>
        <w:rPr>
          <w:spacing w:val="-4"/>
        </w:rPr>
        <w:t xml:space="preserve"> </w:t>
      </w:r>
      <w:r>
        <w:t>Northern</w:t>
      </w:r>
      <w:r>
        <w:rPr>
          <w:spacing w:val="-4"/>
        </w:rPr>
        <w:t xml:space="preserve"> </w:t>
      </w:r>
      <w:r>
        <w:t>Committee</w:t>
      </w:r>
      <w:r>
        <w:rPr>
          <w:spacing w:val="-5"/>
        </w:rPr>
        <w:t xml:space="preserve"> </w:t>
      </w:r>
      <w:r>
        <w:t>will</w:t>
      </w:r>
      <w:r>
        <w:rPr>
          <w:spacing w:val="-4"/>
        </w:rPr>
        <w:t xml:space="preserve"> </w:t>
      </w:r>
      <w:r>
        <w:t>recommend</w:t>
      </w:r>
      <w:r>
        <w:rPr>
          <w:spacing w:val="-4"/>
        </w:rPr>
        <w:t xml:space="preserve"> </w:t>
      </w:r>
      <w:r>
        <w:t>conservation</w:t>
      </w:r>
      <w:r>
        <w:rPr>
          <w:spacing w:val="-4"/>
        </w:rPr>
        <w:t xml:space="preserve"> </w:t>
      </w:r>
      <w:r>
        <w:t>and</w:t>
      </w:r>
      <w:r>
        <w:rPr>
          <w:spacing w:val="-4"/>
        </w:rPr>
        <w:t xml:space="preserve"> </w:t>
      </w:r>
      <w:r>
        <w:t>management measures as needed to ensure rebuilding in accordance with the probabilities specified in</w:t>
      </w:r>
      <w:r>
        <w:rPr>
          <w:spacing w:val="-19"/>
        </w:rPr>
        <w:t xml:space="preserve"> </w:t>
      </w:r>
      <w:r>
        <w:t>sections</w:t>
      </w:r>
    </w:p>
    <w:p w14:paraId="1ADF68B7" w14:textId="77777777" w:rsidR="004712C8" w:rsidRDefault="00A6061C">
      <w:pPr>
        <w:pStyle w:val="BodyText"/>
        <w:ind w:left="120"/>
      </w:pPr>
      <w:r>
        <w:t>2.1 and 5 for each of the two rebuilding targets.</w:t>
      </w:r>
    </w:p>
    <w:p w14:paraId="07C0ED34" w14:textId="77777777" w:rsidR="004712C8" w:rsidRDefault="004712C8">
      <w:pPr>
        <w:pStyle w:val="BodyText"/>
      </w:pPr>
    </w:p>
    <w:p w14:paraId="5EC6EA45" w14:textId="51D42B1B" w:rsidR="004712C8" w:rsidRDefault="00A6061C" w:rsidP="00A6061C">
      <w:pPr>
        <w:pStyle w:val="BodyText"/>
        <w:ind w:left="120" w:right="117"/>
        <w:jc w:val="both"/>
        <w:rPr>
          <w:sz w:val="16"/>
        </w:rPr>
      </w:pPr>
      <w:r>
        <w:t>Once the stock is rebuilt, in accordance with Article 6.1(a) of the Convention, the Northern Committee will recommend conservation and management measures as needed to ensure that</w:t>
      </w:r>
      <w:r>
        <w:rPr>
          <w:spacing w:val="-39"/>
        </w:rPr>
        <w:t xml:space="preserve"> </w:t>
      </w:r>
      <w:r>
        <w:t xml:space="preserve">any target reference point(s) (once adopted) are achieved on average in the long </w:t>
      </w:r>
      <w:proofErr w:type="gramStart"/>
      <w:r>
        <w:t>term, and</w:t>
      </w:r>
      <w:proofErr w:type="gramEnd"/>
      <w:r>
        <w:t xml:space="preserve"> ensure that the risk of the stock size declining below the B-limit (once adopted) is very low.</w:t>
      </w:r>
      <w:r w:rsidR="00EF7A27" w:rsidRPr="00A6061C">
        <w:rPr>
          <w:rStyle w:val="FootnoteReference"/>
          <w:sz w:val="21"/>
          <w:szCs w:val="36"/>
        </w:rPr>
        <w:footnoteReference w:customMarkFollows="1" w:id="3"/>
        <w:t>3</w:t>
      </w:r>
    </w:p>
    <w:p w14:paraId="101649FD" w14:textId="77777777" w:rsidR="004712C8" w:rsidRDefault="004712C8">
      <w:pPr>
        <w:pStyle w:val="BodyText"/>
        <w:spacing w:before="6"/>
      </w:pPr>
    </w:p>
    <w:p w14:paraId="4221181F" w14:textId="77777777" w:rsidR="004712C8" w:rsidRDefault="00A6061C">
      <w:pPr>
        <w:pStyle w:val="Heading1"/>
        <w:numPr>
          <w:ilvl w:val="0"/>
          <w:numId w:val="2"/>
        </w:numPr>
        <w:tabs>
          <w:tab w:val="left" w:pos="421"/>
        </w:tabs>
        <w:ind w:hanging="301"/>
      </w:pPr>
      <w:r>
        <w:t>Monitoring</w:t>
      </w:r>
      <w:r>
        <w:rPr>
          <w:spacing w:val="-1"/>
        </w:rPr>
        <w:t xml:space="preserve"> </w:t>
      </w:r>
      <w:r>
        <w:t>strategy</w:t>
      </w:r>
    </w:p>
    <w:p w14:paraId="0AA7335C" w14:textId="77777777" w:rsidR="004712C8" w:rsidRDefault="004712C8">
      <w:pPr>
        <w:pStyle w:val="BodyText"/>
        <w:spacing w:before="7"/>
        <w:rPr>
          <w:b/>
          <w:sz w:val="23"/>
        </w:rPr>
      </w:pPr>
    </w:p>
    <w:p w14:paraId="4B69F895" w14:textId="77777777" w:rsidR="004712C8" w:rsidRDefault="00A6061C">
      <w:pPr>
        <w:pStyle w:val="BodyText"/>
        <w:ind w:left="120" w:right="118"/>
        <w:jc w:val="both"/>
      </w:pPr>
      <w:r>
        <w:t>The ISC will periodically evaluate the stock size and exploitation rate with respect to the established reference points and the report will be presented to the Scientific Committee. Until 2024, while the MSE is being developed (see section 6), the ISC is requested to conduct stock assessments in 2018, 2020 and 2022.</w:t>
      </w:r>
    </w:p>
    <w:p w14:paraId="3B7253C1" w14:textId="77777777" w:rsidR="004712C8" w:rsidRDefault="004712C8">
      <w:pPr>
        <w:pStyle w:val="BodyText"/>
      </w:pPr>
    </w:p>
    <w:p w14:paraId="2C03F4F9" w14:textId="77777777" w:rsidR="004712C8" w:rsidRDefault="00A6061C">
      <w:pPr>
        <w:pStyle w:val="BodyText"/>
        <w:ind w:left="120" w:right="113"/>
        <w:jc w:val="both"/>
      </w:pPr>
      <w:r>
        <w:t>In order to cope with the adverse effects on the rebuilding of the stock due to drastic drops of recruitment: (1) all the available data and information will be reviewed annually, including recruitment data provided by the ISC and in National Reports; and (2) the ISC is requested to conduct in 2019, and periodically thereafter as resources permit and if drops in recruitment are detected, projections to see if any additional measure is necessary to achieve the initial rebuilding target by 2024 with at least 60% probability.</w:t>
      </w:r>
    </w:p>
    <w:p w14:paraId="2ED9B07A" w14:textId="77777777" w:rsidR="004712C8" w:rsidRDefault="004712C8">
      <w:pPr>
        <w:pStyle w:val="BodyText"/>
        <w:spacing w:before="5"/>
      </w:pPr>
    </w:p>
    <w:p w14:paraId="7053FEC0" w14:textId="77777777" w:rsidR="004712C8" w:rsidRDefault="00A6061C">
      <w:pPr>
        <w:pStyle w:val="Heading1"/>
        <w:numPr>
          <w:ilvl w:val="0"/>
          <w:numId w:val="2"/>
        </w:numPr>
        <w:tabs>
          <w:tab w:val="left" w:pos="421"/>
        </w:tabs>
        <w:spacing w:before="1"/>
        <w:ind w:hanging="301"/>
      </w:pPr>
      <w:r>
        <w:t>Decision</w:t>
      </w:r>
      <w:r>
        <w:rPr>
          <w:spacing w:val="-1"/>
        </w:rPr>
        <w:t xml:space="preserve"> </w:t>
      </w:r>
      <w:r>
        <w:t>rules</w:t>
      </w:r>
    </w:p>
    <w:p w14:paraId="6161020F" w14:textId="77777777" w:rsidR="004712C8" w:rsidRDefault="004712C8">
      <w:pPr>
        <w:pStyle w:val="BodyText"/>
        <w:spacing w:before="6"/>
        <w:rPr>
          <w:b/>
          <w:sz w:val="23"/>
        </w:rPr>
      </w:pPr>
    </w:p>
    <w:p w14:paraId="6198F275" w14:textId="77777777" w:rsidR="004712C8" w:rsidRDefault="00A6061C">
      <w:pPr>
        <w:ind w:left="120" w:right="117"/>
        <w:jc w:val="both"/>
        <w:rPr>
          <w:sz w:val="24"/>
        </w:rPr>
      </w:pPr>
      <w:r>
        <w:rPr>
          <w:b/>
          <w:sz w:val="24"/>
        </w:rPr>
        <w:t>Harvest</w:t>
      </w:r>
      <w:r>
        <w:rPr>
          <w:b/>
          <w:spacing w:val="-15"/>
          <w:sz w:val="24"/>
        </w:rPr>
        <w:t xml:space="preserve"> </w:t>
      </w:r>
      <w:r>
        <w:rPr>
          <w:b/>
          <w:sz w:val="24"/>
        </w:rPr>
        <w:t>controls</w:t>
      </w:r>
      <w:r>
        <w:rPr>
          <w:b/>
          <w:spacing w:val="-14"/>
          <w:sz w:val="24"/>
        </w:rPr>
        <w:t xml:space="preserve"> </w:t>
      </w:r>
      <w:r>
        <w:rPr>
          <w:b/>
          <w:sz w:val="24"/>
        </w:rPr>
        <w:t>rules</w:t>
      </w:r>
      <w:r>
        <w:rPr>
          <w:b/>
          <w:spacing w:val="-14"/>
          <w:sz w:val="24"/>
        </w:rPr>
        <w:t xml:space="preserve"> </w:t>
      </w:r>
      <w:r>
        <w:rPr>
          <w:b/>
          <w:sz w:val="24"/>
        </w:rPr>
        <w:t>during</w:t>
      </w:r>
      <w:r>
        <w:rPr>
          <w:b/>
          <w:spacing w:val="-14"/>
          <w:sz w:val="24"/>
        </w:rPr>
        <w:t xml:space="preserve"> </w:t>
      </w:r>
      <w:r>
        <w:rPr>
          <w:b/>
          <w:sz w:val="24"/>
        </w:rPr>
        <w:t>initial</w:t>
      </w:r>
      <w:r>
        <w:rPr>
          <w:b/>
          <w:spacing w:val="-14"/>
          <w:sz w:val="24"/>
        </w:rPr>
        <w:t xml:space="preserve"> </w:t>
      </w:r>
      <w:r>
        <w:rPr>
          <w:b/>
          <w:sz w:val="24"/>
        </w:rPr>
        <w:t>rebuilding</w:t>
      </w:r>
      <w:r>
        <w:rPr>
          <w:b/>
          <w:spacing w:val="-16"/>
          <w:sz w:val="24"/>
        </w:rPr>
        <w:t xml:space="preserve"> </w:t>
      </w:r>
      <w:r>
        <w:rPr>
          <w:b/>
          <w:sz w:val="24"/>
        </w:rPr>
        <w:t>period:</w:t>
      </w:r>
      <w:r>
        <w:rPr>
          <w:b/>
          <w:spacing w:val="36"/>
          <w:sz w:val="24"/>
        </w:rPr>
        <w:t xml:space="preserve"> </w:t>
      </w:r>
      <w:r>
        <w:rPr>
          <w:sz w:val="24"/>
        </w:rPr>
        <w:t>The</w:t>
      </w:r>
      <w:r>
        <w:rPr>
          <w:spacing w:val="-16"/>
          <w:sz w:val="24"/>
        </w:rPr>
        <w:t xml:space="preserve"> </w:t>
      </w:r>
      <w:r>
        <w:rPr>
          <w:sz w:val="24"/>
        </w:rPr>
        <w:t>interim</w:t>
      </w:r>
      <w:r>
        <w:rPr>
          <w:spacing w:val="-14"/>
          <w:sz w:val="24"/>
        </w:rPr>
        <w:t xml:space="preserve"> </w:t>
      </w:r>
      <w:r>
        <w:rPr>
          <w:sz w:val="24"/>
        </w:rPr>
        <w:t>harvest</w:t>
      </w:r>
      <w:r>
        <w:rPr>
          <w:spacing w:val="-13"/>
          <w:sz w:val="24"/>
        </w:rPr>
        <w:t xml:space="preserve"> </w:t>
      </w:r>
      <w:r>
        <w:rPr>
          <w:sz w:val="24"/>
        </w:rPr>
        <w:t>control</w:t>
      </w:r>
      <w:r>
        <w:rPr>
          <w:spacing w:val="-14"/>
          <w:sz w:val="24"/>
        </w:rPr>
        <w:t xml:space="preserve"> </w:t>
      </w:r>
      <w:r>
        <w:rPr>
          <w:sz w:val="24"/>
        </w:rPr>
        <w:t>rules</w:t>
      </w:r>
      <w:r>
        <w:rPr>
          <w:spacing w:val="-14"/>
          <w:sz w:val="24"/>
        </w:rPr>
        <w:t xml:space="preserve"> </w:t>
      </w:r>
      <w:r>
        <w:rPr>
          <w:sz w:val="24"/>
        </w:rPr>
        <w:t>below will be applied based on the results of stock assessments and SSB projections to be conducted by ISC.</w:t>
      </w:r>
    </w:p>
    <w:p w14:paraId="439A59C1" w14:textId="77777777" w:rsidR="004712C8" w:rsidRDefault="00A6061C">
      <w:pPr>
        <w:pStyle w:val="ListParagraph"/>
        <w:numPr>
          <w:ilvl w:val="0"/>
          <w:numId w:val="1"/>
        </w:numPr>
        <w:tabs>
          <w:tab w:val="left" w:pos="841"/>
        </w:tabs>
        <w:ind w:right="119" w:firstLine="0"/>
        <w:jc w:val="both"/>
        <w:rPr>
          <w:sz w:val="24"/>
        </w:rPr>
      </w:pPr>
      <w:r>
        <w:rPr>
          <w:sz w:val="24"/>
        </w:rPr>
        <w:t>If</w:t>
      </w:r>
      <w:r>
        <w:rPr>
          <w:spacing w:val="-7"/>
          <w:sz w:val="24"/>
        </w:rPr>
        <w:t xml:space="preserve"> </w:t>
      </w:r>
      <w:r>
        <w:rPr>
          <w:sz w:val="24"/>
        </w:rPr>
        <w:t>the</w:t>
      </w:r>
      <w:r>
        <w:rPr>
          <w:spacing w:val="-7"/>
          <w:sz w:val="24"/>
        </w:rPr>
        <w:t xml:space="preserve"> </w:t>
      </w:r>
      <w:r>
        <w:rPr>
          <w:sz w:val="24"/>
        </w:rPr>
        <w:t>SSB</w:t>
      </w:r>
      <w:r>
        <w:rPr>
          <w:spacing w:val="-8"/>
          <w:sz w:val="24"/>
        </w:rPr>
        <w:t xml:space="preserve"> </w:t>
      </w:r>
      <w:r>
        <w:rPr>
          <w:sz w:val="24"/>
        </w:rPr>
        <w:t>projection</w:t>
      </w:r>
      <w:r>
        <w:rPr>
          <w:spacing w:val="-6"/>
          <w:sz w:val="24"/>
        </w:rPr>
        <w:t xml:space="preserve"> </w:t>
      </w:r>
      <w:r>
        <w:rPr>
          <w:sz w:val="24"/>
        </w:rPr>
        <w:t>indicates</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probability</w:t>
      </w:r>
      <w:r>
        <w:rPr>
          <w:spacing w:val="-9"/>
          <w:sz w:val="24"/>
        </w:rPr>
        <w:t xml:space="preserve"> </w:t>
      </w:r>
      <w:r>
        <w:rPr>
          <w:sz w:val="24"/>
        </w:rPr>
        <w:t>of</w:t>
      </w:r>
      <w:r>
        <w:rPr>
          <w:spacing w:val="-7"/>
          <w:sz w:val="24"/>
        </w:rPr>
        <w:t xml:space="preserve"> </w:t>
      </w:r>
      <w:r>
        <w:rPr>
          <w:sz w:val="24"/>
        </w:rPr>
        <w:t>achieving</w:t>
      </w:r>
      <w:r>
        <w:rPr>
          <w:spacing w:val="-9"/>
          <w:sz w:val="24"/>
        </w:rPr>
        <w:t xml:space="preserve"> </w:t>
      </w:r>
      <w:r>
        <w:rPr>
          <w:sz w:val="24"/>
        </w:rPr>
        <w:t>the</w:t>
      </w:r>
      <w:r>
        <w:rPr>
          <w:spacing w:val="-7"/>
          <w:sz w:val="24"/>
        </w:rPr>
        <w:t xml:space="preserve"> </w:t>
      </w:r>
      <w:r>
        <w:rPr>
          <w:sz w:val="24"/>
        </w:rPr>
        <w:t>initial</w:t>
      </w:r>
      <w:r>
        <w:rPr>
          <w:spacing w:val="-6"/>
          <w:sz w:val="24"/>
        </w:rPr>
        <w:t xml:space="preserve"> </w:t>
      </w:r>
      <w:r>
        <w:rPr>
          <w:sz w:val="24"/>
        </w:rPr>
        <w:t>rebuilding</w:t>
      </w:r>
      <w:r>
        <w:rPr>
          <w:spacing w:val="-8"/>
          <w:sz w:val="24"/>
        </w:rPr>
        <w:t xml:space="preserve"> </w:t>
      </w:r>
      <w:r>
        <w:rPr>
          <w:sz w:val="24"/>
        </w:rPr>
        <w:t xml:space="preserve">target by 2024 is less than 60%, management measures will be modified to increase it to at least 60%. Modification of management measures may be (1) a reduction (in %) in the catch limit for fish smaller than 30 kg (hereinafter called “small fish”) or (2) a transfer of part of the catch limit for small fish to the catch limit for fish 30 kg or larger (hereinafter called “large fish”). For this purpose, ISC will be requested, if necessary, to provide different combinations of these two measures </w:t>
      </w:r>
      <w:proofErr w:type="gramStart"/>
      <w:r>
        <w:rPr>
          <w:sz w:val="24"/>
        </w:rPr>
        <w:t>so as to</w:t>
      </w:r>
      <w:proofErr w:type="gramEnd"/>
      <w:r>
        <w:rPr>
          <w:sz w:val="24"/>
        </w:rPr>
        <w:t xml:space="preserve"> achieve 60%</w:t>
      </w:r>
      <w:r>
        <w:rPr>
          <w:spacing w:val="-1"/>
          <w:sz w:val="24"/>
        </w:rPr>
        <w:t xml:space="preserve"> </w:t>
      </w:r>
      <w:r>
        <w:rPr>
          <w:sz w:val="24"/>
        </w:rPr>
        <w:t>probability.</w:t>
      </w:r>
    </w:p>
    <w:p w14:paraId="1372267F" w14:textId="77777777" w:rsidR="004712C8" w:rsidRDefault="00A6061C">
      <w:pPr>
        <w:pStyle w:val="ListParagraph"/>
        <w:numPr>
          <w:ilvl w:val="0"/>
          <w:numId w:val="1"/>
        </w:numPr>
        <w:tabs>
          <w:tab w:val="left" w:pos="841"/>
        </w:tabs>
        <w:spacing w:before="1"/>
        <w:ind w:right="119" w:firstLine="0"/>
        <w:jc w:val="both"/>
        <w:rPr>
          <w:sz w:val="24"/>
        </w:rPr>
      </w:pPr>
      <w:r>
        <w:rPr>
          <w:sz w:val="24"/>
        </w:rPr>
        <w:t>If</w:t>
      </w:r>
      <w:r>
        <w:rPr>
          <w:spacing w:val="-7"/>
          <w:sz w:val="24"/>
        </w:rPr>
        <w:t xml:space="preserve"> </w:t>
      </w:r>
      <w:r>
        <w:rPr>
          <w:sz w:val="24"/>
        </w:rPr>
        <w:t>the</w:t>
      </w:r>
      <w:r>
        <w:rPr>
          <w:spacing w:val="-7"/>
          <w:sz w:val="24"/>
        </w:rPr>
        <w:t xml:space="preserve"> </w:t>
      </w:r>
      <w:r>
        <w:rPr>
          <w:sz w:val="24"/>
        </w:rPr>
        <w:t>SSB</w:t>
      </w:r>
      <w:r>
        <w:rPr>
          <w:spacing w:val="-8"/>
          <w:sz w:val="24"/>
        </w:rPr>
        <w:t xml:space="preserve"> </w:t>
      </w:r>
      <w:r>
        <w:rPr>
          <w:sz w:val="24"/>
        </w:rPr>
        <w:t>projection</w:t>
      </w:r>
      <w:r>
        <w:rPr>
          <w:spacing w:val="-6"/>
          <w:sz w:val="24"/>
        </w:rPr>
        <w:t xml:space="preserve"> </w:t>
      </w:r>
      <w:r>
        <w:rPr>
          <w:sz w:val="24"/>
        </w:rPr>
        <w:t>indicates</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probability</w:t>
      </w:r>
      <w:r>
        <w:rPr>
          <w:spacing w:val="-9"/>
          <w:sz w:val="24"/>
        </w:rPr>
        <w:t xml:space="preserve"> </w:t>
      </w:r>
      <w:r>
        <w:rPr>
          <w:sz w:val="24"/>
        </w:rPr>
        <w:t>of</w:t>
      </w:r>
      <w:r>
        <w:rPr>
          <w:spacing w:val="-7"/>
          <w:sz w:val="24"/>
        </w:rPr>
        <w:t xml:space="preserve"> </w:t>
      </w:r>
      <w:r>
        <w:rPr>
          <w:sz w:val="24"/>
        </w:rPr>
        <w:t>achieving</w:t>
      </w:r>
      <w:r>
        <w:rPr>
          <w:spacing w:val="-9"/>
          <w:sz w:val="24"/>
        </w:rPr>
        <w:t xml:space="preserve"> </w:t>
      </w:r>
      <w:r>
        <w:rPr>
          <w:sz w:val="24"/>
        </w:rPr>
        <w:t>the</w:t>
      </w:r>
      <w:r>
        <w:rPr>
          <w:spacing w:val="-7"/>
          <w:sz w:val="24"/>
        </w:rPr>
        <w:t xml:space="preserve"> </w:t>
      </w:r>
      <w:r>
        <w:rPr>
          <w:sz w:val="24"/>
        </w:rPr>
        <w:t>initial</w:t>
      </w:r>
      <w:r>
        <w:rPr>
          <w:spacing w:val="-6"/>
          <w:sz w:val="24"/>
        </w:rPr>
        <w:t xml:space="preserve"> </w:t>
      </w:r>
      <w:r>
        <w:rPr>
          <w:sz w:val="24"/>
        </w:rPr>
        <w:t>rebuilding</w:t>
      </w:r>
      <w:r>
        <w:rPr>
          <w:spacing w:val="-8"/>
          <w:sz w:val="24"/>
        </w:rPr>
        <w:t xml:space="preserve"> </w:t>
      </w:r>
      <w:r>
        <w:rPr>
          <w:sz w:val="24"/>
        </w:rPr>
        <w:t xml:space="preserve">target by 2024 is at 75% or larger, the WCPFC may increase their catch limits </w:t>
      </w:r>
      <w:proofErr w:type="gramStart"/>
      <w:r>
        <w:rPr>
          <w:sz w:val="24"/>
        </w:rPr>
        <w:t>as long as</w:t>
      </w:r>
      <w:proofErr w:type="gramEnd"/>
      <w:r>
        <w:rPr>
          <w:sz w:val="24"/>
        </w:rPr>
        <w:t xml:space="preserve"> the</w:t>
      </w:r>
      <w:r>
        <w:rPr>
          <w:spacing w:val="-19"/>
          <w:sz w:val="24"/>
        </w:rPr>
        <w:t xml:space="preserve"> </w:t>
      </w:r>
      <w:r>
        <w:rPr>
          <w:sz w:val="24"/>
        </w:rPr>
        <w:t>probability is maintained at 70% or larger, and the probability of reaching the second rebuilding target by</w:t>
      </w:r>
      <w:r>
        <w:rPr>
          <w:spacing w:val="-19"/>
          <w:sz w:val="24"/>
        </w:rPr>
        <w:t xml:space="preserve"> </w:t>
      </w:r>
      <w:r>
        <w:rPr>
          <w:sz w:val="24"/>
        </w:rPr>
        <w:t>the agreed deadline remains at least 60%. For this purpose, ISC will be requested, if necessary, to provide relevant information on potential catch limit</w:t>
      </w:r>
      <w:r>
        <w:rPr>
          <w:spacing w:val="-4"/>
          <w:sz w:val="24"/>
        </w:rPr>
        <w:t xml:space="preserve"> </w:t>
      </w:r>
      <w:r>
        <w:rPr>
          <w:sz w:val="24"/>
        </w:rPr>
        <w:t>increases.</w:t>
      </w:r>
    </w:p>
    <w:p w14:paraId="1B4A1B87" w14:textId="3663D2C1" w:rsidR="00183493" w:rsidRPr="003A1DF4" w:rsidRDefault="00A6061C" w:rsidP="00183493">
      <w:pPr>
        <w:ind w:left="120" w:right="117"/>
        <w:jc w:val="both"/>
        <w:rPr>
          <w:sz w:val="24"/>
          <w:u w:val="single"/>
        </w:rPr>
      </w:pPr>
      <w:r>
        <w:rPr>
          <w:b/>
          <w:sz w:val="24"/>
        </w:rPr>
        <w:t>Harvest controls rules during second rebuilding period:</w:t>
      </w:r>
      <w:r w:rsidR="00183493" w:rsidRPr="00183493">
        <w:rPr>
          <w:sz w:val="24"/>
          <w:szCs w:val="24"/>
        </w:rPr>
        <w:t xml:space="preserve"> </w:t>
      </w:r>
      <w:r w:rsidR="00183493" w:rsidRPr="003A1DF4">
        <w:rPr>
          <w:sz w:val="24"/>
          <w:szCs w:val="24"/>
          <w:u w:val="single"/>
        </w:rPr>
        <w:t>The harvest control rules during the second rebuilding period below will be applied based on the results of stock assessments and SSB projections to be conducted by ISC.</w:t>
      </w:r>
    </w:p>
    <w:p w14:paraId="1D7F0931" w14:textId="77777777" w:rsidR="00183493" w:rsidRPr="003A1DF4" w:rsidRDefault="00183493" w:rsidP="00183493">
      <w:pPr>
        <w:pStyle w:val="ListParagraph"/>
        <w:numPr>
          <w:ilvl w:val="0"/>
          <w:numId w:val="4"/>
        </w:numPr>
        <w:tabs>
          <w:tab w:val="left" w:pos="142"/>
        </w:tabs>
        <w:ind w:left="142" w:right="119" w:hanging="22"/>
        <w:jc w:val="both"/>
        <w:rPr>
          <w:sz w:val="24"/>
          <w:u w:val="single"/>
        </w:rPr>
      </w:pPr>
      <w:r w:rsidRPr="003A1DF4">
        <w:rPr>
          <w:sz w:val="24"/>
          <w:u w:val="single"/>
        </w:rPr>
        <w:t>If the SSB projection indicates that the probability of achieving the second rebuilding target by 2034 or 10 years after reaching the initial rebuilding target, whichever is earlier, is less than 60%, management measures shall be modified to increase it to at least 60%. For this purpose, the ISC will be requested, if necessary, to provide information on possible management measures to achieve 60% probability.</w:t>
      </w:r>
    </w:p>
    <w:p w14:paraId="0EBDE227" w14:textId="77777777" w:rsidR="00183493" w:rsidRPr="003A1DF4" w:rsidRDefault="00183493" w:rsidP="00183493">
      <w:pPr>
        <w:pStyle w:val="ListParagraph"/>
        <w:numPr>
          <w:ilvl w:val="0"/>
          <w:numId w:val="4"/>
        </w:numPr>
        <w:tabs>
          <w:tab w:val="left" w:pos="142"/>
        </w:tabs>
        <w:ind w:left="142" w:right="119" w:hanging="22"/>
        <w:jc w:val="both"/>
        <w:rPr>
          <w:sz w:val="24"/>
          <w:u w:val="single"/>
        </w:rPr>
      </w:pPr>
      <w:r w:rsidRPr="003A1DF4">
        <w:rPr>
          <w:sz w:val="24"/>
          <w:u w:val="single"/>
        </w:rPr>
        <w:t xml:space="preserve">If the SSB projection indicates that the probability of achieving the second rebuilding target by 2034, or 10 years after reaching the initial rebuilding target, whichever is earlier, is at 75% or larger, fishery controls may be changed, including adjustment of catch limits, </w:t>
      </w:r>
      <w:proofErr w:type="gramStart"/>
      <w:r w:rsidRPr="003A1DF4">
        <w:rPr>
          <w:sz w:val="24"/>
          <w:u w:val="single"/>
        </w:rPr>
        <w:t>as long as</w:t>
      </w:r>
      <w:proofErr w:type="gramEnd"/>
      <w:r w:rsidRPr="003A1DF4">
        <w:rPr>
          <w:sz w:val="24"/>
          <w:u w:val="single"/>
        </w:rPr>
        <w:t xml:space="preserve"> the probability is maintained at 70% or larger. For this purpose, ISC will be requested, if necessary, to provide relevant information on potential fishery controls.</w:t>
      </w:r>
    </w:p>
    <w:p w14:paraId="50A83550" w14:textId="77777777" w:rsidR="00183493" w:rsidRPr="003A1DF4" w:rsidRDefault="00183493" w:rsidP="00183493">
      <w:pPr>
        <w:pStyle w:val="ListParagraph"/>
        <w:numPr>
          <w:ilvl w:val="0"/>
          <w:numId w:val="4"/>
        </w:numPr>
        <w:tabs>
          <w:tab w:val="left" w:pos="142"/>
        </w:tabs>
        <w:ind w:left="142" w:right="119" w:hanging="22"/>
        <w:jc w:val="both"/>
        <w:rPr>
          <w:sz w:val="24"/>
          <w:u w:val="single"/>
        </w:rPr>
      </w:pPr>
      <w:r w:rsidRPr="003A1DF4">
        <w:rPr>
          <w:sz w:val="24"/>
          <w:u w:val="single"/>
        </w:rPr>
        <w:t xml:space="preserve">Any adjustments to management measures shall be considered in cooperation between the two RFMOs </w:t>
      </w:r>
      <w:proofErr w:type="gramStart"/>
      <w:r w:rsidRPr="003A1DF4">
        <w:rPr>
          <w:sz w:val="24"/>
          <w:u w:val="single"/>
        </w:rPr>
        <w:t>taking into account</w:t>
      </w:r>
      <w:proofErr w:type="gramEnd"/>
      <w:r w:rsidRPr="003A1DF4">
        <w:rPr>
          <w:sz w:val="24"/>
          <w:u w:val="single"/>
        </w:rPr>
        <w:t xml:space="preserve"> historical and future projected proportional fishery impacts on </w:t>
      </w:r>
      <w:r w:rsidRPr="003A1DF4">
        <w:rPr>
          <w:sz w:val="24"/>
          <w:u w:val="single"/>
        </w:rPr>
        <w:lastRenderedPageBreak/>
        <w:t>SSB between fisheries in the EPO and fisheries in the WCPO. For this purpose, ISC will be requested, if necessary, to provide relevant information, including projected proportional fishery impact of potential management measures changes.</w:t>
      </w:r>
    </w:p>
    <w:p w14:paraId="1D3B8066" w14:textId="29714BA8" w:rsidR="004712C8" w:rsidRPr="003A1DF4" w:rsidRDefault="00183493" w:rsidP="003A1DF4">
      <w:pPr>
        <w:pStyle w:val="ListParagraph"/>
        <w:numPr>
          <w:ilvl w:val="0"/>
          <w:numId w:val="4"/>
        </w:numPr>
        <w:tabs>
          <w:tab w:val="left" w:pos="142"/>
        </w:tabs>
        <w:ind w:left="142" w:right="119" w:hanging="22"/>
        <w:jc w:val="both"/>
        <w:rPr>
          <w:sz w:val="24"/>
        </w:rPr>
      </w:pPr>
      <w:r w:rsidRPr="003A1DF4">
        <w:rPr>
          <w:sz w:val="24"/>
          <w:u w:val="single"/>
        </w:rPr>
        <w:t>This harvest control rule will be reviewed and modified, as necessary, if depletion estimates across the time-series have been adjusted due to changes in assumptions and/or settings of the stock assessment model.</w:t>
      </w:r>
    </w:p>
    <w:p w14:paraId="0EB98D9E" w14:textId="77777777" w:rsidR="004712C8" w:rsidRDefault="004712C8">
      <w:pPr>
        <w:pStyle w:val="BodyText"/>
        <w:spacing w:before="1"/>
      </w:pPr>
    </w:p>
    <w:p w14:paraId="7F7AA197" w14:textId="77777777" w:rsidR="004712C8" w:rsidRDefault="00A6061C">
      <w:pPr>
        <w:pStyle w:val="BodyText"/>
        <w:ind w:left="120" w:right="122"/>
        <w:jc w:val="both"/>
      </w:pPr>
      <w:r>
        <w:t>The Northern Committee will, through MSE development process, develop decision rules related to the limit reference points once adopted including for the case of their being breached.</w:t>
      </w:r>
    </w:p>
    <w:p w14:paraId="1E960ABB" w14:textId="77777777" w:rsidR="004712C8" w:rsidRDefault="004712C8">
      <w:pPr>
        <w:pStyle w:val="BodyText"/>
        <w:spacing w:before="4"/>
      </w:pPr>
    </w:p>
    <w:p w14:paraId="7D26588F" w14:textId="77777777" w:rsidR="004712C8" w:rsidRDefault="00A6061C">
      <w:pPr>
        <w:pStyle w:val="Heading1"/>
        <w:numPr>
          <w:ilvl w:val="0"/>
          <w:numId w:val="2"/>
        </w:numPr>
        <w:tabs>
          <w:tab w:val="left" w:pos="421"/>
        </w:tabs>
        <w:spacing w:before="1"/>
        <w:ind w:hanging="301"/>
        <w:jc w:val="both"/>
      </w:pPr>
      <w:r>
        <w:t>Performance evaluation</w:t>
      </w:r>
    </w:p>
    <w:p w14:paraId="702FC2C4" w14:textId="6EED5001" w:rsidR="004712C8" w:rsidRPr="00EF7A27" w:rsidRDefault="00A6061C" w:rsidP="00EF7A27">
      <w:pPr>
        <w:pStyle w:val="BodyText"/>
        <w:spacing w:before="7"/>
        <w:ind w:leftChars="64" w:left="141"/>
        <w:rPr>
          <w:b/>
          <w:sz w:val="25"/>
        </w:rPr>
      </w:pPr>
      <w:r>
        <w:t xml:space="preserve">Until </w:t>
      </w:r>
      <w:r w:rsidRPr="00EF7A27">
        <w:t>the stock is rebuilt, th</w:t>
      </w:r>
      <w:r>
        <w:t>e Northern Committee will work with the ISC and the Scientific Committee and consult with the IATTC to identify and evaluate the performance of candidate rebuilding strategies with respect to the rebuilding targets, schedules, and probabilities.</w:t>
      </w:r>
    </w:p>
    <w:p w14:paraId="734FBFA1" w14:textId="77777777" w:rsidR="004712C8" w:rsidRDefault="004712C8">
      <w:pPr>
        <w:pStyle w:val="BodyText"/>
      </w:pPr>
    </w:p>
    <w:p w14:paraId="55776904" w14:textId="77777777" w:rsidR="004712C8" w:rsidRDefault="00A6061C">
      <w:pPr>
        <w:pStyle w:val="BodyText"/>
        <w:ind w:left="120" w:right="116"/>
        <w:jc w:val="both"/>
      </w:pPr>
      <w:r>
        <w:t>The ISC is requested to start the work to develop a management strategy evaluation (MSE) for Pacific bluefin tuna fisheries in 2019 and have a goal of completing it by 2024.</w:t>
      </w:r>
    </w:p>
    <w:p w14:paraId="61049D16" w14:textId="77777777" w:rsidR="004712C8" w:rsidRDefault="004712C8">
      <w:pPr>
        <w:pStyle w:val="BodyText"/>
      </w:pPr>
    </w:p>
    <w:p w14:paraId="090B3EA5" w14:textId="77777777" w:rsidR="004712C8" w:rsidRDefault="00A6061C">
      <w:pPr>
        <w:pStyle w:val="BodyText"/>
        <w:ind w:left="120" w:right="127"/>
        <w:jc w:val="both"/>
      </w:pPr>
      <w:r>
        <w:t>To support development of the MSE, ISC is encouraged to identify at least two experts and NC members are encouraged to provide additional funds for the ISC’s work on the MSE.</w:t>
      </w:r>
    </w:p>
    <w:p w14:paraId="0F6EF7C4" w14:textId="77777777" w:rsidR="004712C8" w:rsidRDefault="004712C8">
      <w:pPr>
        <w:pStyle w:val="BodyText"/>
      </w:pPr>
    </w:p>
    <w:p w14:paraId="2F23DA0B" w14:textId="77777777" w:rsidR="004712C8" w:rsidRDefault="00A6061C">
      <w:pPr>
        <w:pStyle w:val="BodyText"/>
        <w:ind w:left="120" w:right="119"/>
        <w:jc w:val="both"/>
      </w:pPr>
      <w:r>
        <w:t>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 Those candidate TRPs, LRPs and HCRs will be tested and changed if appropriate during the MSE development process.</w:t>
      </w:r>
    </w:p>
    <w:p w14:paraId="0D70A88C" w14:textId="77777777" w:rsidR="004712C8" w:rsidRDefault="004712C8">
      <w:pPr>
        <w:pStyle w:val="BodyText"/>
        <w:spacing w:before="1"/>
      </w:pPr>
    </w:p>
    <w:p w14:paraId="35FEC074" w14:textId="77777777" w:rsidR="004712C8" w:rsidRDefault="00A6061C">
      <w:pPr>
        <w:pStyle w:val="BodyText"/>
        <w:ind w:left="120" w:right="119"/>
        <w:jc w:val="both"/>
      </w:pPr>
      <w:r>
        <w:t xml:space="preserve">In preparation for the Joint WG meeting in 2019, the ISC is requested to organize workshops in early 2018 and 2019 to support the identification of specific management objectives, including level of risks and timelines. The workshops will include managers, </w:t>
      </w:r>
      <w:proofErr w:type="gramStart"/>
      <w:r>
        <w:t>scientists</w:t>
      </w:r>
      <w:proofErr w:type="gramEnd"/>
      <w:r>
        <w:t xml:space="preserve"> and stakeholders, taking into account any recommendations of the Joint WG, and the number of representatives should be relatively small, as it was for the MSE workshop for North Pacific albacore.</w:t>
      </w:r>
    </w:p>
    <w:p w14:paraId="0929E175" w14:textId="77777777" w:rsidR="004712C8" w:rsidRDefault="004712C8">
      <w:pPr>
        <w:pStyle w:val="BodyText"/>
      </w:pPr>
    </w:p>
    <w:p w14:paraId="26BB0BA3" w14:textId="77777777" w:rsidR="004712C8" w:rsidRDefault="00A6061C">
      <w:pPr>
        <w:pStyle w:val="BodyText"/>
        <w:ind w:left="120" w:right="123"/>
        <w:jc w:val="both"/>
      </w:pPr>
      <w:r>
        <w:t>In evaluating the performance of candidate target reference points, limit reference points, and harvest control rules, the Northern Committee, in consultation with the ISC and the Scientific Committee, should consider the following criteria:</w:t>
      </w:r>
    </w:p>
    <w:p w14:paraId="70BA46A7" w14:textId="77777777" w:rsidR="004712C8" w:rsidRDefault="00A6061C">
      <w:pPr>
        <w:pStyle w:val="ListParagraph"/>
        <w:numPr>
          <w:ilvl w:val="1"/>
          <w:numId w:val="2"/>
        </w:numPr>
        <w:tabs>
          <w:tab w:val="left" w:pos="1201"/>
        </w:tabs>
        <w:spacing w:before="1"/>
        <w:ind w:right="123"/>
        <w:rPr>
          <w:sz w:val="24"/>
        </w:rPr>
      </w:pPr>
      <w:r>
        <w:rPr>
          <w:sz w:val="24"/>
        </w:rPr>
        <w:t>Probability of achieving each of the rebuilding targets within each of the rebuilding periods (if</w:t>
      </w:r>
      <w:r>
        <w:rPr>
          <w:spacing w:val="-1"/>
          <w:sz w:val="24"/>
        </w:rPr>
        <w:t xml:space="preserve"> </w:t>
      </w:r>
      <w:r>
        <w:rPr>
          <w:sz w:val="24"/>
        </w:rPr>
        <w:t>applicable).</w:t>
      </w:r>
    </w:p>
    <w:p w14:paraId="353557B9" w14:textId="77777777" w:rsidR="004712C8" w:rsidRDefault="00A6061C">
      <w:pPr>
        <w:pStyle w:val="ListParagraph"/>
        <w:numPr>
          <w:ilvl w:val="1"/>
          <w:numId w:val="2"/>
        </w:numPr>
        <w:tabs>
          <w:tab w:val="left" w:pos="1201"/>
        </w:tabs>
        <w:ind w:hanging="361"/>
        <w:rPr>
          <w:sz w:val="24"/>
        </w:rPr>
      </w:pPr>
      <w:r>
        <w:rPr>
          <w:sz w:val="24"/>
        </w:rPr>
        <w:t>Time expected to achieve each of the rebuilding targets (if</w:t>
      </w:r>
      <w:r>
        <w:rPr>
          <w:spacing w:val="-7"/>
          <w:sz w:val="24"/>
        </w:rPr>
        <w:t xml:space="preserve"> </w:t>
      </w:r>
      <w:r>
        <w:rPr>
          <w:sz w:val="24"/>
        </w:rPr>
        <w:t>applicable).</w:t>
      </w:r>
    </w:p>
    <w:p w14:paraId="5A733324" w14:textId="77777777" w:rsidR="004712C8" w:rsidRDefault="00A6061C">
      <w:pPr>
        <w:pStyle w:val="ListParagraph"/>
        <w:numPr>
          <w:ilvl w:val="1"/>
          <w:numId w:val="2"/>
        </w:numPr>
        <w:tabs>
          <w:tab w:val="left" w:pos="1201"/>
        </w:tabs>
        <w:ind w:hanging="361"/>
        <w:rPr>
          <w:sz w:val="24"/>
        </w:rPr>
      </w:pPr>
      <w:r>
        <w:rPr>
          <w:sz w:val="24"/>
        </w:rPr>
        <w:t>Expected annual yield, by</w:t>
      </w:r>
      <w:r>
        <w:rPr>
          <w:spacing w:val="1"/>
          <w:sz w:val="24"/>
        </w:rPr>
        <w:t xml:space="preserve"> </w:t>
      </w:r>
      <w:r>
        <w:rPr>
          <w:sz w:val="24"/>
        </w:rPr>
        <w:t>fishery.</w:t>
      </w:r>
    </w:p>
    <w:p w14:paraId="107DCB3E" w14:textId="77777777" w:rsidR="004712C8" w:rsidRDefault="00A6061C">
      <w:pPr>
        <w:pStyle w:val="ListParagraph"/>
        <w:numPr>
          <w:ilvl w:val="1"/>
          <w:numId w:val="2"/>
        </w:numPr>
        <w:tabs>
          <w:tab w:val="left" w:pos="1201"/>
        </w:tabs>
        <w:ind w:hanging="361"/>
        <w:rPr>
          <w:sz w:val="24"/>
        </w:rPr>
      </w:pPr>
      <w:r>
        <w:rPr>
          <w:sz w:val="24"/>
        </w:rPr>
        <w:t>Expected annual fishing effort, by PBF-directed</w:t>
      </w:r>
      <w:r>
        <w:rPr>
          <w:spacing w:val="-6"/>
          <w:sz w:val="24"/>
        </w:rPr>
        <w:t xml:space="preserve"> </w:t>
      </w:r>
      <w:r>
        <w:rPr>
          <w:sz w:val="24"/>
        </w:rPr>
        <w:t>fishery.</w:t>
      </w:r>
    </w:p>
    <w:p w14:paraId="44EAB0DC" w14:textId="77777777" w:rsidR="004712C8" w:rsidRDefault="00A6061C">
      <w:pPr>
        <w:pStyle w:val="ListParagraph"/>
        <w:numPr>
          <w:ilvl w:val="1"/>
          <w:numId w:val="2"/>
        </w:numPr>
        <w:tabs>
          <w:tab w:val="left" w:pos="1201"/>
        </w:tabs>
        <w:ind w:hanging="361"/>
        <w:rPr>
          <w:sz w:val="24"/>
        </w:rPr>
      </w:pPr>
      <w:r>
        <w:rPr>
          <w:sz w:val="24"/>
        </w:rPr>
        <w:t>Inter-annual variability in yield and fishing effort, by</w:t>
      </w:r>
      <w:r>
        <w:rPr>
          <w:spacing w:val="-7"/>
          <w:sz w:val="24"/>
        </w:rPr>
        <w:t xml:space="preserve"> </w:t>
      </w:r>
      <w:r>
        <w:rPr>
          <w:sz w:val="24"/>
        </w:rPr>
        <w:t>fishery.</w:t>
      </w:r>
    </w:p>
    <w:p w14:paraId="7A8FCF9F" w14:textId="77777777" w:rsidR="004712C8" w:rsidRDefault="00A6061C">
      <w:pPr>
        <w:pStyle w:val="ListParagraph"/>
        <w:numPr>
          <w:ilvl w:val="1"/>
          <w:numId w:val="2"/>
        </w:numPr>
        <w:tabs>
          <w:tab w:val="left" w:pos="1201"/>
        </w:tabs>
        <w:spacing w:line="276" w:lineRule="exact"/>
        <w:ind w:hanging="361"/>
        <w:rPr>
          <w:sz w:val="24"/>
        </w:rPr>
      </w:pPr>
      <w:r>
        <w:rPr>
          <w:sz w:val="24"/>
        </w:rPr>
        <w:t>Probabilities of SSB falling below the B-limit and the historical lowest</w:t>
      </w:r>
      <w:r>
        <w:rPr>
          <w:spacing w:val="-10"/>
          <w:sz w:val="24"/>
        </w:rPr>
        <w:t xml:space="preserve"> </w:t>
      </w:r>
      <w:r>
        <w:rPr>
          <w:sz w:val="24"/>
        </w:rPr>
        <w:t>level.</w:t>
      </w:r>
    </w:p>
    <w:p w14:paraId="7A1CEF95" w14:textId="77777777" w:rsidR="004712C8" w:rsidRDefault="00A6061C">
      <w:pPr>
        <w:pStyle w:val="ListParagraph"/>
        <w:numPr>
          <w:ilvl w:val="1"/>
          <w:numId w:val="2"/>
        </w:numPr>
        <w:tabs>
          <w:tab w:val="left" w:pos="1201"/>
        </w:tabs>
        <w:ind w:right="119"/>
        <w:rPr>
          <w:sz w:val="24"/>
        </w:rPr>
      </w:pPr>
      <w:r>
        <w:rPr>
          <w:position w:val="2"/>
          <w:sz w:val="24"/>
        </w:rPr>
        <w:t>Probability of fishing mortality exceeding F</w:t>
      </w:r>
      <w:r>
        <w:rPr>
          <w:sz w:val="16"/>
        </w:rPr>
        <w:t xml:space="preserve">MSY </w:t>
      </w:r>
      <w:r>
        <w:rPr>
          <w:position w:val="2"/>
          <w:sz w:val="24"/>
        </w:rPr>
        <w:t>or an appropriate proxy, and other</w:t>
      </w:r>
      <w:r>
        <w:rPr>
          <w:sz w:val="24"/>
        </w:rPr>
        <w:t xml:space="preserve"> relevant</w:t>
      </w:r>
      <w:r>
        <w:rPr>
          <w:spacing w:val="-1"/>
          <w:sz w:val="24"/>
        </w:rPr>
        <w:t xml:space="preserve"> </w:t>
      </w:r>
      <w:r>
        <w:rPr>
          <w:sz w:val="24"/>
        </w:rPr>
        <w:t>benchmarks.</w:t>
      </w:r>
    </w:p>
    <w:p w14:paraId="43202BD4" w14:textId="77777777" w:rsidR="004712C8" w:rsidRDefault="00A6061C">
      <w:pPr>
        <w:pStyle w:val="ListParagraph"/>
        <w:numPr>
          <w:ilvl w:val="1"/>
          <w:numId w:val="2"/>
        </w:numPr>
        <w:tabs>
          <w:tab w:val="left" w:pos="1201"/>
        </w:tabs>
        <w:ind w:right="126"/>
        <w:rPr>
          <w:sz w:val="24"/>
        </w:rPr>
      </w:pPr>
      <w:r>
        <w:rPr>
          <w:sz w:val="24"/>
        </w:rPr>
        <w:t>Expected proportional fishery impact on SSB, by fishery and by WCPO fisheries and EPO</w:t>
      </w:r>
      <w:r>
        <w:rPr>
          <w:spacing w:val="-1"/>
          <w:sz w:val="24"/>
        </w:rPr>
        <w:t xml:space="preserve"> </w:t>
      </w:r>
      <w:r>
        <w:rPr>
          <w:sz w:val="24"/>
        </w:rPr>
        <w:t>fisheries.</w:t>
      </w:r>
    </w:p>
    <w:p w14:paraId="443E31DE" w14:textId="77777777" w:rsidR="004712C8" w:rsidRDefault="004712C8">
      <w:pPr>
        <w:pStyle w:val="BodyText"/>
        <w:spacing w:before="10"/>
        <w:rPr>
          <w:sz w:val="23"/>
        </w:rPr>
      </w:pPr>
    </w:p>
    <w:p w14:paraId="210BE0ED" w14:textId="77777777" w:rsidR="004712C8" w:rsidRDefault="00A6061C">
      <w:pPr>
        <w:pStyle w:val="BodyText"/>
        <w:ind w:left="120" w:right="118"/>
        <w:jc w:val="both"/>
      </w:pPr>
      <w:r>
        <w:t>Recognizing</w:t>
      </w:r>
      <w:r>
        <w:rPr>
          <w:spacing w:val="-6"/>
        </w:rPr>
        <w:t xml:space="preserve"> </w:t>
      </w:r>
      <w:r>
        <w:t>that</w:t>
      </w:r>
      <w:r>
        <w:rPr>
          <w:spacing w:val="-3"/>
        </w:rPr>
        <w:t xml:space="preserve"> </w:t>
      </w:r>
      <w:r>
        <w:t>developing</w:t>
      </w:r>
      <w:r>
        <w:rPr>
          <w:spacing w:val="-6"/>
        </w:rPr>
        <w:t xml:space="preserve"> </w:t>
      </w:r>
      <w:r>
        <w:t>the</w:t>
      </w:r>
      <w:r>
        <w:rPr>
          <w:spacing w:val="-3"/>
        </w:rPr>
        <w:t xml:space="preserve"> </w:t>
      </w:r>
      <w:r>
        <w:t>operating</w:t>
      </w:r>
      <w:r>
        <w:rPr>
          <w:spacing w:val="-6"/>
        </w:rPr>
        <w:t xml:space="preserve"> </w:t>
      </w:r>
      <w:r>
        <w:t>model</w:t>
      </w:r>
      <w:r>
        <w:rPr>
          <w:spacing w:val="-3"/>
        </w:rPr>
        <w:t xml:space="preserve"> </w:t>
      </w:r>
      <w:r>
        <w:t>and</w:t>
      </w:r>
      <w:r>
        <w:rPr>
          <w:spacing w:val="-4"/>
        </w:rPr>
        <w:t xml:space="preserve"> </w:t>
      </w:r>
      <w:r>
        <w:t>other</w:t>
      </w:r>
      <w:r>
        <w:rPr>
          <w:spacing w:val="-4"/>
        </w:rPr>
        <w:t xml:space="preserve"> </w:t>
      </w:r>
      <w:r>
        <w:t>aspects</w:t>
      </w:r>
      <w:r>
        <w:rPr>
          <w:spacing w:val="-3"/>
        </w:rPr>
        <w:t xml:space="preserve"> </w:t>
      </w:r>
      <w:r>
        <w:t>of</w:t>
      </w:r>
      <w:r>
        <w:rPr>
          <w:spacing w:val="-4"/>
        </w:rPr>
        <w:t xml:space="preserve"> </w:t>
      </w:r>
      <w:r>
        <w:t>the</w:t>
      </w:r>
      <w:r>
        <w:rPr>
          <w:spacing w:val="-4"/>
        </w:rPr>
        <w:t xml:space="preserve"> </w:t>
      </w:r>
      <w:r>
        <w:t>MSE</w:t>
      </w:r>
      <w:r>
        <w:rPr>
          <w:spacing w:val="-3"/>
        </w:rPr>
        <w:t xml:space="preserve"> </w:t>
      </w:r>
      <w:r>
        <w:t>will</w:t>
      </w:r>
      <w:r>
        <w:rPr>
          <w:spacing w:val="-3"/>
        </w:rPr>
        <w:t xml:space="preserve"> </w:t>
      </w:r>
      <w:r>
        <w:t>take</w:t>
      </w:r>
      <w:r>
        <w:rPr>
          <w:spacing w:val="-4"/>
        </w:rPr>
        <w:t xml:space="preserve"> </w:t>
      </w:r>
      <w:r>
        <w:t>time</w:t>
      </w:r>
      <w:r>
        <w:rPr>
          <w:spacing w:val="-4"/>
        </w:rPr>
        <w:t xml:space="preserve"> </w:t>
      </w:r>
      <w:r>
        <w:t xml:space="preserve">and </w:t>
      </w:r>
      <w:r>
        <w:lastRenderedPageBreak/>
        <w:t>additional</w:t>
      </w:r>
      <w:r>
        <w:rPr>
          <w:spacing w:val="-17"/>
        </w:rPr>
        <w:t xml:space="preserve"> </w:t>
      </w:r>
      <w:r>
        <w:t>resources,</w:t>
      </w:r>
      <w:r>
        <w:rPr>
          <w:spacing w:val="-13"/>
        </w:rPr>
        <w:t xml:space="preserve"> </w:t>
      </w:r>
      <w:r>
        <w:t>and</w:t>
      </w:r>
      <w:r>
        <w:rPr>
          <w:spacing w:val="-14"/>
        </w:rPr>
        <w:t xml:space="preserve"> </w:t>
      </w:r>
      <w:r>
        <w:t>might</w:t>
      </w:r>
      <w:r>
        <w:rPr>
          <w:spacing w:val="-15"/>
        </w:rPr>
        <w:t xml:space="preserve"> </w:t>
      </w:r>
      <w:r>
        <w:t>require</w:t>
      </w:r>
      <w:r>
        <w:rPr>
          <w:spacing w:val="-17"/>
        </w:rPr>
        <w:t xml:space="preserve"> </w:t>
      </w:r>
      <w:r>
        <w:t>further</w:t>
      </w:r>
      <w:r>
        <w:rPr>
          <w:spacing w:val="-15"/>
        </w:rPr>
        <w:t xml:space="preserve"> </w:t>
      </w:r>
      <w:r>
        <w:t>dialogue</w:t>
      </w:r>
      <w:r>
        <w:rPr>
          <w:spacing w:val="-15"/>
        </w:rPr>
        <w:t xml:space="preserve"> </w:t>
      </w:r>
      <w:r>
        <w:t>between</w:t>
      </w:r>
      <w:r>
        <w:rPr>
          <w:spacing w:val="-16"/>
        </w:rPr>
        <w:t xml:space="preserve"> </w:t>
      </w:r>
      <w:r>
        <w:t>the</w:t>
      </w:r>
      <w:r>
        <w:rPr>
          <w:spacing w:val="-15"/>
        </w:rPr>
        <w:t xml:space="preserve"> </w:t>
      </w:r>
      <w:r>
        <w:t>Northern</w:t>
      </w:r>
      <w:r>
        <w:rPr>
          <w:spacing w:val="-16"/>
        </w:rPr>
        <w:t xml:space="preserve"> </w:t>
      </w:r>
      <w:r>
        <w:t>Committee,</w:t>
      </w:r>
      <w:r>
        <w:rPr>
          <w:spacing w:val="-17"/>
        </w:rPr>
        <w:t xml:space="preserve"> </w:t>
      </w:r>
      <w:r>
        <w:t>the</w:t>
      </w:r>
      <w:r>
        <w:rPr>
          <w:spacing w:val="-14"/>
        </w:rPr>
        <w:t xml:space="preserve"> </w:t>
      </w:r>
      <w:r>
        <w:t>ISC, and</w:t>
      </w:r>
      <w:r>
        <w:rPr>
          <w:spacing w:val="-4"/>
        </w:rPr>
        <w:t xml:space="preserve"> </w:t>
      </w:r>
      <w:r>
        <w:t>the</w:t>
      </w:r>
      <w:r>
        <w:rPr>
          <w:spacing w:val="-1"/>
        </w:rPr>
        <w:t xml:space="preserve"> </w:t>
      </w:r>
      <w:r>
        <w:t>IATTC,</w:t>
      </w:r>
      <w:r>
        <w:rPr>
          <w:spacing w:val="-3"/>
        </w:rPr>
        <w:t xml:space="preserve"> </w:t>
      </w:r>
      <w:r>
        <w:t>while</w:t>
      </w:r>
      <w:r>
        <w:rPr>
          <w:spacing w:val="-4"/>
        </w:rPr>
        <w:t xml:space="preserve"> </w:t>
      </w:r>
      <w:r>
        <w:t>the</w:t>
      </w:r>
      <w:r>
        <w:rPr>
          <w:spacing w:val="-5"/>
        </w:rPr>
        <w:t xml:space="preserve"> </w:t>
      </w:r>
      <w:r>
        <w:t>MSE</w:t>
      </w:r>
      <w:r>
        <w:rPr>
          <w:spacing w:val="-4"/>
        </w:rPr>
        <w:t xml:space="preserve"> </w:t>
      </w:r>
      <w:r>
        <w:t>is</w:t>
      </w:r>
      <w:r>
        <w:rPr>
          <w:spacing w:val="-3"/>
        </w:rPr>
        <w:t xml:space="preserve"> </w:t>
      </w:r>
      <w:r>
        <w:t>in</w:t>
      </w:r>
      <w:r>
        <w:rPr>
          <w:spacing w:val="-3"/>
        </w:rPr>
        <w:t xml:space="preserve"> </w:t>
      </w:r>
      <w:r>
        <w:t>development</w:t>
      </w:r>
      <w:r>
        <w:rPr>
          <w:spacing w:val="-2"/>
        </w:rPr>
        <w:t xml:space="preserve"> </w:t>
      </w:r>
      <w:r>
        <w:t>the</w:t>
      </w:r>
      <w:r>
        <w:rPr>
          <w:spacing w:val="-1"/>
        </w:rPr>
        <w:t xml:space="preserve"> </w:t>
      </w:r>
      <w:r>
        <w:t>ISC</w:t>
      </w:r>
      <w:r>
        <w:rPr>
          <w:spacing w:val="-3"/>
        </w:rPr>
        <w:t xml:space="preserve"> </w:t>
      </w:r>
      <w:r>
        <w:t>is</w:t>
      </w:r>
      <w:r>
        <w:rPr>
          <w:spacing w:val="-3"/>
        </w:rPr>
        <w:t xml:space="preserve"> </w:t>
      </w:r>
      <w:r>
        <w:t>requested</w:t>
      </w:r>
      <w:r>
        <w:rPr>
          <w:spacing w:val="-4"/>
        </w:rPr>
        <w:t xml:space="preserve"> </w:t>
      </w:r>
      <w:r>
        <w:t>to</w:t>
      </w:r>
      <w:r>
        <w:rPr>
          <w:spacing w:val="-3"/>
        </w:rPr>
        <w:t xml:space="preserve"> </w:t>
      </w:r>
      <w:r>
        <w:t>perform</w:t>
      </w:r>
      <w:r>
        <w:rPr>
          <w:spacing w:val="-4"/>
        </w:rPr>
        <w:t xml:space="preserve"> </w:t>
      </w:r>
      <w:r>
        <w:t>this</w:t>
      </w:r>
      <w:r>
        <w:rPr>
          <w:spacing w:val="-4"/>
        </w:rPr>
        <w:t xml:space="preserve"> </w:t>
      </w:r>
      <w:r>
        <w:t>work</w:t>
      </w:r>
      <w:r>
        <w:rPr>
          <w:spacing w:val="-4"/>
        </w:rPr>
        <w:t xml:space="preserve"> </w:t>
      </w:r>
      <w:r>
        <w:t>using the best means at its</w:t>
      </w:r>
      <w:r>
        <w:rPr>
          <w:spacing w:val="-1"/>
        </w:rPr>
        <w:t xml:space="preserve"> </w:t>
      </w:r>
      <w:r>
        <w:t>disposal.</w:t>
      </w:r>
    </w:p>
    <w:p w14:paraId="5FC09E51" w14:textId="77777777" w:rsidR="004712C8" w:rsidRDefault="004712C8">
      <w:pPr>
        <w:pStyle w:val="BodyText"/>
      </w:pPr>
    </w:p>
    <w:p w14:paraId="7B86686E" w14:textId="77777777" w:rsidR="004712C8" w:rsidRDefault="00A6061C">
      <w:pPr>
        <w:pStyle w:val="BodyText"/>
        <w:ind w:left="120"/>
      </w:pPr>
      <w:r>
        <w:t>--</w:t>
      </w:r>
    </w:p>
    <w:sectPr w:rsidR="004712C8" w:rsidSect="002C3AF0">
      <w:footerReference w:type="default" r:id="rId9"/>
      <w:pgSz w:w="12240" w:h="15840" w:code="1"/>
      <w:pgMar w:top="1354" w:right="1325" w:bottom="936" w:left="1325" w:header="0" w:footer="7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F35C" w14:textId="77777777" w:rsidR="000C6C0B" w:rsidRDefault="000C6C0B">
      <w:r>
        <w:separator/>
      </w:r>
    </w:p>
  </w:endnote>
  <w:endnote w:type="continuationSeparator" w:id="0">
    <w:p w14:paraId="2E2481E0" w14:textId="77777777" w:rsidR="000C6C0B" w:rsidRDefault="000C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0FCE" w14:textId="22A1D937" w:rsidR="004712C8" w:rsidRDefault="00FC715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D0D2222" wp14:editId="01187735">
              <wp:simplePos x="0" y="0"/>
              <wp:positionH relativeFrom="page">
                <wp:posOffset>3813810</wp:posOffset>
              </wp:positionH>
              <wp:positionV relativeFrom="page">
                <wp:posOffset>9446895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2DFA" w14:textId="77777777" w:rsidR="004712C8" w:rsidRDefault="00A6061C">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D2222" id="_x0000_t202" coordsize="21600,21600" o:spt="202" path="m,l,21600r21600,l21600,xe">
              <v:stroke joinstyle="miter"/>
              <v:path gradientshapeok="t" o:connecttype="rect"/>
            </v:shapetype>
            <v:shape id="Text Box 1" o:spid="_x0000_s1026" type="#_x0000_t202" style="position:absolute;margin-left:300.3pt;margin-top:743.8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yf5g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VHzNmROWVvSk&#10;xsg+wshWSZ3Bh5KSHj2lxZHctOU8afD3IH8E5uCmE65V14gwdEo0xC5XFs9KJ5yQQOrhCzTURuwi&#10;ZKBRo03SkRiM0GlLh9NmEhWZWr6/PFtTRFJodXF+eXaeuBWinIs9hvhJgWXJqDjS4jO42N+HOKXO&#10;KamXgzvT93n5vfvLQZjJk8knvhPzONbjUYwamgONgTDdEt0+GR3gL84GuqOKh587gYqz/rMjKdLR&#10;zQbORj0bwkkqrXjkbDJv4nScO4+m7Qh5EtvBNcmlTR4l6TqxOPKk28hiHO84Hd/z75z152/b/gYA&#10;AP//AwBQSwMEFAAGAAgAAAAhAMoa/H7gAAAADQEAAA8AAABkcnMvZG93bnJldi54bWxMj0FPwzAM&#10;he9I/IfISNxYugHdVppOE4ITEqIrhx3TxmujNU5psq38e8wJbrbf0/P38s3kenHGMVhPCuazBARS&#10;442lVsFn9Xq3AhGiJqN7T6jgGwNsiuurXGfGX6jE8y62gkMoZFpBF+OQSRmaDp0OMz8gsXbwo9OR&#10;17GVZtQXDne9XCRJKp22xB86PeBzh81xd3IKtnsqX+zXe/1RHkpbVeuE3tKjUrc30/YJRMQp/pnh&#10;F5/RoWCm2p/IBNErSDmdrSw8rJZLEGxJF/fcpubT45wnWeTyf4viBwAA//8DAFBLAQItABQABgAI&#10;AAAAIQC2gziS/gAAAOEBAAATAAAAAAAAAAAAAAAAAAAAAABbQ29udGVudF9UeXBlc10ueG1sUEsB&#10;Ai0AFAAGAAgAAAAhADj9If/WAAAAlAEAAAsAAAAAAAAAAAAAAAAALwEAAF9yZWxzLy5yZWxzUEsB&#10;Ai0AFAAGAAgAAAAhABSxzJ/mAQAAtQMAAA4AAAAAAAAAAAAAAAAALgIAAGRycy9lMm9Eb2MueG1s&#10;UEsBAi0AFAAGAAgAAAAhAMoa/H7gAAAADQEAAA8AAAAAAAAAAAAAAAAAQAQAAGRycy9kb3ducmV2&#10;LnhtbFBLBQYAAAAABAAEAPMAAABNBQAAAAA=&#10;" filled="f" stroked="f">
              <v:textbox inset="0,0,0,0">
                <w:txbxContent>
                  <w:p w14:paraId="5E1A2DFA" w14:textId="77777777" w:rsidR="004712C8" w:rsidRDefault="00A6061C">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4A58" w14:textId="77777777" w:rsidR="000C6C0B" w:rsidRDefault="000C6C0B">
      <w:r>
        <w:separator/>
      </w:r>
    </w:p>
  </w:footnote>
  <w:footnote w:type="continuationSeparator" w:id="0">
    <w:p w14:paraId="77947A44" w14:textId="77777777" w:rsidR="000C6C0B" w:rsidRDefault="000C6C0B">
      <w:r>
        <w:continuationSeparator/>
      </w:r>
    </w:p>
  </w:footnote>
  <w:footnote w:id="1">
    <w:p w14:paraId="4672C415" w14:textId="19DB2EA2" w:rsidR="00EF7A27" w:rsidRPr="00EF7A27" w:rsidRDefault="00EF7A27">
      <w:pPr>
        <w:pStyle w:val="FootnoteText"/>
        <w:rPr>
          <w:rFonts w:eastAsiaTheme="minorEastAsia"/>
          <w:lang w:eastAsia="ja-JP"/>
        </w:rPr>
      </w:pPr>
      <w:r>
        <w:rPr>
          <w:rStyle w:val="FootnoteReference"/>
        </w:rPr>
        <w:t>1</w:t>
      </w:r>
      <w:r>
        <w:t xml:space="preserve"> </w:t>
      </w:r>
      <w:r>
        <w:rPr>
          <w:sz w:val="20"/>
        </w:rPr>
        <w:t>See the information provided by the International Scientific Committee for Tuna and Tuna-like Species in the North Pacific Ocean (WCPFC-NC9-2013/IP-03) in response to a request made by the Northern Committee at its Eighth Regular Session (Attachment F of the report of NC8).</w:t>
      </w:r>
    </w:p>
  </w:footnote>
  <w:footnote w:id="2">
    <w:p w14:paraId="40EDFB9D" w14:textId="345171C6" w:rsidR="00EF7A27" w:rsidRPr="00EF7A27" w:rsidRDefault="00EF7A27">
      <w:pPr>
        <w:pStyle w:val="FootnoteText"/>
        <w:rPr>
          <w:rFonts w:eastAsiaTheme="minorEastAsia"/>
          <w:lang w:eastAsia="ja-JP"/>
        </w:rPr>
      </w:pPr>
      <w:r>
        <w:rPr>
          <w:rStyle w:val="FootnoteReference"/>
        </w:rPr>
        <w:t>2</w:t>
      </w:r>
      <w:r>
        <w:t xml:space="preserve"> </w:t>
      </w:r>
      <w:r>
        <w:rPr>
          <w:rFonts w:ascii="Calibri"/>
          <w:position w:val="1"/>
          <w:sz w:val="20"/>
        </w:rPr>
        <w:t>SSB</w:t>
      </w:r>
      <w:r>
        <w:rPr>
          <w:rFonts w:ascii="Calibri"/>
          <w:sz w:val="13"/>
        </w:rPr>
        <w:t xml:space="preserve">F=0 </w:t>
      </w:r>
      <w:r>
        <w:rPr>
          <w:position w:val="1"/>
          <w:sz w:val="20"/>
        </w:rPr>
        <w:t>is the expected spawning stock biomass under average recruitment conditions without fishing.</w:t>
      </w:r>
    </w:p>
  </w:footnote>
  <w:footnote w:id="3">
    <w:p w14:paraId="59B14941" w14:textId="420DF72C" w:rsidR="00EF7A27" w:rsidRPr="00EF7A27" w:rsidRDefault="00EF7A27">
      <w:pPr>
        <w:pStyle w:val="FootnoteText"/>
        <w:rPr>
          <w:rFonts w:eastAsiaTheme="minorEastAsia"/>
          <w:lang w:eastAsia="ja-JP"/>
        </w:rPr>
      </w:pPr>
      <w:r>
        <w:rPr>
          <w:rStyle w:val="FootnoteReference"/>
        </w:rPr>
        <w:t>3</w:t>
      </w:r>
      <w:r>
        <w:t xml:space="preserve"> </w:t>
      </w:r>
      <w:r>
        <w:rPr>
          <w:sz w:val="20"/>
        </w:rPr>
        <w:t>WCPFC13 agreed that any risk level greater than 20 percent to be inconsistent with the limit reference point related principles in UNFSA (as references in Article 6 of the Convention) including that the risk of breaching limit reference points be very low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6D6"/>
    <w:multiLevelType w:val="hybridMultilevel"/>
    <w:tmpl w:val="3E96539A"/>
    <w:lvl w:ilvl="0" w:tplc="B8622CF0">
      <w:start w:val="4"/>
      <w:numFmt w:val="decimal"/>
      <w:lvlText w:val="%1."/>
      <w:lvlJc w:val="left"/>
      <w:pPr>
        <w:ind w:left="420" w:hanging="300"/>
      </w:pPr>
      <w:rPr>
        <w:rFonts w:ascii="Times New Roman" w:eastAsia="Times New Roman" w:hAnsi="Times New Roman" w:cs="Times New Roman" w:hint="default"/>
        <w:b/>
        <w:bCs/>
        <w:spacing w:val="-2"/>
        <w:w w:val="99"/>
        <w:sz w:val="24"/>
        <w:szCs w:val="24"/>
        <w:lang w:val="en-US" w:eastAsia="en-US" w:bidi="en-US"/>
      </w:rPr>
    </w:lvl>
    <w:lvl w:ilvl="1" w:tplc="4E7C3D56">
      <w:start w:val="1"/>
      <w:numFmt w:val="decimal"/>
      <w:lvlText w:val="%2."/>
      <w:lvlJc w:val="left"/>
      <w:pPr>
        <w:ind w:left="1200" w:hanging="360"/>
      </w:pPr>
      <w:rPr>
        <w:rFonts w:ascii="Times New Roman" w:eastAsia="Times New Roman" w:hAnsi="Times New Roman" w:cs="Times New Roman" w:hint="default"/>
        <w:spacing w:val="-2"/>
        <w:w w:val="99"/>
        <w:sz w:val="24"/>
        <w:szCs w:val="24"/>
        <w:lang w:val="en-US" w:eastAsia="en-US" w:bidi="en-US"/>
      </w:rPr>
    </w:lvl>
    <w:lvl w:ilvl="2" w:tplc="73702EAE">
      <w:numFmt w:val="bullet"/>
      <w:lvlText w:val="•"/>
      <w:lvlJc w:val="left"/>
      <w:pPr>
        <w:ind w:left="2133" w:hanging="360"/>
      </w:pPr>
      <w:rPr>
        <w:rFonts w:hint="default"/>
        <w:lang w:val="en-US" w:eastAsia="en-US" w:bidi="en-US"/>
      </w:rPr>
    </w:lvl>
    <w:lvl w:ilvl="3" w:tplc="4A029C04">
      <w:numFmt w:val="bullet"/>
      <w:lvlText w:val="•"/>
      <w:lvlJc w:val="left"/>
      <w:pPr>
        <w:ind w:left="3066" w:hanging="360"/>
      </w:pPr>
      <w:rPr>
        <w:rFonts w:hint="default"/>
        <w:lang w:val="en-US" w:eastAsia="en-US" w:bidi="en-US"/>
      </w:rPr>
    </w:lvl>
    <w:lvl w:ilvl="4" w:tplc="B57ABC60">
      <w:numFmt w:val="bullet"/>
      <w:lvlText w:val="•"/>
      <w:lvlJc w:val="left"/>
      <w:pPr>
        <w:ind w:left="4000" w:hanging="360"/>
      </w:pPr>
      <w:rPr>
        <w:rFonts w:hint="default"/>
        <w:lang w:val="en-US" w:eastAsia="en-US" w:bidi="en-US"/>
      </w:rPr>
    </w:lvl>
    <w:lvl w:ilvl="5" w:tplc="6360C5B2">
      <w:numFmt w:val="bullet"/>
      <w:lvlText w:val="•"/>
      <w:lvlJc w:val="left"/>
      <w:pPr>
        <w:ind w:left="4933" w:hanging="360"/>
      </w:pPr>
      <w:rPr>
        <w:rFonts w:hint="default"/>
        <w:lang w:val="en-US" w:eastAsia="en-US" w:bidi="en-US"/>
      </w:rPr>
    </w:lvl>
    <w:lvl w:ilvl="6" w:tplc="F26EEE1E">
      <w:numFmt w:val="bullet"/>
      <w:lvlText w:val="•"/>
      <w:lvlJc w:val="left"/>
      <w:pPr>
        <w:ind w:left="5866" w:hanging="360"/>
      </w:pPr>
      <w:rPr>
        <w:rFonts w:hint="default"/>
        <w:lang w:val="en-US" w:eastAsia="en-US" w:bidi="en-US"/>
      </w:rPr>
    </w:lvl>
    <w:lvl w:ilvl="7" w:tplc="7DD82D30">
      <w:numFmt w:val="bullet"/>
      <w:lvlText w:val="•"/>
      <w:lvlJc w:val="left"/>
      <w:pPr>
        <w:ind w:left="6800" w:hanging="360"/>
      </w:pPr>
      <w:rPr>
        <w:rFonts w:hint="default"/>
        <w:lang w:val="en-US" w:eastAsia="en-US" w:bidi="en-US"/>
      </w:rPr>
    </w:lvl>
    <w:lvl w:ilvl="8" w:tplc="ED9C2EEC">
      <w:numFmt w:val="bullet"/>
      <w:lvlText w:val="•"/>
      <w:lvlJc w:val="left"/>
      <w:pPr>
        <w:ind w:left="7733" w:hanging="360"/>
      </w:pPr>
      <w:rPr>
        <w:rFonts w:hint="default"/>
        <w:lang w:val="en-US" w:eastAsia="en-US" w:bidi="en-US"/>
      </w:rPr>
    </w:lvl>
  </w:abstractNum>
  <w:abstractNum w:abstractNumId="1" w15:restartNumberingAfterBreak="0">
    <w:nsid w:val="04D916D3"/>
    <w:multiLevelType w:val="hybridMultilevel"/>
    <w:tmpl w:val="8A124160"/>
    <w:lvl w:ilvl="0" w:tplc="8742520C">
      <w:start w:val="1"/>
      <w:numFmt w:val="lowerLetter"/>
      <w:lvlText w:val="(%1)"/>
      <w:lvlJc w:val="left"/>
      <w:pPr>
        <w:ind w:left="120" w:hanging="720"/>
      </w:pPr>
      <w:rPr>
        <w:rFonts w:ascii="Times New Roman" w:eastAsia="Times New Roman" w:hAnsi="Times New Roman" w:cs="Times New Roman" w:hint="default"/>
        <w:spacing w:val="-25"/>
        <w:w w:val="99"/>
        <w:sz w:val="24"/>
        <w:szCs w:val="24"/>
        <w:lang w:val="en-US" w:eastAsia="en-US" w:bidi="en-US"/>
      </w:rPr>
    </w:lvl>
    <w:lvl w:ilvl="1" w:tplc="FA2C1D2A">
      <w:numFmt w:val="bullet"/>
      <w:lvlText w:val="•"/>
      <w:lvlJc w:val="left"/>
      <w:pPr>
        <w:ind w:left="1068" w:hanging="720"/>
      </w:pPr>
      <w:rPr>
        <w:rFonts w:hint="default"/>
        <w:lang w:val="en-US" w:eastAsia="en-US" w:bidi="en-US"/>
      </w:rPr>
    </w:lvl>
    <w:lvl w:ilvl="2" w:tplc="571C6910">
      <w:numFmt w:val="bullet"/>
      <w:lvlText w:val="•"/>
      <w:lvlJc w:val="left"/>
      <w:pPr>
        <w:ind w:left="2016" w:hanging="720"/>
      </w:pPr>
      <w:rPr>
        <w:rFonts w:hint="default"/>
        <w:lang w:val="en-US" w:eastAsia="en-US" w:bidi="en-US"/>
      </w:rPr>
    </w:lvl>
    <w:lvl w:ilvl="3" w:tplc="F264999C">
      <w:numFmt w:val="bullet"/>
      <w:lvlText w:val="•"/>
      <w:lvlJc w:val="left"/>
      <w:pPr>
        <w:ind w:left="2964" w:hanging="720"/>
      </w:pPr>
      <w:rPr>
        <w:rFonts w:hint="default"/>
        <w:lang w:val="en-US" w:eastAsia="en-US" w:bidi="en-US"/>
      </w:rPr>
    </w:lvl>
    <w:lvl w:ilvl="4" w:tplc="90EC1110">
      <w:numFmt w:val="bullet"/>
      <w:lvlText w:val="•"/>
      <w:lvlJc w:val="left"/>
      <w:pPr>
        <w:ind w:left="3912" w:hanging="720"/>
      </w:pPr>
      <w:rPr>
        <w:rFonts w:hint="default"/>
        <w:lang w:val="en-US" w:eastAsia="en-US" w:bidi="en-US"/>
      </w:rPr>
    </w:lvl>
    <w:lvl w:ilvl="5" w:tplc="D332B8D4">
      <w:numFmt w:val="bullet"/>
      <w:lvlText w:val="•"/>
      <w:lvlJc w:val="left"/>
      <w:pPr>
        <w:ind w:left="4860" w:hanging="720"/>
      </w:pPr>
      <w:rPr>
        <w:rFonts w:hint="default"/>
        <w:lang w:val="en-US" w:eastAsia="en-US" w:bidi="en-US"/>
      </w:rPr>
    </w:lvl>
    <w:lvl w:ilvl="6" w:tplc="1430F890">
      <w:numFmt w:val="bullet"/>
      <w:lvlText w:val="•"/>
      <w:lvlJc w:val="left"/>
      <w:pPr>
        <w:ind w:left="5808" w:hanging="720"/>
      </w:pPr>
      <w:rPr>
        <w:rFonts w:hint="default"/>
        <w:lang w:val="en-US" w:eastAsia="en-US" w:bidi="en-US"/>
      </w:rPr>
    </w:lvl>
    <w:lvl w:ilvl="7" w:tplc="5A7C9F96">
      <w:numFmt w:val="bullet"/>
      <w:lvlText w:val="•"/>
      <w:lvlJc w:val="left"/>
      <w:pPr>
        <w:ind w:left="6756" w:hanging="720"/>
      </w:pPr>
      <w:rPr>
        <w:rFonts w:hint="default"/>
        <w:lang w:val="en-US" w:eastAsia="en-US" w:bidi="en-US"/>
      </w:rPr>
    </w:lvl>
    <w:lvl w:ilvl="8" w:tplc="D4BEFF12">
      <w:numFmt w:val="bullet"/>
      <w:lvlText w:val="•"/>
      <w:lvlJc w:val="left"/>
      <w:pPr>
        <w:ind w:left="7704" w:hanging="720"/>
      </w:pPr>
      <w:rPr>
        <w:rFonts w:hint="default"/>
        <w:lang w:val="en-US" w:eastAsia="en-US" w:bidi="en-US"/>
      </w:rPr>
    </w:lvl>
  </w:abstractNum>
  <w:abstractNum w:abstractNumId="2" w15:restartNumberingAfterBreak="0">
    <w:nsid w:val="3C5C5314"/>
    <w:multiLevelType w:val="hybridMultilevel"/>
    <w:tmpl w:val="8A124160"/>
    <w:lvl w:ilvl="0" w:tplc="8742520C">
      <w:start w:val="1"/>
      <w:numFmt w:val="lowerLetter"/>
      <w:lvlText w:val="(%1)"/>
      <w:lvlJc w:val="left"/>
      <w:pPr>
        <w:ind w:left="840" w:hanging="720"/>
      </w:pPr>
      <w:rPr>
        <w:rFonts w:ascii="Times New Roman" w:eastAsia="Times New Roman" w:hAnsi="Times New Roman" w:cs="Times New Roman" w:hint="default"/>
        <w:spacing w:val="-25"/>
        <w:w w:val="99"/>
        <w:sz w:val="24"/>
        <w:szCs w:val="24"/>
        <w:lang w:val="en-US" w:eastAsia="en-US" w:bidi="en-US"/>
      </w:rPr>
    </w:lvl>
    <w:lvl w:ilvl="1" w:tplc="FA2C1D2A">
      <w:numFmt w:val="bullet"/>
      <w:lvlText w:val="•"/>
      <w:lvlJc w:val="left"/>
      <w:pPr>
        <w:ind w:left="1788" w:hanging="720"/>
      </w:pPr>
      <w:rPr>
        <w:rFonts w:hint="default"/>
        <w:lang w:val="en-US" w:eastAsia="en-US" w:bidi="en-US"/>
      </w:rPr>
    </w:lvl>
    <w:lvl w:ilvl="2" w:tplc="571C6910">
      <w:numFmt w:val="bullet"/>
      <w:lvlText w:val="•"/>
      <w:lvlJc w:val="left"/>
      <w:pPr>
        <w:ind w:left="2736" w:hanging="720"/>
      </w:pPr>
      <w:rPr>
        <w:rFonts w:hint="default"/>
        <w:lang w:val="en-US" w:eastAsia="en-US" w:bidi="en-US"/>
      </w:rPr>
    </w:lvl>
    <w:lvl w:ilvl="3" w:tplc="F264999C">
      <w:numFmt w:val="bullet"/>
      <w:lvlText w:val="•"/>
      <w:lvlJc w:val="left"/>
      <w:pPr>
        <w:ind w:left="3684" w:hanging="720"/>
      </w:pPr>
      <w:rPr>
        <w:rFonts w:hint="default"/>
        <w:lang w:val="en-US" w:eastAsia="en-US" w:bidi="en-US"/>
      </w:rPr>
    </w:lvl>
    <w:lvl w:ilvl="4" w:tplc="90EC1110">
      <w:numFmt w:val="bullet"/>
      <w:lvlText w:val="•"/>
      <w:lvlJc w:val="left"/>
      <w:pPr>
        <w:ind w:left="4632" w:hanging="720"/>
      </w:pPr>
      <w:rPr>
        <w:rFonts w:hint="default"/>
        <w:lang w:val="en-US" w:eastAsia="en-US" w:bidi="en-US"/>
      </w:rPr>
    </w:lvl>
    <w:lvl w:ilvl="5" w:tplc="D332B8D4">
      <w:numFmt w:val="bullet"/>
      <w:lvlText w:val="•"/>
      <w:lvlJc w:val="left"/>
      <w:pPr>
        <w:ind w:left="5580" w:hanging="720"/>
      </w:pPr>
      <w:rPr>
        <w:rFonts w:hint="default"/>
        <w:lang w:val="en-US" w:eastAsia="en-US" w:bidi="en-US"/>
      </w:rPr>
    </w:lvl>
    <w:lvl w:ilvl="6" w:tplc="1430F890">
      <w:numFmt w:val="bullet"/>
      <w:lvlText w:val="•"/>
      <w:lvlJc w:val="left"/>
      <w:pPr>
        <w:ind w:left="6528" w:hanging="720"/>
      </w:pPr>
      <w:rPr>
        <w:rFonts w:hint="default"/>
        <w:lang w:val="en-US" w:eastAsia="en-US" w:bidi="en-US"/>
      </w:rPr>
    </w:lvl>
    <w:lvl w:ilvl="7" w:tplc="5A7C9F96">
      <w:numFmt w:val="bullet"/>
      <w:lvlText w:val="•"/>
      <w:lvlJc w:val="left"/>
      <w:pPr>
        <w:ind w:left="7476" w:hanging="720"/>
      </w:pPr>
      <w:rPr>
        <w:rFonts w:hint="default"/>
        <w:lang w:val="en-US" w:eastAsia="en-US" w:bidi="en-US"/>
      </w:rPr>
    </w:lvl>
    <w:lvl w:ilvl="8" w:tplc="D4BEFF12">
      <w:numFmt w:val="bullet"/>
      <w:lvlText w:val="•"/>
      <w:lvlJc w:val="left"/>
      <w:pPr>
        <w:ind w:left="8424" w:hanging="720"/>
      </w:pPr>
      <w:rPr>
        <w:rFonts w:hint="default"/>
        <w:lang w:val="en-US" w:eastAsia="en-US" w:bidi="en-US"/>
      </w:rPr>
    </w:lvl>
  </w:abstractNum>
  <w:abstractNum w:abstractNumId="3"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C8"/>
    <w:rsid w:val="000C6C0B"/>
    <w:rsid w:val="00183493"/>
    <w:rsid w:val="002C3AF0"/>
    <w:rsid w:val="003A1DF4"/>
    <w:rsid w:val="004712C8"/>
    <w:rsid w:val="005B45C2"/>
    <w:rsid w:val="007E2AA6"/>
    <w:rsid w:val="00A6061C"/>
    <w:rsid w:val="00BC7FE8"/>
    <w:rsid w:val="00C06959"/>
    <w:rsid w:val="00D1489B"/>
    <w:rsid w:val="00EF7A27"/>
    <w:rsid w:val="00FC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973EDE"/>
  <w15:docId w15:val="{066821CF-8471-4397-8281-A05A441F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420" w:hanging="3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0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F7A27"/>
    <w:pPr>
      <w:snapToGrid w:val="0"/>
    </w:pPr>
  </w:style>
  <w:style w:type="character" w:customStyle="1" w:styleId="FootnoteTextChar">
    <w:name w:val="Footnote Text Char"/>
    <w:basedOn w:val="DefaultParagraphFont"/>
    <w:link w:val="FootnoteText"/>
    <w:uiPriority w:val="99"/>
    <w:semiHidden/>
    <w:rsid w:val="00EF7A27"/>
    <w:rPr>
      <w:rFonts w:ascii="Times New Roman" w:eastAsia="Times New Roman" w:hAnsi="Times New Roman" w:cs="Times New Roman"/>
      <w:lang w:bidi="en-US"/>
    </w:rPr>
  </w:style>
  <w:style w:type="character" w:styleId="FootnoteReference">
    <w:name w:val="footnote reference"/>
    <w:basedOn w:val="DefaultParagraphFont"/>
    <w:uiPriority w:val="99"/>
    <w:semiHidden/>
    <w:unhideWhenUsed/>
    <w:rsid w:val="00EF7A27"/>
    <w:rPr>
      <w:vertAlign w:val="superscript"/>
    </w:rPr>
  </w:style>
  <w:style w:type="paragraph" w:styleId="Header">
    <w:name w:val="header"/>
    <w:basedOn w:val="Normal"/>
    <w:link w:val="HeaderChar"/>
    <w:uiPriority w:val="99"/>
    <w:unhideWhenUsed/>
    <w:rsid w:val="00EF7A27"/>
    <w:pPr>
      <w:tabs>
        <w:tab w:val="center" w:pos="4252"/>
        <w:tab w:val="right" w:pos="8504"/>
      </w:tabs>
      <w:snapToGrid w:val="0"/>
    </w:pPr>
  </w:style>
  <w:style w:type="character" w:customStyle="1" w:styleId="HeaderChar">
    <w:name w:val="Header Char"/>
    <w:basedOn w:val="DefaultParagraphFont"/>
    <w:link w:val="Header"/>
    <w:uiPriority w:val="99"/>
    <w:rsid w:val="00EF7A27"/>
    <w:rPr>
      <w:rFonts w:ascii="Times New Roman" w:eastAsia="Times New Roman" w:hAnsi="Times New Roman" w:cs="Times New Roman"/>
      <w:lang w:bidi="en-US"/>
    </w:rPr>
  </w:style>
  <w:style w:type="paragraph" w:styleId="Footer">
    <w:name w:val="footer"/>
    <w:basedOn w:val="Normal"/>
    <w:link w:val="FooterChar"/>
    <w:uiPriority w:val="99"/>
    <w:unhideWhenUsed/>
    <w:rsid w:val="00EF7A27"/>
    <w:pPr>
      <w:tabs>
        <w:tab w:val="center" w:pos="4252"/>
        <w:tab w:val="right" w:pos="8504"/>
      </w:tabs>
      <w:snapToGrid w:val="0"/>
    </w:pPr>
  </w:style>
  <w:style w:type="character" w:customStyle="1" w:styleId="FooterChar">
    <w:name w:val="Footer Char"/>
    <w:basedOn w:val="DefaultParagraphFont"/>
    <w:link w:val="Footer"/>
    <w:uiPriority w:val="99"/>
    <w:rsid w:val="00EF7A27"/>
    <w:rPr>
      <w:rFonts w:ascii="Times New Roman" w:eastAsia="Times New Roman" w:hAnsi="Times New Roman" w:cs="Times New Roman"/>
      <w:lang w:bidi="en-US"/>
    </w:rPr>
  </w:style>
  <w:style w:type="paragraph" w:styleId="Title">
    <w:name w:val="Title"/>
    <w:basedOn w:val="Normal"/>
    <w:next w:val="Normal"/>
    <w:link w:val="TitleChar"/>
    <w:uiPriority w:val="10"/>
    <w:qFormat/>
    <w:rsid w:val="002C3AF0"/>
    <w:pPr>
      <w:widowControl/>
      <w:autoSpaceDE/>
      <w:autoSpaceDN/>
      <w:contextualSpacing/>
    </w:pPr>
    <w:rPr>
      <w:rFonts w:asciiTheme="majorHAnsi" w:eastAsiaTheme="majorEastAsia" w:hAnsiTheme="majorHAnsi" w:cstheme="majorBidi"/>
      <w:spacing w:val="-10"/>
      <w:kern w:val="28"/>
      <w:sz w:val="56"/>
      <w:szCs w:val="56"/>
      <w:lang w:eastAsia="ja-JP" w:bidi="ar-SA"/>
    </w:rPr>
  </w:style>
  <w:style w:type="character" w:customStyle="1" w:styleId="TitleChar">
    <w:name w:val="Title Char"/>
    <w:basedOn w:val="DefaultParagraphFont"/>
    <w:link w:val="Title"/>
    <w:uiPriority w:val="10"/>
    <w:rsid w:val="002C3AF0"/>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1752</Words>
  <Characters>9991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Manarangi-Trott</dc:creator>
  <cp:lastModifiedBy>SungKwon Soh</cp:lastModifiedBy>
  <cp:revision>4</cp:revision>
  <cp:lastPrinted>2021-09-08T02:05:00Z</cp:lastPrinted>
  <dcterms:created xsi:type="dcterms:W3CDTF">2021-08-06T08:05:00Z</dcterms:created>
  <dcterms:modified xsi:type="dcterms:W3CDTF">2021-09-08T02:10:00Z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2013</vt:lpwstr>
  </property>
  <property fmtid="{D5CDD505-2E9C-101B-9397-08002B2CF9AE}" pid="4" name="LastSaved">
    <vt:filetime>2021-08-03T00:00:00Z</vt:filetime>
  </property>
</Properties>
</file>