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7C" w:rsidRDefault="00E02DF8" w:rsidP="00227D7C">
      <w:pPr>
        <w:jc w:val="center"/>
      </w:pPr>
      <w:r>
        <w:rPr>
          <w:noProof/>
          <w:lang w:eastAsia="ja-JP"/>
        </w:rPr>
        <w:drawing>
          <wp:inline distT="0" distB="0" distL="0" distR="0">
            <wp:extent cx="2055495" cy="106807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5495" cy="1068070"/>
                    </a:xfrm>
                    <a:prstGeom prst="rect">
                      <a:avLst/>
                    </a:prstGeom>
                    <a:noFill/>
                    <a:ln w="9525">
                      <a:noFill/>
                      <a:miter lim="800000"/>
                      <a:headEnd/>
                      <a:tailEnd/>
                    </a:ln>
                  </pic:spPr>
                </pic:pic>
              </a:graphicData>
            </a:graphic>
          </wp:inline>
        </w:drawing>
      </w:r>
    </w:p>
    <w:p w:rsidR="006C7621" w:rsidRPr="00647648" w:rsidRDefault="006C7621" w:rsidP="006C7621">
      <w:pPr>
        <w:snapToGrid w:val="0"/>
        <w:jc w:val="center"/>
        <w:rPr>
          <w:b/>
          <w:lang w:val="en-NZ" w:eastAsia="ja-JP"/>
        </w:rPr>
      </w:pPr>
      <w:r w:rsidRPr="00647648">
        <w:rPr>
          <w:b/>
          <w:lang w:val="en-NZ"/>
        </w:rPr>
        <w:t>NORTHERN COMMITTEE</w:t>
      </w:r>
      <w:r w:rsidRPr="00647648">
        <w:rPr>
          <w:b/>
          <w:lang w:val="en-NZ" w:eastAsia="ja-JP"/>
        </w:rPr>
        <w:t xml:space="preserve"> </w:t>
      </w:r>
    </w:p>
    <w:p w:rsidR="006C7621" w:rsidRPr="006C7621" w:rsidRDefault="006C7621" w:rsidP="006C7621">
      <w:pPr>
        <w:snapToGrid w:val="0"/>
        <w:jc w:val="center"/>
        <w:rPr>
          <w:b/>
          <w:sz w:val="22"/>
          <w:szCs w:val="22"/>
          <w:lang w:val="en-NZ" w:eastAsia="ja-JP"/>
        </w:rPr>
      </w:pPr>
      <w:r w:rsidRPr="006C7621">
        <w:rPr>
          <w:b/>
          <w:sz w:val="22"/>
          <w:szCs w:val="22"/>
          <w:lang w:val="en-NZ" w:eastAsia="ja-JP"/>
        </w:rPr>
        <w:t>EIGHTH REGULAR SESSION</w:t>
      </w:r>
    </w:p>
    <w:p w:rsidR="006C7621" w:rsidRPr="006C7621" w:rsidRDefault="006C7621" w:rsidP="006C7621">
      <w:pPr>
        <w:snapToGrid w:val="0"/>
        <w:jc w:val="center"/>
        <w:rPr>
          <w:b/>
          <w:sz w:val="22"/>
          <w:szCs w:val="22"/>
          <w:lang w:val="en-NZ"/>
        </w:rPr>
      </w:pPr>
    </w:p>
    <w:p w:rsidR="006C7621" w:rsidRPr="006C7621" w:rsidRDefault="006C7621" w:rsidP="006C7621">
      <w:pPr>
        <w:snapToGrid w:val="0"/>
        <w:jc w:val="center"/>
        <w:rPr>
          <w:sz w:val="22"/>
          <w:szCs w:val="22"/>
          <w:lang w:val="en-NZ" w:eastAsia="ja-JP"/>
        </w:rPr>
      </w:pPr>
      <w:r w:rsidRPr="006C7621">
        <w:rPr>
          <w:sz w:val="22"/>
          <w:szCs w:val="22"/>
          <w:lang w:val="en-NZ" w:eastAsia="ja-JP"/>
        </w:rPr>
        <w:t>3-6</w:t>
      </w:r>
      <w:r w:rsidRPr="006C7621">
        <w:rPr>
          <w:sz w:val="22"/>
          <w:szCs w:val="22"/>
          <w:lang w:val="en-NZ"/>
        </w:rPr>
        <w:t xml:space="preserve"> September 20</w:t>
      </w:r>
      <w:r w:rsidRPr="006C7621">
        <w:rPr>
          <w:sz w:val="22"/>
          <w:szCs w:val="22"/>
          <w:lang w:val="en-NZ" w:eastAsia="ja-JP"/>
        </w:rPr>
        <w:t>12</w:t>
      </w:r>
    </w:p>
    <w:p w:rsidR="006C7621" w:rsidRPr="006C7621" w:rsidRDefault="006C7621" w:rsidP="006C7621">
      <w:pPr>
        <w:snapToGrid w:val="0"/>
        <w:jc w:val="center"/>
        <w:rPr>
          <w:sz w:val="22"/>
          <w:szCs w:val="22"/>
          <w:lang w:val="en-NZ"/>
        </w:rPr>
      </w:pPr>
      <w:r w:rsidRPr="006C7621">
        <w:rPr>
          <w:sz w:val="22"/>
          <w:szCs w:val="22"/>
          <w:lang w:val="en-GB" w:eastAsia="ja-JP"/>
        </w:rPr>
        <w:t>Nagasaki</w:t>
      </w:r>
      <w:r w:rsidRPr="006C7621">
        <w:rPr>
          <w:sz w:val="22"/>
          <w:szCs w:val="22"/>
        </w:rPr>
        <w:t xml:space="preserve">, </w:t>
      </w:r>
      <w:r w:rsidRPr="006C7621">
        <w:rPr>
          <w:sz w:val="22"/>
          <w:szCs w:val="22"/>
          <w:lang w:val="en-NZ"/>
        </w:rPr>
        <w:t>Japan</w:t>
      </w:r>
    </w:p>
    <w:p w:rsidR="006C7621" w:rsidRPr="006C7621" w:rsidRDefault="006C7621" w:rsidP="006C7621">
      <w:pPr>
        <w:snapToGrid w:val="0"/>
        <w:jc w:val="center"/>
        <w:rPr>
          <w:sz w:val="22"/>
          <w:szCs w:val="22"/>
        </w:rPr>
      </w:pPr>
    </w:p>
    <w:p w:rsidR="00227D7C" w:rsidRPr="006C7621" w:rsidRDefault="00BF0380" w:rsidP="006C7621">
      <w:pPr>
        <w:pStyle w:val="BodyText"/>
        <w:pBdr>
          <w:top w:val="single" w:sz="12" w:space="1" w:color="auto"/>
          <w:bottom w:val="single" w:sz="12" w:space="1" w:color="auto"/>
        </w:pBdr>
        <w:snapToGrid w:val="0"/>
        <w:spacing w:before="0"/>
        <w:jc w:val="center"/>
        <w:rPr>
          <w:b/>
          <w:szCs w:val="22"/>
          <w:lang w:val="en-NZ"/>
        </w:rPr>
      </w:pPr>
      <w:r w:rsidRPr="006C7621">
        <w:rPr>
          <w:b/>
          <w:szCs w:val="22"/>
        </w:rPr>
        <w:t xml:space="preserve">Commission Funding for </w:t>
      </w:r>
      <w:r w:rsidR="0087745F" w:rsidRPr="006C7621">
        <w:rPr>
          <w:b/>
          <w:szCs w:val="22"/>
        </w:rPr>
        <w:t xml:space="preserve">Developing </w:t>
      </w:r>
      <w:r w:rsidR="00C33484" w:rsidRPr="006C7621">
        <w:rPr>
          <w:b/>
          <w:szCs w:val="22"/>
        </w:rPr>
        <w:t>Countries</w:t>
      </w:r>
      <w:r w:rsidR="0087745F" w:rsidRPr="006C7621">
        <w:rPr>
          <w:b/>
          <w:szCs w:val="22"/>
        </w:rPr>
        <w:t xml:space="preserve"> and SIDS to attend</w:t>
      </w:r>
      <w:r w:rsidR="00C33484" w:rsidRPr="006C7621">
        <w:rPr>
          <w:b/>
          <w:szCs w:val="22"/>
        </w:rPr>
        <w:t xml:space="preserve"> the</w:t>
      </w:r>
      <w:r w:rsidR="0087745F" w:rsidRPr="006C7621">
        <w:rPr>
          <w:b/>
          <w:szCs w:val="22"/>
        </w:rPr>
        <w:t xml:space="preserve"> </w:t>
      </w:r>
      <w:r w:rsidRPr="006C7621">
        <w:rPr>
          <w:b/>
          <w:szCs w:val="22"/>
        </w:rPr>
        <w:t>Northern Committee</w:t>
      </w:r>
      <w:r w:rsidR="0087745F" w:rsidRPr="006C7621">
        <w:rPr>
          <w:b/>
          <w:szCs w:val="22"/>
        </w:rPr>
        <w:t xml:space="preserve"> Meetings</w:t>
      </w:r>
    </w:p>
    <w:p w:rsidR="00227D7C" w:rsidRPr="006C7621" w:rsidRDefault="00857755" w:rsidP="006C7621">
      <w:pPr>
        <w:snapToGrid w:val="0"/>
        <w:jc w:val="right"/>
        <w:rPr>
          <w:b/>
          <w:sz w:val="22"/>
          <w:szCs w:val="22"/>
        </w:rPr>
      </w:pPr>
      <w:r w:rsidRPr="006C7621">
        <w:rPr>
          <w:b/>
          <w:sz w:val="22"/>
          <w:szCs w:val="22"/>
        </w:rPr>
        <w:t>WCPFC</w:t>
      </w:r>
      <w:r w:rsidR="006C7621" w:rsidRPr="006C7621">
        <w:rPr>
          <w:b/>
          <w:sz w:val="22"/>
          <w:szCs w:val="22"/>
        </w:rPr>
        <w:t>-NC8</w:t>
      </w:r>
      <w:r w:rsidR="006C7621">
        <w:rPr>
          <w:b/>
          <w:sz w:val="22"/>
          <w:szCs w:val="22"/>
        </w:rPr>
        <w:t>-2012</w:t>
      </w:r>
      <w:r w:rsidR="006C7621" w:rsidRPr="006C7621">
        <w:rPr>
          <w:b/>
          <w:sz w:val="22"/>
          <w:szCs w:val="22"/>
        </w:rPr>
        <w:t>/IP-07</w:t>
      </w:r>
    </w:p>
    <w:p w:rsidR="00227D7C" w:rsidRPr="006C7621" w:rsidRDefault="00227D7C" w:rsidP="006C7621">
      <w:pPr>
        <w:pStyle w:val="Default"/>
        <w:snapToGrid w:val="0"/>
        <w:rPr>
          <w:sz w:val="22"/>
          <w:szCs w:val="22"/>
        </w:rPr>
      </w:pPr>
    </w:p>
    <w:p w:rsidR="006C7621" w:rsidRDefault="006C7621" w:rsidP="006C7621">
      <w:pPr>
        <w:snapToGrid w:val="0"/>
        <w:jc w:val="both"/>
        <w:rPr>
          <w:b/>
          <w:sz w:val="22"/>
          <w:szCs w:val="22"/>
        </w:rPr>
      </w:pPr>
    </w:p>
    <w:p w:rsidR="006C7621" w:rsidRDefault="006C7621" w:rsidP="006C7621">
      <w:pPr>
        <w:snapToGrid w:val="0"/>
        <w:jc w:val="center"/>
        <w:rPr>
          <w:b/>
          <w:sz w:val="22"/>
          <w:szCs w:val="22"/>
        </w:rPr>
      </w:pPr>
      <w:r>
        <w:rPr>
          <w:b/>
          <w:sz w:val="22"/>
          <w:szCs w:val="22"/>
        </w:rPr>
        <w:t>Prepared by the Secretariat</w:t>
      </w:r>
    </w:p>
    <w:p w:rsidR="006C7621" w:rsidRDefault="006C7621" w:rsidP="006C7621">
      <w:pPr>
        <w:snapToGrid w:val="0"/>
        <w:jc w:val="center"/>
        <w:rPr>
          <w:b/>
          <w:sz w:val="22"/>
          <w:szCs w:val="22"/>
        </w:rPr>
      </w:pPr>
    </w:p>
    <w:p w:rsidR="006C7621" w:rsidRDefault="006C7621" w:rsidP="006C7621">
      <w:pPr>
        <w:snapToGrid w:val="0"/>
        <w:jc w:val="center"/>
        <w:rPr>
          <w:b/>
          <w:sz w:val="22"/>
          <w:szCs w:val="22"/>
        </w:rPr>
      </w:pPr>
    </w:p>
    <w:p w:rsidR="00BF0380" w:rsidRPr="006C7621" w:rsidRDefault="00BF0380" w:rsidP="006C7621">
      <w:pPr>
        <w:snapToGrid w:val="0"/>
        <w:jc w:val="both"/>
        <w:rPr>
          <w:b/>
          <w:sz w:val="22"/>
          <w:szCs w:val="22"/>
        </w:rPr>
      </w:pPr>
      <w:r w:rsidRPr="006C7621">
        <w:rPr>
          <w:b/>
          <w:sz w:val="22"/>
          <w:szCs w:val="22"/>
        </w:rPr>
        <w:t>Introduction</w:t>
      </w:r>
    </w:p>
    <w:p w:rsidR="00770778" w:rsidRPr="006C7621" w:rsidRDefault="00770778" w:rsidP="006C7621">
      <w:pPr>
        <w:snapToGrid w:val="0"/>
        <w:jc w:val="both"/>
        <w:rPr>
          <w:b/>
          <w:sz w:val="22"/>
          <w:szCs w:val="22"/>
        </w:rPr>
      </w:pPr>
    </w:p>
    <w:p w:rsidR="00556B89" w:rsidRPr="006C7621" w:rsidRDefault="00770778" w:rsidP="006C7621">
      <w:pPr>
        <w:pStyle w:val="Default"/>
        <w:numPr>
          <w:ilvl w:val="0"/>
          <w:numId w:val="17"/>
        </w:numPr>
        <w:snapToGrid w:val="0"/>
        <w:ind w:left="0" w:firstLine="0"/>
        <w:jc w:val="both"/>
        <w:rPr>
          <w:color w:val="auto"/>
          <w:sz w:val="22"/>
          <w:szCs w:val="22"/>
        </w:rPr>
      </w:pPr>
      <w:r w:rsidRPr="006C7621">
        <w:rPr>
          <w:color w:val="auto"/>
          <w:sz w:val="22"/>
          <w:szCs w:val="22"/>
        </w:rPr>
        <w:t xml:space="preserve">The purpose of this paper is to </w:t>
      </w:r>
      <w:r w:rsidR="001210DB" w:rsidRPr="006C7621">
        <w:rPr>
          <w:color w:val="auto"/>
          <w:sz w:val="22"/>
          <w:szCs w:val="22"/>
        </w:rPr>
        <w:t>raise the</w:t>
      </w:r>
      <w:r w:rsidRPr="006C7621">
        <w:rPr>
          <w:color w:val="auto"/>
          <w:sz w:val="22"/>
          <w:szCs w:val="22"/>
        </w:rPr>
        <w:t xml:space="preserve"> issue of Commission funding support for developing State members of the </w:t>
      </w:r>
      <w:r w:rsidR="00C33484" w:rsidRPr="006C7621">
        <w:rPr>
          <w:color w:val="auto"/>
          <w:sz w:val="22"/>
          <w:szCs w:val="22"/>
        </w:rPr>
        <w:t>Commission</w:t>
      </w:r>
      <w:r w:rsidRPr="006C7621">
        <w:rPr>
          <w:color w:val="auto"/>
          <w:sz w:val="22"/>
          <w:szCs w:val="22"/>
        </w:rPr>
        <w:t xml:space="preserve"> and Participating Territories to attend meetings of the Northern Committee</w:t>
      </w:r>
      <w:r w:rsidR="001210DB" w:rsidRPr="006C7621">
        <w:rPr>
          <w:color w:val="auto"/>
          <w:sz w:val="22"/>
          <w:szCs w:val="22"/>
        </w:rPr>
        <w:t xml:space="preserve"> (NC)</w:t>
      </w:r>
      <w:r w:rsidRPr="006C7621">
        <w:rPr>
          <w:color w:val="auto"/>
          <w:sz w:val="22"/>
          <w:szCs w:val="22"/>
        </w:rPr>
        <w:t>. This issue requires some discussion and clarification in view of the increas</w:t>
      </w:r>
      <w:r w:rsidR="001210DB" w:rsidRPr="006C7621">
        <w:rPr>
          <w:color w:val="auto"/>
          <w:sz w:val="22"/>
          <w:szCs w:val="22"/>
        </w:rPr>
        <w:t>ed</w:t>
      </w:r>
      <w:r w:rsidRPr="006C7621">
        <w:rPr>
          <w:color w:val="auto"/>
          <w:sz w:val="22"/>
          <w:szCs w:val="22"/>
        </w:rPr>
        <w:t xml:space="preserve"> demand for </w:t>
      </w:r>
      <w:r w:rsidR="001210DB" w:rsidRPr="006C7621">
        <w:rPr>
          <w:color w:val="auto"/>
          <w:sz w:val="22"/>
          <w:szCs w:val="22"/>
        </w:rPr>
        <w:t>NC</w:t>
      </w:r>
      <w:r w:rsidRPr="006C7621">
        <w:rPr>
          <w:color w:val="auto"/>
          <w:sz w:val="22"/>
          <w:szCs w:val="22"/>
        </w:rPr>
        <w:t xml:space="preserve"> funding and the budgetary </w:t>
      </w:r>
      <w:r w:rsidR="00C33484" w:rsidRPr="006C7621">
        <w:rPr>
          <w:color w:val="auto"/>
          <w:sz w:val="22"/>
          <w:szCs w:val="22"/>
        </w:rPr>
        <w:t>implications</w:t>
      </w:r>
      <w:r w:rsidRPr="006C7621">
        <w:rPr>
          <w:color w:val="auto"/>
          <w:sz w:val="22"/>
          <w:szCs w:val="22"/>
        </w:rPr>
        <w:t xml:space="preserve"> </w:t>
      </w:r>
      <w:r w:rsidR="001210DB" w:rsidRPr="006C7621">
        <w:rPr>
          <w:color w:val="auto"/>
          <w:sz w:val="22"/>
          <w:szCs w:val="22"/>
        </w:rPr>
        <w:t>to</w:t>
      </w:r>
      <w:r w:rsidRPr="006C7621">
        <w:rPr>
          <w:color w:val="auto"/>
          <w:sz w:val="22"/>
          <w:szCs w:val="22"/>
        </w:rPr>
        <w:t xml:space="preserve"> the </w:t>
      </w:r>
      <w:r w:rsidR="00C33484" w:rsidRPr="006C7621">
        <w:rPr>
          <w:color w:val="auto"/>
          <w:sz w:val="22"/>
          <w:szCs w:val="22"/>
        </w:rPr>
        <w:t>Commission</w:t>
      </w:r>
      <w:r w:rsidRPr="006C7621">
        <w:rPr>
          <w:color w:val="auto"/>
          <w:sz w:val="22"/>
          <w:szCs w:val="22"/>
        </w:rPr>
        <w:t>.</w:t>
      </w:r>
    </w:p>
    <w:p w:rsidR="00556B89" w:rsidRPr="006C7621" w:rsidRDefault="00556B89" w:rsidP="006C7621">
      <w:pPr>
        <w:pStyle w:val="Default"/>
        <w:snapToGrid w:val="0"/>
        <w:jc w:val="both"/>
        <w:rPr>
          <w:color w:val="auto"/>
          <w:sz w:val="22"/>
          <w:szCs w:val="22"/>
        </w:rPr>
      </w:pPr>
    </w:p>
    <w:p w:rsidR="00DF0FD5" w:rsidRPr="006C7621" w:rsidRDefault="00BF0380" w:rsidP="006C7621">
      <w:pPr>
        <w:pStyle w:val="Default"/>
        <w:numPr>
          <w:ilvl w:val="0"/>
          <w:numId w:val="17"/>
        </w:numPr>
        <w:snapToGrid w:val="0"/>
        <w:ind w:left="0" w:firstLine="0"/>
        <w:jc w:val="both"/>
        <w:rPr>
          <w:color w:val="auto"/>
          <w:sz w:val="22"/>
          <w:szCs w:val="22"/>
        </w:rPr>
      </w:pPr>
      <w:r w:rsidRPr="006C7621">
        <w:rPr>
          <w:color w:val="auto"/>
          <w:sz w:val="22"/>
          <w:szCs w:val="22"/>
        </w:rPr>
        <w:t>Article 11.7 of the Convention on the Conser</w:t>
      </w:r>
      <w:r w:rsidR="00DF0FD5" w:rsidRPr="006C7621">
        <w:rPr>
          <w:color w:val="auto"/>
          <w:sz w:val="22"/>
          <w:szCs w:val="22"/>
        </w:rPr>
        <w:t xml:space="preserve">vation and Management of Highly </w:t>
      </w:r>
      <w:r w:rsidRPr="006C7621">
        <w:rPr>
          <w:color w:val="auto"/>
          <w:sz w:val="22"/>
          <w:szCs w:val="22"/>
        </w:rPr>
        <w:t>Migratory Fish Stocks in the Western and Cent</w:t>
      </w:r>
      <w:r w:rsidR="005B7A16" w:rsidRPr="006C7621">
        <w:rPr>
          <w:color w:val="auto"/>
          <w:sz w:val="22"/>
          <w:szCs w:val="22"/>
        </w:rPr>
        <w:t>ral Pacific Ocean states that “(a</w:t>
      </w:r>
      <w:proofErr w:type="gramStart"/>
      <w:r w:rsidR="005B7A16" w:rsidRPr="006C7621">
        <w:rPr>
          <w:color w:val="auto"/>
          <w:sz w:val="22"/>
          <w:szCs w:val="22"/>
        </w:rPr>
        <w:t>)</w:t>
      </w:r>
      <w:r w:rsidRPr="006C7621">
        <w:rPr>
          <w:color w:val="auto"/>
          <w:sz w:val="22"/>
          <w:szCs w:val="22"/>
        </w:rPr>
        <w:t>ny</w:t>
      </w:r>
      <w:proofErr w:type="gramEnd"/>
      <w:r w:rsidRPr="006C7621">
        <w:rPr>
          <w:color w:val="auto"/>
          <w:sz w:val="22"/>
          <w:szCs w:val="22"/>
        </w:rPr>
        <w:t xml:space="preserve"> member of the Commission not represented on the committee may send a representative to participate in the deliberations of</w:t>
      </w:r>
      <w:r w:rsidR="005B7A16" w:rsidRPr="006C7621">
        <w:rPr>
          <w:color w:val="auto"/>
          <w:sz w:val="22"/>
          <w:szCs w:val="22"/>
        </w:rPr>
        <w:t xml:space="preserve"> the committee as an observer. A</w:t>
      </w:r>
      <w:r w:rsidRPr="006C7621">
        <w:rPr>
          <w:color w:val="auto"/>
          <w:sz w:val="22"/>
          <w:szCs w:val="22"/>
        </w:rPr>
        <w:t xml:space="preserve">ny extraordinary cost incurred for the work of the committee shall be borne by the members of the committee.”   </w:t>
      </w:r>
    </w:p>
    <w:p w:rsidR="00190FA7" w:rsidRPr="006C7621" w:rsidRDefault="00190FA7" w:rsidP="006C7621">
      <w:pPr>
        <w:pStyle w:val="Default"/>
        <w:snapToGrid w:val="0"/>
        <w:jc w:val="both"/>
        <w:rPr>
          <w:color w:val="auto"/>
          <w:sz w:val="22"/>
          <w:szCs w:val="22"/>
        </w:rPr>
      </w:pPr>
    </w:p>
    <w:p w:rsidR="00190FA7" w:rsidRPr="006C7621" w:rsidRDefault="00DF0FD5" w:rsidP="006C7621">
      <w:pPr>
        <w:pStyle w:val="Default"/>
        <w:numPr>
          <w:ilvl w:val="0"/>
          <w:numId w:val="17"/>
        </w:numPr>
        <w:snapToGrid w:val="0"/>
        <w:ind w:left="0" w:firstLine="0"/>
        <w:jc w:val="both"/>
        <w:rPr>
          <w:color w:val="auto"/>
          <w:sz w:val="22"/>
          <w:szCs w:val="22"/>
        </w:rPr>
      </w:pPr>
      <w:r w:rsidRPr="006C7621">
        <w:rPr>
          <w:color w:val="auto"/>
          <w:sz w:val="22"/>
          <w:szCs w:val="22"/>
        </w:rPr>
        <w:t>Under Financial Regulation 3.5, “</w:t>
      </w:r>
      <w:r w:rsidR="005B7A16" w:rsidRPr="006C7621">
        <w:rPr>
          <w:color w:val="auto"/>
          <w:sz w:val="22"/>
          <w:szCs w:val="22"/>
        </w:rPr>
        <w:t>(t)</w:t>
      </w:r>
      <w:r w:rsidRPr="006C7621">
        <w:rPr>
          <w:color w:val="auto"/>
          <w:sz w:val="22"/>
          <w:szCs w:val="22"/>
        </w:rPr>
        <w:t>he draft budget shall include an item specifying the costs required to finance the travel and subsistence for one representative from each developing State Party to the Convention and, where appropriate, territories and possessions, to each meeting of the Commission and to meetings of relevant subsidiary bodies of the Commission.</w:t>
      </w:r>
      <w:r w:rsidR="00190FA7" w:rsidRPr="006C7621">
        <w:rPr>
          <w:color w:val="auto"/>
          <w:sz w:val="22"/>
          <w:szCs w:val="22"/>
        </w:rPr>
        <w:t>”</w:t>
      </w:r>
    </w:p>
    <w:p w:rsidR="00190FA7" w:rsidRPr="006C7621" w:rsidRDefault="00190FA7" w:rsidP="006C7621">
      <w:pPr>
        <w:pStyle w:val="ListParagraph"/>
        <w:snapToGrid w:val="0"/>
        <w:jc w:val="both"/>
        <w:rPr>
          <w:sz w:val="22"/>
          <w:szCs w:val="22"/>
        </w:rPr>
      </w:pPr>
    </w:p>
    <w:p w:rsidR="00BF0380" w:rsidRPr="006C7621" w:rsidRDefault="00770778" w:rsidP="006C7621">
      <w:pPr>
        <w:pStyle w:val="Default"/>
        <w:numPr>
          <w:ilvl w:val="0"/>
          <w:numId w:val="17"/>
        </w:numPr>
        <w:snapToGrid w:val="0"/>
        <w:ind w:left="0" w:firstLine="0"/>
        <w:jc w:val="both"/>
        <w:rPr>
          <w:color w:val="auto"/>
          <w:sz w:val="22"/>
          <w:szCs w:val="22"/>
        </w:rPr>
      </w:pPr>
      <w:r w:rsidRPr="006C7621">
        <w:rPr>
          <w:sz w:val="22"/>
          <w:szCs w:val="22"/>
        </w:rPr>
        <w:t xml:space="preserve">To date, </w:t>
      </w:r>
      <w:r w:rsidR="008F6818" w:rsidRPr="006C7621">
        <w:rPr>
          <w:sz w:val="22"/>
          <w:szCs w:val="22"/>
        </w:rPr>
        <w:t>Commission f</w:t>
      </w:r>
      <w:r w:rsidR="00BF0380" w:rsidRPr="006C7621">
        <w:rPr>
          <w:sz w:val="22"/>
          <w:szCs w:val="22"/>
        </w:rPr>
        <w:t xml:space="preserve">unding for the </w:t>
      </w:r>
      <w:r w:rsidR="001210DB" w:rsidRPr="006C7621">
        <w:rPr>
          <w:sz w:val="22"/>
          <w:szCs w:val="22"/>
        </w:rPr>
        <w:t>NC</w:t>
      </w:r>
      <w:r w:rsidR="00BF0380" w:rsidRPr="006C7621">
        <w:rPr>
          <w:sz w:val="22"/>
          <w:szCs w:val="22"/>
        </w:rPr>
        <w:t xml:space="preserve"> meetings</w:t>
      </w:r>
      <w:r w:rsidR="00855BB8" w:rsidRPr="006C7621">
        <w:rPr>
          <w:sz w:val="22"/>
          <w:szCs w:val="22"/>
        </w:rPr>
        <w:t xml:space="preserve"> has been</w:t>
      </w:r>
      <w:r w:rsidR="00BF0380" w:rsidRPr="006C7621">
        <w:rPr>
          <w:sz w:val="22"/>
          <w:szCs w:val="22"/>
        </w:rPr>
        <w:t xml:space="preserve"> USD10</w:t>
      </w:r>
      <w:proofErr w:type="gramStart"/>
      <w:r w:rsidR="00BF0380" w:rsidRPr="006C7621">
        <w:rPr>
          <w:sz w:val="22"/>
          <w:szCs w:val="22"/>
        </w:rPr>
        <w:t>,000</w:t>
      </w:r>
      <w:proofErr w:type="gramEnd"/>
      <w:r w:rsidR="00BF0380" w:rsidRPr="006C7621">
        <w:rPr>
          <w:sz w:val="22"/>
          <w:szCs w:val="22"/>
        </w:rPr>
        <w:t xml:space="preserve"> per year </w:t>
      </w:r>
      <w:r w:rsidR="00DF0FD5" w:rsidRPr="006C7621">
        <w:rPr>
          <w:sz w:val="22"/>
          <w:szCs w:val="22"/>
        </w:rPr>
        <w:t>since 2008</w:t>
      </w:r>
      <w:r w:rsidR="00BF0380" w:rsidRPr="006C7621">
        <w:rPr>
          <w:sz w:val="22"/>
          <w:szCs w:val="22"/>
        </w:rPr>
        <w:t>.</w:t>
      </w:r>
      <w:r w:rsidR="00855BB8" w:rsidRPr="006C7621">
        <w:rPr>
          <w:sz w:val="22"/>
          <w:szCs w:val="22"/>
        </w:rPr>
        <w:t xml:space="preserve">  This amount of funding allows one member of the Secretariat to attend the meeting as well as one or two </w:t>
      </w:r>
      <w:r w:rsidR="00DF0FD5" w:rsidRPr="006C7621">
        <w:rPr>
          <w:color w:val="auto"/>
          <w:sz w:val="22"/>
          <w:szCs w:val="22"/>
        </w:rPr>
        <w:t>developing State Party to the Convention and, where appropriate, territories and possessions</w:t>
      </w:r>
      <w:r w:rsidR="00855BB8" w:rsidRPr="006C7621">
        <w:rPr>
          <w:sz w:val="22"/>
          <w:szCs w:val="22"/>
        </w:rPr>
        <w:t>.</w:t>
      </w:r>
      <w:r w:rsidR="00DF0FD5" w:rsidRPr="006C7621">
        <w:rPr>
          <w:sz w:val="22"/>
          <w:szCs w:val="22"/>
        </w:rPr>
        <w:t xml:space="preserve">  </w:t>
      </w:r>
    </w:p>
    <w:p w:rsidR="00BF0380" w:rsidRPr="006C7621" w:rsidRDefault="00BF0380" w:rsidP="006C7621">
      <w:pPr>
        <w:snapToGrid w:val="0"/>
        <w:jc w:val="both"/>
        <w:rPr>
          <w:b/>
          <w:sz w:val="22"/>
          <w:szCs w:val="22"/>
        </w:rPr>
      </w:pPr>
    </w:p>
    <w:p w:rsidR="00BF0380" w:rsidRPr="006C7621" w:rsidRDefault="008B7D19" w:rsidP="006C7621">
      <w:pPr>
        <w:pStyle w:val="ListParagraph"/>
        <w:numPr>
          <w:ilvl w:val="0"/>
          <w:numId w:val="17"/>
        </w:numPr>
        <w:snapToGrid w:val="0"/>
        <w:ind w:left="0" w:firstLine="0"/>
        <w:jc w:val="both"/>
        <w:rPr>
          <w:sz w:val="22"/>
          <w:szCs w:val="22"/>
        </w:rPr>
      </w:pPr>
      <w:r w:rsidRPr="006C7621">
        <w:rPr>
          <w:sz w:val="22"/>
          <w:szCs w:val="22"/>
        </w:rPr>
        <w:t>I</w:t>
      </w:r>
      <w:r w:rsidR="00190FA7" w:rsidRPr="006C7621">
        <w:rPr>
          <w:sz w:val="22"/>
          <w:szCs w:val="22"/>
        </w:rPr>
        <w:t>n order to remain in budget, priority for funding to attend the Northern Committee has been give</w:t>
      </w:r>
      <w:r w:rsidR="0087745F" w:rsidRPr="006C7621">
        <w:rPr>
          <w:sz w:val="22"/>
          <w:szCs w:val="22"/>
        </w:rPr>
        <w:t>n</w:t>
      </w:r>
      <w:r w:rsidR="00190FA7" w:rsidRPr="006C7621">
        <w:rPr>
          <w:sz w:val="22"/>
          <w:szCs w:val="22"/>
        </w:rPr>
        <w:t xml:space="preserve"> to members of the </w:t>
      </w:r>
      <w:r w:rsidR="001210DB" w:rsidRPr="006C7621">
        <w:rPr>
          <w:sz w:val="22"/>
          <w:szCs w:val="22"/>
        </w:rPr>
        <w:t>NC</w:t>
      </w:r>
      <w:r w:rsidR="005B7A16" w:rsidRPr="006C7621">
        <w:rPr>
          <w:sz w:val="22"/>
          <w:szCs w:val="22"/>
        </w:rPr>
        <w:t xml:space="preserve"> who are developing State Party to the Convention and, where appropriate, territories and possessions</w:t>
      </w:r>
      <w:r w:rsidR="00190FA7" w:rsidRPr="006C7621">
        <w:rPr>
          <w:sz w:val="22"/>
          <w:szCs w:val="22"/>
        </w:rPr>
        <w:t>.</w:t>
      </w:r>
      <w:r w:rsidRPr="006C7621">
        <w:rPr>
          <w:sz w:val="22"/>
          <w:szCs w:val="22"/>
        </w:rPr>
        <w:t xml:space="preserve">  Members who are not on the </w:t>
      </w:r>
      <w:r w:rsidR="001210DB" w:rsidRPr="006C7621">
        <w:rPr>
          <w:sz w:val="22"/>
          <w:szCs w:val="22"/>
        </w:rPr>
        <w:t>NC</w:t>
      </w:r>
      <w:r w:rsidR="002378B7" w:rsidRPr="006C7621">
        <w:rPr>
          <w:sz w:val="22"/>
          <w:szCs w:val="22"/>
        </w:rPr>
        <w:t xml:space="preserve"> but would like to att</w:t>
      </w:r>
      <w:r w:rsidRPr="006C7621">
        <w:rPr>
          <w:sz w:val="22"/>
          <w:szCs w:val="22"/>
        </w:rPr>
        <w:t>end the meeting</w:t>
      </w:r>
      <w:r w:rsidR="005B7A16" w:rsidRPr="006C7621">
        <w:rPr>
          <w:sz w:val="22"/>
          <w:szCs w:val="22"/>
        </w:rPr>
        <w:t xml:space="preserve"> as an observer</w:t>
      </w:r>
      <w:r w:rsidRPr="006C7621">
        <w:rPr>
          <w:sz w:val="22"/>
          <w:szCs w:val="22"/>
        </w:rPr>
        <w:t xml:space="preserve"> are currently not funded by the Commission.</w:t>
      </w:r>
      <w:r w:rsidR="00190FA7" w:rsidRPr="006C7621">
        <w:rPr>
          <w:sz w:val="22"/>
          <w:szCs w:val="22"/>
        </w:rPr>
        <w:t xml:space="preserve">  </w:t>
      </w:r>
      <w:r w:rsidR="009C51D7" w:rsidRPr="006C7621">
        <w:rPr>
          <w:sz w:val="22"/>
          <w:szCs w:val="22"/>
        </w:rPr>
        <w:t xml:space="preserve">In light of Article 11.7 of the </w:t>
      </w:r>
      <w:r w:rsidR="00190FA7" w:rsidRPr="006C7621">
        <w:rPr>
          <w:sz w:val="22"/>
          <w:szCs w:val="22"/>
        </w:rPr>
        <w:t>C</w:t>
      </w:r>
      <w:r w:rsidR="009C51D7" w:rsidRPr="006C7621">
        <w:rPr>
          <w:sz w:val="22"/>
          <w:szCs w:val="22"/>
        </w:rPr>
        <w:t xml:space="preserve">onvention and </w:t>
      </w:r>
      <w:r w:rsidR="00DF0FD5" w:rsidRPr="006C7621">
        <w:rPr>
          <w:sz w:val="22"/>
          <w:szCs w:val="22"/>
        </w:rPr>
        <w:t>Financial Regulation 3.5</w:t>
      </w:r>
      <w:r w:rsidR="009C51D7" w:rsidRPr="006C7621">
        <w:rPr>
          <w:sz w:val="22"/>
          <w:szCs w:val="22"/>
        </w:rPr>
        <w:t>, c</w:t>
      </w:r>
      <w:r w:rsidR="003B2841" w:rsidRPr="006C7621">
        <w:rPr>
          <w:sz w:val="22"/>
          <w:szCs w:val="22"/>
        </w:rPr>
        <w:t>larification</w:t>
      </w:r>
      <w:r w:rsidR="006C7621">
        <w:rPr>
          <w:sz w:val="22"/>
          <w:szCs w:val="22"/>
        </w:rPr>
        <w:t xml:space="preserve"> is</w:t>
      </w:r>
      <w:r w:rsidRPr="006C7621">
        <w:rPr>
          <w:sz w:val="22"/>
          <w:szCs w:val="22"/>
        </w:rPr>
        <w:t xml:space="preserve"> needed</w:t>
      </w:r>
      <w:r w:rsidR="003B2841" w:rsidRPr="006C7621">
        <w:rPr>
          <w:sz w:val="22"/>
          <w:szCs w:val="22"/>
        </w:rPr>
        <w:t xml:space="preserve"> on</w:t>
      </w:r>
      <w:r w:rsidR="00DF0FD5" w:rsidRPr="006C7621">
        <w:rPr>
          <w:sz w:val="22"/>
          <w:szCs w:val="22"/>
        </w:rPr>
        <w:t xml:space="preserve"> the level of</w:t>
      </w:r>
      <w:r w:rsidR="003B2841" w:rsidRPr="006C7621">
        <w:rPr>
          <w:sz w:val="22"/>
          <w:szCs w:val="22"/>
        </w:rPr>
        <w:t xml:space="preserve"> funding that should be provided for the Northern Committee</w:t>
      </w:r>
      <w:r w:rsidR="008F6818" w:rsidRPr="006C7621">
        <w:rPr>
          <w:sz w:val="22"/>
          <w:szCs w:val="22"/>
        </w:rPr>
        <w:t xml:space="preserve"> meeting</w:t>
      </w:r>
      <w:r w:rsidRPr="006C7621">
        <w:rPr>
          <w:sz w:val="22"/>
          <w:szCs w:val="22"/>
        </w:rPr>
        <w:t xml:space="preserve"> within the Commission’s budget.</w:t>
      </w:r>
    </w:p>
    <w:p w:rsidR="006527AD" w:rsidRPr="006C7621" w:rsidRDefault="00770778" w:rsidP="006C7621">
      <w:pPr>
        <w:snapToGrid w:val="0"/>
        <w:jc w:val="both"/>
        <w:rPr>
          <w:b/>
          <w:sz w:val="22"/>
          <w:szCs w:val="22"/>
        </w:rPr>
      </w:pPr>
      <w:bookmarkStart w:id="0" w:name="_GoBack"/>
      <w:bookmarkEnd w:id="0"/>
      <w:r w:rsidRPr="006C7621">
        <w:rPr>
          <w:b/>
          <w:sz w:val="22"/>
          <w:szCs w:val="22"/>
        </w:rPr>
        <w:lastRenderedPageBreak/>
        <w:t xml:space="preserve">Relevant </w:t>
      </w:r>
      <w:r w:rsidR="00C33484" w:rsidRPr="006C7621">
        <w:rPr>
          <w:b/>
          <w:sz w:val="22"/>
          <w:szCs w:val="22"/>
        </w:rPr>
        <w:t>Considerations</w:t>
      </w:r>
    </w:p>
    <w:p w:rsidR="0087745F" w:rsidRPr="006C7621" w:rsidRDefault="0087745F" w:rsidP="006C7621">
      <w:pPr>
        <w:pStyle w:val="ListParagraph"/>
        <w:snapToGrid w:val="0"/>
        <w:ind w:left="0"/>
        <w:jc w:val="both"/>
        <w:rPr>
          <w:sz w:val="22"/>
          <w:szCs w:val="22"/>
        </w:rPr>
      </w:pPr>
    </w:p>
    <w:p w:rsidR="006527AD" w:rsidRPr="006C7621" w:rsidRDefault="006527AD" w:rsidP="006C7621">
      <w:pPr>
        <w:pStyle w:val="ListParagraph"/>
        <w:numPr>
          <w:ilvl w:val="0"/>
          <w:numId w:val="17"/>
        </w:numPr>
        <w:snapToGrid w:val="0"/>
        <w:ind w:left="0" w:firstLine="0"/>
        <w:jc w:val="both"/>
        <w:rPr>
          <w:sz w:val="22"/>
          <w:szCs w:val="22"/>
        </w:rPr>
      </w:pPr>
      <w:r w:rsidRPr="006C7621">
        <w:rPr>
          <w:sz w:val="22"/>
          <w:szCs w:val="22"/>
        </w:rPr>
        <w:t>Art</w:t>
      </w:r>
      <w:r w:rsidR="0037532A" w:rsidRPr="006C7621">
        <w:rPr>
          <w:sz w:val="22"/>
          <w:szCs w:val="22"/>
        </w:rPr>
        <w:t>icle</w:t>
      </w:r>
      <w:r w:rsidRPr="006C7621">
        <w:rPr>
          <w:sz w:val="22"/>
          <w:szCs w:val="22"/>
        </w:rPr>
        <w:t xml:space="preserve"> 30(5) of the Convention deals with requirements of developing State members of the Commission. Among other things, the Commission is required to establish a fund to facilitate the effective participation of  developing States Parties, particularly small island developing States, and, where appropriate, territories and possessions, in the work of the Commission, including its meetings and those of its subsidiary bodies. To this effect, the financial regulations of the Commission are to include guidelines for the administration of the fund and criteria for eligibility for assistance. </w:t>
      </w:r>
    </w:p>
    <w:p w:rsidR="006527AD" w:rsidRPr="006C7621" w:rsidRDefault="006527AD" w:rsidP="006C7621">
      <w:pPr>
        <w:pStyle w:val="ListParagraph"/>
        <w:snapToGrid w:val="0"/>
        <w:ind w:left="0"/>
        <w:jc w:val="both"/>
        <w:rPr>
          <w:sz w:val="22"/>
          <w:szCs w:val="22"/>
        </w:rPr>
      </w:pPr>
    </w:p>
    <w:p w:rsidR="006527AD" w:rsidRPr="006C7621" w:rsidRDefault="006527AD" w:rsidP="006C7621">
      <w:pPr>
        <w:pStyle w:val="ListParagraph"/>
        <w:numPr>
          <w:ilvl w:val="0"/>
          <w:numId w:val="17"/>
        </w:numPr>
        <w:snapToGrid w:val="0"/>
        <w:ind w:left="0" w:firstLine="0"/>
        <w:jc w:val="both"/>
        <w:rPr>
          <w:sz w:val="22"/>
          <w:szCs w:val="22"/>
        </w:rPr>
      </w:pPr>
      <w:r w:rsidRPr="006C7621">
        <w:rPr>
          <w:sz w:val="22"/>
          <w:szCs w:val="22"/>
        </w:rPr>
        <w:t>Art</w:t>
      </w:r>
      <w:r w:rsidR="0037532A" w:rsidRPr="006C7621">
        <w:rPr>
          <w:sz w:val="22"/>
          <w:szCs w:val="22"/>
        </w:rPr>
        <w:t>icle</w:t>
      </w:r>
      <w:r w:rsidRPr="006C7621">
        <w:rPr>
          <w:sz w:val="22"/>
          <w:szCs w:val="22"/>
        </w:rPr>
        <w:t xml:space="preserve"> 30(5) has to be read together with Article 11(7). Under this Article membership of the NC is limited to members of the Commission situated in the area 20 degrees north and those fishing in the area. </w:t>
      </w:r>
      <w:r w:rsidR="002378B7" w:rsidRPr="006C7621">
        <w:rPr>
          <w:sz w:val="22"/>
          <w:szCs w:val="22"/>
        </w:rPr>
        <w:t xml:space="preserve"> </w:t>
      </w:r>
      <w:r w:rsidRPr="006C7621">
        <w:rPr>
          <w:sz w:val="22"/>
          <w:szCs w:val="22"/>
        </w:rPr>
        <w:t>Other members of the Commission not represented on NC may send representatives to participate in the deliberations of the committee but only as observers.</w:t>
      </w:r>
      <w:r w:rsidR="002378B7" w:rsidRPr="006C7621">
        <w:rPr>
          <w:sz w:val="22"/>
          <w:szCs w:val="22"/>
        </w:rPr>
        <w:t xml:space="preserve"> </w:t>
      </w:r>
      <w:r w:rsidRPr="006C7621">
        <w:rPr>
          <w:sz w:val="22"/>
          <w:szCs w:val="22"/>
        </w:rPr>
        <w:t xml:space="preserve"> Under Article 11(7) individual members of NC are responsible for the cost of their participation in the NC. </w:t>
      </w:r>
    </w:p>
    <w:p w:rsidR="006527AD" w:rsidRPr="006C7621" w:rsidRDefault="006527AD" w:rsidP="006C7621">
      <w:pPr>
        <w:pStyle w:val="ListParagraph"/>
        <w:snapToGrid w:val="0"/>
        <w:ind w:left="0"/>
        <w:jc w:val="both"/>
        <w:rPr>
          <w:sz w:val="22"/>
          <w:szCs w:val="22"/>
        </w:rPr>
      </w:pPr>
    </w:p>
    <w:p w:rsidR="006527AD" w:rsidRPr="006C7621" w:rsidRDefault="00C33484" w:rsidP="006C7621">
      <w:pPr>
        <w:pStyle w:val="ListParagraph"/>
        <w:numPr>
          <w:ilvl w:val="0"/>
          <w:numId w:val="17"/>
        </w:numPr>
        <w:snapToGrid w:val="0"/>
        <w:ind w:left="0" w:firstLine="0"/>
        <w:jc w:val="both"/>
        <w:rPr>
          <w:sz w:val="22"/>
          <w:szCs w:val="22"/>
        </w:rPr>
      </w:pPr>
      <w:r w:rsidRPr="006C7621">
        <w:rPr>
          <w:sz w:val="22"/>
          <w:szCs w:val="22"/>
        </w:rPr>
        <w:t>An</w:t>
      </w:r>
      <w:r w:rsidR="006527AD" w:rsidRPr="006C7621">
        <w:rPr>
          <w:sz w:val="22"/>
          <w:szCs w:val="22"/>
        </w:rPr>
        <w:t xml:space="preserve"> </w:t>
      </w:r>
      <w:r w:rsidRPr="006C7621">
        <w:rPr>
          <w:sz w:val="22"/>
          <w:szCs w:val="22"/>
        </w:rPr>
        <w:t xml:space="preserve">issue for consideration is </w:t>
      </w:r>
      <w:r w:rsidR="006527AD" w:rsidRPr="006C7621">
        <w:rPr>
          <w:sz w:val="22"/>
          <w:szCs w:val="22"/>
        </w:rPr>
        <w:t>whether the Trust/Special Funds established under Financial Regulation 5 and 6 pursuant to Art</w:t>
      </w:r>
      <w:r w:rsidR="0037532A" w:rsidRPr="006C7621">
        <w:rPr>
          <w:sz w:val="22"/>
          <w:szCs w:val="22"/>
        </w:rPr>
        <w:t>icle</w:t>
      </w:r>
      <w:r w:rsidR="006527AD" w:rsidRPr="006C7621">
        <w:rPr>
          <w:sz w:val="22"/>
          <w:szCs w:val="22"/>
        </w:rPr>
        <w:t xml:space="preserve"> 30 of the Convention allow for </w:t>
      </w:r>
      <w:r w:rsidR="00770778" w:rsidRPr="006C7621">
        <w:rPr>
          <w:sz w:val="22"/>
          <w:szCs w:val="22"/>
        </w:rPr>
        <w:t xml:space="preserve">the </w:t>
      </w:r>
      <w:r w:rsidR="006527AD" w:rsidRPr="006C7621">
        <w:rPr>
          <w:sz w:val="22"/>
          <w:szCs w:val="22"/>
        </w:rPr>
        <w:t>use of the funds</w:t>
      </w:r>
      <w:r w:rsidR="00770778" w:rsidRPr="006C7621">
        <w:rPr>
          <w:sz w:val="22"/>
          <w:szCs w:val="22"/>
        </w:rPr>
        <w:t xml:space="preserve"> to support participation by developing country membe</w:t>
      </w:r>
      <w:r w:rsidRPr="006C7621">
        <w:rPr>
          <w:sz w:val="22"/>
          <w:szCs w:val="22"/>
        </w:rPr>
        <w:t>rs in NC meetings as observers.</w:t>
      </w:r>
      <w:r w:rsidR="006527AD" w:rsidRPr="006C7621">
        <w:rPr>
          <w:sz w:val="22"/>
          <w:szCs w:val="22"/>
        </w:rPr>
        <w:t xml:space="preserve"> </w:t>
      </w:r>
    </w:p>
    <w:p w:rsidR="00BF0380" w:rsidRPr="006C7621" w:rsidRDefault="00BF0380" w:rsidP="006C7621">
      <w:pPr>
        <w:snapToGrid w:val="0"/>
        <w:jc w:val="both"/>
        <w:rPr>
          <w:sz w:val="22"/>
          <w:szCs w:val="22"/>
        </w:rPr>
      </w:pPr>
    </w:p>
    <w:p w:rsidR="00BF0380" w:rsidRPr="006C7621" w:rsidRDefault="00BF0380" w:rsidP="006C7621">
      <w:pPr>
        <w:snapToGrid w:val="0"/>
        <w:jc w:val="both"/>
        <w:rPr>
          <w:b/>
          <w:sz w:val="22"/>
          <w:szCs w:val="22"/>
        </w:rPr>
      </w:pPr>
      <w:r w:rsidRPr="006C7621">
        <w:rPr>
          <w:b/>
          <w:sz w:val="22"/>
          <w:szCs w:val="22"/>
        </w:rPr>
        <w:t>Recommendations</w:t>
      </w:r>
    </w:p>
    <w:p w:rsidR="00C33484" w:rsidRPr="006C7621" w:rsidRDefault="00C33484" w:rsidP="006C7621">
      <w:pPr>
        <w:snapToGrid w:val="0"/>
        <w:jc w:val="both"/>
        <w:rPr>
          <w:b/>
          <w:sz w:val="22"/>
          <w:szCs w:val="22"/>
        </w:rPr>
      </w:pPr>
    </w:p>
    <w:p w:rsidR="002378B7" w:rsidRPr="006C7621" w:rsidRDefault="00190FA7" w:rsidP="006C7621">
      <w:pPr>
        <w:pStyle w:val="ListParagraph"/>
        <w:numPr>
          <w:ilvl w:val="0"/>
          <w:numId w:val="17"/>
        </w:numPr>
        <w:snapToGrid w:val="0"/>
        <w:ind w:left="0" w:firstLine="0"/>
        <w:jc w:val="both"/>
        <w:rPr>
          <w:sz w:val="22"/>
          <w:szCs w:val="22"/>
        </w:rPr>
      </w:pPr>
      <w:r w:rsidRPr="006C7621">
        <w:rPr>
          <w:sz w:val="22"/>
          <w:szCs w:val="22"/>
        </w:rPr>
        <w:t>The Committee is invited to</w:t>
      </w:r>
      <w:r w:rsidR="002378B7" w:rsidRPr="006C7621">
        <w:rPr>
          <w:sz w:val="22"/>
          <w:szCs w:val="22"/>
        </w:rPr>
        <w:t xml:space="preserve"> </w:t>
      </w:r>
      <w:r w:rsidR="009A4DE1" w:rsidRPr="006C7621">
        <w:rPr>
          <w:sz w:val="22"/>
          <w:szCs w:val="22"/>
        </w:rPr>
        <w:t>consider the issue of funding</w:t>
      </w:r>
      <w:r w:rsidR="00C33484" w:rsidRPr="006C7621">
        <w:rPr>
          <w:sz w:val="22"/>
          <w:szCs w:val="22"/>
        </w:rPr>
        <w:t xml:space="preserve"> and source of such funds to </w:t>
      </w:r>
      <w:r w:rsidR="009A4DE1" w:rsidRPr="006C7621">
        <w:rPr>
          <w:sz w:val="22"/>
          <w:szCs w:val="22"/>
        </w:rPr>
        <w:t>support attendance by developing State members and Participating Territories, where appropriate, at NC meetings</w:t>
      </w:r>
      <w:r w:rsidR="002378B7" w:rsidRPr="006C7621">
        <w:rPr>
          <w:sz w:val="22"/>
          <w:szCs w:val="22"/>
        </w:rPr>
        <w:t>.</w:t>
      </w:r>
    </w:p>
    <w:p w:rsidR="006527AD" w:rsidRPr="006C7621" w:rsidRDefault="006527AD" w:rsidP="006C7621">
      <w:pPr>
        <w:snapToGrid w:val="0"/>
        <w:jc w:val="both"/>
        <w:rPr>
          <w:sz w:val="22"/>
          <w:szCs w:val="22"/>
        </w:rPr>
      </w:pPr>
    </w:p>
    <w:sectPr w:rsidR="006527AD" w:rsidRPr="006C7621" w:rsidSect="00FD32A7">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B3" w:rsidRDefault="009219B3">
      <w:r>
        <w:separator/>
      </w:r>
    </w:p>
  </w:endnote>
  <w:endnote w:type="continuationSeparator" w:id="0">
    <w:p w:rsidR="009219B3" w:rsidRDefault="0092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1"/>
    </w:tblGrid>
    <w:tr w:rsidR="00803536">
      <w:trPr>
        <w:trHeight w:val="657"/>
      </w:trPr>
      <w:tc>
        <w:tcPr>
          <w:tcW w:w="9111" w:type="dxa"/>
          <w:tcBorders>
            <w:top w:val="single" w:sz="12" w:space="0" w:color="auto"/>
            <w:left w:val="nil"/>
            <w:bottom w:val="nil"/>
            <w:right w:val="nil"/>
          </w:tcBorders>
        </w:tcPr>
        <w:tbl>
          <w:tblPr>
            <w:tblW w:w="0" w:type="auto"/>
            <w:tblLook w:val="0000" w:firstRow="0" w:lastRow="0" w:firstColumn="0" w:lastColumn="0" w:noHBand="0" w:noVBand="0"/>
          </w:tblPr>
          <w:tblGrid>
            <w:gridCol w:w="4439"/>
            <w:gridCol w:w="4440"/>
          </w:tblGrid>
          <w:tr w:rsidR="00803536">
            <w:tc>
              <w:tcPr>
                <w:tcW w:w="4439" w:type="dxa"/>
              </w:tcPr>
              <w:p w:rsidR="00803536" w:rsidRPr="00E7628D" w:rsidRDefault="00803536">
                <w:pPr>
                  <w:autoSpaceDE w:val="0"/>
                  <w:autoSpaceDN w:val="0"/>
                  <w:adjustRightInd w:val="0"/>
                  <w:rPr>
                    <w:b/>
                    <w:bCs/>
                    <w:sz w:val="20"/>
                    <w:szCs w:val="20"/>
                  </w:rPr>
                </w:pPr>
                <w:smartTag w:uri="urn:schemas-microsoft-com:office:smarttags" w:element="address">
                  <w:smartTag w:uri="urn:schemas-microsoft-com:office:smarttags" w:element="Street">
                    <w:r w:rsidRPr="00E7628D">
                      <w:rPr>
                        <w:b/>
                        <w:bCs/>
                        <w:sz w:val="20"/>
                        <w:szCs w:val="20"/>
                      </w:rPr>
                      <w:t>P. O. Box</w:t>
                    </w:r>
                  </w:smartTag>
                  <w:r w:rsidRPr="00E7628D">
                    <w:rPr>
                      <w:b/>
                      <w:bCs/>
                      <w:sz w:val="20"/>
                      <w:szCs w:val="20"/>
                    </w:rPr>
                    <w:t xml:space="preserve"> 2356</w:t>
                  </w:r>
                </w:smartTag>
                <w:r w:rsidRPr="00E7628D">
                  <w:rPr>
                    <w:b/>
                    <w:bCs/>
                    <w:sz w:val="20"/>
                    <w:szCs w:val="20"/>
                  </w:rPr>
                  <w:t xml:space="preserve">, Kolonia, </w:t>
                </w:r>
              </w:p>
              <w:p w:rsidR="00803536" w:rsidRDefault="00803536">
                <w:pPr>
                  <w:autoSpaceDE w:val="0"/>
                  <w:autoSpaceDN w:val="0"/>
                  <w:adjustRightInd w:val="0"/>
                  <w:rPr>
                    <w:b/>
                    <w:bCs/>
                    <w:sz w:val="22"/>
                    <w:szCs w:val="20"/>
                  </w:rPr>
                </w:pPr>
                <w:smartTag w:uri="urn:schemas-microsoft-com:office:smarttags" w:element="place">
                  <w:r w:rsidRPr="00E7628D">
                    <w:rPr>
                      <w:b/>
                      <w:bCs/>
                      <w:sz w:val="20"/>
                      <w:szCs w:val="20"/>
                    </w:rPr>
                    <w:t>Pohnpei  96941,</w:t>
                  </w:r>
                  <w:smartTag w:uri="urn:schemas-microsoft-com:office:smarttags" w:element="country-region">
                    <w:r w:rsidRPr="00E7628D">
                      <w:rPr>
                        <w:b/>
                        <w:bCs/>
                        <w:sz w:val="20"/>
                        <w:szCs w:val="20"/>
                      </w:rPr>
                      <w:t>Federated States of Micronesia</w:t>
                    </w:r>
                  </w:smartTag>
                </w:smartTag>
                <w:r w:rsidRPr="00E7628D">
                  <w:rPr>
                    <w:b/>
                    <w:bCs/>
                    <w:sz w:val="20"/>
                    <w:szCs w:val="20"/>
                  </w:rPr>
                  <w:t>.</w:t>
                </w:r>
              </w:p>
            </w:tc>
            <w:tc>
              <w:tcPr>
                <w:tcW w:w="4440" w:type="dxa"/>
              </w:tcPr>
              <w:p w:rsidR="00803536" w:rsidRPr="00E7628D" w:rsidRDefault="00803536" w:rsidP="00E7628D">
                <w:pPr>
                  <w:pStyle w:val="Footer"/>
                  <w:rPr>
                    <w:b/>
                    <w:sz w:val="20"/>
                    <w:szCs w:val="20"/>
                  </w:rPr>
                </w:pPr>
                <w:r w:rsidRPr="00E7628D">
                  <w:rPr>
                    <w:b/>
                    <w:sz w:val="20"/>
                    <w:szCs w:val="20"/>
                  </w:rPr>
                  <w:t>Phone: +691 320 1992:Fax: +691 320 1108</w:t>
                </w:r>
              </w:p>
              <w:p w:rsidR="00803536" w:rsidRDefault="00803536" w:rsidP="001A1438">
                <w:pPr>
                  <w:autoSpaceDE w:val="0"/>
                  <w:autoSpaceDN w:val="0"/>
                  <w:adjustRightInd w:val="0"/>
                  <w:rPr>
                    <w:b/>
                    <w:bCs/>
                    <w:sz w:val="22"/>
                    <w:szCs w:val="20"/>
                  </w:rPr>
                </w:pPr>
                <w:r w:rsidRPr="00E7628D">
                  <w:rPr>
                    <w:b/>
                    <w:sz w:val="20"/>
                    <w:szCs w:val="20"/>
                  </w:rPr>
                  <w:t xml:space="preserve">Email: </w:t>
                </w:r>
                <w:r w:rsidR="001A1438">
                  <w:rPr>
                    <w:b/>
                    <w:sz w:val="20"/>
                    <w:szCs w:val="20"/>
                  </w:rPr>
                  <w:t>wcpfc@wcpfc.int</w:t>
                </w:r>
              </w:p>
            </w:tc>
          </w:tr>
        </w:tbl>
        <w:p w:rsidR="00803536" w:rsidRDefault="00803536">
          <w:pPr>
            <w:pStyle w:val="Footer"/>
            <w:jc w:val="center"/>
            <w:rPr>
              <w:b/>
            </w:rPr>
          </w:pPr>
        </w:p>
      </w:tc>
    </w:tr>
  </w:tbl>
  <w:p w:rsidR="00803536" w:rsidRDefault="008035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B3" w:rsidRDefault="009219B3">
      <w:r>
        <w:separator/>
      </w:r>
    </w:p>
  </w:footnote>
  <w:footnote w:type="continuationSeparator" w:id="0">
    <w:p w:rsidR="009219B3" w:rsidRDefault="00921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ED7"/>
    <w:multiLevelType w:val="hybridMultilevel"/>
    <w:tmpl w:val="B7885E92"/>
    <w:lvl w:ilvl="0" w:tplc="144AAC62">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51D10"/>
    <w:multiLevelType w:val="hybridMultilevel"/>
    <w:tmpl w:val="8926DAC8"/>
    <w:lvl w:ilvl="0" w:tplc="049651DA">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EE2845"/>
    <w:multiLevelType w:val="hybridMultilevel"/>
    <w:tmpl w:val="7604E3A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1613E1"/>
    <w:multiLevelType w:val="hybridMultilevel"/>
    <w:tmpl w:val="18F25666"/>
    <w:lvl w:ilvl="0" w:tplc="E0B660C4">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E60ED4"/>
    <w:multiLevelType w:val="hybridMultilevel"/>
    <w:tmpl w:val="342C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07D37"/>
    <w:multiLevelType w:val="hybridMultilevel"/>
    <w:tmpl w:val="976EE288"/>
    <w:lvl w:ilvl="0" w:tplc="86C011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BA2576"/>
    <w:multiLevelType w:val="hybridMultilevel"/>
    <w:tmpl w:val="DCCC2B22"/>
    <w:lvl w:ilvl="0" w:tplc="34EE13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3686A"/>
    <w:multiLevelType w:val="hybridMultilevel"/>
    <w:tmpl w:val="342C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94122"/>
    <w:multiLevelType w:val="hybridMultilevel"/>
    <w:tmpl w:val="86B06EF2"/>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79657F"/>
    <w:multiLevelType w:val="hybridMultilevel"/>
    <w:tmpl w:val="C3CAD5F6"/>
    <w:lvl w:ilvl="0" w:tplc="84F64F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FF5FC1"/>
    <w:multiLevelType w:val="multilevel"/>
    <w:tmpl w:val="C938DBC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88C6C6B"/>
    <w:multiLevelType w:val="hybridMultilevel"/>
    <w:tmpl w:val="29ECB4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2D486B"/>
    <w:multiLevelType w:val="hybridMultilevel"/>
    <w:tmpl w:val="F31074B2"/>
    <w:lvl w:ilvl="0" w:tplc="963E66A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41441"/>
    <w:multiLevelType w:val="hybridMultilevel"/>
    <w:tmpl w:val="541AE0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97192E"/>
    <w:multiLevelType w:val="hybridMultilevel"/>
    <w:tmpl w:val="B4FEEA92"/>
    <w:lvl w:ilvl="0" w:tplc="4136FE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4B0567"/>
    <w:multiLevelType w:val="hybridMultilevel"/>
    <w:tmpl w:val="D954F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FA3C80"/>
    <w:multiLevelType w:val="hybridMultilevel"/>
    <w:tmpl w:val="E2A2148A"/>
    <w:lvl w:ilvl="0" w:tplc="F81E2E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C7B5E"/>
    <w:multiLevelType w:val="hybridMultilevel"/>
    <w:tmpl w:val="E304CFAA"/>
    <w:lvl w:ilvl="0" w:tplc="E06C35BC">
      <w:start w:val="1"/>
      <w:numFmt w:val="decimal"/>
      <w:lvlText w:val="%1."/>
      <w:lvlJc w:val="left"/>
      <w:pPr>
        <w:tabs>
          <w:tab w:val="num" w:pos="2160"/>
        </w:tabs>
        <w:ind w:left="2160" w:hanging="144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86349AB"/>
    <w:multiLevelType w:val="hybridMultilevel"/>
    <w:tmpl w:val="48B84710"/>
    <w:lvl w:ilvl="0" w:tplc="D908C1F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2"/>
  </w:num>
  <w:num w:numId="4">
    <w:abstractNumId w:val="17"/>
  </w:num>
  <w:num w:numId="5">
    <w:abstractNumId w:val="18"/>
  </w:num>
  <w:num w:numId="6">
    <w:abstractNumId w:val="9"/>
  </w:num>
  <w:num w:numId="7">
    <w:abstractNumId w:val="8"/>
  </w:num>
  <w:num w:numId="8">
    <w:abstractNumId w:val="10"/>
  </w:num>
  <w:num w:numId="9">
    <w:abstractNumId w:val="13"/>
  </w:num>
  <w:num w:numId="10">
    <w:abstractNumId w:val="11"/>
  </w:num>
  <w:num w:numId="11">
    <w:abstractNumId w:val="1"/>
  </w:num>
  <w:num w:numId="12">
    <w:abstractNumId w:val="0"/>
  </w:num>
  <w:num w:numId="13">
    <w:abstractNumId w:val="4"/>
  </w:num>
  <w:num w:numId="14">
    <w:abstractNumId w:val="7"/>
  </w:num>
  <w:num w:numId="15">
    <w:abstractNumId w:val="16"/>
  </w:num>
  <w:num w:numId="16">
    <w:abstractNumId w:val="6"/>
  </w:num>
  <w:num w:numId="17">
    <w:abstractNumId w:val="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DF"/>
    <w:rsid w:val="00001FDC"/>
    <w:rsid w:val="000229B7"/>
    <w:rsid w:val="00035082"/>
    <w:rsid w:val="0004771F"/>
    <w:rsid w:val="000B2E31"/>
    <w:rsid w:val="001067E4"/>
    <w:rsid w:val="001105E9"/>
    <w:rsid w:val="00111FF3"/>
    <w:rsid w:val="001210DB"/>
    <w:rsid w:val="00126942"/>
    <w:rsid w:val="00167E77"/>
    <w:rsid w:val="00184C74"/>
    <w:rsid w:val="00190FA7"/>
    <w:rsid w:val="00193357"/>
    <w:rsid w:val="0019487C"/>
    <w:rsid w:val="001A1438"/>
    <w:rsid w:val="001A3109"/>
    <w:rsid w:val="001D47F3"/>
    <w:rsid w:val="001F1450"/>
    <w:rsid w:val="002103CC"/>
    <w:rsid w:val="00216DDB"/>
    <w:rsid w:val="00221326"/>
    <w:rsid w:val="00227D7C"/>
    <w:rsid w:val="002317CE"/>
    <w:rsid w:val="002378B7"/>
    <w:rsid w:val="00275535"/>
    <w:rsid w:val="002A46ED"/>
    <w:rsid w:val="002B2E35"/>
    <w:rsid w:val="002B3D77"/>
    <w:rsid w:val="002B5BEA"/>
    <w:rsid w:val="002C729C"/>
    <w:rsid w:val="002F1C9C"/>
    <w:rsid w:val="002F778D"/>
    <w:rsid w:val="003300C6"/>
    <w:rsid w:val="003361D4"/>
    <w:rsid w:val="0035414D"/>
    <w:rsid w:val="003613B1"/>
    <w:rsid w:val="0037532A"/>
    <w:rsid w:val="003B2841"/>
    <w:rsid w:val="003C2218"/>
    <w:rsid w:val="003C24D4"/>
    <w:rsid w:val="003E6757"/>
    <w:rsid w:val="003E7A82"/>
    <w:rsid w:val="003F297E"/>
    <w:rsid w:val="00402D01"/>
    <w:rsid w:val="004101C4"/>
    <w:rsid w:val="00421261"/>
    <w:rsid w:val="00437984"/>
    <w:rsid w:val="004400D8"/>
    <w:rsid w:val="00457317"/>
    <w:rsid w:val="00470112"/>
    <w:rsid w:val="00493C11"/>
    <w:rsid w:val="004A5906"/>
    <w:rsid w:val="004B4C91"/>
    <w:rsid w:val="00522FC9"/>
    <w:rsid w:val="00530203"/>
    <w:rsid w:val="00555C97"/>
    <w:rsid w:val="00556B89"/>
    <w:rsid w:val="005601D8"/>
    <w:rsid w:val="0057060F"/>
    <w:rsid w:val="005B7A16"/>
    <w:rsid w:val="005E4A1F"/>
    <w:rsid w:val="00605DD5"/>
    <w:rsid w:val="00607645"/>
    <w:rsid w:val="00630BE5"/>
    <w:rsid w:val="00641F3E"/>
    <w:rsid w:val="00652091"/>
    <w:rsid w:val="006527AD"/>
    <w:rsid w:val="00653C74"/>
    <w:rsid w:val="00666AC6"/>
    <w:rsid w:val="006748F3"/>
    <w:rsid w:val="006A4BFB"/>
    <w:rsid w:val="006A4E17"/>
    <w:rsid w:val="006B6610"/>
    <w:rsid w:val="006C2C73"/>
    <w:rsid w:val="006C64DB"/>
    <w:rsid w:val="006C7621"/>
    <w:rsid w:val="006D1866"/>
    <w:rsid w:val="007141F8"/>
    <w:rsid w:val="00717D53"/>
    <w:rsid w:val="007260BF"/>
    <w:rsid w:val="00730EB8"/>
    <w:rsid w:val="0076335B"/>
    <w:rsid w:val="00764E1A"/>
    <w:rsid w:val="00770778"/>
    <w:rsid w:val="00782244"/>
    <w:rsid w:val="007B2380"/>
    <w:rsid w:val="007C28DD"/>
    <w:rsid w:val="007C5838"/>
    <w:rsid w:val="007C713C"/>
    <w:rsid w:val="007C7A3C"/>
    <w:rsid w:val="007E27FB"/>
    <w:rsid w:val="007E3EEA"/>
    <w:rsid w:val="007F6D0D"/>
    <w:rsid w:val="007F7F75"/>
    <w:rsid w:val="00803536"/>
    <w:rsid w:val="008073FB"/>
    <w:rsid w:val="008274F3"/>
    <w:rsid w:val="0084085B"/>
    <w:rsid w:val="00850362"/>
    <w:rsid w:val="008509F2"/>
    <w:rsid w:val="00852235"/>
    <w:rsid w:val="00855BB8"/>
    <w:rsid w:val="0085610B"/>
    <w:rsid w:val="00857755"/>
    <w:rsid w:val="0087745F"/>
    <w:rsid w:val="008924E7"/>
    <w:rsid w:val="00893CCC"/>
    <w:rsid w:val="00895D0F"/>
    <w:rsid w:val="008B7D19"/>
    <w:rsid w:val="008C2B0C"/>
    <w:rsid w:val="008C745B"/>
    <w:rsid w:val="008E47A4"/>
    <w:rsid w:val="008F6818"/>
    <w:rsid w:val="00903027"/>
    <w:rsid w:val="00912764"/>
    <w:rsid w:val="009219B3"/>
    <w:rsid w:val="00975002"/>
    <w:rsid w:val="0098047B"/>
    <w:rsid w:val="009A39B6"/>
    <w:rsid w:val="009A4DE1"/>
    <w:rsid w:val="009B15BF"/>
    <w:rsid w:val="009B4BAF"/>
    <w:rsid w:val="009C51D7"/>
    <w:rsid w:val="009C58F7"/>
    <w:rsid w:val="009F62CF"/>
    <w:rsid w:val="00A42B26"/>
    <w:rsid w:val="00A53D31"/>
    <w:rsid w:val="00A61E89"/>
    <w:rsid w:val="00A62C5B"/>
    <w:rsid w:val="00A663E5"/>
    <w:rsid w:val="00A74395"/>
    <w:rsid w:val="00A74A62"/>
    <w:rsid w:val="00A771D7"/>
    <w:rsid w:val="00AA7E7B"/>
    <w:rsid w:val="00AE2BC7"/>
    <w:rsid w:val="00AE2BF2"/>
    <w:rsid w:val="00B062AF"/>
    <w:rsid w:val="00B47D8D"/>
    <w:rsid w:val="00B50E5C"/>
    <w:rsid w:val="00B86553"/>
    <w:rsid w:val="00B9384D"/>
    <w:rsid w:val="00BB44F5"/>
    <w:rsid w:val="00BC4F49"/>
    <w:rsid w:val="00BD04F0"/>
    <w:rsid w:val="00BF0380"/>
    <w:rsid w:val="00BF056B"/>
    <w:rsid w:val="00C2534D"/>
    <w:rsid w:val="00C33484"/>
    <w:rsid w:val="00C43CDA"/>
    <w:rsid w:val="00C57017"/>
    <w:rsid w:val="00C76F18"/>
    <w:rsid w:val="00C92059"/>
    <w:rsid w:val="00CF3833"/>
    <w:rsid w:val="00CF3C5D"/>
    <w:rsid w:val="00D41924"/>
    <w:rsid w:val="00D71FA8"/>
    <w:rsid w:val="00D743BD"/>
    <w:rsid w:val="00D8071C"/>
    <w:rsid w:val="00D838A4"/>
    <w:rsid w:val="00D86BA9"/>
    <w:rsid w:val="00D950A3"/>
    <w:rsid w:val="00DA377B"/>
    <w:rsid w:val="00DD4DA8"/>
    <w:rsid w:val="00DF0FD5"/>
    <w:rsid w:val="00DF16F3"/>
    <w:rsid w:val="00E02DF8"/>
    <w:rsid w:val="00E04A93"/>
    <w:rsid w:val="00E05521"/>
    <w:rsid w:val="00E265DF"/>
    <w:rsid w:val="00E452CB"/>
    <w:rsid w:val="00E55AF3"/>
    <w:rsid w:val="00E67491"/>
    <w:rsid w:val="00E7628D"/>
    <w:rsid w:val="00E76DB1"/>
    <w:rsid w:val="00E8125C"/>
    <w:rsid w:val="00EA2894"/>
    <w:rsid w:val="00EB0B11"/>
    <w:rsid w:val="00ED7C6D"/>
    <w:rsid w:val="00EE3892"/>
    <w:rsid w:val="00EF012D"/>
    <w:rsid w:val="00F15CDB"/>
    <w:rsid w:val="00F2435E"/>
    <w:rsid w:val="00F3787A"/>
    <w:rsid w:val="00F41953"/>
    <w:rsid w:val="00F50DBA"/>
    <w:rsid w:val="00F55E18"/>
    <w:rsid w:val="00F62E16"/>
    <w:rsid w:val="00F75D22"/>
    <w:rsid w:val="00F81712"/>
    <w:rsid w:val="00F86C95"/>
    <w:rsid w:val="00FA7B7F"/>
    <w:rsid w:val="00FB1147"/>
    <w:rsid w:val="00FB475F"/>
    <w:rsid w:val="00FB5B8D"/>
    <w:rsid w:val="00FD15F5"/>
    <w:rsid w:val="00FD32A7"/>
    <w:rsid w:val="00FE719F"/>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A82"/>
    <w:rPr>
      <w:sz w:val="24"/>
      <w:szCs w:val="24"/>
    </w:rPr>
  </w:style>
  <w:style w:type="paragraph" w:styleId="Heading1">
    <w:name w:val="heading 1"/>
    <w:basedOn w:val="Normal"/>
    <w:next w:val="Normal"/>
    <w:qFormat/>
    <w:rsid w:val="00FD32A7"/>
    <w:pPr>
      <w:keepNext/>
      <w:spacing w:after="60"/>
      <w:jc w:val="center"/>
      <w:outlineLvl w:val="0"/>
    </w:pPr>
    <w:rPr>
      <w:rFonts w:cs="Arial"/>
      <w:b/>
      <w:bCs/>
      <w:sz w:val="22"/>
      <w:szCs w:val="32"/>
    </w:rPr>
  </w:style>
  <w:style w:type="paragraph" w:styleId="Heading2">
    <w:name w:val="heading 2"/>
    <w:basedOn w:val="Normal"/>
    <w:next w:val="Normal"/>
    <w:qFormat/>
    <w:rsid w:val="00FD32A7"/>
    <w:pPr>
      <w:keepNext/>
      <w:jc w:val="center"/>
      <w:outlineLvl w:val="1"/>
    </w:pPr>
    <w:rPr>
      <w:b/>
      <w:bCs/>
    </w:rPr>
  </w:style>
  <w:style w:type="paragraph" w:styleId="Heading3">
    <w:name w:val="heading 3"/>
    <w:basedOn w:val="Normal"/>
    <w:next w:val="Normal"/>
    <w:qFormat/>
    <w:rsid w:val="00FD32A7"/>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2A7"/>
    <w:pPr>
      <w:tabs>
        <w:tab w:val="center" w:pos="4320"/>
        <w:tab w:val="right" w:pos="8640"/>
      </w:tabs>
    </w:pPr>
  </w:style>
  <w:style w:type="paragraph" w:styleId="Footer">
    <w:name w:val="footer"/>
    <w:basedOn w:val="Normal"/>
    <w:rsid w:val="00FD32A7"/>
    <w:pPr>
      <w:tabs>
        <w:tab w:val="center" w:pos="4320"/>
        <w:tab w:val="right" w:pos="8640"/>
      </w:tabs>
    </w:pPr>
  </w:style>
  <w:style w:type="character" w:styleId="Hyperlink">
    <w:name w:val="Hyperlink"/>
    <w:basedOn w:val="DefaultParagraphFont"/>
    <w:rsid w:val="00FD32A7"/>
    <w:rPr>
      <w:color w:val="0000FF"/>
      <w:u w:val="single"/>
    </w:rPr>
  </w:style>
  <w:style w:type="table" w:styleId="TableGrid">
    <w:name w:val="Table Grid"/>
    <w:basedOn w:val="TableNormal"/>
    <w:rsid w:val="00C2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47B"/>
    <w:pPr>
      <w:ind w:left="720"/>
    </w:pPr>
  </w:style>
  <w:style w:type="paragraph" w:styleId="BalloonText">
    <w:name w:val="Balloon Text"/>
    <w:basedOn w:val="Normal"/>
    <w:link w:val="BalloonTextChar"/>
    <w:rsid w:val="001A1438"/>
    <w:rPr>
      <w:rFonts w:ascii="Tahoma" w:hAnsi="Tahoma" w:cs="Tahoma"/>
      <w:sz w:val="16"/>
      <w:szCs w:val="16"/>
    </w:rPr>
  </w:style>
  <w:style w:type="character" w:customStyle="1" w:styleId="BalloonTextChar">
    <w:name w:val="Balloon Text Char"/>
    <w:basedOn w:val="DefaultParagraphFont"/>
    <w:link w:val="BalloonText"/>
    <w:rsid w:val="001A1438"/>
    <w:rPr>
      <w:rFonts w:ascii="Tahoma" w:hAnsi="Tahoma" w:cs="Tahoma"/>
      <w:sz w:val="16"/>
      <w:szCs w:val="16"/>
    </w:rPr>
  </w:style>
  <w:style w:type="paragraph" w:customStyle="1" w:styleId="Default">
    <w:name w:val="Default"/>
    <w:rsid w:val="00D86BA9"/>
    <w:pPr>
      <w:autoSpaceDE w:val="0"/>
      <w:autoSpaceDN w:val="0"/>
      <w:adjustRightInd w:val="0"/>
    </w:pPr>
    <w:rPr>
      <w:color w:val="000000"/>
      <w:sz w:val="24"/>
      <w:szCs w:val="24"/>
    </w:rPr>
  </w:style>
  <w:style w:type="character" w:styleId="CommentReference">
    <w:name w:val="annotation reference"/>
    <w:basedOn w:val="DefaultParagraphFont"/>
    <w:rsid w:val="00FB475F"/>
    <w:rPr>
      <w:sz w:val="16"/>
      <w:szCs w:val="16"/>
    </w:rPr>
  </w:style>
  <w:style w:type="paragraph" w:styleId="CommentText">
    <w:name w:val="annotation text"/>
    <w:basedOn w:val="Normal"/>
    <w:link w:val="CommentTextChar"/>
    <w:rsid w:val="00FB475F"/>
    <w:rPr>
      <w:sz w:val="20"/>
      <w:szCs w:val="20"/>
    </w:rPr>
  </w:style>
  <w:style w:type="character" w:customStyle="1" w:styleId="CommentTextChar">
    <w:name w:val="Comment Text Char"/>
    <w:basedOn w:val="DefaultParagraphFont"/>
    <w:link w:val="CommentText"/>
    <w:rsid w:val="00FB475F"/>
  </w:style>
  <w:style w:type="paragraph" w:styleId="CommentSubject">
    <w:name w:val="annotation subject"/>
    <w:basedOn w:val="CommentText"/>
    <w:next w:val="CommentText"/>
    <w:link w:val="CommentSubjectChar"/>
    <w:rsid w:val="00FB475F"/>
    <w:rPr>
      <w:b/>
      <w:bCs/>
    </w:rPr>
  </w:style>
  <w:style w:type="character" w:customStyle="1" w:styleId="CommentSubjectChar">
    <w:name w:val="Comment Subject Char"/>
    <w:basedOn w:val="CommentTextChar"/>
    <w:link w:val="CommentSubject"/>
    <w:rsid w:val="00FB475F"/>
    <w:rPr>
      <w:b/>
      <w:bCs/>
    </w:rPr>
  </w:style>
  <w:style w:type="paragraph" w:styleId="BodyText">
    <w:name w:val="Body Text"/>
    <w:basedOn w:val="Normal"/>
    <w:link w:val="BodyTextChar"/>
    <w:rsid w:val="00227D7C"/>
    <w:pPr>
      <w:spacing w:before="120"/>
      <w:jc w:val="both"/>
    </w:pPr>
    <w:rPr>
      <w:sz w:val="22"/>
      <w:szCs w:val="20"/>
      <w:lang w:val="en-GB"/>
    </w:rPr>
  </w:style>
  <w:style w:type="character" w:customStyle="1" w:styleId="BodyTextChar">
    <w:name w:val="Body Text Char"/>
    <w:basedOn w:val="DefaultParagraphFont"/>
    <w:link w:val="BodyText"/>
    <w:rsid w:val="00227D7C"/>
    <w:rPr>
      <w:sz w:val="22"/>
      <w:lang w:val="en-GB"/>
    </w:rPr>
  </w:style>
  <w:style w:type="character" w:styleId="Emphasis">
    <w:name w:val="Emphasis"/>
    <w:basedOn w:val="DefaultParagraphFont"/>
    <w:uiPriority w:val="20"/>
    <w:qFormat/>
    <w:rsid w:val="00BF03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A82"/>
    <w:rPr>
      <w:sz w:val="24"/>
      <w:szCs w:val="24"/>
    </w:rPr>
  </w:style>
  <w:style w:type="paragraph" w:styleId="Heading1">
    <w:name w:val="heading 1"/>
    <w:basedOn w:val="Normal"/>
    <w:next w:val="Normal"/>
    <w:qFormat/>
    <w:rsid w:val="00FD32A7"/>
    <w:pPr>
      <w:keepNext/>
      <w:spacing w:after="60"/>
      <w:jc w:val="center"/>
      <w:outlineLvl w:val="0"/>
    </w:pPr>
    <w:rPr>
      <w:rFonts w:cs="Arial"/>
      <w:b/>
      <w:bCs/>
      <w:sz w:val="22"/>
      <w:szCs w:val="32"/>
    </w:rPr>
  </w:style>
  <w:style w:type="paragraph" w:styleId="Heading2">
    <w:name w:val="heading 2"/>
    <w:basedOn w:val="Normal"/>
    <w:next w:val="Normal"/>
    <w:qFormat/>
    <w:rsid w:val="00FD32A7"/>
    <w:pPr>
      <w:keepNext/>
      <w:jc w:val="center"/>
      <w:outlineLvl w:val="1"/>
    </w:pPr>
    <w:rPr>
      <w:b/>
      <w:bCs/>
    </w:rPr>
  </w:style>
  <w:style w:type="paragraph" w:styleId="Heading3">
    <w:name w:val="heading 3"/>
    <w:basedOn w:val="Normal"/>
    <w:next w:val="Normal"/>
    <w:qFormat/>
    <w:rsid w:val="00FD32A7"/>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2A7"/>
    <w:pPr>
      <w:tabs>
        <w:tab w:val="center" w:pos="4320"/>
        <w:tab w:val="right" w:pos="8640"/>
      </w:tabs>
    </w:pPr>
  </w:style>
  <w:style w:type="paragraph" w:styleId="Footer">
    <w:name w:val="footer"/>
    <w:basedOn w:val="Normal"/>
    <w:rsid w:val="00FD32A7"/>
    <w:pPr>
      <w:tabs>
        <w:tab w:val="center" w:pos="4320"/>
        <w:tab w:val="right" w:pos="8640"/>
      </w:tabs>
    </w:pPr>
  </w:style>
  <w:style w:type="character" w:styleId="Hyperlink">
    <w:name w:val="Hyperlink"/>
    <w:basedOn w:val="DefaultParagraphFont"/>
    <w:rsid w:val="00FD32A7"/>
    <w:rPr>
      <w:color w:val="0000FF"/>
      <w:u w:val="single"/>
    </w:rPr>
  </w:style>
  <w:style w:type="table" w:styleId="TableGrid">
    <w:name w:val="Table Grid"/>
    <w:basedOn w:val="TableNormal"/>
    <w:rsid w:val="00C25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47B"/>
    <w:pPr>
      <w:ind w:left="720"/>
    </w:pPr>
  </w:style>
  <w:style w:type="paragraph" w:styleId="BalloonText">
    <w:name w:val="Balloon Text"/>
    <w:basedOn w:val="Normal"/>
    <w:link w:val="BalloonTextChar"/>
    <w:rsid w:val="001A1438"/>
    <w:rPr>
      <w:rFonts w:ascii="Tahoma" w:hAnsi="Tahoma" w:cs="Tahoma"/>
      <w:sz w:val="16"/>
      <w:szCs w:val="16"/>
    </w:rPr>
  </w:style>
  <w:style w:type="character" w:customStyle="1" w:styleId="BalloonTextChar">
    <w:name w:val="Balloon Text Char"/>
    <w:basedOn w:val="DefaultParagraphFont"/>
    <w:link w:val="BalloonText"/>
    <w:rsid w:val="001A1438"/>
    <w:rPr>
      <w:rFonts w:ascii="Tahoma" w:hAnsi="Tahoma" w:cs="Tahoma"/>
      <w:sz w:val="16"/>
      <w:szCs w:val="16"/>
    </w:rPr>
  </w:style>
  <w:style w:type="paragraph" w:customStyle="1" w:styleId="Default">
    <w:name w:val="Default"/>
    <w:rsid w:val="00D86BA9"/>
    <w:pPr>
      <w:autoSpaceDE w:val="0"/>
      <w:autoSpaceDN w:val="0"/>
      <w:adjustRightInd w:val="0"/>
    </w:pPr>
    <w:rPr>
      <w:color w:val="000000"/>
      <w:sz w:val="24"/>
      <w:szCs w:val="24"/>
    </w:rPr>
  </w:style>
  <w:style w:type="character" w:styleId="CommentReference">
    <w:name w:val="annotation reference"/>
    <w:basedOn w:val="DefaultParagraphFont"/>
    <w:rsid w:val="00FB475F"/>
    <w:rPr>
      <w:sz w:val="16"/>
      <w:szCs w:val="16"/>
    </w:rPr>
  </w:style>
  <w:style w:type="paragraph" w:styleId="CommentText">
    <w:name w:val="annotation text"/>
    <w:basedOn w:val="Normal"/>
    <w:link w:val="CommentTextChar"/>
    <w:rsid w:val="00FB475F"/>
    <w:rPr>
      <w:sz w:val="20"/>
      <w:szCs w:val="20"/>
    </w:rPr>
  </w:style>
  <w:style w:type="character" w:customStyle="1" w:styleId="CommentTextChar">
    <w:name w:val="Comment Text Char"/>
    <w:basedOn w:val="DefaultParagraphFont"/>
    <w:link w:val="CommentText"/>
    <w:rsid w:val="00FB475F"/>
  </w:style>
  <w:style w:type="paragraph" w:styleId="CommentSubject">
    <w:name w:val="annotation subject"/>
    <w:basedOn w:val="CommentText"/>
    <w:next w:val="CommentText"/>
    <w:link w:val="CommentSubjectChar"/>
    <w:rsid w:val="00FB475F"/>
    <w:rPr>
      <w:b/>
      <w:bCs/>
    </w:rPr>
  </w:style>
  <w:style w:type="character" w:customStyle="1" w:styleId="CommentSubjectChar">
    <w:name w:val="Comment Subject Char"/>
    <w:basedOn w:val="CommentTextChar"/>
    <w:link w:val="CommentSubject"/>
    <w:rsid w:val="00FB475F"/>
    <w:rPr>
      <w:b/>
      <w:bCs/>
    </w:rPr>
  </w:style>
  <w:style w:type="paragraph" w:styleId="BodyText">
    <w:name w:val="Body Text"/>
    <w:basedOn w:val="Normal"/>
    <w:link w:val="BodyTextChar"/>
    <w:rsid w:val="00227D7C"/>
    <w:pPr>
      <w:spacing w:before="120"/>
      <w:jc w:val="both"/>
    </w:pPr>
    <w:rPr>
      <w:sz w:val="22"/>
      <w:szCs w:val="20"/>
      <w:lang w:val="en-GB"/>
    </w:rPr>
  </w:style>
  <w:style w:type="character" w:customStyle="1" w:styleId="BodyTextChar">
    <w:name w:val="Body Text Char"/>
    <w:basedOn w:val="DefaultParagraphFont"/>
    <w:link w:val="BodyText"/>
    <w:rsid w:val="00227D7C"/>
    <w:rPr>
      <w:sz w:val="22"/>
      <w:lang w:val="en-GB"/>
    </w:rPr>
  </w:style>
  <w:style w:type="character" w:styleId="Emphasis">
    <w:name w:val="Emphasis"/>
    <w:basedOn w:val="DefaultParagraphFont"/>
    <w:uiPriority w:val="20"/>
    <w:qFormat/>
    <w:rsid w:val="00BF0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E8F1B-ECEC-43ED-9F60-4E236885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148</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3739</CharactersWithSpaces>
  <SharedDoc>false</SharedDoc>
  <HLinks>
    <vt:vector size="6" baseType="variant">
      <vt:variant>
        <vt:i4>7012370</vt:i4>
      </vt:variant>
      <vt:variant>
        <vt:i4>0</vt:i4>
      </vt:variant>
      <vt:variant>
        <vt:i4>0</vt:i4>
      </vt:variant>
      <vt:variant>
        <vt:i4>5</vt:i4>
      </vt:variant>
      <vt:variant>
        <vt:lpwstr>mailto:Aaron.Nighswander@wcpfc.int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Nighswander</dc:creator>
  <cp:lastModifiedBy>SungKwon Soh</cp:lastModifiedBy>
  <cp:revision>2</cp:revision>
  <cp:lastPrinted>2012-08-21T21:40:00Z</cp:lastPrinted>
  <dcterms:created xsi:type="dcterms:W3CDTF">2012-09-07T01:03:00Z</dcterms:created>
  <dcterms:modified xsi:type="dcterms:W3CDTF">2012-09-07T01:03:00Z</dcterms:modified>
</cp:coreProperties>
</file>