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D6" w:rsidRPr="00647648" w:rsidRDefault="00C212D6" w:rsidP="00C212D6">
      <w:pPr>
        <w:snapToGrid w:val="0"/>
        <w:jc w:val="center"/>
        <w:rPr>
          <w:rFonts w:eastAsia="Times New Roman" w:cs="Times New Roman"/>
          <w:lang w:val="en-NZ"/>
        </w:rPr>
      </w:pPr>
      <w:r w:rsidRPr="00647648">
        <w:rPr>
          <w:rFonts w:eastAsia="Times New Roman" w:cs="Times New Roman"/>
          <w:noProof/>
          <w:lang w:eastAsia="ko-KR" w:bidi="th-TH"/>
        </w:rPr>
        <w:drawing>
          <wp:inline distT="0" distB="0" distL="0" distR="0">
            <wp:extent cx="20955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rsidR="00C212D6" w:rsidRPr="00647648" w:rsidRDefault="00C212D6" w:rsidP="00C212D6">
      <w:pPr>
        <w:snapToGrid w:val="0"/>
        <w:spacing w:line="240" w:lineRule="exact"/>
        <w:jc w:val="center"/>
        <w:rPr>
          <w:rFonts w:cs="Times New Roman"/>
          <w:b/>
          <w:lang w:val="en-NZ" w:eastAsia="ja-JP"/>
        </w:rPr>
      </w:pPr>
      <w:r w:rsidRPr="00647648">
        <w:rPr>
          <w:rFonts w:cs="Times New Roman"/>
          <w:b/>
          <w:lang w:val="en-NZ"/>
        </w:rPr>
        <w:t>NORTHERN COMMITTEE</w:t>
      </w:r>
      <w:r w:rsidRPr="00647648">
        <w:rPr>
          <w:rFonts w:cs="Times New Roman"/>
          <w:b/>
          <w:lang w:val="en-NZ" w:eastAsia="ja-JP"/>
        </w:rPr>
        <w:t xml:space="preserve"> </w:t>
      </w:r>
    </w:p>
    <w:p w:rsidR="00C212D6" w:rsidRPr="00647648" w:rsidRDefault="00C212D6" w:rsidP="00C212D6">
      <w:pPr>
        <w:snapToGrid w:val="0"/>
        <w:spacing w:line="240" w:lineRule="exact"/>
        <w:jc w:val="center"/>
        <w:rPr>
          <w:rFonts w:cs="Times New Roman"/>
          <w:b/>
          <w:lang w:val="en-NZ" w:eastAsia="ja-JP"/>
        </w:rPr>
      </w:pPr>
      <w:r w:rsidRPr="00647648">
        <w:rPr>
          <w:rFonts w:cs="Times New Roman"/>
          <w:b/>
          <w:lang w:val="en-NZ" w:eastAsia="ja-JP"/>
        </w:rPr>
        <w:t>EIGHTH REGULAR SESSION</w:t>
      </w:r>
    </w:p>
    <w:p w:rsidR="00C212D6" w:rsidRPr="00647648" w:rsidRDefault="00C212D6" w:rsidP="00C212D6">
      <w:pPr>
        <w:snapToGrid w:val="0"/>
        <w:spacing w:line="240" w:lineRule="exact"/>
        <w:jc w:val="center"/>
        <w:rPr>
          <w:rFonts w:cs="Times New Roman"/>
          <w:lang w:val="en-NZ" w:eastAsia="ja-JP"/>
        </w:rPr>
      </w:pPr>
      <w:r w:rsidRPr="00647648">
        <w:rPr>
          <w:rFonts w:cs="Times New Roman"/>
          <w:lang w:val="en-NZ" w:eastAsia="ja-JP"/>
        </w:rPr>
        <w:t>3-6</w:t>
      </w:r>
      <w:r w:rsidRPr="00647648">
        <w:rPr>
          <w:rFonts w:cs="Times New Roman"/>
          <w:lang w:val="en-NZ"/>
        </w:rPr>
        <w:t xml:space="preserve"> September 20</w:t>
      </w:r>
      <w:r w:rsidRPr="00647648">
        <w:rPr>
          <w:rFonts w:cs="Times New Roman"/>
          <w:lang w:val="en-NZ" w:eastAsia="ja-JP"/>
        </w:rPr>
        <w:t>12</w:t>
      </w:r>
    </w:p>
    <w:p w:rsidR="00C212D6" w:rsidRPr="00647648" w:rsidRDefault="00C212D6" w:rsidP="00C212D6">
      <w:pPr>
        <w:snapToGrid w:val="0"/>
        <w:spacing w:line="240" w:lineRule="exact"/>
        <w:jc w:val="center"/>
        <w:rPr>
          <w:rFonts w:cs="Times New Roman"/>
          <w:lang w:val="en-NZ"/>
        </w:rPr>
      </w:pPr>
      <w:r w:rsidRPr="00647648">
        <w:rPr>
          <w:rFonts w:cs="Times New Roman"/>
          <w:lang w:val="en-GB" w:eastAsia="ja-JP"/>
        </w:rPr>
        <w:t>Nagasaki</w:t>
      </w:r>
      <w:r w:rsidRPr="00647648">
        <w:rPr>
          <w:rFonts w:cs="Times New Roman"/>
        </w:rPr>
        <w:t xml:space="preserve">, </w:t>
      </w:r>
      <w:r w:rsidRPr="00647648">
        <w:rPr>
          <w:rFonts w:cs="Times New Roman"/>
          <w:lang w:val="en-NZ"/>
        </w:rPr>
        <w:t>Japan</w:t>
      </w:r>
    </w:p>
    <w:p w:rsidR="00C212D6" w:rsidRDefault="00C212D6" w:rsidP="00C212D6">
      <w:pPr>
        <w:pBdr>
          <w:top w:val="single" w:sz="18" w:space="6" w:color="auto"/>
          <w:bottom w:val="single" w:sz="18" w:space="6" w:color="auto"/>
        </w:pBdr>
        <w:snapToGrid w:val="0"/>
        <w:spacing w:line="240" w:lineRule="exact"/>
        <w:jc w:val="center"/>
        <w:rPr>
          <w:b/>
          <w:sz w:val="22"/>
          <w:szCs w:val="22"/>
          <w:lang w:val="en-CA" w:eastAsia="ja-JP"/>
        </w:rPr>
      </w:pPr>
      <w:r w:rsidRPr="00A16024">
        <w:rPr>
          <w:b/>
          <w:sz w:val="22"/>
          <w:szCs w:val="22"/>
          <w:lang w:val="en-CA" w:eastAsia="ja-JP"/>
        </w:rPr>
        <w:t>RECOMMENDATION ON IMPLEMENT</w:t>
      </w:r>
      <w:r>
        <w:rPr>
          <w:b/>
          <w:sz w:val="22"/>
          <w:szCs w:val="22"/>
          <w:lang w:val="en-CA" w:eastAsia="ja-JP"/>
        </w:rPr>
        <w:t>ING</w:t>
      </w:r>
      <w:r w:rsidRPr="00A16024">
        <w:rPr>
          <w:b/>
          <w:sz w:val="22"/>
          <w:szCs w:val="22"/>
          <w:lang w:val="en-CA" w:eastAsia="ja-JP"/>
        </w:rPr>
        <w:t xml:space="preserve"> THE R</w:t>
      </w:r>
      <w:r>
        <w:rPr>
          <w:b/>
          <w:sz w:val="22"/>
          <w:szCs w:val="22"/>
          <w:lang w:val="en-CA" w:eastAsia="ja-JP"/>
        </w:rPr>
        <w:t xml:space="preserve">EGIONAL </w:t>
      </w:r>
      <w:r w:rsidRPr="00A16024">
        <w:rPr>
          <w:b/>
          <w:sz w:val="22"/>
          <w:szCs w:val="22"/>
          <w:lang w:val="en-CA" w:eastAsia="ja-JP"/>
        </w:rPr>
        <w:t>O</w:t>
      </w:r>
      <w:r>
        <w:rPr>
          <w:b/>
          <w:sz w:val="22"/>
          <w:szCs w:val="22"/>
          <w:lang w:val="en-CA" w:eastAsia="ja-JP"/>
        </w:rPr>
        <w:t xml:space="preserve">BSERVERS </w:t>
      </w:r>
      <w:r w:rsidRPr="00A16024">
        <w:rPr>
          <w:b/>
          <w:sz w:val="22"/>
          <w:szCs w:val="22"/>
          <w:lang w:val="en-CA" w:eastAsia="ja-JP"/>
        </w:rPr>
        <w:t>P</w:t>
      </w:r>
      <w:r>
        <w:rPr>
          <w:b/>
          <w:sz w:val="22"/>
          <w:szCs w:val="22"/>
          <w:lang w:val="en-CA" w:eastAsia="ja-JP"/>
        </w:rPr>
        <w:t>ROGRAMME</w:t>
      </w:r>
      <w:r w:rsidRPr="00A16024">
        <w:rPr>
          <w:b/>
          <w:sz w:val="22"/>
          <w:szCs w:val="22"/>
          <w:lang w:val="en-CA" w:eastAsia="ja-JP"/>
        </w:rPr>
        <w:t xml:space="preserve"> BY VESSELS FISHING FOR FRESH FISH NORTH OF 20</w:t>
      </w:r>
      <w:r>
        <w:rPr>
          <w:rFonts w:cs="Times New Roman"/>
          <w:b/>
          <w:sz w:val="22"/>
          <w:szCs w:val="22"/>
          <w:lang w:val="en-CA" w:eastAsia="ja-JP"/>
        </w:rPr>
        <w:t>°</w:t>
      </w:r>
      <w:r w:rsidRPr="00A16024">
        <w:rPr>
          <w:b/>
          <w:sz w:val="22"/>
          <w:szCs w:val="22"/>
          <w:lang w:val="en-CA" w:eastAsia="ja-JP"/>
        </w:rPr>
        <w:t>N</w:t>
      </w:r>
    </w:p>
    <w:p w:rsidR="00C212D6" w:rsidRPr="00A16024" w:rsidRDefault="00C212D6" w:rsidP="00C212D6">
      <w:pPr>
        <w:pBdr>
          <w:top w:val="single" w:sz="18" w:space="6" w:color="auto"/>
          <w:bottom w:val="single" w:sz="18" w:space="6" w:color="auto"/>
        </w:pBdr>
        <w:snapToGrid w:val="0"/>
        <w:spacing w:line="240" w:lineRule="exact"/>
        <w:jc w:val="center"/>
        <w:rPr>
          <w:sz w:val="22"/>
          <w:szCs w:val="22"/>
          <w:lang w:val="en-NZ"/>
        </w:rPr>
      </w:pPr>
      <w:r>
        <w:rPr>
          <w:b/>
          <w:sz w:val="22"/>
          <w:szCs w:val="22"/>
          <w:lang w:val="en-CA" w:eastAsia="ja-JP"/>
        </w:rPr>
        <w:t>(Attachment D, NC7 Summary Report)</w:t>
      </w:r>
      <w:r w:rsidRPr="00842737">
        <w:rPr>
          <w:sz w:val="22"/>
          <w:szCs w:val="22"/>
          <w:lang w:val="en-CA" w:eastAsia="ja-JP"/>
        </w:rPr>
        <w:fldChar w:fldCharType="begin"/>
      </w:r>
      <w:r w:rsidRPr="00842737">
        <w:instrText xml:space="preserve"> Tc "Attachment D — </w:instrText>
      </w:r>
      <w:r w:rsidRPr="00842737">
        <w:rPr>
          <w:sz w:val="22"/>
          <w:szCs w:val="22"/>
          <w:lang w:val="en-CA" w:eastAsia="ja-JP"/>
        </w:rPr>
        <w:instrText xml:space="preserve">Recommendation </w:instrText>
      </w:r>
      <w:r>
        <w:rPr>
          <w:sz w:val="22"/>
          <w:szCs w:val="22"/>
          <w:lang w:val="en-CA" w:eastAsia="ja-JP"/>
        </w:rPr>
        <w:instrText>o</w:instrText>
      </w:r>
      <w:r w:rsidRPr="00842737">
        <w:rPr>
          <w:sz w:val="22"/>
          <w:szCs w:val="22"/>
          <w:lang w:val="en-CA" w:eastAsia="ja-JP"/>
        </w:rPr>
        <w:instrText xml:space="preserve">n Implementing </w:instrText>
      </w:r>
      <w:r>
        <w:rPr>
          <w:sz w:val="22"/>
          <w:szCs w:val="22"/>
          <w:lang w:val="en-CA" w:eastAsia="ja-JP"/>
        </w:rPr>
        <w:instrText>t</w:instrText>
      </w:r>
      <w:r w:rsidRPr="00842737">
        <w:rPr>
          <w:sz w:val="22"/>
          <w:szCs w:val="22"/>
          <w:lang w:val="en-CA" w:eastAsia="ja-JP"/>
        </w:rPr>
        <w:instrText xml:space="preserve">he Regional Observers Programme </w:instrText>
      </w:r>
      <w:r>
        <w:rPr>
          <w:sz w:val="22"/>
          <w:szCs w:val="22"/>
          <w:lang w:val="en-CA" w:eastAsia="ja-JP"/>
        </w:rPr>
        <w:instrText>b</w:instrText>
      </w:r>
      <w:r w:rsidRPr="00842737">
        <w:rPr>
          <w:sz w:val="22"/>
          <w:szCs w:val="22"/>
          <w:lang w:val="en-CA" w:eastAsia="ja-JP"/>
        </w:rPr>
        <w:instrText>y Vessels</w:instrText>
      </w:r>
      <w:r w:rsidRPr="00842737">
        <w:instrText xml:space="preserve">" </w:instrText>
      </w:r>
      <w:r w:rsidRPr="00842737">
        <w:rPr>
          <w:sz w:val="22"/>
          <w:szCs w:val="22"/>
          <w:lang w:val="en-CA" w:eastAsia="ja-JP"/>
        </w:rPr>
        <w:fldChar w:fldCharType="end"/>
      </w:r>
    </w:p>
    <w:p w:rsidR="00C212D6" w:rsidRDefault="00C212D6" w:rsidP="00C212D6">
      <w:pPr>
        <w:pStyle w:val="Default"/>
        <w:snapToGrid w:val="0"/>
        <w:spacing w:line="240" w:lineRule="exact"/>
        <w:jc w:val="right"/>
        <w:rPr>
          <w:b/>
          <w:sz w:val="22"/>
          <w:szCs w:val="22"/>
        </w:rPr>
      </w:pPr>
      <w:r w:rsidRPr="00647648">
        <w:rPr>
          <w:rFonts w:eastAsia="MS Mincho"/>
          <w:b/>
          <w:lang w:val="en-NZ"/>
        </w:rPr>
        <w:t>WCPFC-NC8-2012</w:t>
      </w:r>
      <w:r>
        <w:rPr>
          <w:rFonts w:eastAsia="MS Mincho"/>
          <w:b/>
          <w:lang w:val="en-NZ"/>
        </w:rPr>
        <w:t>/IP-02</w:t>
      </w:r>
    </w:p>
    <w:p w:rsidR="00C212D6" w:rsidRDefault="00C212D6" w:rsidP="00C212D6">
      <w:pPr>
        <w:snapToGrid w:val="0"/>
        <w:spacing w:line="240" w:lineRule="exact"/>
        <w:jc w:val="center"/>
        <w:rPr>
          <w:rFonts w:cs="Times New Roman"/>
          <w:lang w:val="en-NZ"/>
        </w:rPr>
      </w:pPr>
    </w:p>
    <w:p w:rsidR="00C212D6" w:rsidRPr="00A16024" w:rsidRDefault="00C212D6" w:rsidP="00C212D6">
      <w:pPr>
        <w:pStyle w:val="Default"/>
        <w:snapToGrid w:val="0"/>
        <w:spacing w:line="240" w:lineRule="exact"/>
        <w:rPr>
          <w:i/>
          <w:iCs/>
          <w:sz w:val="22"/>
          <w:szCs w:val="22"/>
        </w:rPr>
      </w:pPr>
    </w:p>
    <w:p w:rsidR="00C212D6" w:rsidRPr="00A16024" w:rsidRDefault="00C212D6" w:rsidP="00C212D6">
      <w:pPr>
        <w:pStyle w:val="Default"/>
        <w:snapToGrid w:val="0"/>
        <w:spacing w:line="240" w:lineRule="exact"/>
        <w:rPr>
          <w:sz w:val="22"/>
          <w:szCs w:val="22"/>
        </w:rPr>
      </w:pPr>
      <w:r w:rsidRPr="00A16024">
        <w:rPr>
          <w:i/>
          <w:sz w:val="22"/>
          <w:szCs w:val="22"/>
        </w:rPr>
        <w:t xml:space="preserve">The Commission for the Conservation and Management of Highly Migratory Fish Stocks in the Western and Central Pacific Ocean; </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r w:rsidRPr="00A16024">
        <w:rPr>
          <w:i/>
          <w:sz w:val="22"/>
          <w:szCs w:val="22"/>
        </w:rPr>
        <w:t xml:space="preserve">Recalling </w:t>
      </w:r>
      <w:r w:rsidRPr="00A16024">
        <w:rPr>
          <w:sz w:val="22"/>
          <w:szCs w:val="22"/>
        </w:rPr>
        <w:t xml:space="preserve">Article 28(1) of the Convention on the Conservation and Management of Highly Migratory Fish Stocks in the Western and Central Pacific Ocean (WCPF Convention), which requires the Commission to develop a Regional Observer Programme to, among other things, collect verified catch data, and to monitor the implementation of the conservation and management measures adopted by the Commission; </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r w:rsidRPr="00A16024">
        <w:rPr>
          <w:i/>
          <w:sz w:val="22"/>
          <w:szCs w:val="22"/>
        </w:rPr>
        <w:t xml:space="preserve">Further recalling </w:t>
      </w:r>
      <w:r w:rsidRPr="00A16024">
        <w:rPr>
          <w:sz w:val="22"/>
          <w:szCs w:val="22"/>
        </w:rPr>
        <w:t xml:space="preserve">Article 28(7) of the WCPF Convention, which requires the Commission to develop procedures and guidelines for the operation of the Regional Observer Programme (ROP); </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r w:rsidRPr="00A16024">
        <w:rPr>
          <w:i/>
          <w:sz w:val="22"/>
          <w:szCs w:val="22"/>
        </w:rPr>
        <w:t xml:space="preserve">Cognizant </w:t>
      </w:r>
      <w:r w:rsidRPr="00A16024">
        <w:rPr>
          <w:sz w:val="22"/>
          <w:szCs w:val="22"/>
        </w:rPr>
        <w:t xml:space="preserve">of Conservation and Management Measure (CMM) 2007-01 , which established the procedures to develop the ROP, in particular paragraph 9 of Annex C of CMM2007-01, which gives considerations on special circumstances for fishing vessels used exclusively to fish for fresh fish in the area north of 20 degrees north; </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proofErr w:type="gramStart"/>
      <w:r w:rsidRPr="00A16024">
        <w:rPr>
          <w:i/>
          <w:sz w:val="22"/>
          <w:szCs w:val="22"/>
        </w:rPr>
        <w:t>Adopts</w:t>
      </w:r>
      <w:r w:rsidRPr="00A16024">
        <w:rPr>
          <w:sz w:val="22"/>
          <w:szCs w:val="22"/>
        </w:rPr>
        <w:t>, in accordance with Article 10 of the WCPFC Convention, the following Conservation and Management Measure for the Establishment of the Implementation of the ROP by vessels fishing for fresh fish in the area north of 20 degrees north.</w:t>
      </w:r>
      <w:proofErr w:type="gramEnd"/>
      <w:r w:rsidRPr="00A16024">
        <w:rPr>
          <w:sz w:val="22"/>
          <w:szCs w:val="22"/>
        </w:rPr>
        <w:t xml:space="preserve"> </w:t>
      </w:r>
    </w:p>
    <w:p w:rsidR="00C212D6" w:rsidRPr="00A16024" w:rsidRDefault="00C212D6" w:rsidP="00C212D6">
      <w:pPr>
        <w:pStyle w:val="Default"/>
        <w:snapToGrid w:val="0"/>
        <w:spacing w:line="240" w:lineRule="exact"/>
        <w:rPr>
          <w:b/>
          <w:bCs/>
          <w:sz w:val="22"/>
          <w:szCs w:val="22"/>
        </w:rPr>
      </w:pPr>
    </w:p>
    <w:p w:rsidR="00C212D6" w:rsidRPr="00A16024" w:rsidRDefault="00C212D6" w:rsidP="00C212D6">
      <w:pPr>
        <w:pStyle w:val="Default"/>
        <w:snapToGrid w:val="0"/>
        <w:spacing w:line="240" w:lineRule="exact"/>
        <w:rPr>
          <w:sz w:val="22"/>
          <w:szCs w:val="22"/>
        </w:rPr>
      </w:pPr>
      <w:r w:rsidRPr="00A16024">
        <w:rPr>
          <w:b/>
          <w:sz w:val="22"/>
          <w:szCs w:val="22"/>
        </w:rPr>
        <w:t xml:space="preserve">The ROP for fishing vessels used exclusively to fish for fresh fish in the area north of 20 degrees north shall be implemented in the following manner: </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r w:rsidRPr="00A16024">
        <w:rPr>
          <w:sz w:val="22"/>
          <w:szCs w:val="22"/>
        </w:rPr>
        <w:t xml:space="preserve">1. No later than 31 December 2014, CCMs shall commence implementation of observer programmes for fishing vessels used to fish for fresh fish beyond the national jurisdictions in the area north of 20 degrees north. </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r w:rsidRPr="00A16024">
        <w:rPr>
          <w:sz w:val="22"/>
          <w:szCs w:val="22"/>
        </w:rPr>
        <w:t xml:space="preserve">2. For such fishing vessels, CCMs shall achieve 5% coverage of the effort </w:t>
      </w:r>
      <w:proofErr w:type="gramStart"/>
      <w:r w:rsidRPr="00A16024">
        <w:rPr>
          <w:sz w:val="22"/>
          <w:szCs w:val="22"/>
        </w:rPr>
        <w:t>of each fishery fishing</w:t>
      </w:r>
      <w:proofErr w:type="gramEnd"/>
      <w:r w:rsidRPr="00A16024">
        <w:rPr>
          <w:sz w:val="22"/>
          <w:szCs w:val="22"/>
        </w:rPr>
        <w:t xml:space="preserve"> for fresh fish by the end of December 2014.</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r w:rsidRPr="00A16024">
        <w:rPr>
          <w:sz w:val="22"/>
          <w:szCs w:val="22"/>
        </w:rPr>
        <w:t xml:space="preserve">3. Observers shall be sourced from the WCPFC Regional Observer Programme, including authorized national programs of flag states. </w:t>
      </w:r>
    </w:p>
    <w:p w:rsidR="00C212D6" w:rsidRPr="00A16024" w:rsidRDefault="00C212D6" w:rsidP="00C212D6">
      <w:pPr>
        <w:pStyle w:val="Default"/>
        <w:snapToGrid w:val="0"/>
        <w:spacing w:line="240" w:lineRule="exact"/>
        <w:rPr>
          <w:sz w:val="22"/>
          <w:szCs w:val="22"/>
        </w:rPr>
      </w:pPr>
    </w:p>
    <w:p w:rsidR="00C212D6" w:rsidRPr="00A16024" w:rsidRDefault="00C212D6" w:rsidP="00C212D6">
      <w:pPr>
        <w:pStyle w:val="Default"/>
        <w:snapToGrid w:val="0"/>
        <w:spacing w:line="240" w:lineRule="exact"/>
        <w:rPr>
          <w:sz w:val="22"/>
          <w:szCs w:val="22"/>
        </w:rPr>
      </w:pPr>
      <w:r w:rsidRPr="00A16024">
        <w:rPr>
          <w:sz w:val="22"/>
          <w:szCs w:val="22"/>
        </w:rPr>
        <w:t xml:space="preserve">4. Unless expressly set forth in this CMM, procedures in CMM 2007-01 will be applied </w:t>
      </w:r>
      <w:proofErr w:type="spellStart"/>
      <w:r w:rsidRPr="00A16024">
        <w:rPr>
          <w:i/>
          <w:sz w:val="22"/>
          <w:szCs w:val="22"/>
        </w:rPr>
        <w:t>mutatus</w:t>
      </w:r>
      <w:proofErr w:type="spellEnd"/>
      <w:r w:rsidRPr="00A16024">
        <w:rPr>
          <w:i/>
          <w:sz w:val="22"/>
          <w:szCs w:val="22"/>
        </w:rPr>
        <w:t xml:space="preserve"> mutandis </w:t>
      </w:r>
      <w:r w:rsidRPr="00A16024">
        <w:rPr>
          <w:sz w:val="22"/>
          <w:szCs w:val="22"/>
        </w:rPr>
        <w:t xml:space="preserve">to the implementation of this CMM. </w:t>
      </w:r>
    </w:p>
    <w:p w:rsidR="006F11F7" w:rsidRDefault="006F11F7" w:rsidP="00C212D6">
      <w:pPr>
        <w:snapToGrid w:val="0"/>
        <w:spacing w:line="240" w:lineRule="exact"/>
      </w:pPr>
    </w:p>
    <w:sectPr w:rsidR="006F11F7" w:rsidSect="00C212D6">
      <w:pgSz w:w="12240" w:h="15840" w:code="1"/>
      <w:pgMar w:top="1152" w:right="1440" w:bottom="1152" w:left="1440" w:header="144" w:footer="144"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0"/>
  <w:displayVerticalDrawingGridEvery w:val="2"/>
  <w:characterSpacingControl w:val="doNotCompress"/>
  <w:compat>
    <w:applyBreakingRules/>
    <w:useFELayout/>
  </w:compat>
  <w:rsids>
    <w:rsidRoot w:val="00C212D6"/>
    <w:rsid w:val="00065F70"/>
    <w:rsid w:val="003566FE"/>
    <w:rsid w:val="006D192B"/>
    <w:rsid w:val="006E3AA9"/>
    <w:rsid w:val="006F11F7"/>
    <w:rsid w:val="00875FDB"/>
    <w:rsid w:val="00B84C33"/>
    <w:rsid w:val="00C212D6"/>
    <w:rsid w:val="00C30AC2"/>
    <w:rsid w:val="00CE75B8"/>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D6"/>
    <w:pPr>
      <w:widowControl w:val="0"/>
      <w:suppressAutoHyphens/>
    </w:pPr>
    <w:rPr>
      <w:rFonts w:ascii="Times New Roman" w:eastAsia="MS PMincho" w:hAnsi="Times New Roman" w:cs="Tahoma"/>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C212D6"/>
    <w:pPr>
      <w:suppressAutoHyphens w:val="0"/>
      <w:autoSpaceDE w:val="0"/>
      <w:autoSpaceDN w:val="0"/>
      <w:adjustRightInd w:val="0"/>
    </w:pPr>
    <w:rPr>
      <w:rFonts w:eastAsia="PMingLiU" w:cs="Times New Roman"/>
      <w:color w:val="000000"/>
      <w:kern w:val="0"/>
      <w:lang w:eastAsia="ja-JP"/>
    </w:rPr>
  </w:style>
  <w:style w:type="paragraph" w:styleId="BodyText">
    <w:name w:val="Body Text"/>
    <w:basedOn w:val="Normal"/>
    <w:link w:val="BodyTextChar"/>
    <w:rsid w:val="00C212D6"/>
    <w:pPr>
      <w:widowControl/>
      <w:suppressAutoHyphens w:val="0"/>
      <w:ind w:left="1440" w:hanging="1440"/>
      <w:jc w:val="center"/>
    </w:pPr>
    <w:rPr>
      <w:rFonts w:eastAsia="Batang" w:cs="Times New Roman"/>
      <w:kern w:val="0"/>
      <w:lang w:val="en-GB" w:eastAsia="en-US" w:bidi="ar-SA"/>
    </w:rPr>
  </w:style>
  <w:style w:type="character" w:customStyle="1" w:styleId="BodyTextChar">
    <w:name w:val="Body Text Char"/>
    <w:basedOn w:val="DefaultParagraphFont"/>
    <w:link w:val="BodyText"/>
    <w:rsid w:val="00C212D6"/>
    <w:rPr>
      <w:rFonts w:ascii="Times New Roman" w:eastAsia="Batang" w:hAnsi="Times New Roman" w:cs="Times New Roman"/>
      <w:sz w:val="24"/>
      <w:szCs w:val="24"/>
      <w:lang w:val="en-GB" w:eastAsia="en-US"/>
    </w:rPr>
  </w:style>
  <w:style w:type="paragraph" w:styleId="BalloonText">
    <w:name w:val="Balloon Text"/>
    <w:basedOn w:val="Normal"/>
    <w:link w:val="BalloonTextChar"/>
    <w:uiPriority w:val="99"/>
    <w:semiHidden/>
    <w:unhideWhenUsed/>
    <w:rsid w:val="00C212D6"/>
    <w:rPr>
      <w:rFonts w:ascii="Tahoma" w:hAnsi="Tahoma" w:cs="Mangal"/>
      <w:sz w:val="16"/>
      <w:szCs w:val="14"/>
    </w:rPr>
  </w:style>
  <w:style w:type="character" w:customStyle="1" w:styleId="BalloonTextChar">
    <w:name w:val="Balloon Text Char"/>
    <w:basedOn w:val="DefaultParagraphFont"/>
    <w:link w:val="BalloonText"/>
    <w:uiPriority w:val="99"/>
    <w:semiHidden/>
    <w:rsid w:val="00C212D6"/>
    <w:rPr>
      <w:rFonts w:ascii="Tahoma" w:eastAsia="MS PMincho"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1</cp:revision>
  <dcterms:created xsi:type="dcterms:W3CDTF">2012-08-28T05:06:00Z</dcterms:created>
  <dcterms:modified xsi:type="dcterms:W3CDTF">2012-08-28T05:11:00Z</dcterms:modified>
</cp:coreProperties>
</file>