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E9D0A" w14:textId="77777777" w:rsidR="000C50B4" w:rsidRPr="009D6FED" w:rsidRDefault="000C50B4" w:rsidP="000C50B4">
      <w:pPr>
        <w:adjustRightInd w:val="0"/>
        <w:snapToGrid w:val="0"/>
        <w:jc w:val="center"/>
        <w:rPr>
          <w:sz w:val="22"/>
          <w:szCs w:val="22"/>
          <w:lang w:val="en-GB"/>
        </w:rPr>
      </w:pPr>
      <w:r w:rsidRPr="009D6FED">
        <w:rPr>
          <w:noProof/>
          <w:sz w:val="22"/>
          <w:szCs w:val="22"/>
          <w:lang w:val="en-AU" w:eastAsia="en-AU"/>
        </w:rPr>
        <w:drawing>
          <wp:inline distT="0" distB="0" distL="0" distR="0" wp14:anchorId="4A01D50C" wp14:editId="43570434">
            <wp:extent cx="2110740" cy="1112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740" cy="1112520"/>
                    </a:xfrm>
                    <a:prstGeom prst="rect">
                      <a:avLst/>
                    </a:prstGeom>
                    <a:noFill/>
                    <a:ln>
                      <a:noFill/>
                    </a:ln>
                  </pic:spPr>
                </pic:pic>
              </a:graphicData>
            </a:graphic>
          </wp:inline>
        </w:drawing>
      </w:r>
    </w:p>
    <w:p w14:paraId="65EB7BCC" w14:textId="77777777" w:rsidR="00485A00" w:rsidRPr="009D6FED" w:rsidRDefault="00485A00" w:rsidP="000C50B4">
      <w:pPr>
        <w:adjustRightInd w:val="0"/>
        <w:snapToGrid w:val="0"/>
        <w:jc w:val="center"/>
        <w:rPr>
          <w:b/>
          <w:sz w:val="22"/>
          <w:szCs w:val="22"/>
          <w:lang w:val="en-GB"/>
        </w:rPr>
      </w:pPr>
    </w:p>
    <w:p w14:paraId="15F921EB" w14:textId="77777777" w:rsidR="000C50B4" w:rsidRPr="009D6FED" w:rsidRDefault="000C50B4" w:rsidP="000C50B4">
      <w:pPr>
        <w:adjustRightInd w:val="0"/>
        <w:snapToGrid w:val="0"/>
        <w:jc w:val="center"/>
        <w:rPr>
          <w:b/>
          <w:sz w:val="22"/>
          <w:szCs w:val="22"/>
          <w:lang w:val="en-GB"/>
        </w:rPr>
      </w:pPr>
      <w:r w:rsidRPr="009D6FED">
        <w:rPr>
          <w:b/>
          <w:sz w:val="22"/>
          <w:szCs w:val="22"/>
          <w:lang w:val="en-GB"/>
        </w:rPr>
        <w:t>SCIENTIFIC COMMITTEE</w:t>
      </w:r>
    </w:p>
    <w:p w14:paraId="119701ED" w14:textId="3C1E3B9D" w:rsidR="000C50B4" w:rsidRPr="009D6FED" w:rsidRDefault="001A4859" w:rsidP="000C50B4">
      <w:pPr>
        <w:adjustRightInd w:val="0"/>
        <w:snapToGrid w:val="0"/>
        <w:jc w:val="center"/>
        <w:rPr>
          <w:b/>
          <w:sz w:val="22"/>
          <w:szCs w:val="22"/>
          <w:lang w:val="en-GB"/>
        </w:rPr>
      </w:pPr>
      <w:r w:rsidRPr="009D6FED">
        <w:rPr>
          <w:b/>
          <w:sz w:val="22"/>
          <w:szCs w:val="22"/>
          <w:lang w:val="en-GB"/>
        </w:rPr>
        <w:t>F</w:t>
      </w:r>
      <w:r w:rsidR="0067557F" w:rsidRPr="009D6FED">
        <w:rPr>
          <w:b/>
          <w:sz w:val="22"/>
          <w:szCs w:val="22"/>
          <w:lang w:val="en-GB"/>
        </w:rPr>
        <w:t>IF</w:t>
      </w:r>
      <w:r w:rsidRPr="009D6FED">
        <w:rPr>
          <w:b/>
          <w:sz w:val="22"/>
          <w:szCs w:val="22"/>
          <w:lang w:val="en-GB"/>
        </w:rPr>
        <w:t xml:space="preserve">TEENTH </w:t>
      </w:r>
      <w:r w:rsidR="000C50B4" w:rsidRPr="009D6FED">
        <w:rPr>
          <w:b/>
          <w:sz w:val="22"/>
          <w:szCs w:val="22"/>
          <w:lang w:val="en-GB"/>
        </w:rPr>
        <w:t>REGULAR SESSION</w:t>
      </w:r>
    </w:p>
    <w:p w14:paraId="6931947F" w14:textId="35D2789A" w:rsidR="00485A00" w:rsidRPr="009D6FED" w:rsidRDefault="00485A00" w:rsidP="000C50B4">
      <w:pPr>
        <w:adjustRightInd w:val="0"/>
        <w:snapToGrid w:val="0"/>
        <w:jc w:val="center"/>
        <w:rPr>
          <w:sz w:val="22"/>
          <w:szCs w:val="22"/>
          <w:lang w:val="en-GB"/>
        </w:rPr>
      </w:pPr>
    </w:p>
    <w:p w14:paraId="66697BE4" w14:textId="77C2D2C2" w:rsidR="001A4859" w:rsidRPr="009D6FED" w:rsidRDefault="001A4859" w:rsidP="000C50B4">
      <w:pPr>
        <w:adjustRightInd w:val="0"/>
        <w:snapToGrid w:val="0"/>
        <w:jc w:val="center"/>
        <w:rPr>
          <w:sz w:val="22"/>
          <w:szCs w:val="22"/>
          <w:lang w:val="en-GB"/>
        </w:rPr>
      </w:pPr>
    </w:p>
    <w:p w14:paraId="081C6320" w14:textId="77777777" w:rsidR="001A4859" w:rsidRPr="009D6FED" w:rsidRDefault="001A4859" w:rsidP="000C50B4">
      <w:pPr>
        <w:adjustRightInd w:val="0"/>
        <w:snapToGrid w:val="0"/>
        <w:jc w:val="center"/>
        <w:rPr>
          <w:sz w:val="22"/>
          <w:szCs w:val="22"/>
          <w:lang w:val="en-GB"/>
        </w:rPr>
      </w:pPr>
    </w:p>
    <w:p w14:paraId="681DC9AE" w14:textId="77777777" w:rsidR="001A4859" w:rsidRPr="009D6FED" w:rsidRDefault="001A4859" w:rsidP="000C50B4">
      <w:pPr>
        <w:adjustRightInd w:val="0"/>
        <w:snapToGrid w:val="0"/>
        <w:jc w:val="center"/>
        <w:rPr>
          <w:sz w:val="22"/>
          <w:szCs w:val="22"/>
          <w:lang w:val="en-GB"/>
        </w:rPr>
      </w:pPr>
    </w:p>
    <w:p w14:paraId="2E1ABD34" w14:textId="6EE1C622" w:rsidR="000C50B4" w:rsidRPr="009D6FED" w:rsidRDefault="00FC72DA" w:rsidP="000C50B4">
      <w:pPr>
        <w:adjustRightInd w:val="0"/>
        <w:snapToGrid w:val="0"/>
        <w:jc w:val="center"/>
        <w:rPr>
          <w:sz w:val="22"/>
          <w:szCs w:val="22"/>
          <w:lang w:val="en-GB"/>
        </w:rPr>
      </w:pPr>
      <w:r w:rsidRPr="009D6FED">
        <w:rPr>
          <w:sz w:val="22"/>
          <w:szCs w:val="22"/>
          <w:lang w:val="en-GB"/>
        </w:rPr>
        <w:t>Pohnpei, Federated States of Micronesia</w:t>
      </w:r>
    </w:p>
    <w:p w14:paraId="52CDA226" w14:textId="77777777" w:rsidR="001A4859" w:rsidRPr="009D6FED" w:rsidRDefault="001A4859" w:rsidP="000C50B4">
      <w:pPr>
        <w:adjustRightInd w:val="0"/>
        <w:snapToGrid w:val="0"/>
        <w:jc w:val="center"/>
        <w:rPr>
          <w:sz w:val="22"/>
          <w:szCs w:val="22"/>
          <w:lang w:val="en-GB"/>
        </w:rPr>
      </w:pPr>
    </w:p>
    <w:p w14:paraId="52D95166" w14:textId="2A8B2E06" w:rsidR="000C50B4" w:rsidRPr="009D6FED" w:rsidRDefault="00C900EE" w:rsidP="000C50B4">
      <w:pPr>
        <w:adjustRightInd w:val="0"/>
        <w:snapToGrid w:val="0"/>
        <w:jc w:val="center"/>
        <w:rPr>
          <w:sz w:val="22"/>
          <w:szCs w:val="22"/>
          <w:lang w:val="en-GB"/>
        </w:rPr>
      </w:pPr>
      <w:r w:rsidRPr="009D6FED">
        <w:rPr>
          <w:sz w:val="22"/>
          <w:szCs w:val="22"/>
          <w:lang w:val="en-GB"/>
        </w:rPr>
        <w:t>12</w:t>
      </w:r>
      <w:r w:rsidR="00AE4E42" w:rsidRPr="009D6FED">
        <w:rPr>
          <w:sz w:val="22"/>
          <w:szCs w:val="22"/>
          <w:lang w:val="en-GB"/>
        </w:rPr>
        <w:t>-</w:t>
      </w:r>
      <w:r w:rsidRPr="009D6FED">
        <w:rPr>
          <w:sz w:val="22"/>
          <w:szCs w:val="22"/>
          <w:lang w:val="en-GB"/>
        </w:rPr>
        <w:t>20</w:t>
      </w:r>
      <w:r w:rsidR="00485A00" w:rsidRPr="009D6FED">
        <w:rPr>
          <w:sz w:val="22"/>
          <w:szCs w:val="22"/>
          <w:lang w:val="en-GB"/>
        </w:rPr>
        <w:t xml:space="preserve"> August 201</w:t>
      </w:r>
      <w:r w:rsidR="00FC72DA" w:rsidRPr="009D6FED">
        <w:rPr>
          <w:sz w:val="22"/>
          <w:szCs w:val="22"/>
          <w:lang w:val="en-GB"/>
        </w:rPr>
        <w:t>9</w:t>
      </w:r>
    </w:p>
    <w:p w14:paraId="7614AA44" w14:textId="77777777" w:rsidR="000C50B4" w:rsidRPr="009D6FED" w:rsidRDefault="000C50B4" w:rsidP="000C50B4">
      <w:pPr>
        <w:adjustRightInd w:val="0"/>
        <w:snapToGrid w:val="0"/>
        <w:jc w:val="center"/>
        <w:rPr>
          <w:sz w:val="22"/>
          <w:szCs w:val="22"/>
          <w:lang w:val="en-GB"/>
        </w:rPr>
      </w:pPr>
    </w:p>
    <w:p w14:paraId="63AAC0B5" w14:textId="77777777" w:rsidR="00937BD2" w:rsidRPr="009D6FED" w:rsidRDefault="00937BD2" w:rsidP="000C50B4">
      <w:pPr>
        <w:adjustRightInd w:val="0"/>
        <w:snapToGrid w:val="0"/>
        <w:jc w:val="center"/>
        <w:rPr>
          <w:sz w:val="22"/>
          <w:szCs w:val="22"/>
          <w:lang w:val="en-GB"/>
        </w:rPr>
      </w:pPr>
    </w:p>
    <w:p w14:paraId="11D4E858" w14:textId="77777777" w:rsidR="000C50B4" w:rsidRPr="009D6FED" w:rsidRDefault="000C50B4" w:rsidP="000C50B4">
      <w:pPr>
        <w:adjustRightInd w:val="0"/>
        <w:snapToGrid w:val="0"/>
        <w:jc w:val="center"/>
        <w:rPr>
          <w:sz w:val="22"/>
          <w:szCs w:val="22"/>
          <w:lang w:val="en-GB"/>
        </w:rPr>
      </w:pPr>
    </w:p>
    <w:p w14:paraId="2FE23257" w14:textId="4C084F5F" w:rsidR="000C50B4" w:rsidRPr="009D6FED" w:rsidRDefault="00916090" w:rsidP="000C50B4">
      <w:pPr>
        <w:pBdr>
          <w:top w:val="single" w:sz="18" w:space="1" w:color="auto"/>
          <w:bottom w:val="single" w:sz="18" w:space="1" w:color="auto"/>
        </w:pBdr>
        <w:autoSpaceDE w:val="0"/>
        <w:autoSpaceDN w:val="0"/>
        <w:adjustRightInd w:val="0"/>
        <w:snapToGrid w:val="0"/>
        <w:jc w:val="center"/>
        <w:rPr>
          <w:b/>
          <w:bCs/>
          <w:lang w:val="en-GB"/>
        </w:rPr>
      </w:pPr>
      <w:r w:rsidRPr="009D6FED">
        <w:rPr>
          <w:b/>
          <w:bCs/>
          <w:lang w:val="en-GB"/>
        </w:rPr>
        <w:t xml:space="preserve">Report of the </w:t>
      </w:r>
      <w:r w:rsidR="00485A00" w:rsidRPr="009D6FED">
        <w:rPr>
          <w:b/>
          <w:bCs/>
          <w:lang w:val="en-GB"/>
        </w:rPr>
        <w:t>Tuna Tissue Bank</w:t>
      </w:r>
      <w:r w:rsidR="000C50B4" w:rsidRPr="009D6FED">
        <w:rPr>
          <w:b/>
          <w:bCs/>
          <w:lang w:val="en-GB"/>
        </w:rPr>
        <w:t xml:space="preserve"> </w:t>
      </w:r>
      <w:r w:rsidRPr="009D6FED">
        <w:rPr>
          <w:b/>
          <w:bCs/>
          <w:lang w:val="en-GB"/>
        </w:rPr>
        <w:t>Steering Committee</w:t>
      </w:r>
    </w:p>
    <w:p w14:paraId="13B1FA31" w14:textId="77777777" w:rsidR="00485A00" w:rsidRPr="009D6FED" w:rsidRDefault="00485A00" w:rsidP="000C50B4">
      <w:pPr>
        <w:autoSpaceDE w:val="0"/>
        <w:autoSpaceDN w:val="0"/>
        <w:adjustRightInd w:val="0"/>
        <w:snapToGrid w:val="0"/>
        <w:jc w:val="right"/>
        <w:rPr>
          <w:b/>
          <w:bCs/>
          <w:sz w:val="22"/>
          <w:szCs w:val="22"/>
          <w:lang w:val="en-GB"/>
        </w:rPr>
      </w:pPr>
    </w:p>
    <w:p w14:paraId="2DD7E153" w14:textId="01A0A74A" w:rsidR="000C50B4" w:rsidRPr="009D6FED" w:rsidRDefault="00485A00" w:rsidP="000C50B4">
      <w:pPr>
        <w:autoSpaceDE w:val="0"/>
        <w:autoSpaceDN w:val="0"/>
        <w:adjustRightInd w:val="0"/>
        <w:snapToGrid w:val="0"/>
        <w:jc w:val="right"/>
        <w:rPr>
          <w:rFonts w:eastAsia="Batang"/>
          <w:b/>
          <w:bCs/>
          <w:sz w:val="22"/>
          <w:szCs w:val="22"/>
          <w:lang w:val="en-GB" w:eastAsia="ko-KR"/>
        </w:rPr>
      </w:pPr>
      <w:r w:rsidRPr="00B956B1">
        <w:rPr>
          <w:b/>
          <w:bCs/>
          <w:sz w:val="22"/>
          <w:szCs w:val="22"/>
          <w:lang w:val="en-GB"/>
        </w:rPr>
        <w:t>WCPFC-SC1</w:t>
      </w:r>
      <w:r w:rsidR="00FC72DA" w:rsidRPr="00B956B1">
        <w:rPr>
          <w:b/>
          <w:bCs/>
          <w:sz w:val="22"/>
          <w:szCs w:val="22"/>
          <w:lang w:val="en-GB"/>
        </w:rPr>
        <w:t>5</w:t>
      </w:r>
      <w:r w:rsidRPr="00B956B1">
        <w:rPr>
          <w:b/>
          <w:bCs/>
          <w:sz w:val="22"/>
          <w:szCs w:val="22"/>
          <w:lang w:val="en-GB"/>
        </w:rPr>
        <w:t>-201</w:t>
      </w:r>
      <w:r w:rsidR="00FC72DA" w:rsidRPr="00B956B1">
        <w:rPr>
          <w:b/>
          <w:bCs/>
          <w:sz w:val="22"/>
          <w:szCs w:val="22"/>
          <w:lang w:val="en-GB"/>
        </w:rPr>
        <w:t>9</w:t>
      </w:r>
      <w:r w:rsidRPr="00B956B1">
        <w:rPr>
          <w:b/>
          <w:bCs/>
          <w:sz w:val="22"/>
          <w:szCs w:val="22"/>
          <w:lang w:val="en-GB"/>
        </w:rPr>
        <w:t>/</w:t>
      </w:r>
      <w:r w:rsidR="0017228F" w:rsidRPr="00B956B1">
        <w:rPr>
          <w:b/>
          <w:bCs/>
          <w:sz w:val="22"/>
          <w:szCs w:val="22"/>
          <w:lang w:val="en-GB"/>
        </w:rPr>
        <w:t>RP-P35</w:t>
      </w:r>
      <w:r w:rsidR="001A4859" w:rsidRPr="00B956B1">
        <w:rPr>
          <w:b/>
          <w:bCs/>
          <w:sz w:val="22"/>
          <w:szCs w:val="22"/>
          <w:lang w:val="en-GB"/>
        </w:rPr>
        <w:t>b</w:t>
      </w:r>
      <w:r w:rsidR="0017228F" w:rsidRPr="00B956B1">
        <w:rPr>
          <w:b/>
          <w:bCs/>
          <w:sz w:val="22"/>
          <w:szCs w:val="22"/>
          <w:lang w:val="en-GB"/>
        </w:rPr>
        <w:t>-</w:t>
      </w:r>
      <w:r w:rsidR="00B956B1" w:rsidRPr="00B956B1">
        <w:rPr>
          <w:b/>
          <w:bCs/>
          <w:sz w:val="22"/>
          <w:szCs w:val="22"/>
          <w:lang w:val="en-GB"/>
        </w:rPr>
        <w:t>02</w:t>
      </w:r>
    </w:p>
    <w:p w14:paraId="4DEBF77B" w14:textId="77777777" w:rsidR="000C50B4" w:rsidRPr="009D6FED" w:rsidRDefault="000C50B4" w:rsidP="000C50B4">
      <w:pPr>
        <w:adjustRightInd w:val="0"/>
        <w:snapToGrid w:val="0"/>
        <w:rPr>
          <w:b/>
          <w:bCs/>
          <w:sz w:val="22"/>
          <w:szCs w:val="22"/>
          <w:lang w:val="en-GB"/>
        </w:rPr>
      </w:pPr>
      <w:bookmarkStart w:id="0" w:name="_GoBack"/>
      <w:bookmarkEnd w:id="0"/>
    </w:p>
    <w:p w14:paraId="70820AB7" w14:textId="77777777" w:rsidR="000C50B4" w:rsidRPr="009D6FED" w:rsidRDefault="000C50B4" w:rsidP="000C50B4">
      <w:pPr>
        <w:adjustRightInd w:val="0"/>
        <w:snapToGrid w:val="0"/>
        <w:rPr>
          <w:b/>
          <w:bCs/>
          <w:sz w:val="22"/>
          <w:szCs w:val="22"/>
          <w:lang w:val="en-GB"/>
        </w:rPr>
      </w:pPr>
    </w:p>
    <w:p w14:paraId="47E1F0F0" w14:textId="77777777" w:rsidR="000C50B4" w:rsidRPr="009D6FED" w:rsidRDefault="000C50B4" w:rsidP="000C50B4">
      <w:pPr>
        <w:adjustRightInd w:val="0"/>
        <w:snapToGrid w:val="0"/>
        <w:rPr>
          <w:b/>
          <w:bCs/>
          <w:sz w:val="22"/>
          <w:szCs w:val="22"/>
          <w:lang w:val="en-GB"/>
        </w:rPr>
      </w:pPr>
    </w:p>
    <w:p w14:paraId="41E4F4BD" w14:textId="77777777" w:rsidR="000C50B4" w:rsidRPr="009D6FED" w:rsidRDefault="000C50B4" w:rsidP="000C50B4">
      <w:pPr>
        <w:adjustRightInd w:val="0"/>
        <w:snapToGrid w:val="0"/>
        <w:rPr>
          <w:b/>
          <w:bCs/>
          <w:sz w:val="22"/>
          <w:szCs w:val="22"/>
          <w:lang w:val="en-GB"/>
        </w:rPr>
      </w:pPr>
    </w:p>
    <w:p w14:paraId="3C765654" w14:textId="77777777" w:rsidR="001A4859" w:rsidRPr="009D6FED" w:rsidRDefault="001A4859" w:rsidP="007F304A">
      <w:pPr>
        <w:adjustRightInd w:val="0"/>
        <w:snapToGrid w:val="0"/>
        <w:jc w:val="center"/>
        <w:rPr>
          <w:b/>
          <w:bCs/>
          <w:sz w:val="22"/>
          <w:szCs w:val="22"/>
          <w:lang w:val="en-GB"/>
        </w:rPr>
      </w:pPr>
    </w:p>
    <w:p w14:paraId="38ECDB6A" w14:textId="77777777" w:rsidR="001A4859" w:rsidRPr="009D6FED" w:rsidRDefault="001A4859" w:rsidP="007F304A">
      <w:pPr>
        <w:adjustRightInd w:val="0"/>
        <w:snapToGrid w:val="0"/>
        <w:jc w:val="center"/>
        <w:rPr>
          <w:b/>
          <w:bCs/>
          <w:sz w:val="22"/>
          <w:szCs w:val="22"/>
          <w:lang w:val="en-GB"/>
        </w:rPr>
      </w:pPr>
    </w:p>
    <w:p w14:paraId="078DD06E" w14:textId="3FE5E9AB" w:rsidR="000C50B4" w:rsidRPr="009D6FED" w:rsidRDefault="00916090" w:rsidP="007F304A">
      <w:pPr>
        <w:adjustRightInd w:val="0"/>
        <w:snapToGrid w:val="0"/>
        <w:jc w:val="center"/>
        <w:rPr>
          <w:b/>
          <w:bCs/>
          <w:sz w:val="22"/>
          <w:szCs w:val="22"/>
          <w:lang w:val="en-GB"/>
        </w:rPr>
      </w:pPr>
      <w:r w:rsidRPr="009D6FED">
        <w:rPr>
          <w:b/>
          <w:bCs/>
          <w:sz w:val="22"/>
          <w:szCs w:val="22"/>
          <w:lang w:val="en-GB"/>
        </w:rPr>
        <w:t>TTB Steering Committee</w:t>
      </w:r>
    </w:p>
    <w:p w14:paraId="6681B04D" w14:textId="77777777" w:rsidR="000C50B4" w:rsidRPr="009D6FED" w:rsidRDefault="000C50B4" w:rsidP="00937BD2">
      <w:pPr>
        <w:adjustRightInd w:val="0"/>
        <w:snapToGrid w:val="0"/>
        <w:jc w:val="center"/>
        <w:rPr>
          <w:b/>
          <w:bCs/>
          <w:sz w:val="22"/>
          <w:szCs w:val="22"/>
          <w:lang w:val="en-GB"/>
        </w:rPr>
      </w:pPr>
    </w:p>
    <w:p w14:paraId="1855577C" w14:textId="1243142A" w:rsidR="005F2AEE" w:rsidRPr="009D6FED" w:rsidRDefault="005F2AEE" w:rsidP="009D71EF">
      <w:pPr>
        <w:autoSpaceDE w:val="0"/>
        <w:autoSpaceDN w:val="0"/>
        <w:adjustRightInd w:val="0"/>
        <w:rPr>
          <w:rFonts w:ascii="Cambria,Bold" w:hAnsi="Cambria,Bold" w:cs="Cambria,Bold"/>
          <w:b/>
          <w:bCs/>
          <w:color w:val="365F92"/>
          <w:sz w:val="28"/>
          <w:szCs w:val="28"/>
          <w:lang w:val="en-GB" w:eastAsia="en-AU"/>
        </w:rPr>
      </w:pPr>
    </w:p>
    <w:p w14:paraId="0ABF9A5B" w14:textId="77777777" w:rsidR="005F2AEE" w:rsidRPr="009D6FED" w:rsidRDefault="005F2AEE" w:rsidP="005F2AEE">
      <w:pPr>
        <w:rPr>
          <w:rFonts w:ascii="Cambria,Bold" w:hAnsi="Cambria,Bold" w:cs="Cambria,Bold"/>
          <w:sz w:val="28"/>
          <w:szCs w:val="28"/>
          <w:lang w:val="en-GB" w:eastAsia="en-AU"/>
        </w:rPr>
      </w:pPr>
    </w:p>
    <w:p w14:paraId="27C67F60" w14:textId="77777777" w:rsidR="005F2AEE" w:rsidRPr="009D6FED" w:rsidRDefault="005F2AEE" w:rsidP="005F2AEE">
      <w:pPr>
        <w:rPr>
          <w:rFonts w:ascii="Cambria,Bold" w:hAnsi="Cambria,Bold" w:cs="Cambria,Bold"/>
          <w:sz w:val="28"/>
          <w:szCs w:val="28"/>
          <w:lang w:val="en-GB" w:eastAsia="en-AU"/>
        </w:rPr>
      </w:pPr>
    </w:p>
    <w:p w14:paraId="02647144" w14:textId="77777777" w:rsidR="005F2AEE" w:rsidRPr="009D6FED" w:rsidRDefault="005F2AEE" w:rsidP="005F2AEE">
      <w:pPr>
        <w:rPr>
          <w:rFonts w:ascii="Cambria,Bold" w:hAnsi="Cambria,Bold" w:cs="Cambria,Bold"/>
          <w:sz w:val="28"/>
          <w:szCs w:val="28"/>
          <w:lang w:val="en-GB" w:eastAsia="en-AU"/>
        </w:rPr>
      </w:pPr>
    </w:p>
    <w:p w14:paraId="2F3B86C0" w14:textId="77777777" w:rsidR="005F2AEE" w:rsidRPr="009D6FED" w:rsidRDefault="005F2AEE" w:rsidP="005F2AEE">
      <w:pPr>
        <w:rPr>
          <w:rFonts w:ascii="Cambria,Bold" w:hAnsi="Cambria,Bold" w:cs="Cambria,Bold"/>
          <w:sz w:val="28"/>
          <w:szCs w:val="28"/>
          <w:lang w:val="en-GB" w:eastAsia="en-AU"/>
        </w:rPr>
      </w:pPr>
    </w:p>
    <w:p w14:paraId="326954A4" w14:textId="19AD35D7" w:rsidR="005F2AEE" w:rsidRPr="009D6FED" w:rsidRDefault="005F2AEE" w:rsidP="005F2AEE">
      <w:pPr>
        <w:rPr>
          <w:rFonts w:ascii="Cambria,Bold" w:hAnsi="Cambria,Bold" w:cs="Cambria,Bold"/>
          <w:sz w:val="28"/>
          <w:szCs w:val="28"/>
          <w:lang w:val="en-GB" w:eastAsia="en-AU"/>
        </w:rPr>
      </w:pPr>
    </w:p>
    <w:p w14:paraId="2D236746" w14:textId="77777777" w:rsidR="005F2AEE" w:rsidRPr="009D6FED" w:rsidRDefault="005F2AEE" w:rsidP="005F2AEE">
      <w:pPr>
        <w:rPr>
          <w:rFonts w:ascii="Cambria,Bold" w:hAnsi="Cambria,Bold" w:cs="Cambria,Bold"/>
          <w:sz w:val="28"/>
          <w:szCs w:val="28"/>
          <w:lang w:val="en-GB" w:eastAsia="en-AU"/>
        </w:rPr>
      </w:pPr>
    </w:p>
    <w:p w14:paraId="54C8D474" w14:textId="77777777" w:rsidR="005F2AEE" w:rsidRPr="009D6FED" w:rsidRDefault="005F2AEE" w:rsidP="005F2AEE">
      <w:pPr>
        <w:rPr>
          <w:rFonts w:ascii="Cambria,Bold" w:hAnsi="Cambria,Bold" w:cs="Cambria,Bold"/>
          <w:sz w:val="28"/>
          <w:szCs w:val="28"/>
          <w:lang w:val="en-GB" w:eastAsia="en-AU"/>
        </w:rPr>
      </w:pPr>
    </w:p>
    <w:p w14:paraId="7830032A" w14:textId="77777777" w:rsidR="005F2AEE" w:rsidRPr="009D6FED" w:rsidRDefault="005F2AEE" w:rsidP="005F2AEE">
      <w:pPr>
        <w:rPr>
          <w:rFonts w:ascii="Cambria,Bold" w:hAnsi="Cambria,Bold" w:cs="Cambria,Bold"/>
          <w:sz w:val="28"/>
          <w:szCs w:val="28"/>
          <w:lang w:val="en-GB" w:eastAsia="en-AU"/>
        </w:rPr>
      </w:pPr>
    </w:p>
    <w:p w14:paraId="5C5FACDA" w14:textId="77777777" w:rsidR="005F2AEE" w:rsidRPr="009D6FED" w:rsidRDefault="005F2AEE" w:rsidP="005F2AEE">
      <w:pPr>
        <w:rPr>
          <w:rFonts w:ascii="Cambria,Bold" w:hAnsi="Cambria,Bold" w:cs="Cambria,Bold"/>
          <w:sz w:val="28"/>
          <w:szCs w:val="28"/>
          <w:lang w:val="en-GB" w:eastAsia="en-AU"/>
        </w:rPr>
      </w:pPr>
    </w:p>
    <w:p w14:paraId="389DB162" w14:textId="77777777" w:rsidR="005F2AEE" w:rsidRPr="009D6FED" w:rsidRDefault="005F2AEE" w:rsidP="005F2AEE">
      <w:pPr>
        <w:rPr>
          <w:rFonts w:ascii="Cambria,Bold" w:hAnsi="Cambria,Bold" w:cs="Cambria,Bold"/>
          <w:sz w:val="28"/>
          <w:szCs w:val="28"/>
          <w:lang w:val="en-GB" w:eastAsia="en-AU"/>
        </w:rPr>
      </w:pPr>
    </w:p>
    <w:p w14:paraId="24F73487" w14:textId="7BFA9858" w:rsidR="005F2AEE" w:rsidRPr="009D6FED" w:rsidRDefault="005F2AEE" w:rsidP="005F2AEE">
      <w:pPr>
        <w:tabs>
          <w:tab w:val="left" w:pos="1983"/>
        </w:tabs>
        <w:rPr>
          <w:rFonts w:ascii="Cambria,Bold" w:hAnsi="Cambria,Bold" w:cs="Cambria,Bold"/>
          <w:sz w:val="28"/>
          <w:szCs w:val="28"/>
          <w:lang w:val="en-GB" w:eastAsia="en-AU"/>
        </w:rPr>
      </w:pPr>
      <w:r w:rsidRPr="009D6FED">
        <w:rPr>
          <w:rFonts w:ascii="Cambria,Bold" w:hAnsi="Cambria,Bold" w:cs="Cambria,Bold"/>
          <w:sz w:val="28"/>
          <w:szCs w:val="28"/>
          <w:lang w:val="en-GB" w:eastAsia="en-AU"/>
        </w:rPr>
        <w:tab/>
      </w:r>
    </w:p>
    <w:p w14:paraId="77F769F9" w14:textId="69A95C1B" w:rsidR="00402C82" w:rsidRPr="009D6FED" w:rsidRDefault="005F2AEE" w:rsidP="005F2AEE">
      <w:pPr>
        <w:tabs>
          <w:tab w:val="left" w:pos="1983"/>
        </w:tabs>
        <w:rPr>
          <w:rFonts w:ascii="Cambria,Bold" w:hAnsi="Cambria,Bold" w:cs="Cambria,Bold"/>
          <w:sz w:val="28"/>
          <w:szCs w:val="28"/>
          <w:lang w:val="en-GB" w:eastAsia="en-AU"/>
        </w:rPr>
        <w:sectPr w:rsidR="00402C82" w:rsidRPr="009D6FED">
          <w:pgSz w:w="11906" w:h="16838"/>
          <w:pgMar w:top="1440" w:right="1440" w:bottom="1440" w:left="1440" w:header="708" w:footer="708" w:gutter="0"/>
          <w:cols w:space="708"/>
          <w:docGrid w:linePitch="360"/>
        </w:sectPr>
      </w:pPr>
      <w:r w:rsidRPr="009D6FED">
        <w:rPr>
          <w:rFonts w:ascii="Cambria,Bold" w:hAnsi="Cambria,Bold" w:cs="Cambria,Bold"/>
          <w:sz w:val="28"/>
          <w:szCs w:val="28"/>
          <w:lang w:val="en-GB" w:eastAsia="en-AU"/>
        </w:rPr>
        <w:tab/>
      </w:r>
    </w:p>
    <w:p w14:paraId="7EF853EF" w14:textId="77777777" w:rsidR="00BB1D2B" w:rsidRPr="009D6FED" w:rsidRDefault="00BB1D2B" w:rsidP="00BB1D2B">
      <w:pPr>
        <w:pStyle w:val="Heading1"/>
      </w:pPr>
      <w:r w:rsidRPr="009D6FED">
        <w:lastRenderedPageBreak/>
        <w:t>Preliminaries</w:t>
      </w:r>
    </w:p>
    <w:p w14:paraId="31789023" w14:textId="77777777" w:rsidR="00BB1D2B" w:rsidRPr="009D6FED" w:rsidRDefault="00BB1D2B" w:rsidP="00BB1D2B">
      <w:pPr>
        <w:pStyle w:val="Heading2"/>
      </w:pPr>
      <w:r w:rsidRPr="009D6FED">
        <w:t>Background</w:t>
      </w:r>
    </w:p>
    <w:p w14:paraId="02097AF6" w14:textId="36488AD7" w:rsidR="003A46DC" w:rsidRDefault="00BB1D2B" w:rsidP="00BB1D2B">
      <w:pPr>
        <w:spacing w:after="120"/>
        <w:jc w:val="both"/>
        <w:rPr>
          <w:bCs/>
          <w:sz w:val="22"/>
          <w:szCs w:val="22"/>
          <w:lang w:val="en-GB"/>
        </w:rPr>
      </w:pPr>
      <w:r w:rsidRPr="009D6FED">
        <w:rPr>
          <w:bCs/>
          <w:sz w:val="22"/>
          <w:szCs w:val="22"/>
          <w:lang w:val="en-GB"/>
        </w:rPr>
        <w:t>The WCPFC Tuna Tissue Bank (TTB) has been established over several years (SPC-OFP, 2017) and its ongoing operation is now funded by WCPFC through Project 35b</w:t>
      </w:r>
      <w:r w:rsidR="003A46DC">
        <w:rPr>
          <w:bCs/>
          <w:sz w:val="22"/>
          <w:szCs w:val="22"/>
          <w:lang w:val="en-GB"/>
        </w:rPr>
        <w:t xml:space="preserve">. </w:t>
      </w:r>
      <w:r w:rsidR="003A46DC" w:rsidRPr="009D6FED">
        <w:rPr>
          <w:bCs/>
          <w:sz w:val="22"/>
          <w:szCs w:val="22"/>
          <w:lang w:val="en-GB"/>
        </w:rPr>
        <w:t xml:space="preserve">WCPFC established its TTB so that national and international fisheries research institutes </w:t>
      </w:r>
      <w:r w:rsidR="00F652B2">
        <w:rPr>
          <w:bCs/>
          <w:sz w:val="22"/>
          <w:szCs w:val="22"/>
          <w:lang w:val="en-GB"/>
        </w:rPr>
        <w:t>could</w:t>
      </w:r>
      <w:r w:rsidR="00F652B2" w:rsidRPr="009D6FED">
        <w:rPr>
          <w:bCs/>
          <w:sz w:val="22"/>
          <w:szCs w:val="22"/>
          <w:lang w:val="en-GB"/>
        </w:rPr>
        <w:t xml:space="preserve"> </w:t>
      </w:r>
      <w:r w:rsidR="003A46DC" w:rsidRPr="009D6FED">
        <w:rPr>
          <w:bCs/>
          <w:sz w:val="22"/>
          <w:szCs w:val="22"/>
          <w:lang w:val="en-GB"/>
        </w:rPr>
        <w:t>access the collections to undertake the necessary research to enhance understanding of the dynamics of tuna and related species in the WCPFC region (including analyses to estimate spatial and temporal explicit age, growth and reproductive parameters, and genetics for stock structure for use in stock assessments). In a broader ecosystem context, the collections are also used for trophic and system studies including diet analyses, stable isotopes, mercury and other biochemical elements for trophic structure and movements and taxonomic studies.</w:t>
      </w:r>
    </w:p>
    <w:p w14:paraId="3CBFD781" w14:textId="10755495" w:rsidR="00BB1D2B" w:rsidRPr="009D6FED" w:rsidRDefault="00BB1D2B" w:rsidP="00BB1D2B">
      <w:pPr>
        <w:spacing w:after="120"/>
        <w:jc w:val="both"/>
        <w:rPr>
          <w:bCs/>
          <w:sz w:val="22"/>
          <w:szCs w:val="22"/>
          <w:lang w:val="en-GB"/>
        </w:rPr>
      </w:pPr>
      <w:r w:rsidRPr="009D6FED">
        <w:rPr>
          <w:bCs/>
          <w:sz w:val="22"/>
          <w:szCs w:val="22"/>
          <w:lang w:val="en-GB"/>
        </w:rPr>
        <w:t xml:space="preserve">The objective of </w:t>
      </w:r>
      <w:r w:rsidR="003A46DC">
        <w:rPr>
          <w:bCs/>
          <w:sz w:val="22"/>
          <w:szCs w:val="22"/>
          <w:lang w:val="en-GB"/>
        </w:rPr>
        <w:t>Project 35b</w:t>
      </w:r>
      <w:r w:rsidRPr="009D6FED">
        <w:rPr>
          <w:bCs/>
          <w:sz w:val="22"/>
          <w:szCs w:val="22"/>
          <w:lang w:val="en-GB"/>
        </w:rPr>
        <w:t xml:space="preserve"> is to maintain the WCPFC TTB with </w:t>
      </w:r>
      <w:proofErr w:type="gramStart"/>
      <w:r w:rsidRPr="009D6FED">
        <w:rPr>
          <w:bCs/>
          <w:sz w:val="22"/>
          <w:szCs w:val="22"/>
          <w:lang w:val="en-GB"/>
        </w:rPr>
        <w:t>particular emphasis</w:t>
      </w:r>
      <w:proofErr w:type="gramEnd"/>
      <w:r w:rsidRPr="009D6FED">
        <w:rPr>
          <w:bCs/>
          <w:sz w:val="22"/>
          <w:szCs w:val="22"/>
          <w:lang w:val="en-GB"/>
        </w:rPr>
        <w:t xml:space="preserve"> on WCPO bigeye, yellowfin, albacore and skipjack tunas, and swordfish, and, to facilitate transmission of samples to specified researchers with due cognizance of the WCPFC TTB Access Protocols (Anon., 2016</w:t>
      </w:r>
      <w:r w:rsidR="003A46DC">
        <w:rPr>
          <w:bCs/>
          <w:sz w:val="22"/>
          <w:szCs w:val="22"/>
          <w:lang w:val="en-GB"/>
        </w:rPr>
        <w:t xml:space="preserve">). </w:t>
      </w:r>
      <w:r w:rsidRPr="009D6FED">
        <w:rPr>
          <w:bCs/>
          <w:sz w:val="22"/>
          <w:szCs w:val="22"/>
          <w:lang w:val="en-GB"/>
        </w:rPr>
        <w:t>SPC as the Scientific Services Provider is tasked to maintain and develop the WCPFC TTB and through the biological sampling programme expand the inventory of samples held. This project currently runs to 31 December 2019 with funding for 2020 and 2021 subject to the decisions of WCPFC 16 and WCPFC 17.</w:t>
      </w:r>
    </w:p>
    <w:p w14:paraId="681BB9D4" w14:textId="7E0A6B85" w:rsidR="00BB1D2B" w:rsidRPr="009D6FED" w:rsidRDefault="00BB3478" w:rsidP="00BB1D2B">
      <w:pPr>
        <w:autoSpaceDE w:val="0"/>
        <w:autoSpaceDN w:val="0"/>
        <w:adjustRightInd w:val="0"/>
        <w:jc w:val="both"/>
        <w:rPr>
          <w:bCs/>
          <w:sz w:val="22"/>
          <w:szCs w:val="22"/>
          <w:lang w:val="en-GB" w:eastAsia="en-AU"/>
        </w:rPr>
      </w:pPr>
      <w:r>
        <w:rPr>
          <w:bCs/>
          <w:sz w:val="22"/>
          <w:szCs w:val="22"/>
          <w:lang w:val="en-GB" w:eastAsia="en-AU"/>
        </w:rPr>
        <w:t xml:space="preserve">In 2018, it was </w:t>
      </w:r>
      <w:r w:rsidR="000C6227" w:rsidRPr="009D6FED">
        <w:rPr>
          <w:bCs/>
          <w:sz w:val="22"/>
          <w:szCs w:val="22"/>
          <w:lang w:val="en-GB" w:eastAsia="en-AU"/>
        </w:rPr>
        <w:t xml:space="preserve">agreed to run the process of WCPFC </w:t>
      </w:r>
      <w:r w:rsidR="0050119F" w:rsidRPr="009D6FED">
        <w:rPr>
          <w:bCs/>
          <w:sz w:val="22"/>
          <w:szCs w:val="22"/>
          <w:lang w:val="en-GB" w:eastAsia="en-AU"/>
        </w:rPr>
        <w:t>TTB</w:t>
      </w:r>
      <w:r w:rsidR="000C6227" w:rsidRPr="009D6FED">
        <w:rPr>
          <w:bCs/>
          <w:sz w:val="22"/>
          <w:szCs w:val="22"/>
          <w:lang w:val="en-GB" w:eastAsia="en-AU"/>
        </w:rPr>
        <w:t xml:space="preserve"> </w:t>
      </w:r>
      <w:r w:rsidR="00A33AD7">
        <w:rPr>
          <w:bCs/>
          <w:sz w:val="22"/>
          <w:szCs w:val="22"/>
          <w:lang w:val="en-GB" w:eastAsia="en-AU"/>
        </w:rPr>
        <w:t xml:space="preserve">reporting </w:t>
      </w:r>
      <w:r w:rsidR="000C6227" w:rsidRPr="009D6FED">
        <w:rPr>
          <w:bCs/>
          <w:sz w:val="22"/>
          <w:szCs w:val="22"/>
          <w:lang w:val="en-GB" w:eastAsia="en-AU"/>
        </w:rPr>
        <w:t xml:space="preserve">in a similar manner to the PTTP (Project 42) at SC15, </w:t>
      </w:r>
      <w:r w:rsidR="0050119F" w:rsidRPr="009D6FED">
        <w:rPr>
          <w:bCs/>
          <w:sz w:val="22"/>
          <w:szCs w:val="22"/>
          <w:lang w:val="en-GB" w:eastAsia="en-AU"/>
        </w:rPr>
        <w:t xml:space="preserve">with a </w:t>
      </w:r>
      <w:r w:rsidR="0050119F" w:rsidRPr="009D6FED">
        <w:rPr>
          <w:bCs/>
          <w:sz w:val="22"/>
          <w:szCs w:val="22"/>
          <w:lang w:val="en-GB"/>
        </w:rPr>
        <w:t>brief report of the TTB Steering Committee presented to the SC Plenary by its chair so as to expedite the work of the Scientific Committee whilst giving adequate time to discuss details of the TTB during the steering committee meeting</w:t>
      </w:r>
      <w:r w:rsidR="00683526" w:rsidRPr="009D6FED">
        <w:rPr>
          <w:bCs/>
          <w:sz w:val="22"/>
          <w:szCs w:val="22"/>
          <w:lang w:val="en-GB"/>
        </w:rPr>
        <w:t>.</w:t>
      </w:r>
    </w:p>
    <w:p w14:paraId="0AB4E325" w14:textId="77777777" w:rsidR="00BB1D2B" w:rsidRPr="009D6FED" w:rsidRDefault="00BB1D2B" w:rsidP="00BB1D2B">
      <w:pPr>
        <w:autoSpaceDE w:val="0"/>
        <w:autoSpaceDN w:val="0"/>
        <w:adjustRightInd w:val="0"/>
        <w:jc w:val="both"/>
        <w:rPr>
          <w:b/>
          <w:bCs/>
          <w:sz w:val="22"/>
          <w:szCs w:val="22"/>
          <w:lang w:val="en-GB" w:eastAsia="en-AU"/>
        </w:rPr>
      </w:pPr>
    </w:p>
    <w:p w14:paraId="587AAFD9" w14:textId="77777777" w:rsidR="00BB1D2B" w:rsidRPr="009D6FED" w:rsidRDefault="00BB1D2B" w:rsidP="00BB1D2B">
      <w:pPr>
        <w:pStyle w:val="Heading2"/>
      </w:pPr>
      <w:r w:rsidRPr="009D6FED">
        <w:t>Review and adoption of agenda</w:t>
      </w:r>
    </w:p>
    <w:p w14:paraId="5389603E" w14:textId="4F8B866A" w:rsidR="00BB1D2B" w:rsidRPr="009D6FED" w:rsidRDefault="00BB1D2B" w:rsidP="00BB1D2B">
      <w:pPr>
        <w:rPr>
          <w:sz w:val="22"/>
          <w:szCs w:val="22"/>
          <w:lang w:val="en-GB" w:eastAsia="en-AU"/>
        </w:rPr>
      </w:pPr>
      <w:r w:rsidRPr="009D6FED">
        <w:rPr>
          <w:sz w:val="22"/>
          <w:szCs w:val="22"/>
          <w:lang w:val="en-GB" w:eastAsia="en-AU"/>
        </w:rPr>
        <w:t xml:space="preserve">The provisional agenda </w:t>
      </w:r>
      <w:r w:rsidR="00F652B2">
        <w:rPr>
          <w:sz w:val="22"/>
          <w:szCs w:val="22"/>
          <w:lang w:val="en-GB" w:eastAsia="en-AU"/>
        </w:rPr>
        <w:t xml:space="preserve">(Attachment 1) </w:t>
      </w:r>
      <w:r w:rsidRPr="009D6FED">
        <w:rPr>
          <w:sz w:val="22"/>
          <w:szCs w:val="22"/>
          <w:lang w:val="en-GB" w:eastAsia="en-AU"/>
        </w:rPr>
        <w:t>was adopted.</w:t>
      </w:r>
    </w:p>
    <w:p w14:paraId="564CC77A" w14:textId="77777777" w:rsidR="00A84470" w:rsidRPr="009D6FED" w:rsidRDefault="00A84470" w:rsidP="00A84470">
      <w:pPr>
        <w:pStyle w:val="Heading1"/>
      </w:pPr>
      <w:r w:rsidRPr="009D6FED">
        <w:t>TTB Progress Report (SC15-RP-35B-01)</w:t>
      </w:r>
    </w:p>
    <w:p w14:paraId="02771C82" w14:textId="354D90EC" w:rsidR="000E451A" w:rsidRPr="009D6FED" w:rsidRDefault="000E451A" w:rsidP="009D6FED">
      <w:pPr>
        <w:pStyle w:val="Heading2"/>
      </w:pPr>
      <w:r w:rsidRPr="009D6FED">
        <w:t>Sample collection and storage</w:t>
      </w:r>
    </w:p>
    <w:p w14:paraId="5E125C52" w14:textId="6154397F" w:rsidR="0062187F" w:rsidRDefault="00BB3478" w:rsidP="003251CD">
      <w:pPr>
        <w:spacing w:after="120"/>
        <w:jc w:val="both"/>
        <w:rPr>
          <w:bCs/>
          <w:sz w:val="22"/>
          <w:szCs w:val="22"/>
          <w:lang w:val="en-GB"/>
        </w:rPr>
      </w:pPr>
      <w:r w:rsidRPr="009D6FED">
        <w:rPr>
          <w:bCs/>
          <w:sz w:val="22"/>
          <w:szCs w:val="22"/>
          <w:lang w:val="en-GB"/>
        </w:rPr>
        <w:t xml:space="preserve">Samples </w:t>
      </w:r>
      <w:r>
        <w:rPr>
          <w:bCs/>
          <w:sz w:val="22"/>
          <w:szCs w:val="22"/>
          <w:lang w:val="en-GB"/>
        </w:rPr>
        <w:t>are c</w:t>
      </w:r>
      <w:r w:rsidRPr="009D6FED">
        <w:rPr>
          <w:bCs/>
          <w:sz w:val="22"/>
          <w:szCs w:val="22"/>
          <w:lang w:val="en-GB"/>
        </w:rPr>
        <w:t xml:space="preserve">ollected by national at-sea and in-port observers across the WCPO.  Observers and port samplers collect to a strategy that optimizes the number of samples per set and maximizes sampling across sets and trips to create the greatest temporal spatial coverage possible. Opportunistic sampling on scientific cruises has also been undertaken (SPC-OFP, 2019a), and </w:t>
      </w:r>
      <w:proofErr w:type="gramStart"/>
      <w:r w:rsidRPr="009D6FED">
        <w:rPr>
          <w:bCs/>
          <w:sz w:val="22"/>
          <w:szCs w:val="22"/>
          <w:lang w:val="en-GB"/>
        </w:rPr>
        <w:t>continues on</w:t>
      </w:r>
      <w:proofErr w:type="gramEnd"/>
      <w:r w:rsidRPr="009D6FED">
        <w:rPr>
          <w:bCs/>
          <w:sz w:val="22"/>
          <w:szCs w:val="22"/>
          <w:lang w:val="en-GB"/>
        </w:rPr>
        <w:t xml:space="preserve"> the WP5 skipjack cruise which is underway.</w:t>
      </w:r>
      <w:r w:rsidR="008F3BB6" w:rsidRPr="008F3BB6">
        <w:rPr>
          <w:bCs/>
          <w:sz w:val="22"/>
          <w:szCs w:val="22"/>
          <w:lang w:val="en-GB"/>
        </w:rPr>
        <w:t xml:space="preserve"> </w:t>
      </w:r>
      <w:r w:rsidR="008F3BB6">
        <w:rPr>
          <w:bCs/>
          <w:sz w:val="22"/>
          <w:szCs w:val="22"/>
          <w:lang w:val="en-GB"/>
        </w:rPr>
        <w:t>T</w:t>
      </w:r>
      <w:r w:rsidR="008F3BB6" w:rsidRPr="009D6FED">
        <w:rPr>
          <w:bCs/>
          <w:sz w:val="22"/>
          <w:szCs w:val="22"/>
          <w:lang w:val="en-GB"/>
        </w:rPr>
        <w:t xml:space="preserve">he rate of sampling of various species in key areas is monitored, and to the extent possible, observer and port sampler tasking is directed to </w:t>
      </w:r>
      <w:r w:rsidR="00F652B2">
        <w:rPr>
          <w:bCs/>
          <w:sz w:val="22"/>
          <w:szCs w:val="22"/>
          <w:lang w:val="en-GB"/>
        </w:rPr>
        <w:t>maximise the</w:t>
      </w:r>
      <w:r w:rsidR="00F652B2" w:rsidRPr="009D6FED">
        <w:rPr>
          <w:bCs/>
          <w:sz w:val="22"/>
          <w:szCs w:val="22"/>
          <w:lang w:val="en-GB"/>
        </w:rPr>
        <w:t xml:space="preserve"> </w:t>
      </w:r>
      <w:r w:rsidR="008F3BB6" w:rsidRPr="009D6FED">
        <w:rPr>
          <w:bCs/>
          <w:sz w:val="22"/>
          <w:szCs w:val="22"/>
          <w:lang w:val="en-GB"/>
        </w:rPr>
        <w:t>spatial, species and temporal spread across the WCPO.</w:t>
      </w:r>
      <w:r w:rsidR="0062187F">
        <w:rPr>
          <w:bCs/>
          <w:sz w:val="22"/>
          <w:szCs w:val="22"/>
          <w:lang w:val="en-GB"/>
        </w:rPr>
        <w:t xml:space="preserve"> </w:t>
      </w:r>
      <w:r w:rsidR="007C3E1B">
        <w:rPr>
          <w:sz w:val="22"/>
          <w:szCs w:val="22"/>
          <w:lang w:val="en-GB" w:eastAsia="en-GB"/>
        </w:rPr>
        <w:t>Observers</w:t>
      </w:r>
      <w:r>
        <w:rPr>
          <w:sz w:val="22"/>
          <w:szCs w:val="22"/>
          <w:lang w:val="en-GB" w:eastAsia="en-GB"/>
        </w:rPr>
        <w:t xml:space="preserve"> are issued with biological sampling kits that include pre-numbered sample tags</w:t>
      </w:r>
      <w:r w:rsidR="00023BA1">
        <w:rPr>
          <w:bCs/>
          <w:sz w:val="22"/>
          <w:szCs w:val="22"/>
          <w:lang w:val="en-GB"/>
        </w:rPr>
        <w:t xml:space="preserve">. </w:t>
      </w:r>
      <w:r w:rsidR="003251CD" w:rsidRPr="009D6FED">
        <w:rPr>
          <w:bCs/>
          <w:sz w:val="22"/>
          <w:szCs w:val="22"/>
          <w:lang w:val="en-GB"/>
        </w:rPr>
        <w:t xml:space="preserve">The </w:t>
      </w:r>
      <w:r w:rsidR="00023BA1" w:rsidRPr="009D6FED">
        <w:rPr>
          <w:bCs/>
          <w:sz w:val="22"/>
          <w:szCs w:val="22"/>
          <w:lang w:val="en-GB"/>
        </w:rPr>
        <w:t>Biological Data System</w:t>
      </w:r>
      <w:r w:rsidR="00023BA1" w:rsidRPr="009D6FED">
        <w:rPr>
          <w:sz w:val="22"/>
          <w:szCs w:val="22"/>
          <w:lang w:val="en-GB"/>
        </w:rPr>
        <w:t xml:space="preserve"> </w:t>
      </w:r>
      <w:r w:rsidR="00023BA1" w:rsidRPr="009D6FED">
        <w:rPr>
          <w:bCs/>
          <w:sz w:val="22"/>
          <w:szCs w:val="22"/>
          <w:lang w:val="en-GB"/>
        </w:rPr>
        <w:t>(</w:t>
      </w:r>
      <w:proofErr w:type="spellStart"/>
      <w:r w:rsidR="00023BA1" w:rsidRPr="009D6FED">
        <w:rPr>
          <w:bCs/>
          <w:sz w:val="22"/>
          <w:szCs w:val="22"/>
          <w:lang w:val="en-GB"/>
        </w:rPr>
        <w:t>BioDaSys</w:t>
      </w:r>
      <w:proofErr w:type="spellEnd"/>
      <w:r w:rsidR="00023BA1" w:rsidRPr="009D6FED">
        <w:rPr>
          <w:bCs/>
          <w:sz w:val="22"/>
          <w:szCs w:val="22"/>
          <w:lang w:val="en-GB"/>
        </w:rPr>
        <w:t>)</w:t>
      </w:r>
      <w:r w:rsidR="003251CD" w:rsidRPr="009D6FED">
        <w:rPr>
          <w:bCs/>
          <w:sz w:val="22"/>
          <w:szCs w:val="22"/>
          <w:lang w:val="en-GB"/>
        </w:rPr>
        <w:t xml:space="preserve"> database tracks the distribution of kits and sample tags</w:t>
      </w:r>
      <w:r w:rsidR="0062187F">
        <w:rPr>
          <w:bCs/>
          <w:sz w:val="22"/>
          <w:szCs w:val="22"/>
          <w:lang w:val="en-GB"/>
        </w:rPr>
        <w:t>.</w:t>
      </w:r>
    </w:p>
    <w:p w14:paraId="29FBDCEB" w14:textId="6BC9BD32" w:rsidR="003251CD" w:rsidRPr="009D6FED" w:rsidRDefault="003251CD" w:rsidP="003251CD">
      <w:pPr>
        <w:spacing w:after="120"/>
        <w:jc w:val="both"/>
        <w:rPr>
          <w:bCs/>
          <w:sz w:val="22"/>
          <w:szCs w:val="22"/>
          <w:lang w:val="en-GB"/>
        </w:rPr>
      </w:pPr>
      <w:r w:rsidRPr="009D6FED">
        <w:rPr>
          <w:bCs/>
          <w:sz w:val="22"/>
          <w:szCs w:val="22"/>
          <w:lang w:val="en-GB"/>
        </w:rPr>
        <w:t xml:space="preserve">Training for </w:t>
      </w:r>
      <w:proofErr w:type="spellStart"/>
      <w:r w:rsidRPr="009D6FED">
        <w:rPr>
          <w:bCs/>
          <w:sz w:val="22"/>
          <w:szCs w:val="22"/>
          <w:lang w:val="en-GB"/>
        </w:rPr>
        <w:t>debriefers</w:t>
      </w:r>
      <w:proofErr w:type="spellEnd"/>
      <w:r w:rsidRPr="009D6FED">
        <w:rPr>
          <w:bCs/>
          <w:sz w:val="22"/>
          <w:szCs w:val="22"/>
          <w:lang w:val="en-GB"/>
        </w:rPr>
        <w:t xml:space="preserve"> in biological sampling has been developed and is awaiting the next PIRFO standards meeting to be accepted into the PIRFO training standards.</w:t>
      </w:r>
      <w:r w:rsidR="008F3BB6">
        <w:rPr>
          <w:bCs/>
          <w:sz w:val="22"/>
          <w:szCs w:val="22"/>
          <w:lang w:val="en-GB"/>
        </w:rPr>
        <w:t xml:space="preserve"> </w:t>
      </w:r>
      <w:r w:rsidRPr="009D6FED">
        <w:rPr>
          <w:bCs/>
          <w:sz w:val="22"/>
          <w:szCs w:val="22"/>
          <w:lang w:val="en-GB"/>
        </w:rPr>
        <w:t xml:space="preserve">Senior </w:t>
      </w:r>
      <w:r w:rsidR="003036AB">
        <w:rPr>
          <w:bCs/>
          <w:sz w:val="22"/>
          <w:szCs w:val="22"/>
          <w:lang w:val="en-GB"/>
        </w:rPr>
        <w:t xml:space="preserve">active </w:t>
      </w:r>
      <w:r w:rsidRPr="009D6FED">
        <w:rPr>
          <w:bCs/>
          <w:sz w:val="22"/>
          <w:szCs w:val="22"/>
          <w:lang w:val="en-GB"/>
        </w:rPr>
        <w:t>observers continue to be identified and provided with training and refresher training in biological sampling</w:t>
      </w:r>
      <w:r w:rsidR="0062187F">
        <w:rPr>
          <w:bCs/>
          <w:sz w:val="22"/>
          <w:szCs w:val="22"/>
          <w:lang w:val="en-GB"/>
        </w:rPr>
        <w:t xml:space="preserve">. </w:t>
      </w:r>
      <w:r w:rsidRPr="009D6FED">
        <w:rPr>
          <w:bCs/>
          <w:sz w:val="22"/>
          <w:szCs w:val="22"/>
          <w:lang w:val="en-GB"/>
        </w:rPr>
        <w:t>An additional 12 observers were trained in 2018-19</w:t>
      </w:r>
      <w:r w:rsidR="003036AB">
        <w:rPr>
          <w:bCs/>
          <w:sz w:val="22"/>
          <w:szCs w:val="22"/>
          <w:lang w:val="en-GB"/>
        </w:rPr>
        <w:t>, with total of 492 o</w:t>
      </w:r>
      <w:r w:rsidRPr="009D6FED">
        <w:rPr>
          <w:bCs/>
          <w:sz w:val="22"/>
          <w:szCs w:val="22"/>
          <w:lang w:val="en-GB"/>
        </w:rPr>
        <w:t>bservers trained to date.</w:t>
      </w:r>
      <w:r w:rsidR="0012439A">
        <w:rPr>
          <w:bCs/>
          <w:sz w:val="22"/>
          <w:szCs w:val="22"/>
          <w:lang w:val="en-GB"/>
        </w:rPr>
        <w:t xml:space="preserve"> </w:t>
      </w:r>
      <w:r w:rsidRPr="009D6FED">
        <w:rPr>
          <w:bCs/>
          <w:sz w:val="22"/>
          <w:szCs w:val="22"/>
          <w:lang w:val="en-GB"/>
        </w:rPr>
        <w:t xml:space="preserve">Materials and standards for training of </w:t>
      </w:r>
      <w:proofErr w:type="spellStart"/>
      <w:r w:rsidRPr="009D6FED">
        <w:rPr>
          <w:bCs/>
          <w:sz w:val="22"/>
          <w:szCs w:val="22"/>
          <w:lang w:val="en-GB"/>
        </w:rPr>
        <w:t>debriefers</w:t>
      </w:r>
      <w:proofErr w:type="spellEnd"/>
      <w:r w:rsidRPr="009D6FED">
        <w:rPr>
          <w:bCs/>
          <w:sz w:val="22"/>
          <w:szCs w:val="22"/>
          <w:lang w:val="en-GB"/>
        </w:rPr>
        <w:t xml:space="preserve"> in biological sampling have been updated, and two </w:t>
      </w:r>
      <w:proofErr w:type="spellStart"/>
      <w:r w:rsidRPr="009D6FED">
        <w:rPr>
          <w:bCs/>
          <w:sz w:val="22"/>
          <w:szCs w:val="22"/>
          <w:lang w:val="en-GB"/>
        </w:rPr>
        <w:t>debriefers</w:t>
      </w:r>
      <w:proofErr w:type="spellEnd"/>
      <w:r w:rsidRPr="009D6FED">
        <w:rPr>
          <w:bCs/>
          <w:sz w:val="22"/>
          <w:szCs w:val="22"/>
          <w:lang w:val="en-GB"/>
        </w:rPr>
        <w:t xml:space="preserve"> were trained in 2018-19</w:t>
      </w:r>
      <w:r w:rsidR="00536A4B">
        <w:rPr>
          <w:bCs/>
          <w:sz w:val="22"/>
          <w:szCs w:val="22"/>
          <w:lang w:val="en-GB"/>
        </w:rPr>
        <w:t xml:space="preserve"> with a total of 14 trained to date.</w:t>
      </w:r>
    </w:p>
    <w:p w14:paraId="337B5206" w14:textId="356C262B" w:rsidR="006F417C" w:rsidRDefault="003251CD" w:rsidP="003251CD">
      <w:pPr>
        <w:spacing w:after="120"/>
        <w:jc w:val="both"/>
        <w:rPr>
          <w:bCs/>
          <w:sz w:val="22"/>
          <w:szCs w:val="22"/>
          <w:lang w:val="en-GB"/>
        </w:rPr>
      </w:pPr>
      <w:r w:rsidRPr="009D6FED">
        <w:rPr>
          <w:bCs/>
          <w:sz w:val="22"/>
          <w:szCs w:val="22"/>
          <w:lang w:val="en-GB"/>
        </w:rPr>
        <w:t xml:space="preserve">In 2018-19, an additional 2,688 samples were collected from 600 fish and deposited in the TTB. Samples were taken from 253 yellowfin, 79 skipjack, 104 bigeye, 88 albacore, 6 wahoo, 35 mahi </w:t>
      </w:r>
      <w:proofErr w:type="spellStart"/>
      <w:r w:rsidRPr="009D6FED">
        <w:rPr>
          <w:bCs/>
          <w:sz w:val="22"/>
          <w:szCs w:val="22"/>
          <w:lang w:val="en-GB"/>
        </w:rPr>
        <w:t>mahi</w:t>
      </w:r>
      <w:proofErr w:type="spellEnd"/>
      <w:r w:rsidRPr="009D6FED">
        <w:rPr>
          <w:bCs/>
          <w:sz w:val="22"/>
          <w:szCs w:val="22"/>
          <w:lang w:val="en-GB"/>
        </w:rPr>
        <w:t xml:space="preserve">, </w:t>
      </w:r>
      <w:r w:rsidRPr="009D6FED">
        <w:rPr>
          <w:bCs/>
          <w:sz w:val="22"/>
          <w:szCs w:val="22"/>
          <w:lang w:val="en-GB"/>
        </w:rPr>
        <w:lastRenderedPageBreak/>
        <w:t>8 striped marlin, 17 rainbow runner, and 10 other species of fish. The provisional total SPC Marine Specimen Bank incorporating the WCPFC TTB sample holdings to 30 June 2019 include 73,880 available samples from 26,206 individual specimens. These data do not include samples a</w:t>
      </w:r>
      <w:r w:rsidR="006F417C">
        <w:rPr>
          <w:bCs/>
          <w:sz w:val="22"/>
          <w:szCs w:val="22"/>
          <w:lang w:val="en-GB"/>
        </w:rPr>
        <w:t>waiting cataloguing.</w:t>
      </w:r>
    </w:p>
    <w:p w14:paraId="7F063FC6" w14:textId="33B43238" w:rsidR="008F3BB6" w:rsidRDefault="003251CD" w:rsidP="003251CD">
      <w:pPr>
        <w:spacing w:after="120"/>
        <w:jc w:val="both"/>
        <w:rPr>
          <w:bCs/>
          <w:sz w:val="22"/>
          <w:szCs w:val="22"/>
          <w:lang w:val="en-GB"/>
        </w:rPr>
      </w:pPr>
      <w:r w:rsidRPr="009D6FED">
        <w:rPr>
          <w:bCs/>
          <w:sz w:val="22"/>
          <w:szCs w:val="22"/>
          <w:lang w:val="en-GB"/>
        </w:rPr>
        <w:t xml:space="preserve">In 2018, 347 fish were collected by observers at-sea which represents 58% of all the fish sampled. </w:t>
      </w:r>
      <w:r w:rsidR="008C3226">
        <w:rPr>
          <w:bCs/>
          <w:sz w:val="22"/>
          <w:szCs w:val="22"/>
          <w:lang w:val="en-GB"/>
        </w:rPr>
        <w:t>T</w:t>
      </w:r>
      <w:r w:rsidRPr="009D6FED">
        <w:rPr>
          <w:bCs/>
          <w:sz w:val="22"/>
          <w:szCs w:val="22"/>
          <w:lang w:val="en-GB"/>
        </w:rPr>
        <w:t xml:space="preserve">he number of observer trips on which sampling occurred dramatically decreased </w:t>
      </w:r>
      <w:r w:rsidR="008C3226">
        <w:rPr>
          <w:bCs/>
          <w:sz w:val="22"/>
          <w:szCs w:val="22"/>
          <w:lang w:val="en-GB"/>
        </w:rPr>
        <w:t xml:space="preserve">from 2017 to 2018, </w:t>
      </w:r>
      <w:r w:rsidRPr="009D6FED">
        <w:rPr>
          <w:bCs/>
          <w:sz w:val="22"/>
          <w:szCs w:val="22"/>
          <w:lang w:val="en-GB"/>
        </w:rPr>
        <w:t xml:space="preserve">and the collection of samples consequently </w:t>
      </w:r>
      <w:r w:rsidR="00F652B2">
        <w:rPr>
          <w:bCs/>
          <w:sz w:val="22"/>
          <w:szCs w:val="22"/>
          <w:lang w:val="en-GB"/>
        </w:rPr>
        <w:t>declined</w:t>
      </w:r>
      <w:r w:rsidR="00F652B2" w:rsidRPr="009D6FED">
        <w:rPr>
          <w:bCs/>
          <w:sz w:val="22"/>
          <w:szCs w:val="22"/>
          <w:lang w:val="en-GB"/>
        </w:rPr>
        <w:t xml:space="preserve"> </w:t>
      </w:r>
      <w:r w:rsidRPr="009D6FED">
        <w:rPr>
          <w:bCs/>
          <w:sz w:val="22"/>
          <w:szCs w:val="22"/>
          <w:lang w:val="en-GB"/>
        </w:rPr>
        <w:t xml:space="preserve">by </w:t>
      </w:r>
      <w:r w:rsidR="00B76B80">
        <w:rPr>
          <w:bCs/>
          <w:sz w:val="22"/>
          <w:szCs w:val="22"/>
          <w:lang w:val="en-GB"/>
        </w:rPr>
        <w:t>54</w:t>
      </w:r>
      <w:r w:rsidRPr="009D6FED">
        <w:rPr>
          <w:bCs/>
          <w:sz w:val="22"/>
          <w:szCs w:val="22"/>
          <w:lang w:val="en-GB"/>
        </w:rPr>
        <w:t>% on the previous year</w:t>
      </w:r>
      <w:r w:rsidR="008F3BB6">
        <w:rPr>
          <w:bCs/>
          <w:sz w:val="22"/>
          <w:szCs w:val="22"/>
          <w:lang w:val="en-GB"/>
        </w:rPr>
        <w:t>.</w:t>
      </w:r>
      <w:r w:rsidR="00203DB9">
        <w:rPr>
          <w:bCs/>
          <w:sz w:val="22"/>
          <w:szCs w:val="22"/>
          <w:lang w:val="en-GB"/>
        </w:rPr>
        <w:t xml:space="preserve"> This was noted as an issue of concern.</w:t>
      </w:r>
    </w:p>
    <w:p w14:paraId="29EA8D80" w14:textId="1B6AA6EA" w:rsidR="00825A39" w:rsidRPr="009D6FED" w:rsidRDefault="00825A39" w:rsidP="00E63298">
      <w:pPr>
        <w:spacing w:after="120"/>
        <w:jc w:val="both"/>
        <w:rPr>
          <w:b/>
          <w:bCs/>
          <w:sz w:val="20"/>
          <w:szCs w:val="20"/>
          <w:lang w:val="en-GB" w:eastAsia="en-AU"/>
        </w:rPr>
      </w:pPr>
      <w:r w:rsidRPr="009D6FED">
        <w:rPr>
          <w:b/>
          <w:bCs/>
          <w:noProof/>
          <w:sz w:val="20"/>
          <w:szCs w:val="20"/>
          <w:lang w:val="en-AU" w:eastAsia="en-AU"/>
        </w:rPr>
        <w:drawing>
          <wp:anchor distT="0" distB="0" distL="114300" distR="114300" simplePos="0" relativeHeight="251667456" behindDoc="0" locked="0" layoutInCell="1" allowOverlap="1" wp14:anchorId="7899AD0A" wp14:editId="3A9051CB">
            <wp:simplePos x="0" y="0"/>
            <wp:positionH relativeFrom="margin">
              <wp:posOffset>186690</wp:posOffset>
            </wp:positionH>
            <wp:positionV relativeFrom="paragraph">
              <wp:posOffset>159385</wp:posOffset>
            </wp:positionV>
            <wp:extent cx="5358130" cy="3514090"/>
            <wp:effectExtent l="0" t="0" r="0"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8130" cy="3514090"/>
                    </a:xfrm>
                    <a:prstGeom prst="rect">
                      <a:avLst/>
                    </a:prstGeom>
                    <a:noFill/>
                  </pic:spPr>
                </pic:pic>
              </a:graphicData>
            </a:graphic>
            <wp14:sizeRelH relativeFrom="page">
              <wp14:pctWidth>0</wp14:pctWidth>
            </wp14:sizeRelH>
            <wp14:sizeRelV relativeFrom="page">
              <wp14:pctHeight>0</wp14:pctHeight>
            </wp14:sizeRelV>
          </wp:anchor>
        </w:drawing>
      </w:r>
    </w:p>
    <w:p w14:paraId="264322C5" w14:textId="45761ED0" w:rsidR="00825A39" w:rsidRDefault="0062187F" w:rsidP="00825A39">
      <w:pPr>
        <w:spacing w:after="120"/>
        <w:jc w:val="both"/>
        <w:rPr>
          <w:b/>
          <w:bCs/>
          <w:sz w:val="20"/>
          <w:szCs w:val="20"/>
          <w:lang w:val="en-GB" w:eastAsia="en-AU"/>
        </w:rPr>
      </w:pPr>
      <w:r>
        <w:rPr>
          <w:b/>
          <w:bCs/>
          <w:sz w:val="20"/>
          <w:szCs w:val="20"/>
          <w:lang w:val="en-GB" w:eastAsia="en-AU"/>
        </w:rPr>
        <w:t>Figure 1</w:t>
      </w:r>
      <w:r w:rsidR="00825A39" w:rsidRPr="009D6FED">
        <w:rPr>
          <w:b/>
          <w:bCs/>
          <w:sz w:val="20"/>
          <w:szCs w:val="20"/>
          <w:lang w:val="en-GB" w:eastAsia="en-AU"/>
        </w:rPr>
        <w:t>.  Number of fish sampled by observers, and number of trips at sea where biological samples were collected 2012-2019 (at 10 July 2019).</w:t>
      </w:r>
    </w:p>
    <w:p w14:paraId="488EB3EE" w14:textId="2308CBF9" w:rsidR="001629C0" w:rsidRDefault="001629C0">
      <w:pPr>
        <w:spacing w:after="200" w:line="276" w:lineRule="auto"/>
        <w:rPr>
          <w:bCs/>
          <w:sz w:val="22"/>
          <w:szCs w:val="22"/>
          <w:lang w:val="en-GB"/>
        </w:rPr>
      </w:pPr>
    </w:p>
    <w:p w14:paraId="7344BEC1" w14:textId="13380724" w:rsidR="003251CD" w:rsidRPr="007108A3" w:rsidRDefault="008F3BB6" w:rsidP="003251CD">
      <w:pPr>
        <w:spacing w:after="120"/>
        <w:jc w:val="both"/>
        <w:rPr>
          <w:color w:val="000000"/>
          <w:sz w:val="22"/>
          <w:szCs w:val="22"/>
          <w:lang w:val="en-GB" w:eastAsia="en-AU"/>
        </w:rPr>
      </w:pPr>
      <w:r>
        <w:rPr>
          <w:bCs/>
          <w:sz w:val="22"/>
          <w:szCs w:val="22"/>
          <w:lang w:val="en-GB"/>
        </w:rPr>
        <w:t xml:space="preserve">A variety of approaches have been used to </w:t>
      </w:r>
      <w:r w:rsidR="003251CD" w:rsidRPr="009D6FED">
        <w:rPr>
          <w:bCs/>
          <w:sz w:val="22"/>
          <w:szCs w:val="22"/>
          <w:lang w:val="en-GB"/>
        </w:rPr>
        <w:t>recognise</w:t>
      </w:r>
      <w:r w:rsidR="000D517A">
        <w:rPr>
          <w:bCs/>
          <w:sz w:val="22"/>
          <w:szCs w:val="22"/>
          <w:lang w:val="en-GB"/>
        </w:rPr>
        <w:t xml:space="preserve"> and incentiv</w:t>
      </w:r>
      <w:r w:rsidR="00203DB9">
        <w:rPr>
          <w:bCs/>
          <w:sz w:val="22"/>
          <w:szCs w:val="22"/>
          <w:lang w:val="en-GB"/>
        </w:rPr>
        <w:t>is</w:t>
      </w:r>
      <w:r w:rsidR="000D517A">
        <w:rPr>
          <w:bCs/>
          <w:sz w:val="22"/>
          <w:szCs w:val="22"/>
          <w:lang w:val="en-GB"/>
        </w:rPr>
        <w:t>e</w:t>
      </w:r>
      <w:r w:rsidR="003251CD" w:rsidRPr="009D6FED">
        <w:rPr>
          <w:bCs/>
          <w:sz w:val="22"/>
          <w:szCs w:val="22"/>
          <w:lang w:val="en-GB"/>
        </w:rPr>
        <w:t xml:space="preserve"> the effort</w:t>
      </w:r>
      <w:r>
        <w:rPr>
          <w:bCs/>
          <w:sz w:val="22"/>
          <w:szCs w:val="22"/>
          <w:lang w:val="en-GB"/>
        </w:rPr>
        <w:t>s of those</w:t>
      </w:r>
      <w:r w:rsidR="003251CD" w:rsidRPr="009D6FED">
        <w:rPr>
          <w:bCs/>
          <w:sz w:val="22"/>
          <w:szCs w:val="22"/>
          <w:lang w:val="en-GB"/>
        </w:rPr>
        <w:t xml:space="preserve"> involved in biological sampling, </w:t>
      </w:r>
      <w:r>
        <w:rPr>
          <w:bCs/>
          <w:sz w:val="22"/>
          <w:szCs w:val="22"/>
          <w:lang w:val="en-GB"/>
        </w:rPr>
        <w:t xml:space="preserve">including </w:t>
      </w:r>
      <w:r w:rsidR="003251CD" w:rsidRPr="009D6FED">
        <w:rPr>
          <w:bCs/>
          <w:sz w:val="22"/>
          <w:szCs w:val="22"/>
          <w:lang w:val="en-GB"/>
        </w:rPr>
        <w:t xml:space="preserve">sampling appreciation certificates </w:t>
      </w:r>
      <w:r>
        <w:rPr>
          <w:bCs/>
          <w:sz w:val="22"/>
          <w:szCs w:val="22"/>
          <w:lang w:val="en-GB"/>
        </w:rPr>
        <w:t xml:space="preserve">and more recently giving specially designed t-shirts to </w:t>
      </w:r>
      <w:r w:rsidR="003251CD" w:rsidRPr="009D6FED">
        <w:rPr>
          <w:bCs/>
          <w:sz w:val="22"/>
          <w:szCs w:val="22"/>
          <w:lang w:val="en-GB"/>
        </w:rPr>
        <w:t xml:space="preserve">observers </w:t>
      </w:r>
      <w:r>
        <w:rPr>
          <w:bCs/>
          <w:sz w:val="22"/>
          <w:szCs w:val="22"/>
          <w:lang w:val="en-GB"/>
        </w:rPr>
        <w:t xml:space="preserve">who </w:t>
      </w:r>
      <w:r w:rsidR="003251CD" w:rsidRPr="009D6FED">
        <w:rPr>
          <w:bCs/>
          <w:sz w:val="22"/>
          <w:szCs w:val="22"/>
          <w:lang w:val="en-GB"/>
        </w:rPr>
        <w:t xml:space="preserve">contributed most to the sampling collection </w:t>
      </w:r>
      <w:r>
        <w:rPr>
          <w:bCs/>
          <w:sz w:val="22"/>
          <w:szCs w:val="22"/>
          <w:lang w:val="en-GB"/>
        </w:rPr>
        <w:t xml:space="preserve">at a national level </w:t>
      </w:r>
      <w:r w:rsidR="003251CD" w:rsidRPr="009D6FED">
        <w:rPr>
          <w:bCs/>
          <w:sz w:val="22"/>
          <w:szCs w:val="22"/>
          <w:lang w:val="en-GB"/>
        </w:rPr>
        <w:t xml:space="preserve">(see SPC-OFP, 2018). This initiative was well received by the sampling </w:t>
      </w:r>
      <w:proofErr w:type="gramStart"/>
      <w:r w:rsidR="003251CD" w:rsidRPr="009D6FED">
        <w:rPr>
          <w:bCs/>
          <w:sz w:val="22"/>
          <w:szCs w:val="22"/>
          <w:lang w:val="en-GB"/>
        </w:rPr>
        <w:t>network, but</w:t>
      </w:r>
      <w:proofErr w:type="gramEnd"/>
      <w:r w:rsidR="003251CD" w:rsidRPr="009D6FED">
        <w:rPr>
          <w:bCs/>
          <w:sz w:val="22"/>
          <w:szCs w:val="22"/>
          <w:lang w:val="en-GB"/>
        </w:rPr>
        <w:t xml:space="preserve"> was</w:t>
      </w:r>
      <w:r w:rsidR="003251CD" w:rsidRPr="009D6FED">
        <w:rPr>
          <w:color w:val="000000"/>
          <w:sz w:val="22"/>
          <w:szCs w:val="22"/>
          <w:lang w:val="en-GB" w:eastAsia="en-AU"/>
        </w:rPr>
        <w:t xml:space="preserve"> discontinued this year due to the lack of samples collected in 2018 by the observers</w:t>
      </w:r>
      <w:r w:rsidR="003251CD" w:rsidRPr="009D6FED">
        <w:rPr>
          <w:bCs/>
          <w:sz w:val="22"/>
          <w:szCs w:val="22"/>
          <w:lang w:val="en-GB"/>
        </w:rPr>
        <w:t xml:space="preserve">. </w:t>
      </w:r>
      <w:r w:rsidR="00203DB9">
        <w:rPr>
          <w:bCs/>
          <w:sz w:val="22"/>
          <w:szCs w:val="22"/>
          <w:lang w:val="en-GB"/>
        </w:rPr>
        <w:t>Noting the relatively low numbers of samples collected in 2018, a</w:t>
      </w:r>
      <w:r w:rsidR="003251CD" w:rsidRPr="009D6FED">
        <w:rPr>
          <w:color w:val="000000"/>
          <w:sz w:val="22"/>
          <w:szCs w:val="22"/>
          <w:lang w:val="en-GB" w:eastAsia="en-AU"/>
        </w:rPr>
        <w:t>lternative approaches to incentivise sampling effort are needed and will be investigated and pursued for 2019-2020. Opportunities arising from Project 90 sampling will also be utilised where possible (SPC-OFP, 2019b).</w:t>
      </w:r>
      <w:r w:rsidR="007108A3">
        <w:rPr>
          <w:color w:val="000000"/>
          <w:sz w:val="22"/>
          <w:szCs w:val="22"/>
          <w:lang w:val="en-GB" w:eastAsia="en-AU"/>
        </w:rPr>
        <w:t xml:space="preserve"> </w:t>
      </w:r>
      <w:r w:rsidR="003251CD" w:rsidRPr="009D6FED">
        <w:rPr>
          <w:bCs/>
          <w:sz w:val="22"/>
          <w:szCs w:val="22"/>
          <w:lang w:val="en-GB"/>
        </w:rPr>
        <w:t>To incentivise collection of biological samples from archival tagged fish and fish with chemically marked otoliths (white tagged fish) caught by longline and purse seine vessels, a new reward is now in place and new posters have been created and are currently under translation</w:t>
      </w:r>
      <w:r w:rsidR="000D517A">
        <w:rPr>
          <w:bCs/>
          <w:sz w:val="22"/>
          <w:szCs w:val="22"/>
          <w:lang w:val="en-GB"/>
        </w:rPr>
        <w:t>.</w:t>
      </w:r>
    </w:p>
    <w:p w14:paraId="453674F8" w14:textId="00DA31A7" w:rsidR="00142BC5" w:rsidRPr="003057D0" w:rsidRDefault="003251CD" w:rsidP="00142BC5">
      <w:pPr>
        <w:spacing w:before="120" w:after="120"/>
        <w:jc w:val="both"/>
        <w:rPr>
          <w:bCs/>
          <w:sz w:val="22"/>
          <w:szCs w:val="22"/>
          <w:lang w:val="en-GB"/>
        </w:rPr>
      </w:pPr>
      <w:r w:rsidRPr="009D6FED">
        <w:rPr>
          <w:bCs/>
          <w:sz w:val="22"/>
          <w:szCs w:val="22"/>
          <w:lang w:val="en-GB"/>
        </w:rPr>
        <w:t xml:space="preserve">The TTB has long-term storage facilities at SPC Headquarters in Noumea, New Caledonia and </w:t>
      </w:r>
      <w:r w:rsidR="0062187F">
        <w:rPr>
          <w:bCs/>
          <w:sz w:val="22"/>
          <w:szCs w:val="22"/>
          <w:lang w:val="en-GB"/>
        </w:rPr>
        <w:t xml:space="preserve">at CSIRO, Brisbane, Australia. </w:t>
      </w:r>
      <w:r w:rsidRPr="009D6FED">
        <w:rPr>
          <w:bCs/>
          <w:sz w:val="22"/>
          <w:szCs w:val="22"/>
          <w:lang w:val="en-GB"/>
        </w:rPr>
        <w:t xml:space="preserve">Storage </w:t>
      </w:r>
      <w:r w:rsidR="00673A83">
        <w:rPr>
          <w:bCs/>
          <w:sz w:val="22"/>
          <w:szCs w:val="22"/>
          <w:lang w:val="en-GB"/>
        </w:rPr>
        <w:t xml:space="preserve">at the CSIRO facility </w:t>
      </w:r>
      <w:r w:rsidRPr="009D6FED">
        <w:rPr>
          <w:bCs/>
          <w:sz w:val="22"/>
          <w:szCs w:val="22"/>
          <w:lang w:val="en-GB"/>
        </w:rPr>
        <w:t>in Brisbane has been upgraded with smaller single plastic containers that can accommodate samples from a single sampling event rather than multiple sampling events. Samples have been inventoried and reorganised with the new storage system, allowing future fast sample retrievals.</w:t>
      </w:r>
      <w:r w:rsidR="00743988">
        <w:rPr>
          <w:bCs/>
          <w:sz w:val="22"/>
          <w:szCs w:val="22"/>
          <w:lang w:val="en-GB"/>
        </w:rPr>
        <w:t xml:space="preserve"> </w:t>
      </w:r>
      <w:r w:rsidRPr="009D6FED">
        <w:rPr>
          <w:bCs/>
          <w:sz w:val="22"/>
          <w:szCs w:val="22"/>
          <w:lang w:val="en-GB"/>
        </w:rPr>
        <w:t xml:space="preserve">The storage in Noumea has been expanded again this year by an additional 10% to cope with demand. Most of these facilities are currently provided in kind to the project by both organisations. The project </w:t>
      </w:r>
      <w:r w:rsidR="0062187F">
        <w:rPr>
          <w:bCs/>
          <w:sz w:val="22"/>
          <w:szCs w:val="22"/>
          <w:lang w:val="en-GB"/>
        </w:rPr>
        <w:t xml:space="preserve">also contributes </w:t>
      </w:r>
      <w:r w:rsidRPr="009D6FED">
        <w:rPr>
          <w:bCs/>
          <w:sz w:val="22"/>
          <w:szCs w:val="22"/>
          <w:lang w:val="en-GB"/>
        </w:rPr>
        <w:t xml:space="preserve">to costs for several of the short-term/staging storage </w:t>
      </w:r>
      <w:r w:rsidR="00D23DDA">
        <w:rPr>
          <w:bCs/>
          <w:sz w:val="22"/>
          <w:szCs w:val="22"/>
          <w:lang w:val="en-GB"/>
        </w:rPr>
        <w:lastRenderedPageBreak/>
        <w:t>facilities’ infrastructure</w:t>
      </w:r>
      <w:r w:rsidR="00142BC5" w:rsidRPr="009D6FED">
        <w:rPr>
          <w:sz w:val="22"/>
          <w:szCs w:val="22"/>
          <w:lang w:val="en-GB"/>
        </w:rPr>
        <w:t xml:space="preserve">. Samples extracted in mid-2018 from the early years of the SPC Marine Specimen Bank (early 2000s) highlight the quality loss for samples used in genetic analyses (H. </w:t>
      </w:r>
      <w:proofErr w:type="spellStart"/>
      <w:r w:rsidR="00142BC5" w:rsidRPr="009D6FED">
        <w:rPr>
          <w:sz w:val="22"/>
          <w:szCs w:val="22"/>
          <w:lang w:val="en-GB"/>
        </w:rPr>
        <w:t>Kusche</w:t>
      </w:r>
      <w:proofErr w:type="spellEnd"/>
      <w:r w:rsidR="00142BC5" w:rsidRPr="009D6FED">
        <w:rPr>
          <w:sz w:val="22"/>
          <w:szCs w:val="22"/>
          <w:lang w:val="en-GB"/>
        </w:rPr>
        <w:t>,</w:t>
      </w:r>
      <w:r w:rsidR="00142BC5" w:rsidRPr="009D6FED">
        <w:rPr>
          <w:lang w:val="en-GB"/>
        </w:rPr>
        <w:t xml:space="preserve"> </w:t>
      </w:r>
      <w:proofErr w:type="spellStart"/>
      <w:r w:rsidR="00142BC5" w:rsidRPr="009D6FED">
        <w:rPr>
          <w:sz w:val="22"/>
          <w:szCs w:val="22"/>
          <w:lang w:val="en-GB"/>
        </w:rPr>
        <w:t>Thünen</w:t>
      </w:r>
      <w:proofErr w:type="spellEnd"/>
      <w:r w:rsidR="00142BC5" w:rsidRPr="009D6FED">
        <w:rPr>
          <w:sz w:val="22"/>
          <w:szCs w:val="22"/>
          <w:lang w:val="en-GB"/>
        </w:rPr>
        <w:t xml:space="preserve"> Institute of Fisheries Ecology, pers. comm.), reinforcing the need for long-term super-cold storage becoming increasingly urgent for the WCPFC TTB.</w:t>
      </w:r>
    </w:p>
    <w:p w14:paraId="2E01A6DD" w14:textId="77777777" w:rsidR="000E451A" w:rsidRPr="009D6FED" w:rsidRDefault="000E451A" w:rsidP="00E31578">
      <w:pPr>
        <w:rPr>
          <w:sz w:val="22"/>
          <w:szCs w:val="22"/>
          <w:lang w:val="en-GB" w:eastAsia="en-GB"/>
        </w:rPr>
      </w:pPr>
    </w:p>
    <w:p w14:paraId="72748B09" w14:textId="40E68F9D" w:rsidR="00B1591D" w:rsidRPr="009D6FED" w:rsidRDefault="000E451A" w:rsidP="000E451A">
      <w:pPr>
        <w:pStyle w:val="Heading2"/>
      </w:pPr>
      <w:r w:rsidRPr="009D6FED">
        <w:t xml:space="preserve">Tuna Tissue Bank </w:t>
      </w:r>
      <w:r w:rsidR="009D6FED">
        <w:t>database</w:t>
      </w:r>
    </w:p>
    <w:p w14:paraId="5B9AA708" w14:textId="0B658A5F" w:rsidR="00581050" w:rsidRPr="009D6FED" w:rsidRDefault="00581050" w:rsidP="00EF76F8">
      <w:pPr>
        <w:spacing w:before="120" w:after="120"/>
        <w:jc w:val="both"/>
        <w:rPr>
          <w:b/>
          <w:bCs/>
          <w:i/>
          <w:sz w:val="20"/>
          <w:szCs w:val="20"/>
          <w:lang w:val="en-GB"/>
        </w:rPr>
      </w:pPr>
      <w:r w:rsidRPr="009D6FED">
        <w:rPr>
          <w:sz w:val="22"/>
          <w:szCs w:val="22"/>
          <w:lang w:val="en-GB"/>
        </w:rPr>
        <w:t xml:space="preserve">A central feature of the TTB repository is </w:t>
      </w:r>
      <w:r w:rsidR="00916682" w:rsidRPr="009D6FED">
        <w:rPr>
          <w:bCs/>
          <w:sz w:val="22"/>
          <w:szCs w:val="22"/>
          <w:lang w:val="en-GB"/>
        </w:rPr>
        <w:t>the Biological Data System</w:t>
      </w:r>
      <w:r w:rsidR="00916682" w:rsidRPr="009D6FED">
        <w:rPr>
          <w:sz w:val="22"/>
          <w:szCs w:val="22"/>
          <w:lang w:val="en-GB"/>
        </w:rPr>
        <w:t xml:space="preserve"> </w:t>
      </w:r>
      <w:r w:rsidR="00916682" w:rsidRPr="009D6FED">
        <w:rPr>
          <w:bCs/>
          <w:sz w:val="22"/>
          <w:szCs w:val="22"/>
          <w:lang w:val="en-GB"/>
        </w:rPr>
        <w:t>(</w:t>
      </w:r>
      <w:proofErr w:type="spellStart"/>
      <w:r w:rsidR="00916682" w:rsidRPr="009D6FED">
        <w:rPr>
          <w:bCs/>
          <w:sz w:val="22"/>
          <w:szCs w:val="22"/>
          <w:lang w:val="en-GB"/>
        </w:rPr>
        <w:t>BioDaSys</w:t>
      </w:r>
      <w:proofErr w:type="spellEnd"/>
      <w:r w:rsidR="00916682" w:rsidRPr="009D6FED">
        <w:rPr>
          <w:bCs/>
          <w:sz w:val="22"/>
          <w:szCs w:val="22"/>
          <w:lang w:val="en-GB"/>
        </w:rPr>
        <w:t>)</w:t>
      </w:r>
      <w:r w:rsidR="00916682">
        <w:rPr>
          <w:bCs/>
          <w:sz w:val="22"/>
          <w:szCs w:val="22"/>
          <w:lang w:val="en-GB"/>
        </w:rPr>
        <w:t>, a</w:t>
      </w:r>
      <w:r w:rsidRPr="009D6FED">
        <w:rPr>
          <w:sz w:val="22"/>
          <w:szCs w:val="22"/>
          <w:lang w:val="en-GB"/>
        </w:rPr>
        <w:t xml:space="preserve"> relational database that catalogues the samples</w:t>
      </w:r>
      <w:r w:rsidRPr="009D6FED">
        <w:rPr>
          <w:bCs/>
          <w:sz w:val="22"/>
          <w:szCs w:val="22"/>
          <w:lang w:val="en-GB"/>
        </w:rPr>
        <w:t>. Specific information includes: sample number; all tissues that were collected from that individual fish; the condition of these samples; species and its measurements; all information on where each sample comes from and how and when it was collected; who collected the sample; the location(s) where it is currently stored; and, how it was transported and who transpor</w:t>
      </w:r>
      <w:r w:rsidR="00EF76F8">
        <w:rPr>
          <w:bCs/>
          <w:sz w:val="22"/>
          <w:szCs w:val="22"/>
          <w:lang w:val="en-GB"/>
        </w:rPr>
        <w:t>ted it to its current location.</w:t>
      </w:r>
      <w:r w:rsidR="00980965">
        <w:rPr>
          <w:bCs/>
          <w:sz w:val="22"/>
          <w:szCs w:val="22"/>
          <w:lang w:val="en-GB"/>
        </w:rPr>
        <w:t xml:space="preserve"> A</w:t>
      </w:r>
      <w:r w:rsidR="00980965" w:rsidRPr="009D6FED">
        <w:rPr>
          <w:bCs/>
          <w:sz w:val="22"/>
          <w:szCs w:val="22"/>
          <w:lang w:val="en-GB"/>
        </w:rPr>
        <w:t xml:space="preserve"> dedicated web-based portal allows WCPFC members to track the collection of samples </w:t>
      </w:r>
      <w:r w:rsidR="00980965">
        <w:rPr>
          <w:bCs/>
          <w:sz w:val="22"/>
          <w:szCs w:val="22"/>
          <w:lang w:val="en-GB"/>
        </w:rPr>
        <w:t>(</w:t>
      </w:r>
      <w:hyperlink r:id="rId10" w:history="1">
        <w:r w:rsidR="00980965" w:rsidRPr="009D6FED">
          <w:rPr>
            <w:rStyle w:val="Hyperlink"/>
            <w:bCs/>
            <w:sz w:val="22"/>
            <w:szCs w:val="22"/>
            <w:lang w:val="en-GB"/>
          </w:rPr>
          <w:t>www.spc.int/ofp/PacificSpecimenBank</w:t>
        </w:r>
      </w:hyperlink>
      <w:r w:rsidR="00980965">
        <w:rPr>
          <w:bCs/>
          <w:sz w:val="22"/>
          <w:szCs w:val="22"/>
          <w:lang w:val="en-GB"/>
        </w:rPr>
        <w:t>).</w:t>
      </w:r>
    </w:p>
    <w:p w14:paraId="54B69155" w14:textId="63DA0BF0" w:rsidR="00581050" w:rsidRPr="009D6FED" w:rsidRDefault="00EF76F8" w:rsidP="00581050">
      <w:pPr>
        <w:spacing w:after="120"/>
        <w:jc w:val="both"/>
        <w:rPr>
          <w:sz w:val="22"/>
          <w:szCs w:val="22"/>
          <w:lang w:val="en-GB"/>
        </w:rPr>
      </w:pPr>
      <w:r>
        <w:rPr>
          <w:sz w:val="22"/>
          <w:szCs w:val="22"/>
          <w:lang w:val="en-GB"/>
        </w:rPr>
        <w:t>N</w:t>
      </w:r>
      <w:r w:rsidR="00581050" w:rsidRPr="009D6FED">
        <w:rPr>
          <w:sz w:val="22"/>
          <w:szCs w:val="22"/>
          <w:lang w:val="en-GB"/>
        </w:rPr>
        <w:t xml:space="preserve">ew data processes have been added to </w:t>
      </w:r>
      <w:proofErr w:type="spellStart"/>
      <w:r w:rsidR="00AB7E45">
        <w:rPr>
          <w:sz w:val="22"/>
          <w:szCs w:val="22"/>
          <w:lang w:val="en-GB"/>
        </w:rPr>
        <w:t>BioDaSys</w:t>
      </w:r>
      <w:proofErr w:type="spellEnd"/>
      <w:r w:rsidR="00AB7E45">
        <w:rPr>
          <w:sz w:val="22"/>
          <w:szCs w:val="22"/>
          <w:lang w:val="en-GB"/>
        </w:rPr>
        <w:t xml:space="preserve"> to keep track </w:t>
      </w:r>
      <w:proofErr w:type="gramStart"/>
      <w:r w:rsidR="00AB7E45">
        <w:rPr>
          <w:sz w:val="22"/>
          <w:szCs w:val="22"/>
          <w:lang w:val="en-GB"/>
        </w:rPr>
        <w:t>of:</w:t>
      </w:r>
      <w:proofErr w:type="gramEnd"/>
      <w:r w:rsidR="00AB7E45">
        <w:rPr>
          <w:sz w:val="22"/>
          <w:szCs w:val="22"/>
          <w:lang w:val="en-GB"/>
        </w:rPr>
        <w:t xml:space="preserve"> samples that have been returned after analysis; single otolith status; debriefing quality control; contractual information; and, resulting publications. </w:t>
      </w:r>
      <w:r w:rsidR="00581050" w:rsidRPr="009D6FED">
        <w:rPr>
          <w:sz w:val="22"/>
          <w:szCs w:val="22"/>
          <w:lang w:val="en-GB"/>
        </w:rPr>
        <w:t xml:space="preserve">Efforts have also been made in tracking pending analyses to give better and quicker feedback to affected staff and thus promote a higher chance of retrieving missing information.  </w:t>
      </w:r>
      <w:r w:rsidR="00581050" w:rsidRPr="009D6FED">
        <w:rPr>
          <w:lang w:val="en-GB"/>
        </w:rPr>
        <w:t>S</w:t>
      </w:r>
      <w:r w:rsidR="00581050" w:rsidRPr="009D6FED">
        <w:rPr>
          <w:sz w:val="22"/>
          <w:szCs w:val="22"/>
          <w:lang w:val="en-GB"/>
        </w:rPr>
        <w:t>ampling targets per member country, as agreed in implementing arrangements, are monitored.</w:t>
      </w:r>
      <w:r w:rsidR="00543F4F">
        <w:rPr>
          <w:sz w:val="22"/>
          <w:szCs w:val="22"/>
          <w:lang w:val="en-GB"/>
        </w:rPr>
        <w:t xml:space="preserve"> The </w:t>
      </w:r>
      <w:r w:rsidR="00581050" w:rsidRPr="009D6FED">
        <w:rPr>
          <w:sz w:val="22"/>
          <w:szCs w:val="22"/>
          <w:lang w:val="en-GB"/>
        </w:rPr>
        <w:t>database catalogues the analysis of the samples</w:t>
      </w:r>
      <w:r w:rsidR="0007055C">
        <w:rPr>
          <w:sz w:val="22"/>
          <w:szCs w:val="22"/>
          <w:lang w:val="en-GB"/>
        </w:rPr>
        <w:t xml:space="preserve"> and now includes links t</w:t>
      </w:r>
      <w:r w:rsidR="00581050" w:rsidRPr="009D6FED">
        <w:rPr>
          <w:sz w:val="22"/>
          <w:szCs w:val="22"/>
          <w:lang w:val="en-GB"/>
        </w:rPr>
        <w:t>o the associated contract and the publicatio</w:t>
      </w:r>
      <w:r w:rsidR="0007055C">
        <w:rPr>
          <w:sz w:val="22"/>
          <w:szCs w:val="22"/>
          <w:lang w:val="en-GB"/>
        </w:rPr>
        <w:t>ns resulting from the analyses.</w:t>
      </w:r>
    </w:p>
    <w:p w14:paraId="22EB85C3" w14:textId="4C6F14C3" w:rsidR="00581050" w:rsidRPr="009D6FED" w:rsidRDefault="00581050" w:rsidP="00765DB7">
      <w:pPr>
        <w:spacing w:after="120"/>
        <w:jc w:val="both"/>
        <w:rPr>
          <w:b/>
          <w:bCs/>
          <w:i/>
          <w:sz w:val="20"/>
          <w:szCs w:val="20"/>
          <w:lang w:val="en-GB"/>
        </w:rPr>
      </w:pPr>
      <w:r w:rsidRPr="009D6FED">
        <w:rPr>
          <w:sz w:val="22"/>
          <w:szCs w:val="22"/>
          <w:lang w:val="en-GB"/>
        </w:rPr>
        <w:t xml:space="preserve">A section for recording biological sampling collection is now included in the Electronic Reporting application </w:t>
      </w:r>
      <w:proofErr w:type="spellStart"/>
      <w:r w:rsidRPr="009D6FED">
        <w:rPr>
          <w:i/>
          <w:sz w:val="22"/>
          <w:szCs w:val="22"/>
          <w:lang w:val="en-GB"/>
        </w:rPr>
        <w:t>OnShore</w:t>
      </w:r>
      <w:proofErr w:type="spellEnd"/>
      <w:r w:rsidRPr="009D6FED">
        <w:rPr>
          <w:sz w:val="22"/>
          <w:szCs w:val="22"/>
          <w:lang w:val="en-GB"/>
        </w:rPr>
        <w:t>, used by port samplers to collect size and</w:t>
      </w:r>
      <w:r w:rsidR="001F5FE9">
        <w:rPr>
          <w:sz w:val="22"/>
          <w:szCs w:val="22"/>
          <w:lang w:val="en-GB"/>
        </w:rPr>
        <w:t xml:space="preserve"> catch composition at landing, </w:t>
      </w:r>
      <w:r w:rsidRPr="009D6FED">
        <w:rPr>
          <w:sz w:val="22"/>
          <w:szCs w:val="22"/>
          <w:lang w:val="en-GB"/>
        </w:rPr>
        <w:t>link</w:t>
      </w:r>
      <w:r w:rsidR="001F5FE9">
        <w:rPr>
          <w:sz w:val="22"/>
          <w:szCs w:val="22"/>
          <w:lang w:val="en-GB"/>
        </w:rPr>
        <w:t>ing</w:t>
      </w:r>
      <w:r w:rsidRPr="009D6FED">
        <w:rPr>
          <w:sz w:val="22"/>
          <w:szCs w:val="22"/>
          <w:lang w:val="en-GB"/>
        </w:rPr>
        <w:t xml:space="preserve"> samples with the vessel’s details</w:t>
      </w:r>
      <w:r w:rsidR="001F5FE9">
        <w:rPr>
          <w:sz w:val="22"/>
          <w:szCs w:val="22"/>
          <w:lang w:val="en-GB"/>
        </w:rPr>
        <w:t xml:space="preserve"> and logsheet data</w:t>
      </w:r>
      <w:r w:rsidR="00333134">
        <w:rPr>
          <w:sz w:val="22"/>
          <w:szCs w:val="22"/>
          <w:lang w:val="en-GB"/>
        </w:rPr>
        <w:t xml:space="preserve">. </w:t>
      </w:r>
      <w:r w:rsidRPr="009D6FED">
        <w:rPr>
          <w:sz w:val="22"/>
          <w:szCs w:val="22"/>
          <w:lang w:val="en-GB"/>
        </w:rPr>
        <w:t>The data is directly uploaded to TUFMAN2</w:t>
      </w:r>
      <w:r w:rsidR="00333134">
        <w:rPr>
          <w:sz w:val="22"/>
          <w:szCs w:val="22"/>
          <w:lang w:val="en-GB"/>
        </w:rPr>
        <w:t>, with efforts ongoing to automate the transfer of information from TUFMAN2 to</w:t>
      </w:r>
      <w:r w:rsidR="001F5FE9">
        <w:rPr>
          <w:sz w:val="22"/>
          <w:szCs w:val="22"/>
          <w:lang w:val="en-GB"/>
        </w:rPr>
        <w:t xml:space="preserve"> </w:t>
      </w:r>
      <w:proofErr w:type="spellStart"/>
      <w:r w:rsidR="001F5FE9">
        <w:rPr>
          <w:sz w:val="22"/>
          <w:szCs w:val="22"/>
          <w:lang w:val="en-GB"/>
        </w:rPr>
        <w:t>BioDaSys</w:t>
      </w:r>
      <w:proofErr w:type="spellEnd"/>
      <w:r w:rsidR="001F5FE9">
        <w:rPr>
          <w:sz w:val="22"/>
          <w:szCs w:val="22"/>
          <w:lang w:val="en-GB"/>
        </w:rPr>
        <w:t xml:space="preserve">. </w:t>
      </w:r>
      <w:r w:rsidRPr="009D6FED">
        <w:rPr>
          <w:sz w:val="22"/>
          <w:szCs w:val="22"/>
          <w:lang w:val="en-GB"/>
        </w:rPr>
        <w:t xml:space="preserve">The biological sampling section of the application is still under testing and is presently only being used in New Caledonia for improvement before being tested in other locations. Inclusion of this section in the application </w:t>
      </w:r>
      <w:r w:rsidRPr="009D6FED">
        <w:rPr>
          <w:i/>
          <w:sz w:val="22"/>
          <w:szCs w:val="22"/>
          <w:lang w:val="en-GB"/>
        </w:rPr>
        <w:t>OLLO</w:t>
      </w:r>
      <w:r w:rsidRPr="009D6FED">
        <w:rPr>
          <w:sz w:val="22"/>
          <w:szCs w:val="22"/>
          <w:lang w:val="en-GB"/>
        </w:rPr>
        <w:t xml:space="preserve"> (Offline Longline Observer) for effort and catch data by at-sea observers is under </w:t>
      </w:r>
      <w:proofErr w:type="gramStart"/>
      <w:r w:rsidRPr="009D6FED">
        <w:rPr>
          <w:sz w:val="22"/>
          <w:szCs w:val="22"/>
          <w:lang w:val="en-GB"/>
        </w:rPr>
        <w:t>development, and</w:t>
      </w:r>
      <w:proofErr w:type="gramEnd"/>
      <w:r w:rsidRPr="009D6FED">
        <w:rPr>
          <w:sz w:val="22"/>
          <w:szCs w:val="22"/>
          <w:lang w:val="en-GB"/>
        </w:rPr>
        <w:t xml:space="preserve"> will be tested with observers embarking in New Caledonia who undertake biological sampling at-</w:t>
      </w:r>
      <w:r w:rsidR="00DF0DCA">
        <w:rPr>
          <w:sz w:val="22"/>
          <w:szCs w:val="22"/>
          <w:lang w:val="en-GB"/>
        </w:rPr>
        <w:t>sea.</w:t>
      </w:r>
    </w:p>
    <w:p w14:paraId="6D17A029" w14:textId="77777777" w:rsidR="00581050" w:rsidRDefault="00581050" w:rsidP="00EE25A6">
      <w:pPr>
        <w:spacing w:after="120"/>
        <w:jc w:val="both"/>
        <w:rPr>
          <w:bCs/>
          <w:sz w:val="22"/>
          <w:szCs w:val="22"/>
          <w:lang w:val="en-GB"/>
        </w:rPr>
      </w:pPr>
    </w:p>
    <w:p w14:paraId="7694D95D" w14:textId="32F53F55" w:rsidR="00E31578" w:rsidRDefault="00041622" w:rsidP="00041622">
      <w:pPr>
        <w:pStyle w:val="Heading2"/>
      </w:pPr>
      <w:r>
        <w:t>Tuna Tissue Bank Access</w:t>
      </w:r>
    </w:p>
    <w:p w14:paraId="306A109C" w14:textId="65B00F8F" w:rsidR="00581050" w:rsidRPr="000D7F26" w:rsidRDefault="008A21EB" w:rsidP="008A21EB">
      <w:pPr>
        <w:spacing w:after="120"/>
        <w:jc w:val="both"/>
        <w:rPr>
          <w:bCs/>
          <w:sz w:val="22"/>
          <w:szCs w:val="22"/>
          <w:lang w:val="en-GB"/>
        </w:rPr>
      </w:pPr>
      <w:r>
        <w:rPr>
          <w:bCs/>
          <w:sz w:val="22"/>
          <w:szCs w:val="22"/>
          <w:lang w:val="en-GB"/>
        </w:rPr>
        <w:t>The Scientific Committee may decide to make</w:t>
      </w:r>
      <w:r w:rsidR="00581050" w:rsidRPr="009D6FED">
        <w:rPr>
          <w:bCs/>
          <w:sz w:val="22"/>
          <w:szCs w:val="22"/>
          <w:lang w:val="en-GB"/>
        </w:rPr>
        <w:t xml:space="preserve"> </w:t>
      </w:r>
      <w:r>
        <w:rPr>
          <w:bCs/>
          <w:sz w:val="22"/>
          <w:szCs w:val="22"/>
          <w:lang w:val="en-GB"/>
        </w:rPr>
        <w:t xml:space="preserve">TTB </w:t>
      </w:r>
      <w:r w:rsidR="00581050" w:rsidRPr="009D6FED">
        <w:rPr>
          <w:bCs/>
          <w:sz w:val="22"/>
          <w:szCs w:val="22"/>
          <w:lang w:val="en-GB"/>
        </w:rPr>
        <w:t xml:space="preserve">samples available to third party organisations </w:t>
      </w:r>
      <w:r>
        <w:rPr>
          <w:bCs/>
          <w:sz w:val="22"/>
          <w:szCs w:val="22"/>
          <w:lang w:val="en-GB"/>
        </w:rPr>
        <w:t xml:space="preserve">to </w:t>
      </w:r>
      <w:r w:rsidR="000D7F26">
        <w:rPr>
          <w:bCs/>
          <w:sz w:val="22"/>
          <w:szCs w:val="22"/>
          <w:lang w:val="en-GB"/>
        </w:rPr>
        <w:t xml:space="preserve">fast track certain </w:t>
      </w:r>
      <w:proofErr w:type="gramStart"/>
      <w:r w:rsidR="000D7F26">
        <w:rPr>
          <w:bCs/>
          <w:sz w:val="22"/>
          <w:szCs w:val="22"/>
          <w:lang w:val="en-GB"/>
        </w:rPr>
        <w:t>analyses, and</w:t>
      </w:r>
      <w:proofErr w:type="gramEnd"/>
      <w:r w:rsidR="000D7F26">
        <w:rPr>
          <w:bCs/>
          <w:sz w:val="22"/>
          <w:szCs w:val="22"/>
          <w:lang w:val="en-GB"/>
        </w:rPr>
        <w:t xml:space="preserve"> has established a protocol for third party access to the TTB. </w:t>
      </w:r>
      <w:r w:rsidR="00581050" w:rsidRPr="009D6FED">
        <w:rPr>
          <w:bCs/>
          <w:sz w:val="22"/>
          <w:szCs w:val="22"/>
          <w:lang w:val="en-GB"/>
        </w:rPr>
        <w:t xml:space="preserve">Apart from pre-approved WCPFC projects (e.g. CSIRO work on yellowfin tuna under Project 82, ongoing work by the Scientific Services Provider), there has been one new request to withdraw samples from the TTB in 2018-19.  The request was sent to the WCPFC Research Sub-Committee for </w:t>
      </w:r>
      <w:proofErr w:type="gramStart"/>
      <w:r w:rsidR="00581050" w:rsidRPr="009D6FED">
        <w:rPr>
          <w:bCs/>
          <w:sz w:val="22"/>
          <w:szCs w:val="22"/>
          <w:lang w:val="en-GB"/>
        </w:rPr>
        <w:t>approval, but</w:t>
      </w:r>
      <w:proofErr w:type="gramEnd"/>
      <w:r w:rsidR="00581050" w:rsidRPr="009D6FED">
        <w:rPr>
          <w:bCs/>
          <w:sz w:val="22"/>
          <w:szCs w:val="22"/>
          <w:lang w:val="en-GB"/>
        </w:rPr>
        <w:t xml:space="preserve"> remains pending consideration of WCPFCs strategic research approach to tuna population structure (see Macdonald et al., 2019). Sample extraction for two previously approved projects and Project 82 were completed</w:t>
      </w:r>
      <w:r w:rsidR="001E467A">
        <w:rPr>
          <w:bCs/>
          <w:sz w:val="22"/>
          <w:szCs w:val="22"/>
          <w:lang w:val="en-GB"/>
        </w:rPr>
        <w:t xml:space="preserve"> in 2018-19</w:t>
      </w:r>
      <w:r>
        <w:rPr>
          <w:bCs/>
          <w:sz w:val="22"/>
          <w:szCs w:val="22"/>
          <w:lang w:val="en-GB"/>
        </w:rPr>
        <w:t>.</w:t>
      </w:r>
    </w:p>
    <w:p w14:paraId="700BED10" w14:textId="2419A928" w:rsidR="00581050" w:rsidRDefault="00581050" w:rsidP="00581050">
      <w:pPr>
        <w:spacing w:after="120"/>
        <w:jc w:val="both"/>
        <w:rPr>
          <w:bCs/>
          <w:sz w:val="22"/>
          <w:szCs w:val="22"/>
          <w:lang w:val="en-GB"/>
        </w:rPr>
      </w:pPr>
      <w:r w:rsidRPr="009D6FED">
        <w:rPr>
          <w:bCs/>
          <w:sz w:val="22"/>
          <w:szCs w:val="22"/>
          <w:lang w:val="en-GB"/>
        </w:rPr>
        <w:t xml:space="preserve">All researchers with current projects withdrawing specimens from the TTB (five) have provided annual progress reports to the WCPFC Secretariat. A further paper has been submitted to the scientific committee of the WCPFC to report the results </w:t>
      </w:r>
      <w:r w:rsidR="00BA2C1C">
        <w:rPr>
          <w:bCs/>
          <w:sz w:val="22"/>
          <w:szCs w:val="22"/>
          <w:lang w:val="en-GB"/>
        </w:rPr>
        <w:t xml:space="preserve">of Project 82 </w:t>
      </w:r>
      <w:r w:rsidRPr="009D6FED">
        <w:rPr>
          <w:bCs/>
          <w:sz w:val="22"/>
          <w:szCs w:val="22"/>
          <w:lang w:val="en-GB"/>
        </w:rPr>
        <w:t xml:space="preserve">(Farley et al., 2019). Two projects have resulted in primary literature publications (Anderson et al., 2019; </w:t>
      </w:r>
      <w:proofErr w:type="spellStart"/>
      <w:r w:rsidRPr="009D6FED">
        <w:rPr>
          <w:bCs/>
          <w:sz w:val="22"/>
          <w:szCs w:val="22"/>
          <w:lang w:val="en-GB"/>
        </w:rPr>
        <w:t>Houssard</w:t>
      </w:r>
      <w:proofErr w:type="spellEnd"/>
      <w:r w:rsidRPr="009D6FED">
        <w:rPr>
          <w:bCs/>
          <w:sz w:val="22"/>
          <w:szCs w:val="22"/>
          <w:lang w:val="en-GB"/>
        </w:rPr>
        <w:t xml:space="preserve"> et al., 2019). Several of the other projects have papers in review for publication.</w:t>
      </w:r>
    </w:p>
    <w:p w14:paraId="58D0B4C5" w14:textId="77777777" w:rsidR="009F6C7D" w:rsidRPr="009D6FED" w:rsidRDefault="009F6C7D" w:rsidP="00581050">
      <w:pPr>
        <w:spacing w:after="120"/>
        <w:jc w:val="both"/>
        <w:rPr>
          <w:bCs/>
          <w:sz w:val="22"/>
          <w:szCs w:val="22"/>
          <w:lang w:val="en-GB"/>
        </w:rPr>
      </w:pPr>
    </w:p>
    <w:p w14:paraId="6B13DEBE" w14:textId="2F332122" w:rsidR="00041622" w:rsidRDefault="009C71CE" w:rsidP="00041622">
      <w:pPr>
        <w:pStyle w:val="Heading2"/>
      </w:pPr>
      <w:r>
        <w:lastRenderedPageBreak/>
        <w:t>Other w</w:t>
      </w:r>
      <w:r w:rsidR="00041622">
        <w:t>ork to maintain and enhance the tuna tissue bank</w:t>
      </w:r>
    </w:p>
    <w:p w14:paraId="35A3F4C9" w14:textId="5F29AFAC" w:rsidR="003760B1" w:rsidRDefault="003760B1" w:rsidP="003760B1">
      <w:pPr>
        <w:spacing w:after="120"/>
        <w:jc w:val="both"/>
        <w:rPr>
          <w:bCs/>
          <w:sz w:val="22"/>
          <w:szCs w:val="22"/>
          <w:lang w:val="en-GB"/>
        </w:rPr>
      </w:pPr>
      <w:r w:rsidRPr="009D6FED">
        <w:rPr>
          <w:bCs/>
          <w:sz w:val="22"/>
          <w:szCs w:val="22"/>
          <w:lang w:val="en-GB"/>
        </w:rPr>
        <w:t>In the second half of 2019 a range of refinements to the laboratory are occurring – wet lab data-entry and online access to identification materials, new microscopes and cameras, and a fish x-ray machine – which will all improve curation</w:t>
      </w:r>
      <w:r w:rsidR="00491764">
        <w:rPr>
          <w:bCs/>
          <w:sz w:val="22"/>
          <w:szCs w:val="22"/>
          <w:lang w:val="en-GB"/>
        </w:rPr>
        <w:t xml:space="preserve"> of specimens and data quality.</w:t>
      </w:r>
    </w:p>
    <w:p w14:paraId="5D45496D" w14:textId="36F9800A" w:rsidR="00491764" w:rsidRDefault="00491764" w:rsidP="003760B1">
      <w:pPr>
        <w:spacing w:after="120"/>
        <w:jc w:val="both"/>
        <w:rPr>
          <w:bCs/>
          <w:sz w:val="22"/>
          <w:szCs w:val="22"/>
          <w:lang w:val="en-GB"/>
        </w:rPr>
      </w:pPr>
      <w:r w:rsidRPr="009D6FED">
        <w:rPr>
          <w:bCs/>
          <w:sz w:val="22"/>
          <w:szCs w:val="22"/>
          <w:lang w:val="en-GB"/>
        </w:rPr>
        <w:t>An analysis of data colle</w:t>
      </w:r>
      <w:r>
        <w:rPr>
          <w:bCs/>
          <w:sz w:val="22"/>
          <w:szCs w:val="22"/>
          <w:lang w:val="en-GB"/>
        </w:rPr>
        <w:t>cted to date is planned for 2019-20</w:t>
      </w:r>
      <w:r w:rsidRPr="009D6FED">
        <w:rPr>
          <w:bCs/>
          <w:sz w:val="22"/>
          <w:szCs w:val="22"/>
          <w:lang w:val="en-GB"/>
        </w:rPr>
        <w:t>. The planned review of material for genetic studies (Macdonald et al., 2019) will contribute in the context of a closer examination of age and quality issues.</w:t>
      </w:r>
    </w:p>
    <w:p w14:paraId="1DA47DAB" w14:textId="3141BAF9" w:rsidR="00041622" w:rsidRPr="009D6FED" w:rsidRDefault="00041622" w:rsidP="00E67F85">
      <w:pPr>
        <w:spacing w:after="120"/>
        <w:jc w:val="both"/>
        <w:rPr>
          <w:highlight w:val="yellow"/>
          <w:lang w:val="en-GB" w:eastAsia="en-AU"/>
        </w:rPr>
      </w:pPr>
      <w:r w:rsidRPr="009D6FED">
        <w:rPr>
          <w:bCs/>
          <w:sz w:val="22"/>
          <w:szCs w:val="22"/>
          <w:lang w:val="en-GB"/>
        </w:rPr>
        <w:t xml:space="preserve">In 2017, SC noted that cost recovery for TTB samples should begin to be explored, especially for third-party applications. To date, many applications have met most of the direct freight costs (e.g. freight from storage location to their lab). </w:t>
      </w:r>
      <w:r w:rsidR="00001929">
        <w:rPr>
          <w:bCs/>
          <w:sz w:val="22"/>
          <w:szCs w:val="22"/>
          <w:lang w:val="en-GB"/>
        </w:rPr>
        <w:t xml:space="preserve">As discussed in SPC-OFP (2018), </w:t>
      </w:r>
      <w:r w:rsidR="003B696B">
        <w:rPr>
          <w:bCs/>
          <w:sz w:val="22"/>
          <w:szCs w:val="22"/>
          <w:lang w:val="en-GB"/>
        </w:rPr>
        <w:t xml:space="preserve">additional </w:t>
      </w:r>
      <w:r w:rsidR="00001929">
        <w:rPr>
          <w:bCs/>
          <w:sz w:val="22"/>
          <w:szCs w:val="22"/>
          <w:lang w:val="en-GB"/>
        </w:rPr>
        <w:t>costs were</w:t>
      </w:r>
      <w:r w:rsidR="003B696B">
        <w:rPr>
          <w:bCs/>
          <w:sz w:val="22"/>
          <w:szCs w:val="22"/>
          <w:lang w:val="en-GB"/>
        </w:rPr>
        <w:t xml:space="preserve"> also</w:t>
      </w:r>
      <w:r w:rsidR="00001929">
        <w:rPr>
          <w:bCs/>
          <w:sz w:val="22"/>
          <w:szCs w:val="22"/>
          <w:lang w:val="en-GB"/>
        </w:rPr>
        <w:t xml:space="preserve"> recovered for a </w:t>
      </w:r>
      <w:proofErr w:type="gramStart"/>
      <w:r w:rsidR="00001929">
        <w:rPr>
          <w:bCs/>
          <w:sz w:val="22"/>
          <w:szCs w:val="22"/>
          <w:lang w:val="en-GB"/>
        </w:rPr>
        <w:t>third party</w:t>
      </w:r>
      <w:proofErr w:type="gramEnd"/>
      <w:r w:rsidR="00001929">
        <w:rPr>
          <w:bCs/>
          <w:sz w:val="22"/>
          <w:szCs w:val="22"/>
          <w:lang w:val="en-GB"/>
        </w:rPr>
        <w:t xml:space="preserve"> application. </w:t>
      </w:r>
      <w:r w:rsidRPr="009D6FED">
        <w:rPr>
          <w:bCs/>
          <w:sz w:val="22"/>
          <w:szCs w:val="22"/>
          <w:lang w:val="en-GB"/>
        </w:rPr>
        <w:t xml:space="preserve">Although a significant step forward for the TTB, </w:t>
      </w:r>
      <w:r w:rsidR="00203DB9">
        <w:rPr>
          <w:bCs/>
          <w:sz w:val="22"/>
          <w:szCs w:val="22"/>
          <w:lang w:val="en-GB"/>
        </w:rPr>
        <w:t>this process</w:t>
      </w:r>
      <w:r w:rsidR="00203DB9" w:rsidRPr="009D6FED">
        <w:rPr>
          <w:bCs/>
          <w:sz w:val="22"/>
          <w:szCs w:val="22"/>
          <w:lang w:val="en-GB"/>
        </w:rPr>
        <w:t xml:space="preserve"> </w:t>
      </w:r>
      <w:r w:rsidRPr="009D6FED">
        <w:rPr>
          <w:bCs/>
          <w:sz w:val="22"/>
          <w:szCs w:val="22"/>
          <w:lang w:val="en-GB"/>
        </w:rPr>
        <w:t xml:space="preserve">also highlighted many issues with engaging in cost recovery. Some of the </w:t>
      </w:r>
      <w:r w:rsidR="00760A71">
        <w:rPr>
          <w:bCs/>
          <w:sz w:val="22"/>
          <w:szCs w:val="22"/>
          <w:lang w:val="en-GB"/>
        </w:rPr>
        <w:t>recent and ongoing</w:t>
      </w:r>
      <w:r w:rsidRPr="009D6FED">
        <w:rPr>
          <w:bCs/>
          <w:sz w:val="22"/>
          <w:szCs w:val="22"/>
          <w:lang w:val="en-GB"/>
        </w:rPr>
        <w:t xml:space="preserve"> enhancements in </w:t>
      </w:r>
      <w:proofErr w:type="spellStart"/>
      <w:r w:rsidRPr="009D6FED">
        <w:rPr>
          <w:bCs/>
          <w:sz w:val="22"/>
          <w:szCs w:val="22"/>
          <w:lang w:val="en-GB"/>
        </w:rPr>
        <w:t>BioDaSys</w:t>
      </w:r>
      <w:proofErr w:type="spellEnd"/>
      <w:r w:rsidRPr="009D6FED">
        <w:rPr>
          <w:bCs/>
          <w:sz w:val="22"/>
          <w:szCs w:val="22"/>
          <w:lang w:val="en-GB"/>
        </w:rPr>
        <w:t xml:space="preserve"> are designed t</w:t>
      </w:r>
      <w:r w:rsidR="00081716">
        <w:rPr>
          <w:bCs/>
          <w:sz w:val="22"/>
          <w:szCs w:val="22"/>
          <w:lang w:val="en-GB"/>
        </w:rPr>
        <w:t>o support more precise costing.</w:t>
      </w:r>
    </w:p>
    <w:p w14:paraId="2465E32A" w14:textId="671BF4AA" w:rsidR="001D36C2" w:rsidRDefault="00177FDF" w:rsidP="005C191C">
      <w:pPr>
        <w:pStyle w:val="Heading1"/>
      </w:pPr>
      <w:r w:rsidRPr="009D6FED">
        <w:t>2019-2020 Work Plan</w:t>
      </w:r>
    </w:p>
    <w:p w14:paraId="655FE991" w14:textId="74A19B42" w:rsidR="00177FDF" w:rsidRPr="009D6FED" w:rsidRDefault="009F7802" w:rsidP="00177FDF">
      <w:pPr>
        <w:pStyle w:val="Heading2"/>
      </w:pPr>
      <w:r>
        <w:t>General workplan</w:t>
      </w:r>
    </w:p>
    <w:p w14:paraId="36860130" w14:textId="1AEECD17" w:rsidR="005C191C" w:rsidRPr="009D6FED" w:rsidRDefault="005C191C" w:rsidP="005C191C">
      <w:pPr>
        <w:spacing w:after="120"/>
        <w:jc w:val="both"/>
        <w:rPr>
          <w:bCs/>
          <w:sz w:val="22"/>
          <w:szCs w:val="22"/>
          <w:lang w:val="en-GB"/>
        </w:rPr>
      </w:pPr>
      <w:r w:rsidRPr="009D6FED">
        <w:rPr>
          <w:bCs/>
          <w:sz w:val="22"/>
          <w:szCs w:val="22"/>
          <w:lang w:val="en-GB"/>
        </w:rPr>
        <w:t>This project is intended to be ongoing. The efforts of people of the region contributing to the TTB are core to maintaining the TTB. Given the success of the TTB to date, consideration should be given to incorporating the budget into the 2020 budget and 2021-22 indicative budgets, especially as Scientific Committee endorsed this as a high priority ongoing project in 2018 (Anon., 201</w:t>
      </w:r>
      <w:r w:rsidR="0011534B">
        <w:rPr>
          <w:bCs/>
          <w:sz w:val="22"/>
          <w:szCs w:val="22"/>
          <w:lang w:val="en-GB"/>
        </w:rPr>
        <w:t>8</w:t>
      </w:r>
      <w:r w:rsidRPr="009D6FED">
        <w:rPr>
          <w:bCs/>
          <w:sz w:val="22"/>
          <w:szCs w:val="22"/>
          <w:lang w:val="en-GB"/>
        </w:rPr>
        <w:t>). The following additional work arises from this report on the TTB in 201</w:t>
      </w:r>
      <w:r>
        <w:rPr>
          <w:bCs/>
          <w:sz w:val="22"/>
          <w:szCs w:val="22"/>
          <w:lang w:val="en-GB"/>
        </w:rPr>
        <w:t>9-20</w:t>
      </w:r>
      <w:r w:rsidRPr="009D6FED">
        <w:rPr>
          <w:bCs/>
          <w:sz w:val="22"/>
          <w:szCs w:val="22"/>
          <w:lang w:val="en-GB"/>
        </w:rPr>
        <w:t>. Note that this work should be completed withi</w:t>
      </w:r>
      <w:r w:rsidR="005F46E2">
        <w:rPr>
          <w:bCs/>
          <w:sz w:val="22"/>
          <w:szCs w:val="22"/>
          <w:lang w:val="en-GB"/>
        </w:rPr>
        <w:t>n the existing proposed budget.</w:t>
      </w:r>
    </w:p>
    <w:p w14:paraId="4DE869B3" w14:textId="77777777" w:rsidR="005C191C" w:rsidRPr="009D6FED" w:rsidRDefault="005C191C" w:rsidP="005C191C">
      <w:pPr>
        <w:spacing w:after="120"/>
        <w:jc w:val="both"/>
        <w:rPr>
          <w:bCs/>
          <w:sz w:val="22"/>
          <w:szCs w:val="22"/>
          <w:lang w:val="en-GB"/>
        </w:rPr>
      </w:pPr>
      <w:r w:rsidRPr="009D6FED">
        <w:rPr>
          <w:bCs/>
          <w:sz w:val="22"/>
          <w:szCs w:val="22"/>
          <w:lang w:val="en-GB"/>
        </w:rPr>
        <w:t>In addition to maintaining and operating the TTB, in 201</w:t>
      </w:r>
      <w:r>
        <w:rPr>
          <w:bCs/>
          <w:sz w:val="22"/>
          <w:szCs w:val="22"/>
          <w:lang w:val="en-GB"/>
        </w:rPr>
        <w:t>9-20</w:t>
      </w:r>
      <w:r w:rsidRPr="009D6FED">
        <w:rPr>
          <w:bCs/>
          <w:sz w:val="22"/>
          <w:szCs w:val="22"/>
          <w:lang w:val="en-GB"/>
        </w:rPr>
        <w:t xml:space="preserve"> proposed enhancement work includes:</w:t>
      </w:r>
    </w:p>
    <w:p w14:paraId="682BDB01"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Further investment in training standards and in observer and observer-trainer training to enhance biological sampling as an ROP observer core duty, ensuring that the repository continues to develop – note that this requires support from Project 42, and may also integrate with Project 90 sample collection where possible;</w:t>
      </w:r>
    </w:p>
    <w:p w14:paraId="757DB38A"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 xml:space="preserve">Investigate incentives to increase the number of samples collected by observers. Additional rewards </w:t>
      </w:r>
      <w:r w:rsidRPr="009D6FED">
        <w:rPr>
          <w:color w:val="000000"/>
          <w:sz w:val="22"/>
          <w:szCs w:val="22"/>
          <w:lang w:val="en-GB" w:eastAsia="en-AU"/>
        </w:rPr>
        <w:t xml:space="preserve">could be provided to the observers when reaching a certain amount of fish sampled and/or after a certain number of trips involving collection of biological samples; </w:t>
      </w:r>
    </w:p>
    <w:p w14:paraId="725DB0D6" w14:textId="77777777" w:rsidR="005C191C" w:rsidRPr="009D6FED" w:rsidRDefault="005C191C" w:rsidP="005C191C">
      <w:pPr>
        <w:pStyle w:val="ListParagraph"/>
        <w:numPr>
          <w:ilvl w:val="0"/>
          <w:numId w:val="5"/>
        </w:numPr>
        <w:spacing w:after="120"/>
        <w:jc w:val="both"/>
        <w:rPr>
          <w:bCs/>
          <w:sz w:val="22"/>
          <w:szCs w:val="22"/>
          <w:lang w:val="en-GB"/>
        </w:rPr>
      </w:pPr>
      <w:r w:rsidRPr="009D6FED">
        <w:rPr>
          <w:color w:val="000000"/>
          <w:sz w:val="22"/>
          <w:szCs w:val="22"/>
          <w:lang w:val="en-GB" w:eastAsia="en-AU"/>
        </w:rPr>
        <w:t>Developing Electronic Reporting tools for biological sample collection to facilitate data collection and improve data quality;</w:t>
      </w:r>
    </w:p>
    <w:p w14:paraId="0F55FDC0"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Developing approaches to better ensuring marlin are correctly identified at time of sample collection, including better species identification guides and ensuring those working at sea and in port have species identification guides available;</w:t>
      </w:r>
    </w:p>
    <w:p w14:paraId="70F479E7"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 xml:space="preserve">Ongoing development of protocols for standard TTB extraction approaches and having such protocols stored on </w:t>
      </w:r>
      <w:proofErr w:type="spellStart"/>
      <w:r w:rsidRPr="009D6FED">
        <w:rPr>
          <w:bCs/>
          <w:sz w:val="22"/>
          <w:szCs w:val="22"/>
          <w:lang w:val="en-GB"/>
        </w:rPr>
        <w:t>BioDaSys</w:t>
      </w:r>
      <w:proofErr w:type="spellEnd"/>
      <w:r w:rsidRPr="009D6FED">
        <w:rPr>
          <w:bCs/>
          <w:sz w:val="22"/>
          <w:szCs w:val="22"/>
          <w:lang w:val="en-GB"/>
        </w:rPr>
        <w:t xml:space="preserve"> (e.g. for otoliths for sectioning);</w:t>
      </w:r>
    </w:p>
    <w:p w14:paraId="6DF573DF"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 xml:space="preserve">Ongoing </w:t>
      </w:r>
      <w:proofErr w:type="spellStart"/>
      <w:r w:rsidRPr="009D6FED">
        <w:rPr>
          <w:bCs/>
          <w:sz w:val="22"/>
          <w:szCs w:val="22"/>
          <w:lang w:val="en-GB"/>
        </w:rPr>
        <w:t>BioDaSys</w:t>
      </w:r>
      <w:proofErr w:type="spellEnd"/>
      <w:r w:rsidRPr="009D6FED">
        <w:rPr>
          <w:bCs/>
          <w:sz w:val="22"/>
          <w:szCs w:val="22"/>
          <w:lang w:val="en-GB"/>
        </w:rPr>
        <w:t xml:space="preserve"> tracking developments including the physical size of a specimen on arrival (e.g. volume or mass for a muscle sample), and changes to the sample size as a result of any use through approved access to the TTB;</w:t>
      </w:r>
    </w:p>
    <w:p w14:paraId="7C6B3402"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Ongoing development of protocols for managing the longevity of specimens in the bank;</w:t>
      </w:r>
    </w:p>
    <w:p w14:paraId="37B736A0"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 xml:space="preserve">With the WCPFC Secretariat and input from the Research Sub-Committee, ongoing refinement of the </w:t>
      </w:r>
      <w:r w:rsidRPr="009D6FED">
        <w:rPr>
          <w:color w:val="000000"/>
          <w:sz w:val="22"/>
          <w:szCs w:val="22"/>
          <w:lang w:val="en-GB" w:eastAsia="en-AU"/>
        </w:rPr>
        <w:t>procedures for granting access to the WCPFC Tuna Tissue Bank by third parties for consideration at SC</w:t>
      </w:r>
      <w:r w:rsidRPr="009D6FED">
        <w:rPr>
          <w:bCs/>
          <w:sz w:val="22"/>
          <w:szCs w:val="22"/>
          <w:lang w:val="en-GB"/>
        </w:rPr>
        <w:t>;</w:t>
      </w:r>
    </w:p>
    <w:p w14:paraId="0AB76262"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With the WCPFC Secretariat, continue to consider and develop cost recovery approaches for third party applications;</w:t>
      </w:r>
    </w:p>
    <w:p w14:paraId="7013598C" w14:textId="77777777"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t>Continue work with the WCPFC Secretariat to inform the development of protocols and procedures to ensure that the WCPFC TTB remains aligned with the key elements of the Nagoya Protocol;</w:t>
      </w:r>
    </w:p>
    <w:p w14:paraId="315F4340" w14:textId="15C04194" w:rsidR="005C191C" w:rsidRPr="009D6FED" w:rsidRDefault="005C191C" w:rsidP="005C191C">
      <w:pPr>
        <w:pStyle w:val="ListParagraph"/>
        <w:numPr>
          <w:ilvl w:val="0"/>
          <w:numId w:val="5"/>
        </w:numPr>
        <w:spacing w:after="120"/>
        <w:jc w:val="both"/>
        <w:rPr>
          <w:bCs/>
          <w:sz w:val="22"/>
          <w:szCs w:val="22"/>
          <w:lang w:val="en-GB"/>
        </w:rPr>
      </w:pPr>
      <w:r w:rsidRPr="009D6FED">
        <w:rPr>
          <w:bCs/>
          <w:sz w:val="22"/>
          <w:szCs w:val="22"/>
          <w:lang w:val="en-GB"/>
        </w:rPr>
        <w:lastRenderedPageBreak/>
        <w:t>Doubling the capacity of standard cold storage capacity in Noumea, and the associated reorganisation of sample storage; and</w:t>
      </w:r>
    </w:p>
    <w:p w14:paraId="2EA3BD9A" w14:textId="77777777" w:rsidR="005C191C" w:rsidRPr="009D6FED" w:rsidRDefault="005C191C" w:rsidP="005C191C">
      <w:pPr>
        <w:pStyle w:val="ListParagraph"/>
        <w:numPr>
          <w:ilvl w:val="0"/>
          <w:numId w:val="5"/>
        </w:numPr>
        <w:spacing w:after="120"/>
        <w:jc w:val="both"/>
        <w:rPr>
          <w:bCs/>
          <w:sz w:val="22"/>
          <w:szCs w:val="22"/>
          <w:lang w:val="en-GB"/>
        </w:rPr>
      </w:pPr>
      <w:r w:rsidRPr="009D6FED">
        <w:rPr>
          <w:sz w:val="22"/>
          <w:szCs w:val="22"/>
          <w:lang w:val="en-GB"/>
        </w:rPr>
        <w:t>Continuing work on designing and seeking funding for strategic investment in a super-cold storage facility, required to ensure the longevity and relevance of the WCPFC TTB, noting the cost of initial design work has been met by New Zealand.</w:t>
      </w:r>
    </w:p>
    <w:p w14:paraId="5A7C2646" w14:textId="3D538D64" w:rsidR="00177FDF" w:rsidRPr="009D6FED" w:rsidRDefault="004942E2" w:rsidP="00177FDF">
      <w:pPr>
        <w:pStyle w:val="Heading2"/>
      </w:pPr>
      <w:r>
        <w:t>I</w:t>
      </w:r>
      <w:r w:rsidR="00177FDF" w:rsidRPr="009D6FED">
        <w:t>ncreasing biological sampling rates</w:t>
      </w:r>
    </w:p>
    <w:p w14:paraId="37525E54" w14:textId="7BF34B25" w:rsidR="00980965" w:rsidRPr="009D6FED" w:rsidRDefault="0060714E" w:rsidP="00861CFB">
      <w:pPr>
        <w:jc w:val="both"/>
        <w:rPr>
          <w:lang w:val="en-GB" w:eastAsia="en-GB"/>
        </w:rPr>
      </w:pPr>
      <w:r>
        <w:rPr>
          <w:color w:val="000000"/>
          <w:sz w:val="22"/>
          <w:szCs w:val="22"/>
          <w:lang w:val="en-GB" w:eastAsia="en-AU"/>
        </w:rPr>
        <w:t>T</w:t>
      </w:r>
      <w:r w:rsidR="00463F51">
        <w:rPr>
          <w:color w:val="000000"/>
          <w:sz w:val="22"/>
          <w:szCs w:val="22"/>
          <w:lang w:val="en-GB" w:eastAsia="en-AU"/>
        </w:rPr>
        <w:t>he number of samples collected by observers in 2018 represented a substantial decline from 2017 levels</w:t>
      </w:r>
      <w:r w:rsidR="00F67B51">
        <w:rPr>
          <w:color w:val="000000"/>
          <w:sz w:val="22"/>
          <w:szCs w:val="22"/>
          <w:lang w:val="en-GB" w:eastAsia="en-AU"/>
        </w:rPr>
        <w:t>, dropping by approximately 50%</w:t>
      </w:r>
      <w:r w:rsidR="00463F51">
        <w:rPr>
          <w:color w:val="000000"/>
          <w:sz w:val="22"/>
          <w:szCs w:val="22"/>
          <w:lang w:val="en-GB" w:eastAsia="en-AU"/>
        </w:rPr>
        <w:t xml:space="preserve">. </w:t>
      </w:r>
      <w:r w:rsidR="00861CFB" w:rsidRPr="009D6FED">
        <w:rPr>
          <w:color w:val="000000"/>
          <w:sz w:val="22"/>
          <w:szCs w:val="22"/>
          <w:lang w:val="en-GB" w:eastAsia="en-AU"/>
        </w:rPr>
        <w:t xml:space="preserve">Alternative approaches to incentivise sampling effort </w:t>
      </w:r>
      <w:r w:rsidR="009E6BB8">
        <w:rPr>
          <w:color w:val="000000"/>
          <w:sz w:val="22"/>
          <w:szCs w:val="22"/>
          <w:lang w:val="en-GB" w:eastAsia="en-AU"/>
        </w:rPr>
        <w:t xml:space="preserve">will </w:t>
      </w:r>
      <w:r w:rsidR="00861CFB" w:rsidRPr="009D6FED">
        <w:rPr>
          <w:color w:val="000000"/>
          <w:sz w:val="22"/>
          <w:szCs w:val="22"/>
          <w:lang w:val="en-GB" w:eastAsia="en-AU"/>
        </w:rPr>
        <w:t>continue to be investigated, and revitalised member support is needed</w:t>
      </w:r>
      <w:r w:rsidR="00347A8A">
        <w:rPr>
          <w:color w:val="000000"/>
          <w:sz w:val="22"/>
          <w:szCs w:val="22"/>
          <w:lang w:val="en-GB" w:eastAsia="en-AU"/>
        </w:rPr>
        <w:t xml:space="preserve">, in order to provide </w:t>
      </w:r>
      <w:proofErr w:type="gramStart"/>
      <w:r w:rsidR="00347A8A">
        <w:rPr>
          <w:color w:val="000000"/>
          <w:sz w:val="22"/>
          <w:szCs w:val="22"/>
          <w:lang w:val="en-GB" w:eastAsia="en-AU"/>
        </w:rPr>
        <w:t>sufficient</w:t>
      </w:r>
      <w:proofErr w:type="gramEnd"/>
      <w:r w:rsidR="00347A8A">
        <w:rPr>
          <w:color w:val="000000"/>
          <w:sz w:val="22"/>
          <w:szCs w:val="22"/>
          <w:lang w:val="en-GB" w:eastAsia="en-AU"/>
        </w:rPr>
        <w:t xml:space="preserve"> samples to support the work of </w:t>
      </w:r>
      <w:r w:rsidR="00DF22FC">
        <w:rPr>
          <w:color w:val="000000"/>
          <w:sz w:val="22"/>
          <w:szCs w:val="22"/>
          <w:lang w:val="en-GB" w:eastAsia="en-AU"/>
        </w:rPr>
        <w:t>WCPFC.</w:t>
      </w:r>
    </w:p>
    <w:p w14:paraId="79BB3A70" w14:textId="647A51FF" w:rsidR="00177FDF" w:rsidRPr="009D6FED" w:rsidRDefault="00177FDF" w:rsidP="00177FDF">
      <w:pPr>
        <w:pStyle w:val="Heading2"/>
      </w:pPr>
      <w:r w:rsidRPr="009D6FED">
        <w:t>Tuna stock structure strategic research</w:t>
      </w:r>
    </w:p>
    <w:p w14:paraId="62C1F358" w14:textId="252E4718" w:rsidR="006D7527" w:rsidRDefault="00A87ECF" w:rsidP="00A87ECF">
      <w:pPr>
        <w:jc w:val="both"/>
        <w:rPr>
          <w:sz w:val="22"/>
          <w:lang w:val="en-GB" w:eastAsia="en-GB"/>
        </w:rPr>
      </w:pPr>
      <w:r w:rsidRPr="00A87ECF">
        <w:rPr>
          <w:sz w:val="22"/>
          <w:lang w:val="en-GB" w:eastAsia="en-GB"/>
        </w:rPr>
        <w:t xml:space="preserve">As a move towards a better understanding of tuna stock structure in the region, an international workshop ‘Identifying the spatial structure of Pacific tuna stocks’ was convened at the Pacific Community (SPC) in </w:t>
      </w:r>
      <w:proofErr w:type="spellStart"/>
      <w:r w:rsidRPr="00A87ECF">
        <w:rPr>
          <w:sz w:val="22"/>
          <w:lang w:val="en-GB" w:eastAsia="en-GB"/>
        </w:rPr>
        <w:t>Nouméa</w:t>
      </w:r>
      <w:proofErr w:type="spellEnd"/>
      <w:r w:rsidRPr="00A87ECF">
        <w:rPr>
          <w:sz w:val="22"/>
          <w:lang w:val="en-GB" w:eastAsia="en-GB"/>
        </w:rPr>
        <w:t>, New Caledonia, in October 2018</w:t>
      </w:r>
      <w:r>
        <w:rPr>
          <w:sz w:val="22"/>
          <w:lang w:val="en-GB" w:eastAsia="en-GB"/>
        </w:rPr>
        <w:t xml:space="preserve"> (see Macdonald et al</w:t>
      </w:r>
      <w:r w:rsidR="00C50774">
        <w:rPr>
          <w:sz w:val="22"/>
          <w:lang w:val="en-GB" w:eastAsia="en-GB"/>
        </w:rPr>
        <w:t>.</w:t>
      </w:r>
      <w:r>
        <w:rPr>
          <w:sz w:val="22"/>
          <w:lang w:val="en-GB" w:eastAsia="en-GB"/>
        </w:rPr>
        <w:t xml:space="preserve"> 2019)</w:t>
      </w:r>
      <w:r w:rsidRPr="00A87ECF">
        <w:rPr>
          <w:sz w:val="22"/>
          <w:lang w:val="en-GB" w:eastAsia="en-GB"/>
        </w:rPr>
        <w:t xml:space="preserve">. </w:t>
      </w:r>
      <w:r w:rsidR="006D7527">
        <w:rPr>
          <w:sz w:val="22"/>
          <w:lang w:val="en-GB" w:eastAsia="en-GB"/>
        </w:rPr>
        <w:t>The workshop recommended that, a</w:t>
      </w:r>
      <w:r w:rsidR="006D7527" w:rsidRPr="00A87ECF">
        <w:rPr>
          <w:sz w:val="22"/>
          <w:lang w:val="en-GB" w:eastAsia="en-GB"/>
        </w:rPr>
        <w:t>s a first step, a systematic review of existing biolo</w:t>
      </w:r>
      <w:r w:rsidR="006D7527">
        <w:rPr>
          <w:sz w:val="22"/>
          <w:lang w:val="en-GB" w:eastAsia="en-GB"/>
        </w:rPr>
        <w:t>gical datasets, sample archives</w:t>
      </w:r>
      <w:r w:rsidR="006D7527" w:rsidRPr="00A87ECF">
        <w:rPr>
          <w:sz w:val="22"/>
          <w:lang w:val="en-GB" w:eastAsia="en-GB"/>
        </w:rPr>
        <w:t xml:space="preserve"> and fishery-obse</w:t>
      </w:r>
      <w:r w:rsidR="00681CF9">
        <w:rPr>
          <w:sz w:val="22"/>
          <w:lang w:val="en-GB" w:eastAsia="en-GB"/>
        </w:rPr>
        <w:t>rver databases be</w:t>
      </w:r>
      <w:r w:rsidR="006D7527">
        <w:rPr>
          <w:sz w:val="22"/>
          <w:lang w:val="en-GB" w:eastAsia="en-GB"/>
        </w:rPr>
        <w:t xml:space="preserve"> undertaken to expose </w:t>
      </w:r>
      <w:r w:rsidR="006D7527" w:rsidRPr="00A87ECF">
        <w:rPr>
          <w:sz w:val="22"/>
          <w:lang w:val="en-GB" w:eastAsia="en-GB"/>
        </w:rPr>
        <w:t xml:space="preserve">spatial and temporal </w:t>
      </w:r>
      <w:r w:rsidR="006D7527">
        <w:rPr>
          <w:sz w:val="22"/>
          <w:lang w:val="en-GB" w:eastAsia="en-GB"/>
        </w:rPr>
        <w:t xml:space="preserve">trends in sampling coverage and identify </w:t>
      </w:r>
      <w:r w:rsidR="006D7527" w:rsidRPr="00A87ECF">
        <w:rPr>
          <w:sz w:val="22"/>
          <w:lang w:val="en-GB" w:eastAsia="en-GB"/>
        </w:rPr>
        <w:t>rich data sources and critical data gaps</w:t>
      </w:r>
      <w:r w:rsidR="006D7527">
        <w:rPr>
          <w:sz w:val="22"/>
          <w:lang w:val="en-GB" w:eastAsia="en-GB"/>
        </w:rPr>
        <w:t xml:space="preserve">. </w:t>
      </w:r>
      <w:proofErr w:type="spellStart"/>
      <w:r w:rsidR="00936E64">
        <w:rPr>
          <w:sz w:val="22"/>
          <w:lang w:val="en-GB" w:eastAsia="en-GB"/>
        </w:rPr>
        <w:t>BioDaSys</w:t>
      </w:r>
      <w:proofErr w:type="spellEnd"/>
      <w:r w:rsidR="00936E64">
        <w:rPr>
          <w:sz w:val="22"/>
          <w:lang w:val="en-GB" w:eastAsia="en-GB"/>
        </w:rPr>
        <w:t xml:space="preserve"> will facilitate the review of the</w:t>
      </w:r>
      <w:r w:rsidR="0029199B">
        <w:rPr>
          <w:sz w:val="22"/>
          <w:lang w:val="en-GB" w:eastAsia="en-GB"/>
        </w:rPr>
        <w:t xml:space="preserve"> TTB in this </w:t>
      </w:r>
      <w:proofErr w:type="gramStart"/>
      <w:r w:rsidR="0029199B">
        <w:rPr>
          <w:sz w:val="22"/>
          <w:lang w:val="en-GB" w:eastAsia="en-GB"/>
        </w:rPr>
        <w:t>context</w:t>
      </w:r>
      <w:r w:rsidR="009F7802">
        <w:rPr>
          <w:sz w:val="22"/>
          <w:lang w:val="en-GB" w:eastAsia="en-GB"/>
        </w:rPr>
        <w:t>, and</w:t>
      </w:r>
      <w:proofErr w:type="gramEnd"/>
      <w:r w:rsidR="009F7802">
        <w:rPr>
          <w:sz w:val="22"/>
          <w:lang w:val="en-GB" w:eastAsia="en-GB"/>
        </w:rPr>
        <w:t xml:space="preserve"> will help direct the future sampling requirements in order to support future </w:t>
      </w:r>
      <w:r w:rsidR="006F7C5A">
        <w:rPr>
          <w:sz w:val="22"/>
          <w:lang w:val="en-GB" w:eastAsia="en-GB"/>
        </w:rPr>
        <w:t>research targeted at key uncertainties surrounding stock structure of Pacific tuna resources</w:t>
      </w:r>
      <w:r w:rsidR="009F7802">
        <w:rPr>
          <w:sz w:val="22"/>
          <w:lang w:val="en-GB" w:eastAsia="en-GB"/>
        </w:rPr>
        <w:t>.</w:t>
      </w:r>
    </w:p>
    <w:p w14:paraId="7477AF17" w14:textId="77777777" w:rsidR="00177FDF" w:rsidRPr="009D6FED" w:rsidRDefault="00177FDF" w:rsidP="00177FDF">
      <w:pPr>
        <w:rPr>
          <w:lang w:val="en-GB" w:eastAsia="en-GB"/>
        </w:rPr>
      </w:pPr>
    </w:p>
    <w:p w14:paraId="33B4714F" w14:textId="77777777" w:rsidR="00177FDF" w:rsidRPr="009D6FED" w:rsidRDefault="00177FDF" w:rsidP="00177FDF">
      <w:pPr>
        <w:pStyle w:val="Heading1"/>
      </w:pPr>
      <w:r w:rsidRPr="009D6FED">
        <w:t>Administrative Matters</w:t>
      </w:r>
    </w:p>
    <w:p w14:paraId="0ED95905" w14:textId="153CAA00" w:rsidR="005C191C" w:rsidRPr="005C191C" w:rsidRDefault="005C191C" w:rsidP="005C191C">
      <w:pPr>
        <w:autoSpaceDE w:val="0"/>
        <w:autoSpaceDN w:val="0"/>
        <w:adjustRightInd w:val="0"/>
        <w:spacing w:after="120"/>
        <w:jc w:val="both"/>
        <w:rPr>
          <w:color w:val="000000"/>
          <w:sz w:val="22"/>
          <w:szCs w:val="22"/>
        </w:rPr>
      </w:pPr>
      <w:r w:rsidRPr="005C191C">
        <w:rPr>
          <w:color w:val="000000"/>
          <w:sz w:val="22"/>
          <w:szCs w:val="22"/>
        </w:rPr>
        <w:t>The support of all current and past donors was gratefully acknowledged</w:t>
      </w:r>
      <w:r w:rsidR="000D786A">
        <w:rPr>
          <w:color w:val="000000"/>
          <w:sz w:val="22"/>
          <w:szCs w:val="22"/>
        </w:rPr>
        <w:t>, as was the support and efforts of the many contributors throughout the region</w:t>
      </w:r>
      <w:r w:rsidR="00CB0A26">
        <w:rPr>
          <w:color w:val="000000"/>
          <w:sz w:val="22"/>
          <w:szCs w:val="22"/>
        </w:rPr>
        <w:t>.</w:t>
      </w:r>
    </w:p>
    <w:p w14:paraId="39568B35" w14:textId="77777777" w:rsidR="00177FDF" w:rsidRPr="005C191C" w:rsidRDefault="00177FDF" w:rsidP="00177FDF">
      <w:pPr>
        <w:rPr>
          <w:lang w:eastAsia="en-GB"/>
        </w:rPr>
      </w:pPr>
    </w:p>
    <w:p w14:paraId="4827394F" w14:textId="77777777" w:rsidR="00177FDF" w:rsidRPr="009D6FED" w:rsidRDefault="00177FDF" w:rsidP="00177FDF">
      <w:pPr>
        <w:pStyle w:val="Heading1"/>
      </w:pPr>
      <w:r w:rsidRPr="009D6FED">
        <w:t>Discussion</w:t>
      </w:r>
    </w:p>
    <w:p w14:paraId="1677A8D9" w14:textId="4B237E77" w:rsidR="00B86A1B" w:rsidRPr="00EA79A6" w:rsidRDefault="00B86A1B" w:rsidP="00EA79A6">
      <w:pPr>
        <w:spacing w:after="120"/>
        <w:jc w:val="both"/>
        <w:rPr>
          <w:sz w:val="22"/>
          <w:szCs w:val="22"/>
          <w:lang w:val="en-GB"/>
        </w:rPr>
      </w:pPr>
      <w:r w:rsidRPr="00EA79A6">
        <w:rPr>
          <w:sz w:val="22"/>
          <w:szCs w:val="22"/>
          <w:lang w:val="en-GB"/>
        </w:rPr>
        <w:t xml:space="preserve">The Steering Committee reiterated the critical contribution of the Tuna Tissue Bank to the work of WCPFC, through the provision of samples for growth studies that support assessments.  It was also noted that Tuna Tissue Bank resources are available to all WCPFC </w:t>
      </w:r>
      <w:proofErr w:type="gramStart"/>
      <w:r w:rsidRPr="00EA79A6">
        <w:rPr>
          <w:sz w:val="22"/>
          <w:szCs w:val="22"/>
          <w:lang w:val="en-GB"/>
        </w:rPr>
        <w:t>members, and</w:t>
      </w:r>
      <w:proofErr w:type="gramEnd"/>
      <w:r w:rsidRPr="00EA79A6">
        <w:rPr>
          <w:sz w:val="22"/>
          <w:szCs w:val="22"/>
          <w:lang w:val="en-GB"/>
        </w:rPr>
        <w:t xml:space="preserve"> should be considered in the context of national research plans. The Steering Committee discussed the process for requesting access to the Tuna Tissue Bank and the preparation and transportation of samples.  There is an agreed protocol for requesting access protocols regarding data available on the WCPFC website (</w:t>
      </w:r>
      <w:hyperlink r:id="rId11" w:history="1">
        <w:r w:rsidRPr="00EA79A6">
          <w:rPr>
            <w:sz w:val="22"/>
            <w:szCs w:val="22"/>
            <w:lang w:val="en-GB"/>
          </w:rPr>
          <w:t>https://www.wcpfc.int/doc/sc-12/wcpfc-tissue-bank-access-protocols</w:t>
        </w:r>
      </w:hyperlink>
      <w:r w:rsidRPr="00EA79A6">
        <w:rPr>
          <w:sz w:val="22"/>
          <w:szCs w:val="22"/>
          <w:lang w:val="en-GB"/>
        </w:rPr>
        <w:t>).</w:t>
      </w:r>
    </w:p>
    <w:p w14:paraId="07954568" w14:textId="4E1371B0" w:rsidR="00B86A1B" w:rsidRPr="00EA79A6" w:rsidRDefault="00B86A1B" w:rsidP="00EA79A6">
      <w:pPr>
        <w:spacing w:after="120"/>
        <w:jc w:val="both"/>
        <w:rPr>
          <w:sz w:val="22"/>
          <w:szCs w:val="22"/>
          <w:lang w:val="en-GB"/>
        </w:rPr>
      </w:pPr>
      <w:r w:rsidRPr="00EA79A6">
        <w:rPr>
          <w:sz w:val="22"/>
          <w:szCs w:val="22"/>
          <w:lang w:val="en-GB"/>
        </w:rPr>
        <w:t xml:space="preserve">The logistical challenges of transportation of samples in the region were noted. The current approach is for storage of samples in staging storage facilities with subsequent </w:t>
      </w:r>
      <w:r w:rsidR="00C50774">
        <w:rPr>
          <w:sz w:val="22"/>
          <w:szCs w:val="22"/>
          <w:lang w:val="en-GB"/>
        </w:rPr>
        <w:t xml:space="preserve">opportunistic </w:t>
      </w:r>
      <w:r w:rsidRPr="00EA79A6">
        <w:rPr>
          <w:sz w:val="22"/>
          <w:szCs w:val="22"/>
          <w:lang w:val="en-GB"/>
        </w:rPr>
        <w:t xml:space="preserve">transportation to long-term storage facilities by staff travelling in the region. There currently do not appear to be any alternatives to this approach. It was noted that staging storage facilities in the region can be vulnerable to external factors, e.g. including power outages. Members were encouraged to notify SPC if they did not have available </w:t>
      </w:r>
      <w:r w:rsidR="00C50774">
        <w:rPr>
          <w:sz w:val="22"/>
          <w:szCs w:val="22"/>
          <w:lang w:val="en-GB"/>
        </w:rPr>
        <w:t xml:space="preserve">and </w:t>
      </w:r>
      <w:r w:rsidR="002448BF">
        <w:rPr>
          <w:sz w:val="22"/>
          <w:szCs w:val="22"/>
          <w:lang w:val="en-GB"/>
        </w:rPr>
        <w:t>reliable</w:t>
      </w:r>
      <w:r w:rsidR="00C50774">
        <w:rPr>
          <w:sz w:val="22"/>
          <w:szCs w:val="22"/>
          <w:lang w:val="en-GB"/>
        </w:rPr>
        <w:t xml:space="preserve"> </w:t>
      </w:r>
      <w:r w:rsidRPr="00EA79A6">
        <w:rPr>
          <w:sz w:val="22"/>
          <w:szCs w:val="22"/>
          <w:lang w:val="en-GB"/>
        </w:rPr>
        <w:t>facilities in-country to support the work. The steering committee noted that facilitation of communication between personnel involved in the Tuna Tissue Bank would be helpful, e.g. a dedicated ‘Slack’ channel or social media platforms as used for the TRO network.</w:t>
      </w:r>
    </w:p>
    <w:p w14:paraId="04945F95" w14:textId="7158DD51" w:rsidR="00B86A1B" w:rsidRPr="00EA79A6" w:rsidRDefault="00B86A1B" w:rsidP="00EA79A6">
      <w:pPr>
        <w:spacing w:after="120"/>
        <w:jc w:val="both"/>
        <w:rPr>
          <w:sz w:val="22"/>
          <w:szCs w:val="22"/>
          <w:lang w:val="en-GB"/>
        </w:rPr>
      </w:pPr>
      <w:r w:rsidRPr="00EA79A6">
        <w:rPr>
          <w:sz w:val="22"/>
          <w:szCs w:val="22"/>
          <w:lang w:val="en-GB"/>
        </w:rPr>
        <w:t xml:space="preserve">The Steering Committee noted the recent work to identify key uncertainties regarding stock structure of the main tuna species in the Pacific, including spawning locations, the degree of fidelity to natal spawning grounds and origins of post-juvenile assemblages (SA-IP-03). The Steering Committee noted that the Tuna Tissue Bank would underpin </w:t>
      </w:r>
      <w:r w:rsidR="001C7303">
        <w:rPr>
          <w:sz w:val="22"/>
          <w:szCs w:val="22"/>
          <w:lang w:val="en-GB"/>
        </w:rPr>
        <w:t xml:space="preserve">future </w:t>
      </w:r>
      <w:r w:rsidRPr="00EA79A6">
        <w:rPr>
          <w:sz w:val="22"/>
          <w:szCs w:val="22"/>
          <w:lang w:val="en-GB"/>
        </w:rPr>
        <w:t xml:space="preserve">research targeted at reducing these uncertainties, including genetic analyses. </w:t>
      </w:r>
      <w:r w:rsidR="00C50774">
        <w:rPr>
          <w:sz w:val="22"/>
          <w:szCs w:val="22"/>
          <w:lang w:val="en-GB"/>
        </w:rPr>
        <w:t>Related to the genetic analyses, the l</w:t>
      </w:r>
      <w:r w:rsidRPr="00EA79A6">
        <w:rPr>
          <w:sz w:val="22"/>
          <w:szCs w:val="22"/>
          <w:lang w:val="en-GB"/>
        </w:rPr>
        <w:t xml:space="preserve">ong-term degradation in quality of </w:t>
      </w:r>
      <w:r w:rsidRPr="00EA79A6">
        <w:rPr>
          <w:sz w:val="22"/>
          <w:szCs w:val="22"/>
          <w:lang w:val="en-GB"/>
        </w:rPr>
        <w:lastRenderedPageBreak/>
        <w:t>samples for genetic analyses has been identified in recent work using samples collected during the early years of SPC’s Marine Specimen Bank</w:t>
      </w:r>
      <w:r w:rsidR="00C50774">
        <w:rPr>
          <w:sz w:val="22"/>
          <w:szCs w:val="22"/>
          <w:lang w:val="en-GB"/>
        </w:rPr>
        <w:t>, as well as issues of cross-contamination of samples</w:t>
      </w:r>
      <w:r w:rsidRPr="00EA79A6">
        <w:rPr>
          <w:sz w:val="22"/>
          <w:szCs w:val="22"/>
          <w:lang w:val="en-GB"/>
        </w:rPr>
        <w:t>.</w:t>
      </w:r>
      <w:r w:rsidR="00C50774">
        <w:rPr>
          <w:sz w:val="22"/>
          <w:szCs w:val="22"/>
          <w:lang w:val="en-GB"/>
        </w:rPr>
        <w:t xml:space="preserve"> The Steering Committee welcomed the planned efforts to enhance training of observers in sample collection to reduce cross-contamination and sample labelling issues, as well as the plans for implementing super-cold storage facilities</w:t>
      </w:r>
      <w:r w:rsidR="002744F0">
        <w:rPr>
          <w:sz w:val="22"/>
          <w:szCs w:val="22"/>
          <w:lang w:val="en-GB"/>
        </w:rPr>
        <w:t>, to address these issues</w:t>
      </w:r>
      <w:r w:rsidR="00C50774">
        <w:rPr>
          <w:sz w:val="22"/>
          <w:szCs w:val="22"/>
          <w:lang w:val="en-GB"/>
        </w:rPr>
        <w:t>.</w:t>
      </w:r>
    </w:p>
    <w:p w14:paraId="3FD640A6" w14:textId="77777777" w:rsidR="00177FDF" w:rsidRPr="009D6FED" w:rsidRDefault="00177FDF" w:rsidP="00177FDF">
      <w:pPr>
        <w:rPr>
          <w:lang w:val="en-GB" w:eastAsia="en-GB"/>
        </w:rPr>
      </w:pPr>
    </w:p>
    <w:p w14:paraId="197B01A4" w14:textId="77777777" w:rsidR="00177FDF" w:rsidRPr="009D6FED" w:rsidRDefault="00177FDF" w:rsidP="00177FDF">
      <w:pPr>
        <w:pStyle w:val="Heading1"/>
      </w:pPr>
      <w:r w:rsidRPr="009D6FED">
        <w:t>Recommendations for SC15</w:t>
      </w:r>
    </w:p>
    <w:p w14:paraId="510675FA" w14:textId="5D137AFC" w:rsidR="00EA5BBD" w:rsidRPr="009D6FED" w:rsidRDefault="005D1056" w:rsidP="00EA5BBD">
      <w:pPr>
        <w:spacing w:after="120"/>
        <w:jc w:val="both"/>
        <w:rPr>
          <w:bCs/>
          <w:sz w:val="22"/>
          <w:szCs w:val="22"/>
          <w:lang w:val="en-GB"/>
        </w:rPr>
      </w:pPr>
      <w:r>
        <w:rPr>
          <w:bCs/>
          <w:sz w:val="22"/>
          <w:szCs w:val="22"/>
          <w:lang w:val="en-GB"/>
        </w:rPr>
        <w:t>The Steering Committee therefore recommended</w:t>
      </w:r>
      <w:r w:rsidR="005F4C55">
        <w:rPr>
          <w:bCs/>
          <w:sz w:val="22"/>
          <w:szCs w:val="22"/>
          <w:lang w:val="en-GB"/>
        </w:rPr>
        <w:t xml:space="preserve"> that</w:t>
      </w:r>
      <w:r w:rsidR="00D401B9" w:rsidRPr="009D6FED">
        <w:rPr>
          <w:bCs/>
          <w:sz w:val="22"/>
          <w:szCs w:val="22"/>
          <w:lang w:val="en-GB"/>
        </w:rPr>
        <w:t>:</w:t>
      </w:r>
    </w:p>
    <w:p w14:paraId="5FA246A2" w14:textId="51D528C5" w:rsidR="00516497" w:rsidRPr="009D6FED" w:rsidRDefault="003B696B" w:rsidP="00BF5F5E">
      <w:pPr>
        <w:pStyle w:val="ListParagraph"/>
        <w:numPr>
          <w:ilvl w:val="0"/>
          <w:numId w:val="8"/>
        </w:numPr>
        <w:spacing w:after="120"/>
        <w:jc w:val="both"/>
        <w:rPr>
          <w:bCs/>
          <w:sz w:val="22"/>
          <w:szCs w:val="22"/>
          <w:lang w:val="en-GB"/>
        </w:rPr>
      </w:pPr>
      <w:r>
        <w:rPr>
          <w:bCs/>
          <w:sz w:val="22"/>
          <w:szCs w:val="22"/>
          <w:lang w:val="en-GB"/>
        </w:rPr>
        <w:t>SC15 t</w:t>
      </w:r>
      <w:r w:rsidR="005F4C55">
        <w:rPr>
          <w:bCs/>
          <w:sz w:val="22"/>
          <w:szCs w:val="22"/>
          <w:lang w:val="en-GB"/>
        </w:rPr>
        <w:t>ask the Scientific Services Provider to develop</w:t>
      </w:r>
      <w:r w:rsidR="00516497" w:rsidRPr="009D6FED">
        <w:rPr>
          <w:bCs/>
          <w:sz w:val="22"/>
          <w:szCs w:val="22"/>
          <w:lang w:val="en-GB"/>
        </w:rPr>
        <w:t xml:space="preserve"> initiatives to increase rates of observer biological sampling</w:t>
      </w:r>
      <w:r>
        <w:rPr>
          <w:bCs/>
          <w:sz w:val="22"/>
          <w:szCs w:val="22"/>
          <w:lang w:val="en-GB"/>
        </w:rPr>
        <w:t xml:space="preserve"> and report this to SC16, </w:t>
      </w:r>
      <w:r w:rsidR="00BF5F5E" w:rsidRPr="009D6FED">
        <w:rPr>
          <w:bCs/>
          <w:sz w:val="22"/>
          <w:szCs w:val="22"/>
          <w:lang w:val="en-GB"/>
        </w:rPr>
        <w:t>noting that this</w:t>
      </w:r>
      <w:r w:rsidR="00BF5F5E" w:rsidRPr="009D6FED">
        <w:rPr>
          <w:lang w:val="en-GB"/>
        </w:rPr>
        <w:t xml:space="preserve"> </w:t>
      </w:r>
      <w:r w:rsidR="00BF5F5E" w:rsidRPr="009D6FED">
        <w:rPr>
          <w:bCs/>
          <w:sz w:val="22"/>
          <w:szCs w:val="22"/>
          <w:lang w:val="en-GB"/>
        </w:rPr>
        <w:t>contribution is essential to the ongoing success of WCPFC</w:t>
      </w:r>
      <w:r w:rsidR="00587160">
        <w:rPr>
          <w:bCs/>
          <w:sz w:val="22"/>
          <w:szCs w:val="22"/>
          <w:lang w:val="en-GB"/>
        </w:rPr>
        <w:t>’</w:t>
      </w:r>
      <w:r w:rsidR="00BF5F5E" w:rsidRPr="009D6FED">
        <w:rPr>
          <w:bCs/>
          <w:sz w:val="22"/>
          <w:szCs w:val="22"/>
          <w:lang w:val="en-GB"/>
        </w:rPr>
        <w:t>s work</w:t>
      </w:r>
      <w:r w:rsidR="00516497" w:rsidRPr="009D6FED">
        <w:rPr>
          <w:bCs/>
          <w:sz w:val="22"/>
          <w:szCs w:val="22"/>
          <w:lang w:val="en-GB"/>
        </w:rPr>
        <w:t>;</w:t>
      </w:r>
    </w:p>
    <w:p w14:paraId="02B74A1A" w14:textId="77777777" w:rsidR="00681D0B" w:rsidRPr="009D6FED" w:rsidRDefault="00681D0B" w:rsidP="00681D0B">
      <w:pPr>
        <w:pStyle w:val="ListParagraph"/>
        <w:numPr>
          <w:ilvl w:val="0"/>
          <w:numId w:val="8"/>
        </w:numPr>
        <w:spacing w:after="120"/>
        <w:jc w:val="both"/>
        <w:rPr>
          <w:bCs/>
          <w:sz w:val="22"/>
          <w:szCs w:val="22"/>
          <w:lang w:val="en-GB"/>
        </w:rPr>
      </w:pPr>
      <w:r>
        <w:rPr>
          <w:bCs/>
          <w:sz w:val="22"/>
          <w:szCs w:val="22"/>
          <w:lang w:val="en-GB"/>
        </w:rPr>
        <w:t>SC15 p</w:t>
      </w:r>
      <w:r w:rsidRPr="009D6FED">
        <w:rPr>
          <w:bCs/>
          <w:sz w:val="22"/>
          <w:szCs w:val="22"/>
          <w:lang w:val="en-GB"/>
        </w:rPr>
        <w:t xml:space="preserve">articipants should visit </w:t>
      </w:r>
      <w:hyperlink r:id="rId12" w:history="1">
        <w:r w:rsidRPr="009D6FED">
          <w:rPr>
            <w:rStyle w:val="Hyperlink"/>
            <w:bCs/>
            <w:sz w:val="22"/>
            <w:szCs w:val="22"/>
            <w:lang w:val="en-GB"/>
          </w:rPr>
          <w:t>www.spc.int/ofp/PacificSpecimenBank</w:t>
        </w:r>
      </w:hyperlink>
      <w:r w:rsidRPr="009D6FED">
        <w:rPr>
          <w:bCs/>
          <w:sz w:val="22"/>
          <w:szCs w:val="22"/>
          <w:lang w:val="en-GB"/>
        </w:rPr>
        <w:t xml:space="preserve"> and provide feedback inter</w:t>
      </w:r>
      <w:r>
        <w:rPr>
          <w:bCs/>
          <w:sz w:val="22"/>
          <w:szCs w:val="22"/>
          <w:lang w:val="en-GB"/>
        </w:rPr>
        <w:t>-</w:t>
      </w:r>
      <w:proofErr w:type="spellStart"/>
      <w:r w:rsidRPr="009D6FED">
        <w:rPr>
          <w:bCs/>
          <w:sz w:val="22"/>
          <w:szCs w:val="22"/>
          <w:lang w:val="en-GB"/>
        </w:rPr>
        <w:t>sessionally</w:t>
      </w:r>
      <w:proofErr w:type="spellEnd"/>
      <w:r w:rsidRPr="009D6FED">
        <w:rPr>
          <w:bCs/>
          <w:sz w:val="22"/>
          <w:szCs w:val="22"/>
          <w:lang w:val="en-GB"/>
        </w:rPr>
        <w:t xml:space="preserve"> to SPC-OFP; </w:t>
      </w:r>
    </w:p>
    <w:p w14:paraId="0668D952" w14:textId="2CB1A387" w:rsidR="00D401B9" w:rsidRPr="009D6FED" w:rsidRDefault="003B696B" w:rsidP="0034191C">
      <w:pPr>
        <w:pStyle w:val="ListParagraph"/>
        <w:numPr>
          <w:ilvl w:val="0"/>
          <w:numId w:val="8"/>
        </w:numPr>
        <w:spacing w:after="120"/>
        <w:jc w:val="both"/>
        <w:rPr>
          <w:bCs/>
          <w:sz w:val="22"/>
          <w:szCs w:val="22"/>
          <w:lang w:val="en-GB"/>
        </w:rPr>
      </w:pPr>
      <w:r>
        <w:rPr>
          <w:bCs/>
          <w:sz w:val="22"/>
          <w:szCs w:val="22"/>
          <w:lang w:val="en-GB"/>
        </w:rPr>
        <w:t>SC15 i</w:t>
      </w:r>
      <w:r w:rsidR="005F4C55" w:rsidRPr="009D6FED">
        <w:rPr>
          <w:bCs/>
          <w:sz w:val="22"/>
          <w:szCs w:val="22"/>
          <w:lang w:val="en-GB"/>
        </w:rPr>
        <w:t>ncorporate the identified budget into the 2020 budget and the 2021-22 indicative budgets</w:t>
      </w:r>
      <w:r w:rsidR="005F4C55">
        <w:rPr>
          <w:bCs/>
          <w:sz w:val="22"/>
          <w:szCs w:val="22"/>
          <w:lang w:val="en-GB"/>
        </w:rPr>
        <w:t xml:space="preserve">, given that </w:t>
      </w:r>
      <w:r w:rsidR="00D401B9" w:rsidRPr="009D6FED">
        <w:rPr>
          <w:bCs/>
          <w:sz w:val="22"/>
          <w:szCs w:val="22"/>
          <w:lang w:val="en-GB"/>
        </w:rPr>
        <w:t>the WCPFC Tuna Tissue bank is intended to be ongoing,</w:t>
      </w:r>
      <w:r w:rsidR="00BF5F5E" w:rsidRPr="009D6FED">
        <w:rPr>
          <w:bCs/>
          <w:sz w:val="22"/>
          <w:szCs w:val="22"/>
          <w:lang w:val="en-GB"/>
        </w:rPr>
        <w:t xml:space="preserve"> is considered essential,</w:t>
      </w:r>
      <w:r w:rsidR="00D401B9" w:rsidRPr="009D6FED">
        <w:rPr>
          <w:bCs/>
          <w:sz w:val="22"/>
          <w:szCs w:val="22"/>
          <w:lang w:val="en-GB"/>
        </w:rPr>
        <w:t xml:space="preserve"> an</w:t>
      </w:r>
      <w:r w:rsidR="00587160">
        <w:rPr>
          <w:bCs/>
          <w:sz w:val="22"/>
          <w:szCs w:val="22"/>
          <w:lang w:val="en-GB"/>
        </w:rPr>
        <w:t xml:space="preserve">d </w:t>
      </w:r>
      <w:r w:rsidR="00D401B9" w:rsidRPr="009D6FED">
        <w:rPr>
          <w:bCs/>
          <w:sz w:val="22"/>
          <w:szCs w:val="22"/>
          <w:lang w:val="en-GB"/>
        </w:rPr>
        <w:t>given its succe</w:t>
      </w:r>
      <w:r w:rsidR="005F4C55">
        <w:rPr>
          <w:bCs/>
          <w:sz w:val="22"/>
          <w:szCs w:val="22"/>
          <w:lang w:val="en-GB"/>
        </w:rPr>
        <w:t>ss and measured quality to date</w:t>
      </w:r>
      <w:r w:rsidR="00D401B9" w:rsidRPr="009D6FED">
        <w:rPr>
          <w:bCs/>
          <w:sz w:val="22"/>
          <w:szCs w:val="22"/>
          <w:lang w:val="en-GB"/>
        </w:rPr>
        <w:t>;</w:t>
      </w:r>
    </w:p>
    <w:p w14:paraId="4B1819DD" w14:textId="3BF108D9" w:rsidR="005C3EDB" w:rsidRPr="005C3EDB" w:rsidRDefault="00EA5BBD" w:rsidP="00C132A9">
      <w:pPr>
        <w:pStyle w:val="ListParagraph"/>
        <w:numPr>
          <w:ilvl w:val="0"/>
          <w:numId w:val="8"/>
        </w:numPr>
        <w:spacing w:after="120"/>
        <w:jc w:val="both"/>
        <w:rPr>
          <w:bCs/>
          <w:sz w:val="22"/>
          <w:szCs w:val="22"/>
          <w:lang w:val="en-GB"/>
        </w:rPr>
      </w:pPr>
      <w:r w:rsidRPr="009D6FED">
        <w:rPr>
          <w:bCs/>
          <w:sz w:val="22"/>
          <w:szCs w:val="22"/>
          <w:lang w:val="en-GB"/>
        </w:rPr>
        <w:t xml:space="preserve">In addition to maintaining and operating the </w:t>
      </w:r>
      <w:r w:rsidR="005910A9" w:rsidRPr="009D6FED">
        <w:rPr>
          <w:bCs/>
          <w:sz w:val="22"/>
          <w:szCs w:val="22"/>
          <w:lang w:val="en-GB"/>
        </w:rPr>
        <w:t>WCPFC Tuna</w:t>
      </w:r>
      <w:r w:rsidR="00516497" w:rsidRPr="009D6FED">
        <w:rPr>
          <w:bCs/>
          <w:sz w:val="22"/>
          <w:szCs w:val="22"/>
          <w:lang w:val="en-GB"/>
        </w:rPr>
        <w:t xml:space="preserve"> Tissue Bank in 2019-20</w:t>
      </w:r>
      <w:r w:rsidR="00D401B9" w:rsidRPr="009D6FED">
        <w:rPr>
          <w:bCs/>
          <w:sz w:val="22"/>
          <w:szCs w:val="22"/>
          <w:lang w:val="en-GB"/>
        </w:rPr>
        <w:t xml:space="preserve">, the </w:t>
      </w:r>
      <w:r w:rsidR="003F1398" w:rsidRPr="009D6FED">
        <w:rPr>
          <w:bCs/>
          <w:sz w:val="22"/>
          <w:szCs w:val="22"/>
          <w:lang w:val="en-GB"/>
        </w:rPr>
        <w:t>work plan</w:t>
      </w:r>
      <w:r w:rsidR="009171BF">
        <w:rPr>
          <w:bCs/>
          <w:sz w:val="22"/>
          <w:szCs w:val="22"/>
          <w:lang w:val="en-GB"/>
        </w:rPr>
        <w:t xml:space="preserve"> for 2019-20</w:t>
      </w:r>
      <w:r w:rsidR="003F1398" w:rsidRPr="009D6FED">
        <w:rPr>
          <w:bCs/>
          <w:sz w:val="22"/>
          <w:szCs w:val="22"/>
          <w:lang w:val="en-GB"/>
        </w:rPr>
        <w:t xml:space="preserve"> </w:t>
      </w:r>
      <w:r w:rsidR="00C50774">
        <w:rPr>
          <w:bCs/>
          <w:sz w:val="22"/>
          <w:szCs w:val="22"/>
          <w:lang w:val="en-GB"/>
        </w:rPr>
        <w:t xml:space="preserve">(see above) </w:t>
      </w:r>
      <w:r w:rsidR="00D401B9" w:rsidRPr="009D6FED">
        <w:rPr>
          <w:bCs/>
          <w:sz w:val="22"/>
          <w:szCs w:val="22"/>
          <w:lang w:val="en-GB"/>
        </w:rPr>
        <w:t>should be pursued by th</w:t>
      </w:r>
      <w:r w:rsidR="005C3EDB">
        <w:rPr>
          <w:bCs/>
          <w:sz w:val="22"/>
          <w:szCs w:val="22"/>
          <w:lang w:val="en-GB"/>
        </w:rPr>
        <w:t>e Scientific Services Provider</w:t>
      </w:r>
      <w:r w:rsidR="00C132A9">
        <w:rPr>
          <w:bCs/>
          <w:sz w:val="22"/>
          <w:szCs w:val="22"/>
          <w:lang w:val="en-GB"/>
        </w:rPr>
        <w:t>.</w:t>
      </w:r>
    </w:p>
    <w:p w14:paraId="3A3395FA" w14:textId="747830B2" w:rsidR="00493CB4" w:rsidRPr="00493CB4" w:rsidRDefault="00493CB4" w:rsidP="00493CB4">
      <w:pPr>
        <w:spacing w:after="120"/>
        <w:jc w:val="both"/>
        <w:rPr>
          <w:bCs/>
          <w:sz w:val="22"/>
          <w:szCs w:val="22"/>
          <w:lang w:val="en-GB"/>
        </w:rPr>
      </w:pPr>
    </w:p>
    <w:p w14:paraId="7BFBE116" w14:textId="77777777" w:rsidR="00D401B9" w:rsidRPr="009D6FED" w:rsidRDefault="00D401B9">
      <w:pPr>
        <w:spacing w:after="200" w:line="276" w:lineRule="auto"/>
        <w:rPr>
          <w:b/>
          <w:lang w:val="en-GB"/>
        </w:rPr>
      </w:pPr>
      <w:r w:rsidRPr="009D6FED">
        <w:rPr>
          <w:b/>
          <w:lang w:val="en-GB"/>
        </w:rPr>
        <w:br w:type="page"/>
      </w:r>
    </w:p>
    <w:p w14:paraId="253FA79C" w14:textId="77777777" w:rsidR="00177FDF" w:rsidRPr="009D6FED" w:rsidRDefault="00177FDF" w:rsidP="00177FDF">
      <w:pPr>
        <w:pStyle w:val="Heading1"/>
      </w:pPr>
      <w:r w:rsidRPr="009D6FED">
        <w:lastRenderedPageBreak/>
        <w:t>References</w:t>
      </w:r>
    </w:p>
    <w:p w14:paraId="160DC31F" w14:textId="77777777" w:rsidR="00177FDF" w:rsidRPr="009D6FED" w:rsidRDefault="00177FDF" w:rsidP="00177FDF">
      <w:pPr>
        <w:autoSpaceDE w:val="0"/>
        <w:autoSpaceDN w:val="0"/>
        <w:adjustRightInd w:val="0"/>
        <w:jc w:val="both"/>
        <w:rPr>
          <w:bCs/>
          <w:sz w:val="22"/>
          <w:szCs w:val="22"/>
          <w:lang w:val="en-GB" w:eastAsia="en-AU"/>
        </w:rPr>
      </w:pPr>
    </w:p>
    <w:p w14:paraId="30684E0E" w14:textId="2EFB0A04" w:rsidR="00112540" w:rsidRPr="009D6FED" w:rsidRDefault="00931C6E" w:rsidP="00A22672">
      <w:pPr>
        <w:pStyle w:val="References"/>
        <w:spacing w:before="120"/>
        <w:rPr>
          <w:sz w:val="18"/>
          <w:szCs w:val="18"/>
        </w:rPr>
      </w:pPr>
      <w:r w:rsidRPr="009D6FED">
        <w:rPr>
          <w:sz w:val="18"/>
          <w:szCs w:val="18"/>
        </w:rPr>
        <w:t xml:space="preserve">Anderson, G., </w:t>
      </w:r>
      <w:r w:rsidR="00112540" w:rsidRPr="009D6FED">
        <w:rPr>
          <w:sz w:val="18"/>
          <w:szCs w:val="18"/>
        </w:rPr>
        <w:t xml:space="preserve">Lal, M., </w:t>
      </w:r>
      <w:r w:rsidRPr="009D6FED">
        <w:rPr>
          <w:sz w:val="18"/>
          <w:szCs w:val="18"/>
        </w:rPr>
        <w:t>Hampton, J., Smith, N., and Rico, C. 2019.</w:t>
      </w:r>
      <w:r w:rsidR="00112540" w:rsidRPr="009D6FED">
        <w:rPr>
          <w:sz w:val="18"/>
          <w:szCs w:val="18"/>
        </w:rPr>
        <w:t xml:space="preserve"> Close kin proximity in yellowfin tuna (</w:t>
      </w:r>
      <w:r w:rsidR="00112540" w:rsidRPr="009D6FED">
        <w:rPr>
          <w:i/>
          <w:sz w:val="18"/>
          <w:szCs w:val="18"/>
        </w:rPr>
        <w:t>Thunnus albacares</w:t>
      </w:r>
      <w:r w:rsidR="00112540" w:rsidRPr="009D6FED">
        <w:rPr>
          <w:sz w:val="18"/>
          <w:szCs w:val="18"/>
        </w:rPr>
        <w:t xml:space="preserve">) as a driver of population genetic structure in the tropical Western and Central Pacific Ocean. </w:t>
      </w:r>
      <w:r w:rsidR="00112540" w:rsidRPr="009D6FED">
        <w:rPr>
          <w:i/>
          <w:sz w:val="18"/>
          <w:szCs w:val="18"/>
        </w:rPr>
        <w:t>Frontiers in Marine Science</w:t>
      </w:r>
      <w:r w:rsidR="00112540" w:rsidRPr="009D6FED">
        <w:rPr>
          <w:sz w:val="18"/>
          <w:szCs w:val="18"/>
        </w:rPr>
        <w:t xml:space="preserve">, 6: 341. </w:t>
      </w:r>
      <w:proofErr w:type="spellStart"/>
      <w:r w:rsidR="00112540" w:rsidRPr="009D6FED">
        <w:rPr>
          <w:sz w:val="18"/>
          <w:szCs w:val="18"/>
        </w:rPr>
        <w:t>doi</w:t>
      </w:r>
      <w:proofErr w:type="spellEnd"/>
      <w:r w:rsidR="00112540" w:rsidRPr="009D6FED">
        <w:rPr>
          <w:sz w:val="18"/>
          <w:szCs w:val="18"/>
        </w:rPr>
        <w:t>: 10.3389/fmars.2019.00341</w:t>
      </w:r>
    </w:p>
    <w:p w14:paraId="1F90A08F" w14:textId="74B2E48D" w:rsidR="00A22672" w:rsidRPr="009D6FED" w:rsidRDefault="00A22672" w:rsidP="005C3EDB">
      <w:pPr>
        <w:pStyle w:val="References"/>
        <w:spacing w:before="120"/>
        <w:rPr>
          <w:sz w:val="18"/>
          <w:szCs w:val="18"/>
        </w:rPr>
      </w:pPr>
      <w:r w:rsidRPr="009D6FED">
        <w:rPr>
          <w:sz w:val="18"/>
          <w:szCs w:val="18"/>
        </w:rPr>
        <w:t>Anonymous. 2016. Report of the Twelfth Regular Session of the Scientific Committee of the Commission for the Conservation and Management of Highly Migratory Fish Stocks in the Western and Central Pacific Ocean. 3-11 August 2017, Bali, Indonesia. WCPFC, Pohnpei, Federated States of Micronesia.</w:t>
      </w:r>
    </w:p>
    <w:p w14:paraId="3BBAD151" w14:textId="2204D2AD" w:rsidR="00931C6E" w:rsidRPr="009D6FED" w:rsidRDefault="005C3EDB" w:rsidP="00931C6E">
      <w:pPr>
        <w:pStyle w:val="References"/>
        <w:spacing w:before="120"/>
        <w:rPr>
          <w:sz w:val="18"/>
          <w:szCs w:val="18"/>
        </w:rPr>
      </w:pPr>
      <w:r>
        <w:rPr>
          <w:sz w:val="18"/>
          <w:szCs w:val="18"/>
        </w:rPr>
        <w:t>Anonymous. 2018</w:t>
      </w:r>
      <w:r w:rsidR="00931C6E" w:rsidRPr="009D6FED">
        <w:rPr>
          <w:sz w:val="18"/>
          <w:szCs w:val="18"/>
        </w:rPr>
        <w:t>. Report of the Fourteenth Regular Session of the Scientific Committee of the Commission for the Conservation and Management of Highly Migratory Fish Stocks in the Western and Central Pacific Ocean. 8-16 August 2018, Busan, Republic of Korea. WCPFC, Pohnpei, Federated States of Micronesia.</w:t>
      </w:r>
    </w:p>
    <w:p w14:paraId="6F1A8F66" w14:textId="61230A87" w:rsidR="00EA4CC6" w:rsidRPr="009D6FED" w:rsidRDefault="008A25A4" w:rsidP="00A22672">
      <w:pPr>
        <w:pStyle w:val="References"/>
        <w:spacing w:before="120"/>
        <w:rPr>
          <w:sz w:val="18"/>
          <w:szCs w:val="18"/>
        </w:rPr>
      </w:pPr>
      <w:r w:rsidRPr="009D6FED">
        <w:rPr>
          <w:sz w:val="18"/>
          <w:szCs w:val="18"/>
        </w:rPr>
        <w:t>Farley, J., et al. 2019. Analysis of age and growth of yellowfin tuna in the Pacific: Project 82.</w:t>
      </w:r>
      <w:r w:rsidRPr="009D6FED">
        <w:t xml:space="preserve"> </w:t>
      </w:r>
      <w:r w:rsidRPr="009D6FED">
        <w:rPr>
          <w:sz w:val="18"/>
          <w:szCs w:val="18"/>
        </w:rPr>
        <w:t xml:space="preserve">WCPFC-SC15-2019/SA-WP-03. Fifteenth Regular Session of the Scientific Committee of the Western and Central Pacific Fisheries Commission. Pohnpei, </w:t>
      </w:r>
      <w:proofErr w:type="gramStart"/>
      <w:r w:rsidRPr="009D6FED">
        <w:rPr>
          <w:sz w:val="18"/>
          <w:szCs w:val="18"/>
        </w:rPr>
        <w:t>federated States of Micronesia</w:t>
      </w:r>
      <w:proofErr w:type="gramEnd"/>
      <w:r w:rsidR="00940362" w:rsidRPr="009D6FED">
        <w:rPr>
          <w:sz w:val="18"/>
          <w:szCs w:val="18"/>
        </w:rPr>
        <w:t>, 12-20 August 2019</w:t>
      </w:r>
      <w:r w:rsidRPr="009D6FED">
        <w:rPr>
          <w:sz w:val="18"/>
          <w:szCs w:val="18"/>
        </w:rPr>
        <w:t>.</w:t>
      </w:r>
    </w:p>
    <w:p w14:paraId="5A16B799" w14:textId="7FE2728B" w:rsidR="000041F6" w:rsidRPr="009D6FED" w:rsidRDefault="000041F6" w:rsidP="00940362">
      <w:pPr>
        <w:pStyle w:val="References"/>
        <w:spacing w:before="120"/>
        <w:rPr>
          <w:sz w:val="18"/>
          <w:szCs w:val="18"/>
        </w:rPr>
      </w:pPr>
      <w:proofErr w:type="spellStart"/>
      <w:r w:rsidRPr="009D6FED">
        <w:rPr>
          <w:sz w:val="18"/>
          <w:szCs w:val="18"/>
        </w:rPr>
        <w:t>Houssard</w:t>
      </w:r>
      <w:proofErr w:type="spellEnd"/>
      <w:r w:rsidRPr="009D6FED">
        <w:rPr>
          <w:sz w:val="18"/>
          <w:szCs w:val="18"/>
        </w:rPr>
        <w:t xml:space="preserve">, P., Point, D., Tremblay-Boyer, L., Allain, V., </w:t>
      </w:r>
      <w:proofErr w:type="spellStart"/>
      <w:r w:rsidRPr="009D6FED">
        <w:rPr>
          <w:sz w:val="18"/>
          <w:szCs w:val="18"/>
        </w:rPr>
        <w:t>Pethybridge</w:t>
      </w:r>
      <w:proofErr w:type="spellEnd"/>
      <w:r w:rsidRPr="009D6FED">
        <w:rPr>
          <w:sz w:val="18"/>
          <w:szCs w:val="18"/>
        </w:rPr>
        <w:t xml:space="preserve">, H., </w:t>
      </w:r>
      <w:proofErr w:type="spellStart"/>
      <w:r w:rsidRPr="009D6FED">
        <w:rPr>
          <w:sz w:val="18"/>
          <w:szCs w:val="18"/>
        </w:rPr>
        <w:t>Masbou</w:t>
      </w:r>
      <w:proofErr w:type="spellEnd"/>
      <w:r w:rsidRPr="009D6FED">
        <w:rPr>
          <w:sz w:val="18"/>
          <w:szCs w:val="18"/>
        </w:rPr>
        <w:t xml:space="preserve">, J., Ferriss, B.E., </w:t>
      </w:r>
      <w:proofErr w:type="spellStart"/>
      <w:r w:rsidRPr="009D6FED">
        <w:rPr>
          <w:sz w:val="18"/>
          <w:szCs w:val="18"/>
        </w:rPr>
        <w:t>Baya</w:t>
      </w:r>
      <w:proofErr w:type="spellEnd"/>
      <w:r w:rsidRPr="009D6FED">
        <w:rPr>
          <w:sz w:val="18"/>
          <w:szCs w:val="18"/>
        </w:rPr>
        <w:t xml:space="preserve">, P.A., </w:t>
      </w:r>
      <w:proofErr w:type="spellStart"/>
      <w:r w:rsidRPr="009D6FED">
        <w:rPr>
          <w:sz w:val="18"/>
          <w:szCs w:val="18"/>
        </w:rPr>
        <w:t>Lagane</w:t>
      </w:r>
      <w:proofErr w:type="spellEnd"/>
      <w:r w:rsidRPr="009D6FED">
        <w:rPr>
          <w:sz w:val="18"/>
          <w:szCs w:val="18"/>
        </w:rPr>
        <w:t xml:space="preserve">, C., Menkes, C.E., </w:t>
      </w:r>
      <w:proofErr w:type="spellStart"/>
      <w:r w:rsidRPr="009D6FED">
        <w:rPr>
          <w:sz w:val="18"/>
          <w:szCs w:val="18"/>
        </w:rPr>
        <w:t>Letourneur</w:t>
      </w:r>
      <w:proofErr w:type="spellEnd"/>
      <w:r w:rsidRPr="009D6FED">
        <w:rPr>
          <w:sz w:val="18"/>
          <w:szCs w:val="18"/>
        </w:rPr>
        <w:t>, Y., Lorrain, A., 2019. A Model of Mercury Distribution in Tuna from the Western and Central Pacific Ocean: Influence of Physiology, Ecology and Environmental Factors. Environ. Sci. Technol. 53, 1422–1431. https://</w:t>
      </w:r>
      <w:r w:rsidR="00940362" w:rsidRPr="009D6FED">
        <w:rPr>
          <w:sz w:val="18"/>
          <w:szCs w:val="18"/>
        </w:rPr>
        <w:t>doi.org/10.1021/acs.est.8b06058</w:t>
      </w:r>
    </w:p>
    <w:p w14:paraId="3C655414" w14:textId="4A76A117" w:rsidR="007D41A4" w:rsidRPr="009D6FED" w:rsidRDefault="00940362" w:rsidP="007D41A4">
      <w:pPr>
        <w:pStyle w:val="References"/>
        <w:spacing w:before="120"/>
        <w:rPr>
          <w:sz w:val="18"/>
          <w:szCs w:val="18"/>
        </w:rPr>
      </w:pPr>
      <w:r w:rsidRPr="009D6FED">
        <w:rPr>
          <w:sz w:val="18"/>
          <w:szCs w:val="18"/>
        </w:rPr>
        <w:t>Macdonald, J.,</w:t>
      </w:r>
      <w:r w:rsidR="007D41A4" w:rsidRPr="009D6FED">
        <w:rPr>
          <w:sz w:val="18"/>
          <w:szCs w:val="18"/>
        </w:rPr>
        <w:t xml:space="preserve"> Moore, B., and Smith, N. 2019.</w:t>
      </w:r>
      <w:r w:rsidRPr="009D6FED">
        <w:rPr>
          <w:sz w:val="18"/>
          <w:szCs w:val="18"/>
        </w:rPr>
        <w:t xml:space="preserve"> </w:t>
      </w:r>
      <w:r w:rsidR="007D41A4" w:rsidRPr="009D6FED">
        <w:rPr>
          <w:sz w:val="18"/>
          <w:szCs w:val="18"/>
        </w:rPr>
        <w:t xml:space="preserve">Stock structure considerations for Pacific Ocean tunas. WCPFC-SC15-2019/SA-IP-03. Fifteenth Regular Session of the Scientific Committee of the Western and Central Pacific Fisheries Commission. Pohnpei, </w:t>
      </w:r>
      <w:proofErr w:type="gramStart"/>
      <w:r w:rsidR="007D41A4" w:rsidRPr="009D6FED">
        <w:rPr>
          <w:sz w:val="18"/>
          <w:szCs w:val="18"/>
        </w:rPr>
        <w:t>federated States of Micronesia</w:t>
      </w:r>
      <w:proofErr w:type="gramEnd"/>
      <w:r w:rsidR="007D41A4" w:rsidRPr="009D6FED">
        <w:rPr>
          <w:sz w:val="18"/>
          <w:szCs w:val="18"/>
        </w:rPr>
        <w:t>, 12-20 August 2019.</w:t>
      </w:r>
    </w:p>
    <w:p w14:paraId="38F75968" w14:textId="50794E97" w:rsidR="00A22672" w:rsidRPr="009D6FED" w:rsidRDefault="00A22672" w:rsidP="00A22672">
      <w:pPr>
        <w:pStyle w:val="References"/>
        <w:spacing w:before="120"/>
        <w:rPr>
          <w:sz w:val="18"/>
          <w:szCs w:val="18"/>
        </w:rPr>
      </w:pPr>
      <w:r w:rsidRPr="009D6FED">
        <w:rPr>
          <w:sz w:val="18"/>
          <w:szCs w:val="18"/>
        </w:rPr>
        <w:t>The Pacific Community – Oceanic Fisheries Programme (SPC-OFP). 2017. Project 35: Bigeye biology, and Project 35b: WCPFC Tuna Tissue Bank. WCPFC-SC13-2017/RP-P35-01. Thirteenth Regular Session of the Scientific Committee of the Western and Central Pacific Fisheries Commission. Rarotonga, Cook Islands, 9-17 August 2017.</w:t>
      </w:r>
    </w:p>
    <w:p w14:paraId="1C492F89" w14:textId="2083EE82" w:rsidR="00B7057F" w:rsidRPr="009D6FED" w:rsidRDefault="00B7057F" w:rsidP="00B7057F">
      <w:pPr>
        <w:pStyle w:val="References"/>
        <w:spacing w:before="120"/>
        <w:rPr>
          <w:sz w:val="18"/>
          <w:szCs w:val="18"/>
        </w:rPr>
      </w:pPr>
      <w:r w:rsidRPr="009D6FED">
        <w:rPr>
          <w:sz w:val="18"/>
          <w:szCs w:val="18"/>
        </w:rPr>
        <w:t>The Pacific Community – Oceanic Fisheries Programme (SPC-OFP). 2018. Project 35b: WCPFC Tuna Tissue Bank. WCPFC-SC14-2018/RP-35b-01. Fourteenth Regular Session of the Scientific Committee of the Western and Central Pacific Fisheries Commission. Busan, Republic of Korea, 8-17 August 2018.</w:t>
      </w:r>
    </w:p>
    <w:p w14:paraId="5EB6F7CA" w14:textId="2C4CE384" w:rsidR="00EA1E61" w:rsidRPr="009D6FED" w:rsidRDefault="00AB2C41" w:rsidP="00EA1E61">
      <w:pPr>
        <w:pStyle w:val="References"/>
        <w:spacing w:before="120"/>
        <w:rPr>
          <w:sz w:val="18"/>
          <w:szCs w:val="18"/>
        </w:rPr>
      </w:pPr>
      <w:r w:rsidRPr="009D6FED">
        <w:rPr>
          <w:sz w:val="18"/>
          <w:szCs w:val="18"/>
        </w:rPr>
        <w:t>The Pacific Community – Oceanic Fisheries Programme (SPC-OFP). 2019</w:t>
      </w:r>
      <w:r w:rsidR="00EA1E61" w:rsidRPr="009D6FED">
        <w:rPr>
          <w:sz w:val="18"/>
          <w:szCs w:val="18"/>
        </w:rPr>
        <w:t>a</w:t>
      </w:r>
      <w:r w:rsidRPr="009D6FED">
        <w:rPr>
          <w:sz w:val="18"/>
          <w:szCs w:val="18"/>
        </w:rPr>
        <w:t xml:space="preserve">. Project 42: Pacific Tuna Tagging Project Report and Workplan for 2019-2022. WCPFC-SC15-2019/RP-PTTP-02. Fifteenth Regular Session of the Scientific Committee of the Western and Central Pacific Fisheries Commission. Pohnpei, </w:t>
      </w:r>
      <w:proofErr w:type="gramStart"/>
      <w:r w:rsidRPr="009D6FED">
        <w:rPr>
          <w:sz w:val="18"/>
          <w:szCs w:val="18"/>
        </w:rPr>
        <w:t>federated States of Micronesia</w:t>
      </w:r>
      <w:proofErr w:type="gramEnd"/>
      <w:r w:rsidRPr="009D6FED">
        <w:rPr>
          <w:sz w:val="18"/>
          <w:szCs w:val="18"/>
        </w:rPr>
        <w:t>, 12-20 August 2019.</w:t>
      </w:r>
      <w:r w:rsidR="00EA1E61" w:rsidRPr="009D6FED">
        <w:rPr>
          <w:sz w:val="18"/>
          <w:szCs w:val="18"/>
        </w:rPr>
        <w:t xml:space="preserve"> </w:t>
      </w:r>
    </w:p>
    <w:p w14:paraId="0C9936FA" w14:textId="6537B7BF" w:rsidR="00AB2C41" w:rsidRPr="009D6FED" w:rsidRDefault="00EA1E61" w:rsidP="00EA1E61">
      <w:pPr>
        <w:pStyle w:val="References"/>
        <w:spacing w:before="120"/>
        <w:rPr>
          <w:sz w:val="18"/>
          <w:szCs w:val="18"/>
        </w:rPr>
      </w:pPr>
      <w:r w:rsidRPr="009D6FED">
        <w:rPr>
          <w:sz w:val="18"/>
          <w:szCs w:val="18"/>
        </w:rPr>
        <w:t>The Pacific Community – Oceanic Fisheries Programme (SPC-OFP). 2019</w:t>
      </w:r>
      <w:r w:rsidR="005C3EDB">
        <w:rPr>
          <w:sz w:val="18"/>
          <w:szCs w:val="18"/>
        </w:rPr>
        <w:t>b</w:t>
      </w:r>
      <w:r w:rsidRPr="009D6FED">
        <w:rPr>
          <w:sz w:val="18"/>
          <w:szCs w:val="18"/>
        </w:rPr>
        <w:t xml:space="preserve">. Project 90 Update: Better data on fish weights and lengths for scientific analyses. WCPFC-SC15-2019/ST-WP-03. Fifteenth Regular Session of the Scientific Committee of the Western and Central Pacific Fisheries Commission. Pohnpei, </w:t>
      </w:r>
      <w:proofErr w:type="gramStart"/>
      <w:r w:rsidRPr="009D6FED">
        <w:rPr>
          <w:sz w:val="18"/>
          <w:szCs w:val="18"/>
        </w:rPr>
        <w:t>federated States of Micronesia</w:t>
      </w:r>
      <w:proofErr w:type="gramEnd"/>
      <w:r w:rsidRPr="009D6FED">
        <w:rPr>
          <w:sz w:val="18"/>
          <w:szCs w:val="18"/>
        </w:rPr>
        <w:t>, 12-20 August 2019.</w:t>
      </w:r>
    </w:p>
    <w:p w14:paraId="41CF3A85" w14:textId="193FD79F" w:rsidR="00F628A3" w:rsidRPr="00A16679" w:rsidRDefault="00F628A3" w:rsidP="00A16679">
      <w:pPr>
        <w:spacing w:after="200" w:line="276" w:lineRule="auto"/>
      </w:pPr>
    </w:p>
    <w:sectPr w:rsidR="00F628A3" w:rsidRPr="00A16679" w:rsidSect="00F652B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ED2F5" w14:textId="77777777" w:rsidR="00CF5B4D" w:rsidRDefault="00CF5B4D" w:rsidP="005903DF">
      <w:r>
        <w:separator/>
      </w:r>
    </w:p>
  </w:endnote>
  <w:endnote w:type="continuationSeparator" w:id="0">
    <w:p w14:paraId="42D7F116" w14:textId="77777777" w:rsidR="00CF5B4D" w:rsidRDefault="00CF5B4D" w:rsidP="0059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257419"/>
      <w:docPartObj>
        <w:docPartGallery w:val="Page Numbers (Bottom of Page)"/>
        <w:docPartUnique/>
      </w:docPartObj>
    </w:sdtPr>
    <w:sdtEndPr>
      <w:rPr>
        <w:noProof/>
      </w:rPr>
    </w:sdtEndPr>
    <w:sdtContent>
      <w:p w14:paraId="35A2C2E2" w14:textId="4D142C1B" w:rsidR="00F652B2" w:rsidRDefault="00F652B2">
        <w:pPr>
          <w:pStyle w:val="Footer"/>
          <w:jc w:val="center"/>
        </w:pPr>
        <w:r>
          <w:fldChar w:fldCharType="begin"/>
        </w:r>
        <w:r>
          <w:instrText xml:space="preserve"> PAGE   \* MERGEFORMAT </w:instrText>
        </w:r>
        <w:r>
          <w:fldChar w:fldCharType="separate"/>
        </w:r>
        <w:r w:rsidR="00681D0B">
          <w:rPr>
            <w:noProof/>
          </w:rPr>
          <w:t>6</w:t>
        </w:r>
        <w:r>
          <w:rPr>
            <w:noProof/>
          </w:rPr>
          <w:fldChar w:fldCharType="end"/>
        </w:r>
      </w:p>
    </w:sdtContent>
  </w:sdt>
  <w:p w14:paraId="1BCEF1E7" w14:textId="77777777" w:rsidR="00916090" w:rsidRDefault="00916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80B67" w14:textId="77777777" w:rsidR="00CF5B4D" w:rsidRDefault="00CF5B4D" w:rsidP="005903DF">
      <w:r>
        <w:separator/>
      </w:r>
    </w:p>
  </w:footnote>
  <w:footnote w:type="continuationSeparator" w:id="0">
    <w:p w14:paraId="24158BDC" w14:textId="77777777" w:rsidR="00CF5B4D" w:rsidRDefault="00CF5B4D" w:rsidP="00590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77E0"/>
    <w:multiLevelType w:val="hybridMultilevel"/>
    <w:tmpl w:val="701C3A90"/>
    <w:lvl w:ilvl="0" w:tplc="FF8E9436">
      <w:start w:val="1"/>
      <w:numFmt w:val="upp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D6966"/>
    <w:multiLevelType w:val="hybridMultilevel"/>
    <w:tmpl w:val="87F89E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03091A"/>
    <w:multiLevelType w:val="hybridMultilevel"/>
    <w:tmpl w:val="C14E7802"/>
    <w:lvl w:ilvl="0" w:tplc="5C3A8B00">
      <w:start w:val="1"/>
      <w:numFmt w:val="bullet"/>
      <w:pStyle w:val="Heading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976F2"/>
    <w:multiLevelType w:val="multilevel"/>
    <w:tmpl w:val="D2F6D5F4"/>
    <w:lvl w:ilvl="0">
      <w:start w:val="1"/>
      <w:numFmt w:val="decimal"/>
      <w:lvlText w:val="%1."/>
      <w:lvlJc w:val="left"/>
      <w:pPr>
        <w:ind w:left="360" w:hanging="360"/>
      </w:pPr>
      <w:rPr>
        <w:rFonts w:hint="default"/>
      </w:rPr>
    </w:lvl>
    <w:lvl w:ilvl="1">
      <w:start w:val="1"/>
      <w:numFmt w:val="decimal"/>
      <w:pStyle w:val="SC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3"/>
      <w:lvlText w:val="%1.%2.%3."/>
      <w:lvlJc w:val="left"/>
      <w:pPr>
        <w:ind w:left="108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51A29"/>
    <w:multiLevelType w:val="hybridMultilevel"/>
    <w:tmpl w:val="778467D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A47031"/>
    <w:multiLevelType w:val="hybridMultilevel"/>
    <w:tmpl w:val="F15AA55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D9949B54">
      <w:start w:val="1"/>
      <w:numFmt w:val="decimal"/>
      <w:lvlText w:val="%3"/>
      <w:lvlJc w:val="left"/>
      <w:pPr>
        <w:ind w:left="2004" w:hanging="384"/>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44D2FA7"/>
    <w:multiLevelType w:val="hybridMultilevel"/>
    <w:tmpl w:val="B34A8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360926"/>
    <w:multiLevelType w:val="hybridMultilevel"/>
    <w:tmpl w:val="6E16DD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709250E"/>
    <w:multiLevelType w:val="hybridMultilevel"/>
    <w:tmpl w:val="A580C5F4"/>
    <w:lvl w:ilvl="0" w:tplc="17184000">
      <w:start w:val="1"/>
      <w:numFmt w:val="decimal"/>
      <w:pStyle w:val="WCPFC"/>
      <w:lvlText w:val="%1."/>
      <w:lvlJc w:val="left"/>
      <w:pPr>
        <w:ind w:left="360" w:hanging="360"/>
      </w:pPr>
      <w:rPr>
        <w:rFonts w:ascii="Times New Roman" w:hAnsi="Times New Roman" w:cs="Times New Roman" w:hint="default"/>
        <w:b w:val="0"/>
        <w:i w:val="0"/>
        <w:strike w:val="0"/>
        <w:color w:val="auto"/>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C400D1A0">
      <w:start w:val="1"/>
      <w:numFmt w:val="lowerLetter"/>
      <w:lvlText w:val="%6."/>
      <w:lvlJc w:val="left"/>
      <w:pPr>
        <w:ind w:left="5400" w:hanging="360"/>
      </w:pPr>
      <w:rPr>
        <w:rFont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379D39F1"/>
    <w:multiLevelType w:val="hybridMultilevel"/>
    <w:tmpl w:val="45F4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561170"/>
    <w:multiLevelType w:val="multilevel"/>
    <w:tmpl w:val="0CDEEEE8"/>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852B93"/>
    <w:multiLevelType w:val="hybridMultilevel"/>
    <w:tmpl w:val="BA9EE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873690"/>
    <w:multiLevelType w:val="multilevel"/>
    <w:tmpl w:val="E4681FD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3" w15:restartNumberingAfterBreak="0">
    <w:nsid w:val="71CC7BA0"/>
    <w:multiLevelType w:val="hybridMultilevel"/>
    <w:tmpl w:val="0C1C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991E7F"/>
    <w:multiLevelType w:val="multilevel"/>
    <w:tmpl w:val="7DA483EA"/>
    <w:lvl w:ilvl="0">
      <w:start w:val="3"/>
      <w:numFmt w:val="none"/>
      <w:pStyle w:val="Title"/>
      <w:lvlText w:val=""/>
      <w:lvlJc w:val="left"/>
      <w:pPr>
        <w:tabs>
          <w:tab w:val="num" w:pos="2016"/>
        </w:tabs>
        <w:ind w:left="2088" w:hanging="648"/>
      </w:pPr>
      <w:rPr>
        <w:rFonts w:hint="default"/>
      </w:rPr>
    </w:lvl>
    <w:lvl w:ilvl="1">
      <w:start w:val="1"/>
      <w:numFmt w:val="decimal"/>
      <w:lvlText w:val="%2."/>
      <w:lvlJc w:val="left"/>
      <w:pPr>
        <w:ind w:left="2059" w:hanging="357"/>
      </w:pPr>
      <w:rPr>
        <w:rFonts w:hint="default"/>
      </w:rPr>
    </w:lvl>
    <w:lvl w:ilvl="2">
      <w:start w:val="1"/>
      <w:numFmt w:val="upperLetter"/>
      <w:lvlText w:val="%2.%3"/>
      <w:lvlJc w:val="left"/>
      <w:pPr>
        <w:ind w:left="720" w:hanging="720"/>
      </w:pPr>
      <w:rPr>
        <w:rFonts w:hint="default"/>
        <w:i w:val="0"/>
        <w:caps w:val="0"/>
        <w:smallCaps w:val="0"/>
        <w:strike w:val="0"/>
        <w:dstrike w:val="0"/>
        <w:noProof w:val="0"/>
        <w:vanish w:val="0"/>
        <w:color w:val="000000"/>
        <w:spacing w:val="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2.%3.%4"/>
      <w:lvlJc w:val="left"/>
      <w:pPr>
        <w:ind w:left="3744" w:hanging="936"/>
      </w:pPr>
      <w:rPr>
        <w:rFonts w:hint="default"/>
      </w:rPr>
    </w:lvl>
    <w:lvl w:ilvl="4">
      <w:start w:val="1"/>
      <w:numFmt w:val="lowerLetter"/>
      <w:pStyle w:val="Heading4"/>
      <w:lvlText w:val="%2.%3.%4.%5)"/>
      <w:lvlJc w:val="left"/>
      <w:pPr>
        <w:ind w:left="4392" w:hanging="1296"/>
      </w:pPr>
      <w:rPr>
        <w:rFonts w:hint="default"/>
      </w:rPr>
    </w:lvl>
    <w:lvl w:ilvl="5">
      <w:start w:val="1"/>
      <w:numFmt w:val="bullet"/>
      <w:lvlText w:val="o"/>
      <w:lvlJc w:val="left"/>
      <w:pPr>
        <w:ind w:left="4536" w:hanging="504"/>
      </w:pPr>
      <w:rPr>
        <w:rFonts w:ascii="Courier New" w:hAnsi="Courier New" w:hint="default"/>
      </w:rPr>
    </w:lvl>
    <w:lvl w:ilvl="6">
      <w:start w:val="1"/>
      <w:numFmt w:val="bullet"/>
      <w:lvlText w:val=""/>
      <w:lvlJc w:val="left"/>
      <w:pPr>
        <w:ind w:left="6480" w:hanging="504"/>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5" w15:restartNumberingAfterBreak="0">
    <w:nsid w:val="7C4659B4"/>
    <w:multiLevelType w:val="hybridMultilevel"/>
    <w:tmpl w:val="14543C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14"/>
  </w:num>
  <w:num w:numId="4">
    <w:abstractNumId w:val="2"/>
  </w:num>
  <w:num w:numId="5">
    <w:abstractNumId w:val="15"/>
  </w:num>
  <w:num w:numId="6">
    <w:abstractNumId w:val="6"/>
  </w:num>
  <w:num w:numId="7">
    <w:abstractNumId w:val="7"/>
  </w:num>
  <w:num w:numId="8">
    <w:abstractNumId w:val="11"/>
  </w:num>
  <w:num w:numId="9">
    <w:abstractNumId w:val="9"/>
  </w:num>
  <w:num w:numId="10">
    <w:abstractNumId w:val="8"/>
  </w:num>
  <w:num w:numId="11">
    <w:abstractNumId w:val="10"/>
  </w:num>
  <w:num w:numId="12">
    <w:abstractNumId w:val="13"/>
  </w:num>
  <w:num w:numId="13">
    <w:abstractNumId w:val="3"/>
  </w:num>
  <w:num w:numId="14">
    <w:abstractNumId w:val="12"/>
  </w:num>
  <w:num w:numId="15">
    <w:abstractNumId w:val="4"/>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NZ"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B4"/>
    <w:rsid w:val="0000005F"/>
    <w:rsid w:val="00001929"/>
    <w:rsid w:val="0000313C"/>
    <w:rsid w:val="000041F6"/>
    <w:rsid w:val="00007458"/>
    <w:rsid w:val="000111F7"/>
    <w:rsid w:val="000115FD"/>
    <w:rsid w:val="00012411"/>
    <w:rsid w:val="00014782"/>
    <w:rsid w:val="00016C80"/>
    <w:rsid w:val="0002281B"/>
    <w:rsid w:val="00022A39"/>
    <w:rsid w:val="00023BA1"/>
    <w:rsid w:val="00027A99"/>
    <w:rsid w:val="00030062"/>
    <w:rsid w:val="0003326D"/>
    <w:rsid w:val="000339D1"/>
    <w:rsid w:val="000340A2"/>
    <w:rsid w:val="00037EC1"/>
    <w:rsid w:val="00041622"/>
    <w:rsid w:val="00043533"/>
    <w:rsid w:val="0004643F"/>
    <w:rsid w:val="00046AC7"/>
    <w:rsid w:val="00046D76"/>
    <w:rsid w:val="000478F6"/>
    <w:rsid w:val="0005159C"/>
    <w:rsid w:val="00052B42"/>
    <w:rsid w:val="00052C65"/>
    <w:rsid w:val="0005327F"/>
    <w:rsid w:val="000571E4"/>
    <w:rsid w:val="00060265"/>
    <w:rsid w:val="0006287B"/>
    <w:rsid w:val="00065734"/>
    <w:rsid w:val="00065EF1"/>
    <w:rsid w:val="0006663F"/>
    <w:rsid w:val="0007055C"/>
    <w:rsid w:val="00071000"/>
    <w:rsid w:val="00074C30"/>
    <w:rsid w:val="00077553"/>
    <w:rsid w:val="00077555"/>
    <w:rsid w:val="00081716"/>
    <w:rsid w:val="00085158"/>
    <w:rsid w:val="0008576D"/>
    <w:rsid w:val="000919D7"/>
    <w:rsid w:val="000921C8"/>
    <w:rsid w:val="0009339C"/>
    <w:rsid w:val="00093F8B"/>
    <w:rsid w:val="000961CB"/>
    <w:rsid w:val="0009686A"/>
    <w:rsid w:val="00096AFF"/>
    <w:rsid w:val="000A3DBA"/>
    <w:rsid w:val="000A5FC3"/>
    <w:rsid w:val="000A671F"/>
    <w:rsid w:val="000B10B2"/>
    <w:rsid w:val="000B4AC0"/>
    <w:rsid w:val="000C1B90"/>
    <w:rsid w:val="000C50B4"/>
    <w:rsid w:val="000C514E"/>
    <w:rsid w:val="000C5448"/>
    <w:rsid w:val="000C6227"/>
    <w:rsid w:val="000C6B0E"/>
    <w:rsid w:val="000D01AE"/>
    <w:rsid w:val="000D2C48"/>
    <w:rsid w:val="000D3AEA"/>
    <w:rsid w:val="000D4D05"/>
    <w:rsid w:val="000D517A"/>
    <w:rsid w:val="000D53E1"/>
    <w:rsid w:val="000D5512"/>
    <w:rsid w:val="000D786A"/>
    <w:rsid w:val="000D7A9D"/>
    <w:rsid w:val="000D7F26"/>
    <w:rsid w:val="000E1BB9"/>
    <w:rsid w:val="000E451A"/>
    <w:rsid w:val="000E4B72"/>
    <w:rsid w:val="000F1F6C"/>
    <w:rsid w:val="000F2423"/>
    <w:rsid w:val="000F3C09"/>
    <w:rsid w:val="00101590"/>
    <w:rsid w:val="00106809"/>
    <w:rsid w:val="00107CEB"/>
    <w:rsid w:val="00110BAD"/>
    <w:rsid w:val="00112540"/>
    <w:rsid w:val="00112BF6"/>
    <w:rsid w:val="001144A5"/>
    <w:rsid w:val="00114B9F"/>
    <w:rsid w:val="0011534B"/>
    <w:rsid w:val="001230DD"/>
    <w:rsid w:val="00123409"/>
    <w:rsid w:val="0012439A"/>
    <w:rsid w:val="00124918"/>
    <w:rsid w:val="00125657"/>
    <w:rsid w:val="001262A3"/>
    <w:rsid w:val="00126AC7"/>
    <w:rsid w:val="00127675"/>
    <w:rsid w:val="00130408"/>
    <w:rsid w:val="00132E52"/>
    <w:rsid w:val="00133B31"/>
    <w:rsid w:val="001340F4"/>
    <w:rsid w:val="001349AD"/>
    <w:rsid w:val="00141460"/>
    <w:rsid w:val="001429CA"/>
    <w:rsid w:val="00142BC5"/>
    <w:rsid w:val="001466AF"/>
    <w:rsid w:val="001468AE"/>
    <w:rsid w:val="0015008C"/>
    <w:rsid w:val="0015299F"/>
    <w:rsid w:val="00156837"/>
    <w:rsid w:val="0016023C"/>
    <w:rsid w:val="0016136E"/>
    <w:rsid w:val="001629C0"/>
    <w:rsid w:val="001631E5"/>
    <w:rsid w:val="001658A3"/>
    <w:rsid w:val="00167666"/>
    <w:rsid w:val="00171E5A"/>
    <w:rsid w:val="00172192"/>
    <w:rsid w:val="0017228F"/>
    <w:rsid w:val="00174C62"/>
    <w:rsid w:val="00174FBA"/>
    <w:rsid w:val="001758F3"/>
    <w:rsid w:val="00176C11"/>
    <w:rsid w:val="00177FDF"/>
    <w:rsid w:val="00182C48"/>
    <w:rsid w:val="001866E9"/>
    <w:rsid w:val="00186774"/>
    <w:rsid w:val="00186968"/>
    <w:rsid w:val="00186B40"/>
    <w:rsid w:val="001878D2"/>
    <w:rsid w:val="0019088B"/>
    <w:rsid w:val="00192AB9"/>
    <w:rsid w:val="0019311C"/>
    <w:rsid w:val="001A095B"/>
    <w:rsid w:val="001A4859"/>
    <w:rsid w:val="001A4C45"/>
    <w:rsid w:val="001B0BD7"/>
    <w:rsid w:val="001B1CDF"/>
    <w:rsid w:val="001B232F"/>
    <w:rsid w:val="001B2556"/>
    <w:rsid w:val="001B5C32"/>
    <w:rsid w:val="001B76C9"/>
    <w:rsid w:val="001C1BDC"/>
    <w:rsid w:val="001C642B"/>
    <w:rsid w:val="001C68AF"/>
    <w:rsid w:val="001C7303"/>
    <w:rsid w:val="001D1F56"/>
    <w:rsid w:val="001D2501"/>
    <w:rsid w:val="001D36C2"/>
    <w:rsid w:val="001D48AB"/>
    <w:rsid w:val="001D4EB7"/>
    <w:rsid w:val="001E33BD"/>
    <w:rsid w:val="001E35D2"/>
    <w:rsid w:val="001E467A"/>
    <w:rsid w:val="001E5BBF"/>
    <w:rsid w:val="001E6704"/>
    <w:rsid w:val="001E6818"/>
    <w:rsid w:val="001F01BE"/>
    <w:rsid w:val="001F08FA"/>
    <w:rsid w:val="001F0BC8"/>
    <w:rsid w:val="001F5FE9"/>
    <w:rsid w:val="001F7042"/>
    <w:rsid w:val="00200300"/>
    <w:rsid w:val="0020055D"/>
    <w:rsid w:val="00203DB9"/>
    <w:rsid w:val="00206EDF"/>
    <w:rsid w:val="002077B9"/>
    <w:rsid w:val="00213656"/>
    <w:rsid w:val="00213C32"/>
    <w:rsid w:val="002143FB"/>
    <w:rsid w:val="0021675E"/>
    <w:rsid w:val="00216C1F"/>
    <w:rsid w:val="002222F8"/>
    <w:rsid w:val="00223A3F"/>
    <w:rsid w:val="002267F1"/>
    <w:rsid w:val="002307DE"/>
    <w:rsid w:val="00230A96"/>
    <w:rsid w:val="002317F6"/>
    <w:rsid w:val="00231AB5"/>
    <w:rsid w:val="00231F29"/>
    <w:rsid w:val="0023204A"/>
    <w:rsid w:val="00233B8A"/>
    <w:rsid w:val="0023470A"/>
    <w:rsid w:val="00235CF4"/>
    <w:rsid w:val="00235D11"/>
    <w:rsid w:val="0023777E"/>
    <w:rsid w:val="00240245"/>
    <w:rsid w:val="002422AE"/>
    <w:rsid w:val="002448BF"/>
    <w:rsid w:val="00247642"/>
    <w:rsid w:val="00253D31"/>
    <w:rsid w:val="00254EB3"/>
    <w:rsid w:val="0026071C"/>
    <w:rsid w:val="00261248"/>
    <w:rsid w:val="00263477"/>
    <w:rsid w:val="002639EA"/>
    <w:rsid w:val="00264658"/>
    <w:rsid w:val="002711DC"/>
    <w:rsid w:val="0027408F"/>
    <w:rsid w:val="002744F0"/>
    <w:rsid w:val="00280686"/>
    <w:rsid w:val="00281992"/>
    <w:rsid w:val="002823ED"/>
    <w:rsid w:val="00283EA3"/>
    <w:rsid w:val="00284107"/>
    <w:rsid w:val="002842C2"/>
    <w:rsid w:val="00286595"/>
    <w:rsid w:val="0029199B"/>
    <w:rsid w:val="00291A3C"/>
    <w:rsid w:val="00292C7E"/>
    <w:rsid w:val="002976BB"/>
    <w:rsid w:val="002A1D6B"/>
    <w:rsid w:val="002A244B"/>
    <w:rsid w:val="002A26A5"/>
    <w:rsid w:val="002A3131"/>
    <w:rsid w:val="002A5188"/>
    <w:rsid w:val="002A52DA"/>
    <w:rsid w:val="002C10A4"/>
    <w:rsid w:val="002C2F14"/>
    <w:rsid w:val="002C5363"/>
    <w:rsid w:val="002C718A"/>
    <w:rsid w:val="002D626A"/>
    <w:rsid w:val="002E0040"/>
    <w:rsid w:val="002E05A3"/>
    <w:rsid w:val="002E1BDD"/>
    <w:rsid w:val="002E339A"/>
    <w:rsid w:val="002E4E4A"/>
    <w:rsid w:val="002E501D"/>
    <w:rsid w:val="002E60F1"/>
    <w:rsid w:val="002E6602"/>
    <w:rsid w:val="002E6A21"/>
    <w:rsid w:val="002E78D3"/>
    <w:rsid w:val="002F1202"/>
    <w:rsid w:val="002F1AC6"/>
    <w:rsid w:val="002F3494"/>
    <w:rsid w:val="002F350C"/>
    <w:rsid w:val="002F4A23"/>
    <w:rsid w:val="00302595"/>
    <w:rsid w:val="003036AB"/>
    <w:rsid w:val="003057D0"/>
    <w:rsid w:val="003069EF"/>
    <w:rsid w:val="00307F0C"/>
    <w:rsid w:val="00311B94"/>
    <w:rsid w:val="0031325F"/>
    <w:rsid w:val="00315349"/>
    <w:rsid w:val="003229A9"/>
    <w:rsid w:val="00322D3F"/>
    <w:rsid w:val="0032392A"/>
    <w:rsid w:val="00323EB6"/>
    <w:rsid w:val="0032407D"/>
    <w:rsid w:val="003251CD"/>
    <w:rsid w:val="00327569"/>
    <w:rsid w:val="003319CA"/>
    <w:rsid w:val="00332A31"/>
    <w:rsid w:val="00333134"/>
    <w:rsid w:val="00334042"/>
    <w:rsid w:val="0033452B"/>
    <w:rsid w:val="00334CFB"/>
    <w:rsid w:val="0033778C"/>
    <w:rsid w:val="00337EE9"/>
    <w:rsid w:val="003409C1"/>
    <w:rsid w:val="003414A5"/>
    <w:rsid w:val="0034191C"/>
    <w:rsid w:val="00345AD8"/>
    <w:rsid w:val="00346BE7"/>
    <w:rsid w:val="003470A1"/>
    <w:rsid w:val="00347A8A"/>
    <w:rsid w:val="00351015"/>
    <w:rsid w:val="00353003"/>
    <w:rsid w:val="00356317"/>
    <w:rsid w:val="00357506"/>
    <w:rsid w:val="003615F1"/>
    <w:rsid w:val="00363AC1"/>
    <w:rsid w:val="00366CC8"/>
    <w:rsid w:val="003736F6"/>
    <w:rsid w:val="003760B1"/>
    <w:rsid w:val="003805C0"/>
    <w:rsid w:val="0038162B"/>
    <w:rsid w:val="00381BB6"/>
    <w:rsid w:val="00385790"/>
    <w:rsid w:val="0038693D"/>
    <w:rsid w:val="00392313"/>
    <w:rsid w:val="0039264F"/>
    <w:rsid w:val="00392E18"/>
    <w:rsid w:val="00395B04"/>
    <w:rsid w:val="003965A8"/>
    <w:rsid w:val="003A061F"/>
    <w:rsid w:val="003A30FC"/>
    <w:rsid w:val="003A46DC"/>
    <w:rsid w:val="003A507C"/>
    <w:rsid w:val="003A59B1"/>
    <w:rsid w:val="003A5D08"/>
    <w:rsid w:val="003A65D2"/>
    <w:rsid w:val="003B182C"/>
    <w:rsid w:val="003B1D70"/>
    <w:rsid w:val="003B696B"/>
    <w:rsid w:val="003B6F89"/>
    <w:rsid w:val="003B7F1D"/>
    <w:rsid w:val="003C0348"/>
    <w:rsid w:val="003C69F2"/>
    <w:rsid w:val="003D3010"/>
    <w:rsid w:val="003D40EE"/>
    <w:rsid w:val="003E1F0D"/>
    <w:rsid w:val="003E3A83"/>
    <w:rsid w:val="003E4CCE"/>
    <w:rsid w:val="003E76E4"/>
    <w:rsid w:val="003F1398"/>
    <w:rsid w:val="003F3118"/>
    <w:rsid w:val="003F67DA"/>
    <w:rsid w:val="00400A51"/>
    <w:rsid w:val="00401EFA"/>
    <w:rsid w:val="00402C82"/>
    <w:rsid w:val="00403DC2"/>
    <w:rsid w:val="00404168"/>
    <w:rsid w:val="00406232"/>
    <w:rsid w:val="00411F5C"/>
    <w:rsid w:val="00412E24"/>
    <w:rsid w:val="0041395B"/>
    <w:rsid w:val="0041441D"/>
    <w:rsid w:val="00414AA9"/>
    <w:rsid w:val="00417678"/>
    <w:rsid w:val="004337B5"/>
    <w:rsid w:val="00434DEA"/>
    <w:rsid w:val="004356C3"/>
    <w:rsid w:val="004363DB"/>
    <w:rsid w:val="004364AB"/>
    <w:rsid w:val="00451DF0"/>
    <w:rsid w:val="00452B06"/>
    <w:rsid w:val="0045373F"/>
    <w:rsid w:val="004539E2"/>
    <w:rsid w:val="0045463B"/>
    <w:rsid w:val="00460957"/>
    <w:rsid w:val="0046141C"/>
    <w:rsid w:val="0046271C"/>
    <w:rsid w:val="004634B1"/>
    <w:rsid w:val="00463F51"/>
    <w:rsid w:val="004662FE"/>
    <w:rsid w:val="004705CA"/>
    <w:rsid w:val="00471912"/>
    <w:rsid w:val="00471DF1"/>
    <w:rsid w:val="004749B1"/>
    <w:rsid w:val="004803C0"/>
    <w:rsid w:val="004819F9"/>
    <w:rsid w:val="00482CAB"/>
    <w:rsid w:val="004849E9"/>
    <w:rsid w:val="00485A00"/>
    <w:rsid w:val="00491764"/>
    <w:rsid w:val="004932C3"/>
    <w:rsid w:val="0049343E"/>
    <w:rsid w:val="00493CB4"/>
    <w:rsid w:val="004942E2"/>
    <w:rsid w:val="00497CBF"/>
    <w:rsid w:val="00497F20"/>
    <w:rsid w:val="004A122B"/>
    <w:rsid w:val="004A390F"/>
    <w:rsid w:val="004A46AA"/>
    <w:rsid w:val="004B06BB"/>
    <w:rsid w:val="004B168C"/>
    <w:rsid w:val="004B67AD"/>
    <w:rsid w:val="004B71A3"/>
    <w:rsid w:val="004C2477"/>
    <w:rsid w:val="004C2E87"/>
    <w:rsid w:val="004C4ACD"/>
    <w:rsid w:val="004C73E4"/>
    <w:rsid w:val="004C7DF8"/>
    <w:rsid w:val="004D225B"/>
    <w:rsid w:val="004D2825"/>
    <w:rsid w:val="004D5547"/>
    <w:rsid w:val="004D5F4E"/>
    <w:rsid w:val="004D6DD9"/>
    <w:rsid w:val="004D78E8"/>
    <w:rsid w:val="004E060C"/>
    <w:rsid w:val="004E1962"/>
    <w:rsid w:val="004E50B8"/>
    <w:rsid w:val="004E6029"/>
    <w:rsid w:val="004F3E1E"/>
    <w:rsid w:val="0050119F"/>
    <w:rsid w:val="00501C19"/>
    <w:rsid w:val="0050783B"/>
    <w:rsid w:val="0051104B"/>
    <w:rsid w:val="00511FC6"/>
    <w:rsid w:val="005124EE"/>
    <w:rsid w:val="00513F0C"/>
    <w:rsid w:val="00516497"/>
    <w:rsid w:val="005175B9"/>
    <w:rsid w:val="00520B6F"/>
    <w:rsid w:val="00521B8A"/>
    <w:rsid w:val="00521F56"/>
    <w:rsid w:val="005231C0"/>
    <w:rsid w:val="005241F9"/>
    <w:rsid w:val="005243D9"/>
    <w:rsid w:val="005250AE"/>
    <w:rsid w:val="0052617C"/>
    <w:rsid w:val="0052708A"/>
    <w:rsid w:val="0053097C"/>
    <w:rsid w:val="00536A4B"/>
    <w:rsid w:val="00537B2B"/>
    <w:rsid w:val="005428E5"/>
    <w:rsid w:val="00543013"/>
    <w:rsid w:val="005437FD"/>
    <w:rsid w:val="00543F4F"/>
    <w:rsid w:val="00544709"/>
    <w:rsid w:val="0055093D"/>
    <w:rsid w:val="005531F4"/>
    <w:rsid w:val="005562F0"/>
    <w:rsid w:val="005619FC"/>
    <w:rsid w:val="00566082"/>
    <w:rsid w:val="00566EA2"/>
    <w:rsid w:val="0057349C"/>
    <w:rsid w:val="00577543"/>
    <w:rsid w:val="005800B8"/>
    <w:rsid w:val="00581050"/>
    <w:rsid w:val="00581793"/>
    <w:rsid w:val="0058381C"/>
    <w:rsid w:val="0058563D"/>
    <w:rsid w:val="0058591E"/>
    <w:rsid w:val="00586069"/>
    <w:rsid w:val="00587160"/>
    <w:rsid w:val="005903DF"/>
    <w:rsid w:val="005907DA"/>
    <w:rsid w:val="005910A9"/>
    <w:rsid w:val="005910EC"/>
    <w:rsid w:val="00596E94"/>
    <w:rsid w:val="00597D54"/>
    <w:rsid w:val="005A054C"/>
    <w:rsid w:val="005A0A34"/>
    <w:rsid w:val="005A2282"/>
    <w:rsid w:val="005A4E5F"/>
    <w:rsid w:val="005A78BA"/>
    <w:rsid w:val="005B3368"/>
    <w:rsid w:val="005B371E"/>
    <w:rsid w:val="005B3E28"/>
    <w:rsid w:val="005B4618"/>
    <w:rsid w:val="005B5118"/>
    <w:rsid w:val="005B7D6B"/>
    <w:rsid w:val="005C191C"/>
    <w:rsid w:val="005C3DCC"/>
    <w:rsid w:val="005C3EDB"/>
    <w:rsid w:val="005C665E"/>
    <w:rsid w:val="005D1056"/>
    <w:rsid w:val="005D7386"/>
    <w:rsid w:val="005D7A78"/>
    <w:rsid w:val="005E632F"/>
    <w:rsid w:val="005E75F3"/>
    <w:rsid w:val="005F0E01"/>
    <w:rsid w:val="005F271F"/>
    <w:rsid w:val="005F2AEE"/>
    <w:rsid w:val="005F46E2"/>
    <w:rsid w:val="005F4A41"/>
    <w:rsid w:val="005F4C55"/>
    <w:rsid w:val="005F5D6C"/>
    <w:rsid w:val="005F7BC0"/>
    <w:rsid w:val="00600843"/>
    <w:rsid w:val="006014F3"/>
    <w:rsid w:val="00605FED"/>
    <w:rsid w:val="0060714E"/>
    <w:rsid w:val="00610DD2"/>
    <w:rsid w:val="00611C4E"/>
    <w:rsid w:val="00612A06"/>
    <w:rsid w:val="00612AB6"/>
    <w:rsid w:val="00613337"/>
    <w:rsid w:val="00615AE8"/>
    <w:rsid w:val="00620955"/>
    <w:rsid w:val="00620FB0"/>
    <w:rsid w:val="0062187F"/>
    <w:rsid w:val="00622668"/>
    <w:rsid w:val="00622909"/>
    <w:rsid w:val="00623297"/>
    <w:rsid w:val="00624268"/>
    <w:rsid w:val="00630125"/>
    <w:rsid w:val="00632B58"/>
    <w:rsid w:val="00635738"/>
    <w:rsid w:val="00635D8E"/>
    <w:rsid w:val="00641802"/>
    <w:rsid w:val="006429B9"/>
    <w:rsid w:val="00642E88"/>
    <w:rsid w:val="00645152"/>
    <w:rsid w:val="00645443"/>
    <w:rsid w:val="00645DA0"/>
    <w:rsid w:val="006508B2"/>
    <w:rsid w:val="00652C1D"/>
    <w:rsid w:val="006562CF"/>
    <w:rsid w:val="0065650D"/>
    <w:rsid w:val="00657817"/>
    <w:rsid w:val="00657994"/>
    <w:rsid w:val="00661279"/>
    <w:rsid w:val="00661777"/>
    <w:rsid w:val="00663575"/>
    <w:rsid w:val="00664ACD"/>
    <w:rsid w:val="00666D51"/>
    <w:rsid w:val="00666E5C"/>
    <w:rsid w:val="006712C1"/>
    <w:rsid w:val="00672BB1"/>
    <w:rsid w:val="00673A83"/>
    <w:rsid w:val="0067557F"/>
    <w:rsid w:val="00675D5F"/>
    <w:rsid w:val="006778DB"/>
    <w:rsid w:val="006803CF"/>
    <w:rsid w:val="00681CF9"/>
    <w:rsid w:val="00681D0B"/>
    <w:rsid w:val="00683526"/>
    <w:rsid w:val="0068493C"/>
    <w:rsid w:val="006850D5"/>
    <w:rsid w:val="0068663E"/>
    <w:rsid w:val="006922B3"/>
    <w:rsid w:val="00693F88"/>
    <w:rsid w:val="00694DB9"/>
    <w:rsid w:val="00695B90"/>
    <w:rsid w:val="006A0D5E"/>
    <w:rsid w:val="006A3187"/>
    <w:rsid w:val="006A7C88"/>
    <w:rsid w:val="006B208D"/>
    <w:rsid w:val="006B212B"/>
    <w:rsid w:val="006B2336"/>
    <w:rsid w:val="006B436F"/>
    <w:rsid w:val="006B7153"/>
    <w:rsid w:val="006C2C8E"/>
    <w:rsid w:val="006C4E14"/>
    <w:rsid w:val="006C6188"/>
    <w:rsid w:val="006D0CAC"/>
    <w:rsid w:val="006D2503"/>
    <w:rsid w:val="006D3033"/>
    <w:rsid w:val="006D46CA"/>
    <w:rsid w:val="006D56B5"/>
    <w:rsid w:val="006D6B4D"/>
    <w:rsid w:val="006D7527"/>
    <w:rsid w:val="006E173D"/>
    <w:rsid w:val="006E19E7"/>
    <w:rsid w:val="006E1C7E"/>
    <w:rsid w:val="006E23F4"/>
    <w:rsid w:val="006E2E22"/>
    <w:rsid w:val="006E5C81"/>
    <w:rsid w:val="006E67EE"/>
    <w:rsid w:val="006E79EC"/>
    <w:rsid w:val="006F150F"/>
    <w:rsid w:val="006F1FB4"/>
    <w:rsid w:val="006F417C"/>
    <w:rsid w:val="006F7C5A"/>
    <w:rsid w:val="007006EB"/>
    <w:rsid w:val="00700994"/>
    <w:rsid w:val="007066A8"/>
    <w:rsid w:val="007068EC"/>
    <w:rsid w:val="007101EE"/>
    <w:rsid w:val="007107A1"/>
    <w:rsid w:val="007108A3"/>
    <w:rsid w:val="00716469"/>
    <w:rsid w:val="00716F5A"/>
    <w:rsid w:val="0072153B"/>
    <w:rsid w:val="00721FCD"/>
    <w:rsid w:val="00723889"/>
    <w:rsid w:val="00723E9F"/>
    <w:rsid w:val="00726815"/>
    <w:rsid w:val="0072799F"/>
    <w:rsid w:val="00736943"/>
    <w:rsid w:val="007370F8"/>
    <w:rsid w:val="00743988"/>
    <w:rsid w:val="0074511F"/>
    <w:rsid w:val="00751D97"/>
    <w:rsid w:val="00754F6C"/>
    <w:rsid w:val="007560E8"/>
    <w:rsid w:val="00757DD5"/>
    <w:rsid w:val="00760A71"/>
    <w:rsid w:val="00761B3A"/>
    <w:rsid w:val="00764CB1"/>
    <w:rsid w:val="00765DB7"/>
    <w:rsid w:val="00766D4E"/>
    <w:rsid w:val="00770023"/>
    <w:rsid w:val="00770D36"/>
    <w:rsid w:val="0077313C"/>
    <w:rsid w:val="00773497"/>
    <w:rsid w:val="007772BA"/>
    <w:rsid w:val="00777436"/>
    <w:rsid w:val="00781FA4"/>
    <w:rsid w:val="00782C6B"/>
    <w:rsid w:val="007863CC"/>
    <w:rsid w:val="00787E3C"/>
    <w:rsid w:val="00790CFF"/>
    <w:rsid w:val="00791A74"/>
    <w:rsid w:val="00791D2F"/>
    <w:rsid w:val="0079349A"/>
    <w:rsid w:val="007970B6"/>
    <w:rsid w:val="0079721D"/>
    <w:rsid w:val="00797873"/>
    <w:rsid w:val="00797926"/>
    <w:rsid w:val="007A0E7E"/>
    <w:rsid w:val="007A2A43"/>
    <w:rsid w:val="007A5CC7"/>
    <w:rsid w:val="007A74E6"/>
    <w:rsid w:val="007B1E97"/>
    <w:rsid w:val="007B3729"/>
    <w:rsid w:val="007C3E1B"/>
    <w:rsid w:val="007D0BCE"/>
    <w:rsid w:val="007D0E52"/>
    <w:rsid w:val="007D1186"/>
    <w:rsid w:val="007D1A86"/>
    <w:rsid w:val="007D41A4"/>
    <w:rsid w:val="007D65E5"/>
    <w:rsid w:val="007D7830"/>
    <w:rsid w:val="007E04C0"/>
    <w:rsid w:val="007E4C2E"/>
    <w:rsid w:val="007E62C0"/>
    <w:rsid w:val="007E6ECE"/>
    <w:rsid w:val="007F0783"/>
    <w:rsid w:val="007F304A"/>
    <w:rsid w:val="007F4694"/>
    <w:rsid w:val="007F59FF"/>
    <w:rsid w:val="00800B08"/>
    <w:rsid w:val="0080308B"/>
    <w:rsid w:val="008050BB"/>
    <w:rsid w:val="00805D0B"/>
    <w:rsid w:val="00806309"/>
    <w:rsid w:val="00810868"/>
    <w:rsid w:val="008116ED"/>
    <w:rsid w:val="0081176B"/>
    <w:rsid w:val="008165DC"/>
    <w:rsid w:val="00816AFF"/>
    <w:rsid w:val="00823A0D"/>
    <w:rsid w:val="0082499A"/>
    <w:rsid w:val="00824A8B"/>
    <w:rsid w:val="00825A39"/>
    <w:rsid w:val="0083015A"/>
    <w:rsid w:val="00830850"/>
    <w:rsid w:val="0083201F"/>
    <w:rsid w:val="00832B02"/>
    <w:rsid w:val="00833A69"/>
    <w:rsid w:val="00833DFD"/>
    <w:rsid w:val="00835A05"/>
    <w:rsid w:val="008370D1"/>
    <w:rsid w:val="00840149"/>
    <w:rsid w:val="008431A7"/>
    <w:rsid w:val="008446A5"/>
    <w:rsid w:val="008516FE"/>
    <w:rsid w:val="00852FB3"/>
    <w:rsid w:val="00855D62"/>
    <w:rsid w:val="008561C5"/>
    <w:rsid w:val="00856406"/>
    <w:rsid w:val="00860F8D"/>
    <w:rsid w:val="00861AA0"/>
    <w:rsid w:val="00861CFB"/>
    <w:rsid w:val="008638EF"/>
    <w:rsid w:val="00864E87"/>
    <w:rsid w:val="00865F77"/>
    <w:rsid w:val="008669D8"/>
    <w:rsid w:val="008713F5"/>
    <w:rsid w:val="00871CF4"/>
    <w:rsid w:val="00872C9F"/>
    <w:rsid w:val="00877427"/>
    <w:rsid w:val="00877B10"/>
    <w:rsid w:val="008802C8"/>
    <w:rsid w:val="008803A0"/>
    <w:rsid w:val="00882F2C"/>
    <w:rsid w:val="00883153"/>
    <w:rsid w:val="00885777"/>
    <w:rsid w:val="00887EE7"/>
    <w:rsid w:val="00891523"/>
    <w:rsid w:val="008932CD"/>
    <w:rsid w:val="0089706A"/>
    <w:rsid w:val="008A0092"/>
    <w:rsid w:val="008A00F5"/>
    <w:rsid w:val="008A21EB"/>
    <w:rsid w:val="008A25A4"/>
    <w:rsid w:val="008A4D4E"/>
    <w:rsid w:val="008B0191"/>
    <w:rsid w:val="008B136A"/>
    <w:rsid w:val="008B21AB"/>
    <w:rsid w:val="008B2478"/>
    <w:rsid w:val="008B6C1D"/>
    <w:rsid w:val="008C3226"/>
    <w:rsid w:val="008C4518"/>
    <w:rsid w:val="008C74FE"/>
    <w:rsid w:val="008D0297"/>
    <w:rsid w:val="008D2EC9"/>
    <w:rsid w:val="008D329E"/>
    <w:rsid w:val="008D35AC"/>
    <w:rsid w:val="008D4A41"/>
    <w:rsid w:val="008D5182"/>
    <w:rsid w:val="008D5B09"/>
    <w:rsid w:val="008D6FDB"/>
    <w:rsid w:val="008D70B8"/>
    <w:rsid w:val="008D7BF9"/>
    <w:rsid w:val="008D7D56"/>
    <w:rsid w:val="008E1A83"/>
    <w:rsid w:val="008E472F"/>
    <w:rsid w:val="008E4ECE"/>
    <w:rsid w:val="008F016F"/>
    <w:rsid w:val="008F37FB"/>
    <w:rsid w:val="008F3BB6"/>
    <w:rsid w:val="00901614"/>
    <w:rsid w:val="0090300B"/>
    <w:rsid w:val="009050FE"/>
    <w:rsid w:val="00905922"/>
    <w:rsid w:val="00907648"/>
    <w:rsid w:val="00907AD2"/>
    <w:rsid w:val="009113D4"/>
    <w:rsid w:val="0091176D"/>
    <w:rsid w:val="00916090"/>
    <w:rsid w:val="00916618"/>
    <w:rsid w:val="00916682"/>
    <w:rsid w:val="009171BF"/>
    <w:rsid w:val="0091726E"/>
    <w:rsid w:val="00917BD5"/>
    <w:rsid w:val="009234A9"/>
    <w:rsid w:val="00923F8F"/>
    <w:rsid w:val="00931C6E"/>
    <w:rsid w:val="009341D8"/>
    <w:rsid w:val="009346CB"/>
    <w:rsid w:val="00936E64"/>
    <w:rsid w:val="00937BD2"/>
    <w:rsid w:val="00940362"/>
    <w:rsid w:val="0094093A"/>
    <w:rsid w:val="00940E6D"/>
    <w:rsid w:val="00943C7E"/>
    <w:rsid w:val="00946AF1"/>
    <w:rsid w:val="00947441"/>
    <w:rsid w:val="00951424"/>
    <w:rsid w:val="00953025"/>
    <w:rsid w:val="009562C0"/>
    <w:rsid w:val="009569C1"/>
    <w:rsid w:val="0096370F"/>
    <w:rsid w:val="009663E8"/>
    <w:rsid w:val="0096652B"/>
    <w:rsid w:val="009676B7"/>
    <w:rsid w:val="00973D7F"/>
    <w:rsid w:val="009745DE"/>
    <w:rsid w:val="00975562"/>
    <w:rsid w:val="00975B81"/>
    <w:rsid w:val="00976460"/>
    <w:rsid w:val="009765DE"/>
    <w:rsid w:val="00976DC7"/>
    <w:rsid w:val="00980965"/>
    <w:rsid w:val="00984E2C"/>
    <w:rsid w:val="00987B26"/>
    <w:rsid w:val="00987B62"/>
    <w:rsid w:val="00990D4D"/>
    <w:rsid w:val="00993B6E"/>
    <w:rsid w:val="0099586B"/>
    <w:rsid w:val="009A0EF7"/>
    <w:rsid w:val="009A4ADD"/>
    <w:rsid w:val="009A568B"/>
    <w:rsid w:val="009A5871"/>
    <w:rsid w:val="009A6431"/>
    <w:rsid w:val="009B1F88"/>
    <w:rsid w:val="009B52ED"/>
    <w:rsid w:val="009B70D2"/>
    <w:rsid w:val="009C0401"/>
    <w:rsid w:val="009C0914"/>
    <w:rsid w:val="009C71CE"/>
    <w:rsid w:val="009C79F4"/>
    <w:rsid w:val="009D096D"/>
    <w:rsid w:val="009D3503"/>
    <w:rsid w:val="009D5BCE"/>
    <w:rsid w:val="009D68EC"/>
    <w:rsid w:val="009D6FED"/>
    <w:rsid w:val="009D71EF"/>
    <w:rsid w:val="009D7955"/>
    <w:rsid w:val="009E2B70"/>
    <w:rsid w:val="009E56A2"/>
    <w:rsid w:val="009E60DF"/>
    <w:rsid w:val="009E6BB8"/>
    <w:rsid w:val="009F1FAD"/>
    <w:rsid w:val="009F6C7D"/>
    <w:rsid w:val="009F7802"/>
    <w:rsid w:val="00A00D25"/>
    <w:rsid w:val="00A029F5"/>
    <w:rsid w:val="00A03E2C"/>
    <w:rsid w:val="00A10E2F"/>
    <w:rsid w:val="00A14073"/>
    <w:rsid w:val="00A16679"/>
    <w:rsid w:val="00A216B0"/>
    <w:rsid w:val="00A22672"/>
    <w:rsid w:val="00A23992"/>
    <w:rsid w:val="00A23B4D"/>
    <w:rsid w:val="00A30437"/>
    <w:rsid w:val="00A33AD7"/>
    <w:rsid w:val="00A34A80"/>
    <w:rsid w:val="00A36550"/>
    <w:rsid w:val="00A36B5E"/>
    <w:rsid w:val="00A4139B"/>
    <w:rsid w:val="00A42048"/>
    <w:rsid w:val="00A438A6"/>
    <w:rsid w:val="00A4419A"/>
    <w:rsid w:val="00A45657"/>
    <w:rsid w:val="00A471E0"/>
    <w:rsid w:val="00A50142"/>
    <w:rsid w:val="00A50767"/>
    <w:rsid w:val="00A50BB6"/>
    <w:rsid w:val="00A51164"/>
    <w:rsid w:val="00A53A0E"/>
    <w:rsid w:val="00A53DD1"/>
    <w:rsid w:val="00A56AA8"/>
    <w:rsid w:val="00A60646"/>
    <w:rsid w:val="00A65A47"/>
    <w:rsid w:val="00A724A0"/>
    <w:rsid w:val="00A72C1F"/>
    <w:rsid w:val="00A7573F"/>
    <w:rsid w:val="00A800BC"/>
    <w:rsid w:val="00A84470"/>
    <w:rsid w:val="00A87ECF"/>
    <w:rsid w:val="00A9041A"/>
    <w:rsid w:val="00A91910"/>
    <w:rsid w:val="00A93712"/>
    <w:rsid w:val="00A937E0"/>
    <w:rsid w:val="00A9442D"/>
    <w:rsid w:val="00A96C9E"/>
    <w:rsid w:val="00A97A51"/>
    <w:rsid w:val="00AA140C"/>
    <w:rsid w:val="00AA2BCD"/>
    <w:rsid w:val="00AA5DEC"/>
    <w:rsid w:val="00AA6563"/>
    <w:rsid w:val="00AB04BA"/>
    <w:rsid w:val="00AB0B16"/>
    <w:rsid w:val="00AB2C41"/>
    <w:rsid w:val="00AB55E4"/>
    <w:rsid w:val="00AB7E45"/>
    <w:rsid w:val="00AB7E67"/>
    <w:rsid w:val="00AC490C"/>
    <w:rsid w:val="00AD43FF"/>
    <w:rsid w:val="00AD45ED"/>
    <w:rsid w:val="00AD6948"/>
    <w:rsid w:val="00AE1C58"/>
    <w:rsid w:val="00AE4466"/>
    <w:rsid w:val="00AE4E42"/>
    <w:rsid w:val="00AE6199"/>
    <w:rsid w:val="00AE6840"/>
    <w:rsid w:val="00AE71FE"/>
    <w:rsid w:val="00AE7CB5"/>
    <w:rsid w:val="00AF0DD6"/>
    <w:rsid w:val="00AF1654"/>
    <w:rsid w:val="00AF2C3A"/>
    <w:rsid w:val="00AF2E74"/>
    <w:rsid w:val="00AF3539"/>
    <w:rsid w:val="00AF45F2"/>
    <w:rsid w:val="00AF788A"/>
    <w:rsid w:val="00AF7EC2"/>
    <w:rsid w:val="00B047B1"/>
    <w:rsid w:val="00B04E92"/>
    <w:rsid w:val="00B05CE9"/>
    <w:rsid w:val="00B102AC"/>
    <w:rsid w:val="00B1156C"/>
    <w:rsid w:val="00B11FFC"/>
    <w:rsid w:val="00B14456"/>
    <w:rsid w:val="00B1591D"/>
    <w:rsid w:val="00B16AA9"/>
    <w:rsid w:val="00B1797B"/>
    <w:rsid w:val="00B246A5"/>
    <w:rsid w:val="00B2634C"/>
    <w:rsid w:val="00B324A3"/>
    <w:rsid w:val="00B336C6"/>
    <w:rsid w:val="00B339A6"/>
    <w:rsid w:val="00B37D3D"/>
    <w:rsid w:val="00B454E1"/>
    <w:rsid w:val="00B46337"/>
    <w:rsid w:val="00B47021"/>
    <w:rsid w:val="00B501F4"/>
    <w:rsid w:val="00B532C1"/>
    <w:rsid w:val="00B53A43"/>
    <w:rsid w:val="00B53D53"/>
    <w:rsid w:val="00B542DC"/>
    <w:rsid w:val="00B552C6"/>
    <w:rsid w:val="00B55461"/>
    <w:rsid w:val="00B57959"/>
    <w:rsid w:val="00B60396"/>
    <w:rsid w:val="00B60EEB"/>
    <w:rsid w:val="00B6518C"/>
    <w:rsid w:val="00B7057F"/>
    <w:rsid w:val="00B75F0D"/>
    <w:rsid w:val="00B76B80"/>
    <w:rsid w:val="00B81885"/>
    <w:rsid w:val="00B83B5A"/>
    <w:rsid w:val="00B86A1B"/>
    <w:rsid w:val="00B874BF"/>
    <w:rsid w:val="00B9126D"/>
    <w:rsid w:val="00B94EA8"/>
    <w:rsid w:val="00B956B1"/>
    <w:rsid w:val="00B961B8"/>
    <w:rsid w:val="00BA2C1C"/>
    <w:rsid w:val="00BA52C3"/>
    <w:rsid w:val="00BA73D4"/>
    <w:rsid w:val="00BB0361"/>
    <w:rsid w:val="00BB10FC"/>
    <w:rsid w:val="00BB178A"/>
    <w:rsid w:val="00BB1D2B"/>
    <w:rsid w:val="00BB3478"/>
    <w:rsid w:val="00BB478F"/>
    <w:rsid w:val="00BB4C22"/>
    <w:rsid w:val="00BB4D50"/>
    <w:rsid w:val="00BC55FC"/>
    <w:rsid w:val="00BC65BB"/>
    <w:rsid w:val="00BC6C22"/>
    <w:rsid w:val="00BD055A"/>
    <w:rsid w:val="00BD1E31"/>
    <w:rsid w:val="00BD32FC"/>
    <w:rsid w:val="00BD4080"/>
    <w:rsid w:val="00BE2E33"/>
    <w:rsid w:val="00BE442C"/>
    <w:rsid w:val="00BE4FD4"/>
    <w:rsid w:val="00BE5FEE"/>
    <w:rsid w:val="00BE6701"/>
    <w:rsid w:val="00BE7DC6"/>
    <w:rsid w:val="00BF05FC"/>
    <w:rsid w:val="00BF2C03"/>
    <w:rsid w:val="00BF3470"/>
    <w:rsid w:val="00BF394A"/>
    <w:rsid w:val="00BF5F5E"/>
    <w:rsid w:val="00C0426E"/>
    <w:rsid w:val="00C04375"/>
    <w:rsid w:val="00C06C1A"/>
    <w:rsid w:val="00C1136A"/>
    <w:rsid w:val="00C12979"/>
    <w:rsid w:val="00C132A9"/>
    <w:rsid w:val="00C17677"/>
    <w:rsid w:val="00C23D87"/>
    <w:rsid w:val="00C2427E"/>
    <w:rsid w:val="00C27E45"/>
    <w:rsid w:val="00C3196C"/>
    <w:rsid w:val="00C33905"/>
    <w:rsid w:val="00C34483"/>
    <w:rsid w:val="00C354B1"/>
    <w:rsid w:val="00C35FC8"/>
    <w:rsid w:val="00C367BA"/>
    <w:rsid w:val="00C36FAD"/>
    <w:rsid w:val="00C43863"/>
    <w:rsid w:val="00C447E8"/>
    <w:rsid w:val="00C4741D"/>
    <w:rsid w:val="00C50774"/>
    <w:rsid w:val="00C5078B"/>
    <w:rsid w:val="00C50869"/>
    <w:rsid w:val="00C536B1"/>
    <w:rsid w:val="00C62939"/>
    <w:rsid w:val="00C66942"/>
    <w:rsid w:val="00C6785D"/>
    <w:rsid w:val="00C67BBE"/>
    <w:rsid w:val="00C70E10"/>
    <w:rsid w:val="00C713EC"/>
    <w:rsid w:val="00C7364C"/>
    <w:rsid w:val="00C73713"/>
    <w:rsid w:val="00C738CF"/>
    <w:rsid w:val="00C77E00"/>
    <w:rsid w:val="00C82BA0"/>
    <w:rsid w:val="00C838C5"/>
    <w:rsid w:val="00C84239"/>
    <w:rsid w:val="00C860C7"/>
    <w:rsid w:val="00C8692C"/>
    <w:rsid w:val="00C87DA2"/>
    <w:rsid w:val="00C900EE"/>
    <w:rsid w:val="00C913F6"/>
    <w:rsid w:val="00C93719"/>
    <w:rsid w:val="00C9419C"/>
    <w:rsid w:val="00CA3A0F"/>
    <w:rsid w:val="00CA5B3F"/>
    <w:rsid w:val="00CB0A26"/>
    <w:rsid w:val="00CB37BB"/>
    <w:rsid w:val="00CB46FE"/>
    <w:rsid w:val="00CB5943"/>
    <w:rsid w:val="00CC0F91"/>
    <w:rsid w:val="00CC12D7"/>
    <w:rsid w:val="00CC1B45"/>
    <w:rsid w:val="00CC5D94"/>
    <w:rsid w:val="00CD7C25"/>
    <w:rsid w:val="00CE1BB5"/>
    <w:rsid w:val="00CE4498"/>
    <w:rsid w:val="00CE58FB"/>
    <w:rsid w:val="00CE65B6"/>
    <w:rsid w:val="00CF5B4D"/>
    <w:rsid w:val="00D04B8B"/>
    <w:rsid w:val="00D061FD"/>
    <w:rsid w:val="00D0750B"/>
    <w:rsid w:val="00D21BF9"/>
    <w:rsid w:val="00D22899"/>
    <w:rsid w:val="00D22EB4"/>
    <w:rsid w:val="00D23DDA"/>
    <w:rsid w:val="00D24527"/>
    <w:rsid w:val="00D25F56"/>
    <w:rsid w:val="00D30DC1"/>
    <w:rsid w:val="00D323AE"/>
    <w:rsid w:val="00D32DA1"/>
    <w:rsid w:val="00D34B0F"/>
    <w:rsid w:val="00D3522B"/>
    <w:rsid w:val="00D369B2"/>
    <w:rsid w:val="00D377B3"/>
    <w:rsid w:val="00D401B9"/>
    <w:rsid w:val="00D4366F"/>
    <w:rsid w:val="00D43F0C"/>
    <w:rsid w:val="00D46838"/>
    <w:rsid w:val="00D57347"/>
    <w:rsid w:val="00D61A24"/>
    <w:rsid w:val="00D61EF6"/>
    <w:rsid w:val="00D62ECB"/>
    <w:rsid w:val="00D64A56"/>
    <w:rsid w:val="00D64DCD"/>
    <w:rsid w:val="00D71ED7"/>
    <w:rsid w:val="00D73071"/>
    <w:rsid w:val="00D75340"/>
    <w:rsid w:val="00D7561A"/>
    <w:rsid w:val="00D759DE"/>
    <w:rsid w:val="00D87352"/>
    <w:rsid w:val="00D87DCB"/>
    <w:rsid w:val="00D9225C"/>
    <w:rsid w:val="00D9592A"/>
    <w:rsid w:val="00D962AB"/>
    <w:rsid w:val="00DA634F"/>
    <w:rsid w:val="00DA7967"/>
    <w:rsid w:val="00DB0078"/>
    <w:rsid w:val="00DB13E5"/>
    <w:rsid w:val="00DB352B"/>
    <w:rsid w:val="00DC1A0F"/>
    <w:rsid w:val="00DC3F17"/>
    <w:rsid w:val="00DC5200"/>
    <w:rsid w:val="00DD0C2D"/>
    <w:rsid w:val="00DD1664"/>
    <w:rsid w:val="00DD22A8"/>
    <w:rsid w:val="00DD5ADE"/>
    <w:rsid w:val="00DD5E9F"/>
    <w:rsid w:val="00DD6295"/>
    <w:rsid w:val="00DE023C"/>
    <w:rsid w:val="00DE0252"/>
    <w:rsid w:val="00DE15DC"/>
    <w:rsid w:val="00DE3540"/>
    <w:rsid w:val="00DE5633"/>
    <w:rsid w:val="00DE5A98"/>
    <w:rsid w:val="00DE7E46"/>
    <w:rsid w:val="00DF0DCA"/>
    <w:rsid w:val="00DF22FC"/>
    <w:rsid w:val="00DF2B38"/>
    <w:rsid w:val="00DF4118"/>
    <w:rsid w:val="00DF49E7"/>
    <w:rsid w:val="00DF7D81"/>
    <w:rsid w:val="00DF7D83"/>
    <w:rsid w:val="00E003AB"/>
    <w:rsid w:val="00E02404"/>
    <w:rsid w:val="00E04C20"/>
    <w:rsid w:val="00E05446"/>
    <w:rsid w:val="00E05866"/>
    <w:rsid w:val="00E11373"/>
    <w:rsid w:val="00E134AB"/>
    <w:rsid w:val="00E157CE"/>
    <w:rsid w:val="00E21D76"/>
    <w:rsid w:val="00E242C7"/>
    <w:rsid w:val="00E2605D"/>
    <w:rsid w:val="00E26B05"/>
    <w:rsid w:val="00E276F6"/>
    <w:rsid w:val="00E278F4"/>
    <w:rsid w:val="00E314E4"/>
    <w:rsid w:val="00E31578"/>
    <w:rsid w:val="00E31ABB"/>
    <w:rsid w:val="00E32D59"/>
    <w:rsid w:val="00E341B1"/>
    <w:rsid w:val="00E407BF"/>
    <w:rsid w:val="00E40908"/>
    <w:rsid w:val="00E40EE7"/>
    <w:rsid w:val="00E41E00"/>
    <w:rsid w:val="00E44F34"/>
    <w:rsid w:val="00E466AD"/>
    <w:rsid w:val="00E5186D"/>
    <w:rsid w:val="00E5332D"/>
    <w:rsid w:val="00E5504B"/>
    <w:rsid w:val="00E55898"/>
    <w:rsid w:val="00E56D4E"/>
    <w:rsid w:val="00E604DE"/>
    <w:rsid w:val="00E63298"/>
    <w:rsid w:val="00E643FF"/>
    <w:rsid w:val="00E644A3"/>
    <w:rsid w:val="00E65B95"/>
    <w:rsid w:val="00E67F85"/>
    <w:rsid w:val="00E709A8"/>
    <w:rsid w:val="00E81264"/>
    <w:rsid w:val="00E825D7"/>
    <w:rsid w:val="00E83077"/>
    <w:rsid w:val="00E8329D"/>
    <w:rsid w:val="00E838CD"/>
    <w:rsid w:val="00E84721"/>
    <w:rsid w:val="00E849E9"/>
    <w:rsid w:val="00E84E2D"/>
    <w:rsid w:val="00E910C9"/>
    <w:rsid w:val="00E9235E"/>
    <w:rsid w:val="00E93505"/>
    <w:rsid w:val="00E971EF"/>
    <w:rsid w:val="00EA0633"/>
    <w:rsid w:val="00EA19EB"/>
    <w:rsid w:val="00EA1E61"/>
    <w:rsid w:val="00EA4CC6"/>
    <w:rsid w:val="00EA5BBD"/>
    <w:rsid w:val="00EA7631"/>
    <w:rsid w:val="00EA79A6"/>
    <w:rsid w:val="00EB0066"/>
    <w:rsid w:val="00EB2B55"/>
    <w:rsid w:val="00EB3FDA"/>
    <w:rsid w:val="00EB5309"/>
    <w:rsid w:val="00EB7394"/>
    <w:rsid w:val="00EB7582"/>
    <w:rsid w:val="00EC09DC"/>
    <w:rsid w:val="00EC171A"/>
    <w:rsid w:val="00ED0534"/>
    <w:rsid w:val="00ED2EA2"/>
    <w:rsid w:val="00ED5546"/>
    <w:rsid w:val="00EE25A6"/>
    <w:rsid w:val="00EE3DCF"/>
    <w:rsid w:val="00EF0C3B"/>
    <w:rsid w:val="00EF2572"/>
    <w:rsid w:val="00EF2D87"/>
    <w:rsid w:val="00EF76F8"/>
    <w:rsid w:val="00F00215"/>
    <w:rsid w:val="00F00FA6"/>
    <w:rsid w:val="00F01BBC"/>
    <w:rsid w:val="00F03754"/>
    <w:rsid w:val="00F10553"/>
    <w:rsid w:val="00F111C2"/>
    <w:rsid w:val="00F12DF5"/>
    <w:rsid w:val="00F24B4F"/>
    <w:rsid w:val="00F26881"/>
    <w:rsid w:val="00F26FC1"/>
    <w:rsid w:val="00F31687"/>
    <w:rsid w:val="00F3387A"/>
    <w:rsid w:val="00F35DCF"/>
    <w:rsid w:val="00F36115"/>
    <w:rsid w:val="00F3676F"/>
    <w:rsid w:val="00F36A80"/>
    <w:rsid w:val="00F37724"/>
    <w:rsid w:val="00F37A86"/>
    <w:rsid w:val="00F40183"/>
    <w:rsid w:val="00F4377C"/>
    <w:rsid w:val="00F45FE3"/>
    <w:rsid w:val="00F5173F"/>
    <w:rsid w:val="00F57EAF"/>
    <w:rsid w:val="00F6041A"/>
    <w:rsid w:val="00F606C5"/>
    <w:rsid w:val="00F628A3"/>
    <w:rsid w:val="00F636A4"/>
    <w:rsid w:val="00F65274"/>
    <w:rsid w:val="00F652B2"/>
    <w:rsid w:val="00F65717"/>
    <w:rsid w:val="00F65B5D"/>
    <w:rsid w:val="00F6740E"/>
    <w:rsid w:val="00F67B51"/>
    <w:rsid w:val="00F728ED"/>
    <w:rsid w:val="00F7378B"/>
    <w:rsid w:val="00F7706F"/>
    <w:rsid w:val="00F83537"/>
    <w:rsid w:val="00F85607"/>
    <w:rsid w:val="00F861EC"/>
    <w:rsid w:val="00F87F57"/>
    <w:rsid w:val="00F91A3F"/>
    <w:rsid w:val="00F920CF"/>
    <w:rsid w:val="00F95033"/>
    <w:rsid w:val="00F958A8"/>
    <w:rsid w:val="00F96649"/>
    <w:rsid w:val="00F9716F"/>
    <w:rsid w:val="00F97C2C"/>
    <w:rsid w:val="00F97F3C"/>
    <w:rsid w:val="00FA238B"/>
    <w:rsid w:val="00FA4898"/>
    <w:rsid w:val="00FA56B3"/>
    <w:rsid w:val="00FA7200"/>
    <w:rsid w:val="00FA7F83"/>
    <w:rsid w:val="00FB095C"/>
    <w:rsid w:val="00FB1047"/>
    <w:rsid w:val="00FB1C52"/>
    <w:rsid w:val="00FB28BF"/>
    <w:rsid w:val="00FB4EF9"/>
    <w:rsid w:val="00FB5B59"/>
    <w:rsid w:val="00FB7F1C"/>
    <w:rsid w:val="00FC0928"/>
    <w:rsid w:val="00FC2981"/>
    <w:rsid w:val="00FC6C62"/>
    <w:rsid w:val="00FC71B4"/>
    <w:rsid w:val="00FC72DA"/>
    <w:rsid w:val="00FD128D"/>
    <w:rsid w:val="00FD3437"/>
    <w:rsid w:val="00FD3885"/>
    <w:rsid w:val="00FD67B7"/>
    <w:rsid w:val="00FD7FF6"/>
    <w:rsid w:val="00FE14CE"/>
    <w:rsid w:val="00FE299E"/>
    <w:rsid w:val="00FE2B9F"/>
    <w:rsid w:val="00FE4749"/>
    <w:rsid w:val="00FE5564"/>
    <w:rsid w:val="00FE6497"/>
    <w:rsid w:val="00FE6DD3"/>
    <w:rsid w:val="00FE7A79"/>
    <w:rsid w:val="00FF01DC"/>
    <w:rsid w:val="00FF2BA8"/>
    <w:rsid w:val="00FF4391"/>
    <w:rsid w:val="00FF70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9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E24"/>
    <w:pPr>
      <w:spacing w:after="0" w:line="240" w:lineRule="auto"/>
    </w:pPr>
    <w:rPr>
      <w:rFonts w:ascii="Times New Roman" w:eastAsia="Malgun Gothic" w:hAnsi="Times New Roman" w:cs="Times New Roman"/>
      <w:sz w:val="24"/>
      <w:szCs w:val="24"/>
      <w:lang w:val="en-NZ"/>
    </w:rPr>
  </w:style>
  <w:style w:type="paragraph" w:styleId="Heading1">
    <w:name w:val="heading 1"/>
    <w:basedOn w:val="Normal"/>
    <w:next w:val="Normal"/>
    <w:link w:val="Heading1Char"/>
    <w:uiPriority w:val="9"/>
    <w:qFormat/>
    <w:rsid w:val="00BE4F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en-GB"/>
    </w:rPr>
  </w:style>
  <w:style w:type="paragraph" w:styleId="Heading2">
    <w:name w:val="heading 2"/>
    <w:basedOn w:val="Normal"/>
    <w:next w:val="Normal"/>
    <w:link w:val="Heading2Char"/>
    <w:uiPriority w:val="9"/>
    <w:unhideWhenUsed/>
    <w:qFormat/>
    <w:rsid w:val="00BE4FD4"/>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unhideWhenUsed/>
    <w:qFormat/>
    <w:rsid w:val="00BE4FD4"/>
    <w:pPr>
      <w:keepNext/>
      <w:keepLines/>
      <w:spacing w:before="200" w:after="120" w:line="276" w:lineRule="auto"/>
      <w:jc w:val="both"/>
      <w:outlineLvl w:val="2"/>
    </w:pPr>
    <w:rPr>
      <w:rFonts w:asciiTheme="majorHAnsi" w:eastAsiaTheme="majorEastAsia" w:hAnsiTheme="majorHAnsi" w:cstheme="majorBidi"/>
      <w:b/>
      <w:bCs/>
      <w:color w:val="4F81BD" w:themeColor="accent1"/>
      <w:sz w:val="22"/>
      <w:szCs w:val="22"/>
      <w:lang w:val="fr-FR"/>
    </w:rPr>
  </w:style>
  <w:style w:type="paragraph" w:styleId="Heading4">
    <w:name w:val="heading 4"/>
    <w:basedOn w:val="Normal"/>
    <w:next w:val="Normal"/>
    <w:link w:val="Heading4Char"/>
    <w:uiPriority w:val="9"/>
    <w:unhideWhenUsed/>
    <w:qFormat/>
    <w:rsid w:val="00BE4FD4"/>
    <w:pPr>
      <w:keepNext/>
      <w:keepLines/>
      <w:numPr>
        <w:ilvl w:val="4"/>
        <w:numId w:val="3"/>
      </w:numPr>
      <w:spacing w:before="200" w:after="120" w:line="276" w:lineRule="auto"/>
      <w:ind w:left="1298" w:hanging="1298"/>
      <w:outlineLvl w:val="3"/>
    </w:pPr>
    <w:rPr>
      <w:rFonts w:asciiTheme="majorHAnsi" w:eastAsiaTheme="majorEastAsia" w:hAnsiTheme="majorHAnsi" w:cstheme="majorBidi"/>
      <w:b/>
      <w:bCs/>
      <w:i/>
      <w:iCs/>
      <w:color w:val="595959" w:themeColor="text1" w:themeTint="A6"/>
      <w:sz w:val="22"/>
      <w:szCs w:val="22"/>
      <w:lang w:val="fr-FR"/>
    </w:rPr>
  </w:style>
  <w:style w:type="paragraph" w:styleId="Heading5">
    <w:name w:val="heading 5"/>
    <w:basedOn w:val="Normal"/>
    <w:next w:val="Normal"/>
    <w:link w:val="Heading5Char"/>
    <w:uiPriority w:val="9"/>
    <w:unhideWhenUsed/>
    <w:qFormat/>
    <w:rsid w:val="00BE4FD4"/>
    <w:pPr>
      <w:keepNext/>
      <w:keepLines/>
      <w:numPr>
        <w:numId w:val="4"/>
      </w:numPr>
      <w:spacing w:before="200" w:line="276" w:lineRule="auto"/>
      <w:jc w:val="both"/>
      <w:outlineLvl w:val="4"/>
    </w:pPr>
    <w:rPr>
      <w:rFonts w:asciiTheme="majorHAnsi" w:eastAsiaTheme="majorEastAsia" w:hAnsiTheme="majorHAnsi" w:cstheme="majorBidi"/>
      <w:sz w:val="22"/>
      <w:szCs w:val="22"/>
      <w:lang w:val="fr-FR"/>
    </w:rPr>
  </w:style>
  <w:style w:type="paragraph" w:styleId="Heading6">
    <w:name w:val="heading 6"/>
    <w:basedOn w:val="Normal"/>
    <w:next w:val="Normal"/>
    <w:link w:val="Heading6Char"/>
    <w:uiPriority w:val="9"/>
    <w:unhideWhenUsed/>
    <w:qFormat/>
    <w:rsid w:val="00BE4FD4"/>
    <w:pPr>
      <w:keepNext/>
      <w:keepLines/>
      <w:spacing w:before="200" w:after="120" w:line="276" w:lineRule="auto"/>
      <w:jc w:val="both"/>
      <w:outlineLvl w:val="5"/>
    </w:pPr>
    <w:rPr>
      <w:rFonts w:asciiTheme="majorHAnsi" w:eastAsiaTheme="majorEastAsia" w:hAnsiTheme="majorHAnsi" w:cstheme="majorBidi"/>
      <w:b/>
      <w:i/>
      <w:iCs/>
      <w:color w:val="1F497D" w:themeColor="text2"/>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D4"/>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BE4FD4"/>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rsid w:val="00BE4FD4"/>
    <w:rPr>
      <w:rFonts w:asciiTheme="majorHAnsi" w:eastAsiaTheme="majorEastAsia" w:hAnsiTheme="majorHAnsi" w:cstheme="majorBidi"/>
      <w:b/>
      <w:bCs/>
      <w:color w:val="4F81BD" w:themeColor="accent1"/>
      <w:lang w:val="fr-FR"/>
    </w:rPr>
  </w:style>
  <w:style w:type="character" w:customStyle="1" w:styleId="Heading4Char">
    <w:name w:val="Heading 4 Char"/>
    <w:basedOn w:val="DefaultParagraphFont"/>
    <w:link w:val="Heading4"/>
    <w:uiPriority w:val="9"/>
    <w:rsid w:val="00BE4FD4"/>
    <w:rPr>
      <w:rFonts w:asciiTheme="majorHAnsi" w:eastAsiaTheme="majorEastAsia" w:hAnsiTheme="majorHAnsi" w:cstheme="majorBidi"/>
      <w:b/>
      <w:bCs/>
      <w:i/>
      <w:iCs/>
      <w:color w:val="595959" w:themeColor="text1" w:themeTint="A6"/>
      <w:lang w:val="fr-FR"/>
    </w:rPr>
  </w:style>
  <w:style w:type="character" w:customStyle="1" w:styleId="Heading5Char">
    <w:name w:val="Heading 5 Char"/>
    <w:basedOn w:val="DefaultParagraphFont"/>
    <w:link w:val="Heading5"/>
    <w:uiPriority w:val="9"/>
    <w:rsid w:val="00BE4FD4"/>
    <w:rPr>
      <w:rFonts w:asciiTheme="majorHAnsi" w:eastAsiaTheme="majorEastAsia" w:hAnsiTheme="majorHAnsi" w:cstheme="majorBidi"/>
      <w:lang w:val="fr-FR"/>
    </w:rPr>
  </w:style>
  <w:style w:type="character" w:customStyle="1" w:styleId="Heading6Char">
    <w:name w:val="Heading 6 Char"/>
    <w:basedOn w:val="DefaultParagraphFont"/>
    <w:link w:val="Heading6"/>
    <w:uiPriority w:val="9"/>
    <w:rsid w:val="00BE4FD4"/>
    <w:rPr>
      <w:rFonts w:asciiTheme="majorHAnsi" w:eastAsiaTheme="majorEastAsia" w:hAnsiTheme="majorHAnsi" w:cstheme="majorBidi"/>
      <w:b/>
      <w:i/>
      <w:iCs/>
      <w:color w:val="1F497D" w:themeColor="text2"/>
      <w:lang w:val="fr-FR"/>
    </w:rPr>
  </w:style>
  <w:style w:type="paragraph" w:styleId="BalloonText">
    <w:name w:val="Balloon Text"/>
    <w:basedOn w:val="Normal"/>
    <w:link w:val="BalloonTextChar"/>
    <w:uiPriority w:val="99"/>
    <w:semiHidden/>
    <w:unhideWhenUsed/>
    <w:rsid w:val="000C50B4"/>
    <w:rPr>
      <w:rFonts w:ascii="Tahoma" w:hAnsi="Tahoma" w:cs="Tahoma"/>
      <w:sz w:val="16"/>
      <w:szCs w:val="16"/>
    </w:rPr>
  </w:style>
  <w:style w:type="character" w:customStyle="1" w:styleId="BalloonTextChar">
    <w:name w:val="Balloon Text Char"/>
    <w:basedOn w:val="DefaultParagraphFont"/>
    <w:link w:val="BalloonText"/>
    <w:uiPriority w:val="99"/>
    <w:semiHidden/>
    <w:rsid w:val="000C50B4"/>
    <w:rPr>
      <w:rFonts w:ascii="Tahoma" w:eastAsia="Malgun Gothic" w:hAnsi="Tahoma" w:cs="Tahoma"/>
      <w:sz w:val="16"/>
      <w:szCs w:val="16"/>
      <w:lang w:val="en-NZ"/>
    </w:rPr>
  </w:style>
  <w:style w:type="table" w:styleId="TableGrid">
    <w:name w:val="Table Grid"/>
    <w:basedOn w:val="TableNormal"/>
    <w:uiPriority w:val="59"/>
    <w:rsid w:val="00D3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BE2E33"/>
    <w:pPr>
      <w:ind w:left="720"/>
      <w:contextualSpacing/>
    </w:pPr>
  </w:style>
  <w:style w:type="paragraph" w:customStyle="1" w:styleId="Default">
    <w:name w:val="Default"/>
    <w:link w:val="DefaultChar"/>
    <w:rsid w:val="00BE4FD4"/>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n-GB"/>
    </w:rPr>
  </w:style>
  <w:style w:type="character" w:customStyle="1" w:styleId="DefaultChar">
    <w:name w:val="Default Char"/>
    <w:basedOn w:val="DefaultParagraphFont"/>
    <w:link w:val="Default"/>
    <w:locked/>
    <w:rsid w:val="00BE4FD4"/>
    <w:rPr>
      <w:rFonts w:ascii="Times New Roman" w:eastAsiaTheme="minorEastAsia" w:hAnsi="Times New Roman" w:cs="Times New Roman"/>
      <w:color w:val="000000"/>
      <w:sz w:val="24"/>
      <w:szCs w:val="24"/>
      <w:lang w:val="en-US" w:eastAsia="en-GB"/>
    </w:rPr>
  </w:style>
  <w:style w:type="paragraph" w:styleId="FootnoteText">
    <w:name w:val="footnote text"/>
    <w:basedOn w:val="Normal"/>
    <w:link w:val="FootnoteTextChar"/>
    <w:unhideWhenUsed/>
    <w:rsid w:val="00BE4FD4"/>
    <w:pPr>
      <w:jc w:val="both"/>
    </w:pPr>
    <w:rPr>
      <w:rFonts w:asciiTheme="minorHAnsi" w:eastAsiaTheme="minorHAnsi" w:hAnsiTheme="minorHAnsi" w:cstheme="minorBidi"/>
      <w:sz w:val="20"/>
      <w:szCs w:val="20"/>
      <w:lang w:val="en-GB" w:eastAsia="en-GB"/>
    </w:rPr>
  </w:style>
  <w:style w:type="character" w:customStyle="1" w:styleId="FootnoteTextChar">
    <w:name w:val="Footnote Text Char"/>
    <w:basedOn w:val="DefaultParagraphFont"/>
    <w:link w:val="FootnoteText"/>
    <w:rsid w:val="00BE4FD4"/>
    <w:rPr>
      <w:sz w:val="20"/>
      <w:szCs w:val="20"/>
      <w:lang w:val="en-GB" w:eastAsia="en-GB"/>
    </w:rPr>
  </w:style>
  <w:style w:type="paragraph" w:styleId="BodyText3">
    <w:name w:val="Body Text 3"/>
    <w:basedOn w:val="Normal"/>
    <w:link w:val="BodyText3Char"/>
    <w:rsid w:val="00BE4FD4"/>
    <w:pPr>
      <w:spacing w:after="120"/>
      <w:jc w:val="both"/>
    </w:pPr>
    <w:rPr>
      <w:rFonts w:eastAsia="Batang"/>
      <w:sz w:val="16"/>
      <w:szCs w:val="16"/>
      <w:lang w:val="en-AU" w:eastAsia="en-GB"/>
    </w:rPr>
  </w:style>
  <w:style w:type="character" w:customStyle="1" w:styleId="BodyText3Char">
    <w:name w:val="Body Text 3 Char"/>
    <w:basedOn w:val="DefaultParagraphFont"/>
    <w:link w:val="BodyText3"/>
    <w:rsid w:val="00BE4FD4"/>
    <w:rPr>
      <w:rFonts w:ascii="Times New Roman" w:eastAsia="Batang" w:hAnsi="Times New Roman" w:cs="Times New Roman"/>
      <w:sz w:val="16"/>
      <w:szCs w:val="16"/>
      <w:lang w:eastAsia="en-GB"/>
    </w:rPr>
  </w:style>
  <w:style w:type="paragraph" w:styleId="BodyText">
    <w:name w:val="Body Text"/>
    <w:basedOn w:val="Normal"/>
    <w:link w:val="BodyTextChar"/>
    <w:uiPriority w:val="99"/>
    <w:unhideWhenUsed/>
    <w:rsid w:val="00BE4FD4"/>
    <w:pPr>
      <w:spacing w:after="120" w:line="276" w:lineRule="auto"/>
    </w:pPr>
    <w:rPr>
      <w:rFonts w:asciiTheme="minorHAnsi" w:eastAsiaTheme="minorEastAsia" w:hAnsiTheme="minorHAnsi" w:cstheme="minorBidi"/>
      <w:sz w:val="22"/>
      <w:szCs w:val="22"/>
      <w:lang w:val="en-GB" w:eastAsia="en-GB"/>
    </w:rPr>
  </w:style>
  <w:style w:type="character" w:customStyle="1" w:styleId="BodyTextChar">
    <w:name w:val="Body Text Char"/>
    <w:basedOn w:val="DefaultParagraphFont"/>
    <w:link w:val="BodyText"/>
    <w:uiPriority w:val="99"/>
    <w:rsid w:val="00BE4FD4"/>
    <w:rPr>
      <w:rFonts w:eastAsiaTheme="minorEastAsia"/>
      <w:lang w:val="en-GB" w:eastAsia="en-GB"/>
    </w:rPr>
  </w:style>
  <w:style w:type="paragraph" w:customStyle="1" w:styleId="StyleHeading1Left0">
    <w:name w:val="Style Heading 1 + Left:  0&quot;"/>
    <w:basedOn w:val="Heading1"/>
    <w:rsid w:val="00BE4FD4"/>
    <w:pPr>
      <w:keepLines w:val="0"/>
      <w:spacing w:before="240" w:after="60" w:line="240" w:lineRule="auto"/>
    </w:pPr>
    <w:rPr>
      <w:rFonts w:ascii="Times New (W1)" w:eastAsia="Times New Roman" w:hAnsi="Times New (W1)" w:cs="Times New Roman"/>
      <w:caps/>
      <w:color w:val="auto"/>
      <w:sz w:val="24"/>
      <w:szCs w:val="24"/>
    </w:rPr>
  </w:style>
  <w:style w:type="paragraph" w:styleId="Header">
    <w:name w:val="header"/>
    <w:basedOn w:val="Normal"/>
    <w:link w:val="HeaderChar"/>
    <w:uiPriority w:val="99"/>
    <w:unhideWhenUsed/>
    <w:rsid w:val="00BE4FD4"/>
    <w:pPr>
      <w:tabs>
        <w:tab w:val="center" w:pos="4680"/>
        <w:tab w:val="right" w:pos="9360"/>
      </w:tabs>
    </w:pPr>
    <w:rPr>
      <w:rFonts w:asciiTheme="minorHAnsi" w:eastAsiaTheme="minorEastAsia" w:hAnsiTheme="minorHAnsi" w:cstheme="minorBidi"/>
      <w:sz w:val="22"/>
      <w:szCs w:val="22"/>
      <w:lang w:val="en-GB" w:eastAsia="en-GB"/>
    </w:rPr>
  </w:style>
  <w:style w:type="character" w:customStyle="1" w:styleId="HeaderChar">
    <w:name w:val="Header Char"/>
    <w:basedOn w:val="DefaultParagraphFont"/>
    <w:link w:val="Header"/>
    <w:uiPriority w:val="99"/>
    <w:rsid w:val="00BE4FD4"/>
    <w:rPr>
      <w:rFonts w:eastAsiaTheme="minorEastAsia"/>
      <w:lang w:val="en-GB" w:eastAsia="en-GB"/>
    </w:rPr>
  </w:style>
  <w:style w:type="paragraph" w:styleId="Footer">
    <w:name w:val="footer"/>
    <w:basedOn w:val="Normal"/>
    <w:link w:val="FooterChar"/>
    <w:uiPriority w:val="99"/>
    <w:unhideWhenUsed/>
    <w:rsid w:val="00BE4FD4"/>
    <w:pPr>
      <w:tabs>
        <w:tab w:val="center" w:pos="4680"/>
        <w:tab w:val="right" w:pos="9360"/>
      </w:tabs>
    </w:pPr>
    <w:rPr>
      <w:rFonts w:asciiTheme="minorHAnsi" w:eastAsiaTheme="minorEastAsia" w:hAnsiTheme="minorHAnsi" w:cstheme="minorBidi"/>
      <w:sz w:val="22"/>
      <w:szCs w:val="22"/>
      <w:lang w:val="en-GB" w:eastAsia="en-GB"/>
    </w:rPr>
  </w:style>
  <w:style w:type="character" w:customStyle="1" w:styleId="FooterChar">
    <w:name w:val="Footer Char"/>
    <w:basedOn w:val="DefaultParagraphFont"/>
    <w:link w:val="Footer"/>
    <w:uiPriority w:val="99"/>
    <w:rsid w:val="00BE4FD4"/>
    <w:rPr>
      <w:rFonts w:eastAsiaTheme="minorEastAsia"/>
      <w:lang w:val="en-GB" w:eastAsia="en-GB"/>
    </w:rPr>
  </w:style>
  <w:style w:type="character" w:styleId="Hyperlink">
    <w:name w:val="Hyperlink"/>
    <w:basedOn w:val="DefaultParagraphFont"/>
    <w:uiPriority w:val="99"/>
    <w:unhideWhenUsed/>
    <w:rsid w:val="00BE4FD4"/>
    <w:rPr>
      <w:color w:val="0000FF" w:themeColor="hyperlink"/>
      <w:u w:val="single"/>
    </w:rPr>
  </w:style>
  <w:style w:type="character" w:customStyle="1" w:styleId="CommentTextChar">
    <w:name w:val="Comment Text Char"/>
    <w:basedOn w:val="DefaultParagraphFont"/>
    <w:link w:val="CommentText"/>
    <w:uiPriority w:val="99"/>
    <w:rsid w:val="00BE4FD4"/>
    <w:rPr>
      <w:rFonts w:ascii="Times New Roman" w:hAnsi="Times New Roman"/>
      <w:sz w:val="20"/>
      <w:szCs w:val="20"/>
      <w:lang w:val="fr-FR"/>
    </w:rPr>
  </w:style>
  <w:style w:type="paragraph" w:styleId="CommentText">
    <w:name w:val="annotation text"/>
    <w:basedOn w:val="Normal"/>
    <w:link w:val="CommentTextChar"/>
    <w:uiPriority w:val="99"/>
    <w:unhideWhenUsed/>
    <w:rsid w:val="00BE4FD4"/>
    <w:pPr>
      <w:spacing w:after="200"/>
      <w:jc w:val="both"/>
    </w:pPr>
    <w:rPr>
      <w:rFonts w:eastAsiaTheme="minorHAnsi" w:cstheme="minorBidi"/>
      <w:sz w:val="20"/>
      <w:szCs w:val="20"/>
      <w:lang w:val="fr-FR"/>
    </w:rPr>
  </w:style>
  <w:style w:type="character" w:customStyle="1" w:styleId="CommentTextChar1">
    <w:name w:val="Comment Text Char1"/>
    <w:basedOn w:val="DefaultParagraphFont"/>
    <w:uiPriority w:val="99"/>
    <w:semiHidden/>
    <w:rsid w:val="00BE4FD4"/>
    <w:rPr>
      <w:rFonts w:ascii="Times New Roman" w:eastAsia="Malgun Gothic" w:hAnsi="Times New Roman" w:cs="Times New Roman"/>
      <w:sz w:val="20"/>
      <w:szCs w:val="20"/>
      <w:lang w:val="en-NZ"/>
    </w:rPr>
  </w:style>
  <w:style w:type="character" w:customStyle="1" w:styleId="CommentSubjectChar">
    <w:name w:val="Comment Subject Char"/>
    <w:basedOn w:val="CommentTextChar"/>
    <w:link w:val="CommentSubject"/>
    <w:uiPriority w:val="99"/>
    <w:semiHidden/>
    <w:rsid w:val="00BE4FD4"/>
    <w:rPr>
      <w:rFonts w:ascii="Times New Roman" w:hAnsi="Times New Roman"/>
      <w:b/>
      <w:bCs/>
      <w:sz w:val="20"/>
      <w:szCs w:val="20"/>
      <w:lang w:val="fr-FR"/>
    </w:rPr>
  </w:style>
  <w:style w:type="paragraph" w:styleId="CommentSubject">
    <w:name w:val="annotation subject"/>
    <w:basedOn w:val="CommentText"/>
    <w:next w:val="CommentText"/>
    <w:link w:val="CommentSubjectChar"/>
    <w:uiPriority w:val="99"/>
    <w:semiHidden/>
    <w:unhideWhenUsed/>
    <w:rsid w:val="00BE4FD4"/>
    <w:rPr>
      <w:b/>
      <w:bCs/>
    </w:rPr>
  </w:style>
  <w:style w:type="character" w:customStyle="1" w:styleId="CommentSubjectChar1">
    <w:name w:val="Comment Subject Char1"/>
    <w:basedOn w:val="CommentTextChar1"/>
    <w:uiPriority w:val="99"/>
    <w:semiHidden/>
    <w:rsid w:val="00BE4FD4"/>
    <w:rPr>
      <w:rFonts w:ascii="Times New Roman" w:eastAsia="Malgun Gothic" w:hAnsi="Times New Roman" w:cs="Times New Roman"/>
      <w:b/>
      <w:bCs/>
      <w:sz w:val="20"/>
      <w:szCs w:val="20"/>
      <w:lang w:val="en-NZ"/>
    </w:rPr>
  </w:style>
  <w:style w:type="paragraph" w:styleId="NoSpacing">
    <w:name w:val="No Spacing"/>
    <w:aliases w:val="titre"/>
    <w:basedOn w:val="Title"/>
    <w:uiPriority w:val="1"/>
    <w:qFormat/>
    <w:rsid w:val="00BE4FD4"/>
    <w:pPr>
      <w:numPr>
        <w:numId w:val="0"/>
      </w:numPr>
      <w:spacing w:before="200" w:after="140"/>
      <w:jc w:val="left"/>
    </w:pPr>
  </w:style>
  <w:style w:type="paragraph" w:styleId="Title">
    <w:name w:val="Title"/>
    <w:basedOn w:val="Normal"/>
    <w:next w:val="Normal"/>
    <w:link w:val="TitleChar"/>
    <w:uiPriority w:val="10"/>
    <w:qFormat/>
    <w:rsid w:val="00BE4FD4"/>
    <w:pPr>
      <w:numPr>
        <w:numId w:val="3"/>
      </w:num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BE4FD4"/>
    <w:rPr>
      <w:rFonts w:asciiTheme="majorHAnsi" w:eastAsiaTheme="majorEastAsia" w:hAnsiTheme="majorHAnsi" w:cstheme="majorBidi"/>
      <w:color w:val="17365D" w:themeColor="text2" w:themeShade="BF"/>
      <w:spacing w:val="5"/>
      <w:kern w:val="28"/>
      <w:sz w:val="52"/>
      <w:szCs w:val="52"/>
      <w:lang w:val="fr-FR"/>
    </w:rPr>
  </w:style>
  <w:style w:type="paragraph" w:styleId="TOC2">
    <w:name w:val="toc 2"/>
    <w:basedOn w:val="Normal"/>
    <w:next w:val="Normal"/>
    <w:autoRedefine/>
    <w:uiPriority w:val="39"/>
    <w:unhideWhenUsed/>
    <w:qFormat/>
    <w:rsid w:val="00BE4FD4"/>
    <w:pPr>
      <w:spacing w:before="240" w:line="276" w:lineRule="auto"/>
      <w:jc w:val="both"/>
    </w:pPr>
    <w:rPr>
      <w:rFonts w:eastAsiaTheme="minorHAnsi" w:cstheme="minorBidi"/>
      <w:b/>
      <w:bCs/>
      <w:sz w:val="20"/>
      <w:szCs w:val="20"/>
      <w:lang w:val="fr-FR"/>
    </w:rPr>
  </w:style>
  <w:style w:type="paragraph" w:styleId="TOC9">
    <w:name w:val="toc 9"/>
    <w:basedOn w:val="Normal"/>
    <w:next w:val="Normal"/>
    <w:autoRedefine/>
    <w:uiPriority w:val="39"/>
    <w:unhideWhenUsed/>
    <w:rsid w:val="00BE4FD4"/>
    <w:pPr>
      <w:spacing w:line="276" w:lineRule="auto"/>
      <w:ind w:left="1540"/>
      <w:jc w:val="both"/>
    </w:pPr>
    <w:rPr>
      <w:rFonts w:eastAsiaTheme="minorHAnsi" w:cstheme="minorBidi"/>
      <w:sz w:val="20"/>
      <w:szCs w:val="20"/>
      <w:lang w:val="fr-FR"/>
    </w:rPr>
  </w:style>
  <w:style w:type="paragraph" w:styleId="TOC1">
    <w:name w:val="toc 1"/>
    <w:basedOn w:val="Normal"/>
    <w:next w:val="Normal"/>
    <w:autoRedefine/>
    <w:uiPriority w:val="39"/>
    <w:unhideWhenUsed/>
    <w:qFormat/>
    <w:rsid w:val="00BE4FD4"/>
    <w:pPr>
      <w:tabs>
        <w:tab w:val="right" w:leader="dot" w:pos="9350"/>
      </w:tabs>
      <w:spacing w:before="360"/>
      <w:jc w:val="both"/>
    </w:pPr>
    <w:rPr>
      <w:rFonts w:asciiTheme="majorHAnsi" w:eastAsiaTheme="minorHAnsi" w:hAnsiTheme="majorHAnsi" w:cstheme="minorBidi"/>
      <w:b/>
      <w:bCs/>
      <w:caps/>
      <w:lang w:val="fr-FR"/>
    </w:rPr>
  </w:style>
  <w:style w:type="paragraph" w:styleId="TOC3">
    <w:name w:val="toc 3"/>
    <w:basedOn w:val="Normal"/>
    <w:next w:val="Normal"/>
    <w:autoRedefine/>
    <w:uiPriority w:val="39"/>
    <w:unhideWhenUsed/>
    <w:qFormat/>
    <w:rsid w:val="00BE4FD4"/>
    <w:pPr>
      <w:tabs>
        <w:tab w:val="right" w:leader="dot" w:pos="9350"/>
      </w:tabs>
      <w:spacing w:line="276" w:lineRule="auto"/>
      <w:ind w:left="709" w:hanging="709"/>
      <w:jc w:val="both"/>
    </w:pPr>
    <w:rPr>
      <w:rFonts w:eastAsiaTheme="minorHAnsi" w:cstheme="minorBidi"/>
      <w:sz w:val="20"/>
      <w:szCs w:val="20"/>
      <w:lang w:val="fr-FR"/>
    </w:rPr>
  </w:style>
  <w:style w:type="paragraph" w:styleId="TOC4">
    <w:name w:val="toc 4"/>
    <w:basedOn w:val="Normal"/>
    <w:next w:val="Normal"/>
    <w:autoRedefine/>
    <w:uiPriority w:val="39"/>
    <w:unhideWhenUsed/>
    <w:rsid w:val="00BE4FD4"/>
    <w:pPr>
      <w:spacing w:line="276" w:lineRule="auto"/>
      <w:ind w:left="440"/>
      <w:jc w:val="both"/>
    </w:pPr>
    <w:rPr>
      <w:rFonts w:eastAsiaTheme="minorHAnsi" w:cstheme="minorBidi"/>
      <w:sz w:val="20"/>
      <w:szCs w:val="20"/>
      <w:lang w:val="fr-FR"/>
    </w:rPr>
  </w:style>
  <w:style w:type="paragraph" w:styleId="TOC5">
    <w:name w:val="toc 5"/>
    <w:basedOn w:val="Normal"/>
    <w:next w:val="Normal"/>
    <w:autoRedefine/>
    <w:uiPriority w:val="39"/>
    <w:unhideWhenUsed/>
    <w:rsid w:val="00BE4FD4"/>
    <w:pPr>
      <w:spacing w:line="276" w:lineRule="auto"/>
      <w:ind w:left="660"/>
      <w:jc w:val="both"/>
    </w:pPr>
    <w:rPr>
      <w:rFonts w:eastAsiaTheme="minorHAnsi" w:cstheme="minorBidi"/>
      <w:sz w:val="20"/>
      <w:szCs w:val="20"/>
      <w:lang w:val="fr-FR"/>
    </w:rPr>
  </w:style>
  <w:style w:type="paragraph" w:styleId="TOC6">
    <w:name w:val="toc 6"/>
    <w:basedOn w:val="Normal"/>
    <w:next w:val="Normal"/>
    <w:autoRedefine/>
    <w:uiPriority w:val="39"/>
    <w:unhideWhenUsed/>
    <w:rsid w:val="00BE4FD4"/>
    <w:pPr>
      <w:spacing w:line="276" w:lineRule="auto"/>
      <w:ind w:left="880"/>
      <w:jc w:val="both"/>
    </w:pPr>
    <w:rPr>
      <w:rFonts w:eastAsiaTheme="minorHAnsi" w:cstheme="minorBidi"/>
      <w:sz w:val="20"/>
      <w:szCs w:val="20"/>
      <w:lang w:val="fr-FR"/>
    </w:rPr>
  </w:style>
  <w:style w:type="paragraph" w:styleId="TOC7">
    <w:name w:val="toc 7"/>
    <w:basedOn w:val="Normal"/>
    <w:next w:val="Normal"/>
    <w:autoRedefine/>
    <w:uiPriority w:val="39"/>
    <w:unhideWhenUsed/>
    <w:rsid w:val="00BE4FD4"/>
    <w:pPr>
      <w:spacing w:line="276" w:lineRule="auto"/>
      <w:ind w:left="1100"/>
      <w:jc w:val="both"/>
    </w:pPr>
    <w:rPr>
      <w:rFonts w:eastAsiaTheme="minorHAnsi" w:cstheme="minorBidi"/>
      <w:sz w:val="20"/>
      <w:szCs w:val="20"/>
      <w:lang w:val="fr-FR"/>
    </w:rPr>
  </w:style>
  <w:style w:type="paragraph" w:styleId="TOC8">
    <w:name w:val="toc 8"/>
    <w:basedOn w:val="Normal"/>
    <w:next w:val="Normal"/>
    <w:autoRedefine/>
    <w:uiPriority w:val="39"/>
    <w:unhideWhenUsed/>
    <w:rsid w:val="00BE4FD4"/>
    <w:pPr>
      <w:spacing w:line="276" w:lineRule="auto"/>
      <w:ind w:left="1320"/>
      <w:jc w:val="both"/>
    </w:pPr>
    <w:rPr>
      <w:rFonts w:eastAsiaTheme="minorHAnsi" w:cstheme="minorBidi"/>
      <w:sz w:val="20"/>
      <w:szCs w:val="20"/>
      <w:lang w:val="fr-FR"/>
    </w:rPr>
  </w:style>
  <w:style w:type="paragraph" w:customStyle="1" w:styleId="subheading1">
    <w:name w:val="subheading 1"/>
    <w:basedOn w:val="Normal"/>
    <w:link w:val="subheading1Char"/>
    <w:qFormat/>
    <w:rsid w:val="00BE4FD4"/>
    <w:pPr>
      <w:spacing w:after="200" w:line="276" w:lineRule="auto"/>
      <w:jc w:val="both"/>
    </w:pPr>
    <w:rPr>
      <w:rFonts w:eastAsiaTheme="minorHAnsi" w:cstheme="minorBidi"/>
      <w:b/>
      <w:sz w:val="28"/>
      <w:szCs w:val="28"/>
    </w:rPr>
  </w:style>
  <w:style w:type="character" w:customStyle="1" w:styleId="subheading1Char">
    <w:name w:val="subheading 1 Char"/>
    <w:basedOn w:val="DefaultParagraphFont"/>
    <w:link w:val="subheading1"/>
    <w:rsid w:val="00BE4FD4"/>
    <w:rPr>
      <w:rFonts w:ascii="Times New Roman" w:hAnsi="Times New Roman"/>
      <w:b/>
      <w:sz w:val="28"/>
      <w:szCs w:val="28"/>
      <w:lang w:val="en-NZ"/>
    </w:rPr>
  </w:style>
  <w:style w:type="paragraph" w:styleId="NormalWeb">
    <w:name w:val="Normal (Web)"/>
    <w:basedOn w:val="Normal"/>
    <w:uiPriority w:val="99"/>
    <w:unhideWhenUsed/>
    <w:rsid w:val="00BE4FD4"/>
    <w:pPr>
      <w:spacing w:after="60"/>
    </w:pPr>
    <w:rPr>
      <w:rFonts w:eastAsia="Times New Roman"/>
      <w:lang w:val="en-US"/>
    </w:rPr>
  </w:style>
  <w:style w:type="character" w:customStyle="1" w:styleId="DocumentMapChar">
    <w:name w:val="Document Map Char"/>
    <w:basedOn w:val="DefaultParagraphFont"/>
    <w:link w:val="DocumentMap"/>
    <w:uiPriority w:val="99"/>
    <w:semiHidden/>
    <w:rsid w:val="00BE4FD4"/>
    <w:rPr>
      <w:rFonts w:ascii="Tahoma" w:hAnsi="Tahoma" w:cs="Tahoma"/>
      <w:sz w:val="16"/>
      <w:szCs w:val="16"/>
      <w:lang w:val="fr-FR"/>
    </w:rPr>
  </w:style>
  <w:style w:type="paragraph" w:styleId="DocumentMap">
    <w:name w:val="Document Map"/>
    <w:basedOn w:val="Normal"/>
    <w:link w:val="DocumentMapChar"/>
    <w:uiPriority w:val="99"/>
    <w:semiHidden/>
    <w:unhideWhenUsed/>
    <w:rsid w:val="00BE4FD4"/>
    <w:pPr>
      <w:jc w:val="both"/>
    </w:pPr>
    <w:rPr>
      <w:rFonts w:ascii="Tahoma" w:eastAsiaTheme="minorHAnsi" w:hAnsi="Tahoma" w:cs="Tahoma"/>
      <w:sz w:val="16"/>
      <w:szCs w:val="16"/>
      <w:lang w:val="fr-FR"/>
    </w:rPr>
  </w:style>
  <w:style w:type="character" w:customStyle="1" w:styleId="DocumentMapChar1">
    <w:name w:val="Document Map Char1"/>
    <w:basedOn w:val="DefaultParagraphFont"/>
    <w:uiPriority w:val="99"/>
    <w:semiHidden/>
    <w:rsid w:val="00BE4FD4"/>
    <w:rPr>
      <w:rFonts w:ascii="Tahoma" w:eastAsia="Malgun Gothic" w:hAnsi="Tahoma" w:cs="Tahoma"/>
      <w:sz w:val="16"/>
      <w:szCs w:val="16"/>
      <w:lang w:val="en-NZ"/>
    </w:rPr>
  </w:style>
  <w:style w:type="character" w:styleId="FootnoteReference">
    <w:name w:val="footnote reference"/>
    <w:basedOn w:val="DefaultParagraphFont"/>
    <w:uiPriority w:val="99"/>
    <w:semiHidden/>
    <w:unhideWhenUsed/>
    <w:rsid w:val="005531F4"/>
    <w:rPr>
      <w:vertAlign w:val="superscript"/>
    </w:rPr>
  </w:style>
  <w:style w:type="character" w:styleId="Strong">
    <w:name w:val="Strong"/>
    <w:basedOn w:val="DefaultParagraphFont"/>
    <w:uiPriority w:val="22"/>
    <w:qFormat/>
    <w:rsid w:val="00307F0C"/>
    <w:rPr>
      <w:b/>
      <w:bCs/>
    </w:rPr>
  </w:style>
  <w:style w:type="character" w:styleId="CommentReference">
    <w:name w:val="annotation reference"/>
    <w:basedOn w:val="DefaultParagraphFont"/>
    <w:uiPriority w:val="99"/>
    <w:semiHidden/>
    <w:unhideWhenUsed/>
    <w:rsid w:val="00F36115"/>
    <w:rPr>
      <w:sz w:val="16"/>
      <w:szCs w:val="16"/>
    </w:rPr>
  </w:style>
  <w:style w:type="paragraph" w:customStyle="1" w:styleId="References">
    <w:name w:val="References"/>
    <w:basedOn w:val="Normal"/>
    <w:rsid w:val="0008576D"/>
    <w:pPr>
      <w:keepLines/>
      <w:widowControl w:val="0"/>
      <w:spacing w:before="240"/>
      <w:ind w:left="567" w:hanging="567"/>
      <w:jc w:val="both"/>
    </w:pPr>
    <w:rPr>
      <w:rFonts w:ascii="Times" w:eastAsia="Times New Roman" w:hAnsi="Times"/>
      <w:sz w:val="20"/>
      <w:szCs w:val="20"/>
      <w:lang w:val="en-GB"/>
    </w:rPr>
  </w:style>
  <w:style w:type="character" w:styleId="PlaceholderText">
    <w:name w:val="Placeholder Text"/>
    <w:basedOn w:val="DefaultParagraphFont"/>
    <w:uiPriority w:val="99"/>
    <w:semiHidden/>
    <w:rsid w:val="008D329E"/>
    <w:rPr>
      <w:color w:val="808080"/>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DD0C2D"/>
    <w:rPr>
      <w:rFonts w:ascii="Times New Roman" w:eastAsia="Malgun Gothic" w:hAnsi="Times New Roman" w:cs="Times New Roman"/>
      <w:sz w:val="24"/>
      <w:szCs w:val="24"/>
      <w:lang w:val="en-NZ"/>
    </w:rPr>
  </w:style>
  <w:style w:type="paragraph" w:customStyle="1" w:styleId="WCPFC">
    <w:name w:val="WCPFC"/>
    <w:qFormat/>
    <w:rsid w:val="00DD0C2D"/>
    <w:pPr>
      <w:numPr>
        <w:numId w:val="10"/>
      </w:numPr>
      <w:snapToGrid w:val="0"/>
      <w:spacing w:after="240" w:line="240" w:lineRule="auto"/>
      <w:jc w:val="both"/>
    </w:pPr>
    <w:rPr>
      <w:rFonts w:ascii="Times New Roman" w:eastAsiaTheme="minorEastAsia" w:hAnsi="Times New Roman"/>
      <w:color w:val="000000"/>
      <w:lang w:val="en-NZ" w:eastAsia="en-NZ"/>
    </w:rPr>
  </w:style>
  <w:style w:type="paragraph" w:customStyle="1" w:styleId="SC2">
    <w:name w:val="SC 2"/>
    <w:basedOn w:val="Normal"/>
    <w:link w:val="SC2Char"/>
    <w:qFormat/>
    <w:rsid w:val="00DD0C2D"/>
    <w:pPr>
      <w:keepNext/>
      <w:numPr>
        <w:ilvl w:val="1"/>
        <w:numId w:val="13"/>
      </w:numPr>
      <w:suppressLineNumbers/>
      <w:adjustRightInd w:val="0"/>
      <w:snapToGrid w:val="0"/>
      <w:spacing w:after="220"/>
      <w:jc w:val="both"/>
    </w:pPr>
    <w:rPr>
      <w:rFonts w:eastAsia="Times New Roman"/>
      <w:b/>
      <w:sz w:val="22"/>
      <w:szCs w:val="22"/>
    </w:rPr>
  </w:style>
  <w:style w:type="character" w:customStyle="1" w:styleId="SC2Char">
    <w:name w:val="SC 2 Char"/>
    <w:basedOn w:val="DefaultParagraphFont"/>
    <w:link w:val="SC2"/>
    <w:rsid w:val="00DD0C2D"/>
    <w:rPr>
      <w:rFonts w:ascii="Times New Roman" w:eastAsia="Times New Roman" w:hAnsi="Times New Roman" w:cs="Times New Roman"/>
      <w:b/>
      <w:lang w:val="en-NZ"/>
    </w:rPr>
  </w:style>
  <w:style w:type="paragraph" w:customStyle="1" w:styleId="SC3">
    <w:name w:val="SC 3"/>
    <w:basedOn w:val="SC2"/>
    <w:qFormat/>
    <w:rsid w:val="00DD0C2D"/>
    <w:pPr>
      <w:numPr>
        <w:ilvl w:val="2"/>
      </w:numPr>
      <w:tabs>
        <w:tab w:val="num" w:pos="360"/>
      </w:tabs>
    </w:pPr>
  </w:style>
  <w:style w:type="character" w:styleId="FollowedHyperlink">
    <w:name w:val="FollowedHyperlink"/>
    <w:basedOn w:val="DefaultParagraphFont"/>
    <w:uiPriority w:val="99"/>
    <w:semiHidden/>
    <w:unhideWhenUsed/>
    <w:rsid w:val="00520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946">
      <w:bodyDiv w:val="1"/>
      <w:marLeft w:val="0"/>
      <w:marRight w:val="0"/>
      <w:marTop w:val="0"/>
      <w:marBottom w:val="0"/>
      <w:divBdr>
        <w:top w:val="none" w:sz="0" w:space="0" w:color="auto"/>
        <w:left w:val="none" w:sz="0" w:space="0" w:color="auto"/>
        <w:bottom w:val="none" w:sz="0" w:space="0" w:color="auto"/>
        <w:right w:val="none" w:sz="0" w:space="0" w:color="auto"/>
      </w:divBdr>
    </w:div>
    <w:div w:id="475031033">
      <w:bodyDiv w:val="1"/>
      <w:marLeft w:val="0"/>
      <w:marRight w:val="0"/>
      <w:marTop w:val="0"/>
      <w:marBottom w:val="0"/>
      <w:divBdr>
        <w:top w:val="none" w:sz="0" w:space="0" w:color="auto"/>
        <w:left w:val="none" w:sz="0" w:space="0" w:color="auto"/>
        <w:bottom w:val="none" w:sz="0" w:space="0" w:color="auto"/>
        <w:right w:val="none" w:sz="0" w:space="0" w:color="auto"/>
      </w:divBdr>
    </w:div>
    <w:div w:id="478306910">
      <w:bodyDiv w:val="1"/>
      <w:marLeft w:val="0"/>
      <w:marRight w:val="0"/>
      <w:marTop w:val="0"/>
      <w:marBottom w:val="0"/>
      <w:divBdr>
        <w:top w:val="none" w:sz="0" w:space="0" w:color="auto"/>
        <w:left w:val="none" w:sz="0" w:space="0" w:color="auto"/>
        <w:bottom w:val="none" w:sz="0" w:space="0" w:color="auto"/>
        <w:right w:val="none" w:sz="0" w:space="0" w:color="auto"/>
      </w:divBdr>
    </w:div>
    <w:div w:id="701326615">
      <w:bodyDiv w:val="1"/>
      <w:marLeft w:val="0"/>
      <w:marRight w:val="0"/>
      <w:marTop w:val="0"/>
      <w:marBottom w:val="0"/>
      <w:divBdr>
        <w:top w:val="none" w:sz="0" w:space="0" w:color="auto"/>
        <w:left w:val="none" w:sz="0" w:space="0" w:color="auto"/>
        <w:bottom w:val="none" w:sz="0" w:space="0" w:color="auto"/>
        <w:right w:val="none" w:sz="0" w:space="0" w:color="auto"/>
      </w:divBdr>
    </w:div>
    <w:div w:id="742022788">
      <w:bodyDiv w:val="1"/>
      <w:marLeft w:val="0"/>
      <w:marRight w:val="0"/>
      <w:marTop w:val="0"/>
      <w:marBottom w:val="0"/>
      <w:divBdr>
        <w:top w:val="none" w:sz="0" w:space="0" w:color="auto"/>
        <w:left w:val="none" w:sz="0" w:space="0" w:color="auto"/>
        <w:bottom w:val="none" w:sz="0" w:space="0" w:color="auto"/>
        <w:right w:val="none" w:sz="0" w:space="0" w:color="auto"/>
      </w:divBdr>
    </w:div>
    <w:div w:id="1033967422">
      <w:bodyDiv w:val="1"/>
      <w:marLeft w:val="0"/>
      <w:marRight w:val="0"/>
      <w:marTop w:val="0"/>
      <w:marBottom w:val="0"/>
      <w:divBdr>
        <w:top w:val="none" w:sz="0" w:space="0" w:color="auto"/>
        <w:left w:val="none" w:sz="0" w:space="0" w:color="auto"/>
        <w:bottom w:val="none" w:sz="0" w:space="0" w:color="auto"/>
        <w:right w:val="none" w:sz="0" w:space="0" w:color="auto"/>
      </w:divBdr>
    </w:div>
    <w:div w:id="1151287587">
      <w:bodyDiv w:val="1"/>
      <w:marLeft w:val="0"/>
      <w:marRight w:val="0"/>
      <w:marTop w:val="0"/>
      <w:marBottom w:val="0"/>
      <w:divBdr>
        <w:top w:val="none" w:sz="0" w:space="0" w:color="auto"/>
        <w:left w:val="none" w:sz="0" w:space="0" w:color="auto"/>
        <w:bottom w:val="none" w:sz="0" w:space="0" w:color="auto"/>
        <w:right w:val="none" w:sz="0" w:space="0" w:color="auto"/>
      </w:divBdr>
    </w:div>
    <w:div w:id="1193228260">
      <w:bodyDiv w:val="1"/>
      <w:marLeft w:val="0"/>
      <w:marRight w:val="0"/>
      <w:marTop w:val="0"/>
      <w:marBottom w:val="0"/>
      <w:divBdr>
        <w:top w:val="none" w:sz="0" w:space="0" w:color="auto"/>
        <w:left w:val="none" w:sz="0" w:space="0" w:color="auto"/>
        <w:bottom w:val="none" w:sz="0" w:space="0" w:color="auto"/>
        <w:right w:val="none" w:sz="0" w:space="0" w:color="auto"/>
      </w:divBdr>
    </w:div>
    <w:div w:id="1664821297">
      <w:bodyDiv w:val="1"/>
      <w:marLeft w:val="0"/>
      <w:marRight w:val="0"/>
      <w:marTop w:val="0"/>
      <w:marBottom w:val="0"/>
      <w:divBdr>
        <w:top w:val="none" w:sz="0" w:space="0" w:color="auto"/>
        <w:left w:val="none" w:sz="0" w:space="0" w:color="auto"/>
        <w:bottom w:val="none" w:sz="0" w:space="0" w:color="auto"/>
        <w:right w:val="none" w:sz="0" w:space="0" w:color="auto"/>
      </w:divBdr>
    </w:div>
    <w:div w:id="1993875357">
      <w:bodyDiv w:val="1"/>
      <w:marLeft w:val="0"/>
      <w:marRight w:val="0"/>
      <w:marTop w:val="0"/>
      <w:marBottom w:val="0"/>
      <w:divBdr>
        <w:top w:val="none" w:sz="0" w:space="0" w:color="auto"/>
        <w:left w:val="none" w:sz="0" w:space="0" w:color="auto"/>
        <w:bottom w:val="none" w:sz="0" w:space="0" w:color="auto"/>
        <w:right w:val="none" w:sz="0" w:space="0" w:color="auto"/>
      </w:divBdr>
    </w:div>
    <w:div w:id="19989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c.int/ofp/PacificSpecimenB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pfc.int/doc/sc-12/wcpfc-tissue-bank-access-protoc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c.int/ofp/PacificSpecimenB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9AAD-1789-498B-BBF6-276F6678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3294</Words>
  <Characters>18779</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2019-08-18T22:30:00Z</dcterms:created>
  <dcterms:modified xsi:type="dcterms:W3CDTF">2019-08-18T22:30:00Z</dcterms:modified>
</cp:coreProperties>
</file>