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E706" w14:textId="77777777" w:rsidR="0055055D" w:rsidRDefault="0055055D" w:rsidP="0055055D">
      <w:pPr>
        <w:rPr>
          <w:szCs w:val="22"/>
        </w:rPr>
      </w:pPr>
    </w:p>
    <w:p w14:paraId="7A408999" w14:textId="77777777" w:rsidR="0055055D" w:rsidRDefault="0055055D" w:rsidP="0055055D">
      <w:pPr>
        <w:rPr>
          <w:szCs w:val="22"/>
        </w:rPr>
      </w:pPr>
    </w:p>
    <w:p w14:paraId="18EBAA2C" w14:textId="77777777" w:rsidR="0055055D" w:rsidRDefault="0055055D" w:rsidP="0055055D">
      <w:pPr>
        <w:rPr>
          <w:szCs w:val="22"/>
        </w:rPr>
      </w:pPr>
    </w:p>
    <w:p w14:paraId="23EC0991" w14:textId="77777777" w:rsidR="0055055D" w:rsidRDefault="0055055D" w:rsidP="0055055D">
      <w:pPr>
        <w:rPr>
          <w:szCs w:val="22"/>
        </w:rPr>
      </w:pPr>
    </w:p>
    <w:p w14:paraId="3137C044" w14:textId="288865D7" w:rsidR="0055055D" w:rsidRPr="001F65C7" w:rsidRDefault="0055055D" w:rsidP="0055055D">
      <w:pPr>
        <w:rPr>
          <w:szCs w:val="22"/>
        </w:rPr>
      </w:pPr>
      <w:r>
        <w:rPr>
          <w:noProof/>
          <w:lang w:val="en-AU" w:eastAsia="en-AU"/>
        </w:rPr>
        <w:drawing>
          <wp:anchor distT="0" distB="0" distL="114300" distR="114300" simplePos="0" relativeHeight="251659264" behindDoc="0" locked="0" layoutInCell="1" allowOverlap="1" wp14:anchorId="54780663" wp14:editId="133A1FF1">
            <wp:simplePos x="0" y="0"/>
            <wp:positionH relativeFrom="column">
              <wp:align>center</wp:align>
            </wp:positionH>
            <wp:positionV relativeFrom="paragraph">
              <wp:posOffset>6985</wp:posOffset>
            </wp:positionV>
            <wp:extent cx="2062800" cy="1069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800" cy="106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5C7">
        <w:rPr>
          <w:szCs w:val="22"/>
        </w:rPr>
        <w:br w:type="textWrapping" w:clear="all"/>
      </w:r>
    </w:p>
    <w:p w14:paraId="2D31A56E" w14:textId="77777777" w:rsidR="00FF0088" w:rsidRPr="00793F20" w:rsidRDefault="00FF0088" w:rsidP="00FF0088">
      <w:pPr>
        <w:spacing w:line="240" w:lineRule="exact"/>
        <w:jc w:val="center"/>
        <w:rPr>
          <w:b/>
          <w:lang w:val="en-NZ"/>
        </w:rPr>
      </w:pPr>
      <w:r w:rsidRPr="00793F20">
        <w:rPr>
          <w:b/>
          <w:lang w:val="en-NZ"/>
        </w:rPr>
        <w:t>SCIENTIFIC COMMITTEE</w:t>
      </w:r>
    </w:p>
    <w:p w14:paraId="64A4441A" w14:textId="77777777" w:rsidR="00FF0088" w:rsidRPr="00793F20" w:rsidRDefault="00FF0088" w:rsidP="00FF0088">
      <w:pPr>
        <w:spacing w:line="240" w:lineRule="exact"/>
        <w:jc w:val="center"/>
        <w:rPr>
          <w:b/>
          <w:lang w:val="en-NZ"/>
        </w:rPr>
      </w:pPr>
      <w:r>
        <w:rPr>
          <w:rFonts w:eastAsia="Batang"/>
          <w:b/>
          <w:lang w:val="en-NZ" w:eastAsia="ko-KR"/>
        </w:rPr>
        <w:t>FIFTEENTH</w:t>
      </w:r>
      <w:r w:rsidRPr="00793F20">
        <w:rPr>
          <w:b/>
          <w:lang w:val="en-NZ"/>
        </w:rPr>
        <w:t xml:space="preserve"> REGULAR SESSION</w:t>
      </w:r>
    </w:p>
    <w:p w14:paraId="0CD57CCE" w14:textId="77777777" w:rsidR="00FF0088" w:rsidRPr="00793F20" w:rsidRDefault="00FF0088" w:rsidP="00FF0088">
      <w:pPr>
        <w:spacing w:line="240" w:lineRule="exact"/>
        <w:jc w:val="center"/>
        <w:rPr>
          <w:lang w:val="en-NZ"/>
        </w:rPr>
      </w:pPr>
      <w:r>
        <w:rPr>
          <w:lang w:val="en-NZ"/>
        </w:rPr>
        <w:t>12</w:t>
      </w:r>
      <w:r w:rsidRPr="00793F20">
        <w:rPr>
          <w:lang w:val="en-NZ"/>
        </w:rPr>
        <w:t>-</w:t>
      </w:r>
      <w:r>
        <w:rPr>
          <w:lang w:val="en-NZ"/>
        </w:rPr>
        <w:t>20</w:t>
      </w:r>
      <w:r w:rsidRPr="00793F20">
        <w:rPr>
          <w:lang w:val="en-NZ"/>
        </w:rPr>
        <w:t xml:space="preserve"> August 201</w:t>
      </w:r>
      <w:r>
        <w:rPr>
          <w:lang w:val="en-NZ"/>
        </w:rPr>
        <w:t>9</w:t>
      </w:r>
    </w:p>
    <w:p w14:paraId="752198C4" w14:textId="77777777" w:rsidR="00FF0088" w:rsidRPr="00793F20" w:rsidRDefault="00FF0088" w:rsidP="00FF0088">
      <w:pPr>
        <w:spacing w:line="240" w:lineRule="exact"/>
        <w:jc w:val="center"/>
        <w:rPr>
          <w:lang w:val="en-NZ"/>
        </w:rPr>
      </w:pPr>
      <w:proofErr w:type="spellStart"/>
      <w:r>
        <w:rPr>
          <w:lang w:val="en-NZ"/>
        </w:rPr>
        <w:t>Pohnpei</w:t>
      </w:r>
      <w:proofErr w:type="spellEnd"/>
      <w:r w:rsidRPr="00793F20">
        <w:rPr>
          <w:lang w:val="en-NZ"/>
        </w:rPr>
        <w:t xml:space="preserve">, </w:t>
      </w:r>
      <w:r>
        <w:rPr>
          <w:lang w:val="en-NZ"/>
        </w:rPr>
        <w:t>Federated States of Micronesia</w:t>
      </w:r>
    </w:p>
    <w:p w14:paraId="69F21017" w14:textId="77777777" w:rsidR="0055055D" w:rsidRPr="001F65C7" w:rsidRDefault="0055055D" w:rsidP="0055055D">
      <w:pPr>
        <w:autoSpaceDE w:val="0"/>
        <w:autoSpaceDN w:val="0"/>
        <w:adjustRightInd w:val="0"/>
        <w:jc w:val="center"/>
        <w:rPr>
          <w:rFonts w:eastAsia="Malgun Gothic"/>
          <w:color w:val="000000"/>
          <w:szCs w:val="22"/>
          <w:lang w:eastAsia="ko-KR"/>
        </w:rPr>
      </w:pPr>
    </w:p>
    <w:p w14:paraId="7EE730BC" w14:textId="5A1E2337" w:rsidR="0055055D" w:rsidRPr="00E544A0" w:rsidRDefault="005835D4" w:rsidP="0055055D">
      <w:pPr>
        <w:pStyle w:val="BodyText3"/>
        <w:pBdr>
          <w:top w:val="single" w:sz="12" w:space="1" w:color="auto"/>
          <w:bottom w:val="single" w:sz="12" w:space="1" w:color="auto"/>
        </w:pBdr>
        <w:snapToGrid w:val="0"/>
        <w:spacing w:after="0" w:line="240" w:lineRule="exact"/>
        <w:jc w:val="center"/>
        <w:rPr>
          <w:rFonts w:ascii="Calibri" w:hAnsi="Calibri" w:cs="Calibri"/>
          <w:b/>
          <w:caps/>
          <w:sz w:val="22"/>
          <w:szCs w:val="22"/>
          <w:lang w:val="en-GB"/>
        </w:rPr>
      </w:pPr>
      <w:r>
        <w:rPr>
          <w:rFonts w:asciiTheme="minorHAnsi" w:hAnsiTheme="minorHAnsi"/>
          <w:b/>
          <w:bCs/>
          <w:iCs/>
          <w:sz w:val="22"/>
          <w:szCs w:val="22"/>
        </w:rPr>
        <w:t>Report of the Pacific Tuna Tagging Programme Steering Committee</w:t>
      </w:r>
    </w:p>
    <w:p w14:paraId="06459217" w14:textId="6AC67761" w:rsidR="0055055D" w:rsidRPr="00001181" w:rsidRDefault="0055055D" w:rsidP="0055055D">
      <w:pPr>
        <w:jc w:val="right"/>
        <w:rPr>
          <w:b/>
          <w:szCs w:val="22"/>
        </w:rPr>
      </w:pPr>
      <w:r w:rsidRPr="00001181">
        <w:rPr>
          <w:b/>
          <w:szCs w:val="22"/>
        </w:rPr>
        <w:t>WCPFC</w:t>
      </w:r>
      <w:r w:rsidR="00FF0088" w:rsidRPr="00793F20">
        <w:rPr>
          <w:b/>
          <w:lang w:val="en-NZ"/>
        </w:rPr>
        <w:t>-SC</w:t>
      </w:r>
      <w:r w:rsidR="00FF0088">
        <w:rPr>
          <w:b/>
          <w:lang w:val="en-NZ"/>
        </w:rPr>
        <w:t>15</w:t>
      </w:r>
      <w:r w:rsidR="00FF0088" w:rsidRPr="00793F20">
        <w:rPr>
          <w:b/>
          <w:lang w:val="en-NZ"/>
        </w:rPr>
        <w:t>-201</w:t>
      </w:r>
      <w:r w:rsidR="00FF0088">
        <w:rPr>
          <w:b/>
          <w:lang w:val="en-NZ"/>
        </w:rPr>
        <w:t>9</w:t>
      </w:r>
      <w:r w:rsidR="00FF0088" w:rsidRPr="00793F20">
        <w:rPr>
          <w:b/>
          <w:lang w:val="en-NZ"/>
        </w:rPr>
        <w:t>/</w:t>
      </w:r>
      <w:r w:rsidR="005835D4">
        <w:rPr>
          <w:b/>
          <w:lang w:val="en-NZ"/>
        </w:rPr>
        <w:t>RP-PTTP-01</w:t>
      </w:r>
      <w:r w:rsidR="00FF0088" w:rsidRPr="00001181">
        <w:rPr>
          <w:b/>
          <w:szCs w:val="22"/>
        </w:rPr>
        <w:t xml:space="preserve"> </w:t>
      </w:r>
    </w:p>
    <w:p w14:paraId="0A4B6E93" w14:textId="112DD7A7" w:rsidR="0055055D" w:rsidRDefault="0055055D" w:rsidP="0055055D"/>
    <w:p w14:paraId="26B6CA6E" w14:textId="77777777" w:rsidR="00FF0088" w:rsidRDefault="00FF0088" w:rsidP="0055055D"/>
    <w:p w14:paraId="0ADDBDEB" w14:textId="77777777" w:rsidR="0055055D" w:rsidRDefault="0055055D" w:rsidP="0055055D"/>
    <w:p w14:paraId="77CBA2E8" w14:textId="77777777" w:rsidR="0055055D" w:rsidRDefault="0055055D" w:rsidP="0055055D">
      <w:pPr>
        <w:jc w:val="center"/>
        <w:rPr>
          <w:szCs w:val="22"/>
        </w:rPr>
      </w:pPr>
    </w:p>
    <w:p w14:paraId="5A358382" w14:textId="77777777" w:rsidR="0055055D" w:rsidRDefault="0055055D" w:rsidP="0055055D">
      <w:pPr>
        <w:jc w:val="center"/>
        <w:rPr>
          <w:szCs w:val="22"/>
        </w:rPr>
      </w:pPr>
    </w:p>
    <w:p w14:paraId="5202FB5A" w14:textId="77777777" w:rsidR="0055055D" w:rsidRDefault="0055055D" w:rsidP="0055055D">
      <w:pPr>
        <w:jc w:val="center"/>
        <w:rPr>
          <w:szCs w:val="22"/>
        </w:rPr>
      </w:pPr>
    </w:p>
    <w:p w14:paraId="5B567BF2" w14:textId="693B3D32" w:rsidR="00FF0088" w:rsidRDefault="005835D4" w:rsidP="00FF0088">
      <w:pPr>
        <w:jc w:val="center"/>
        <w:rPr>
          <w:b/>
          <w:lang w:val="en-NZ"/>
        </w:rPr>
      </w:pPr>
      <w:r>
        <w:rPr>
          <w:b/>
          <w:lang w:val="en-NZ"/>
        </w:rPr>
        <w:t>PTTP Steering Committee</w:t>
      </w:r>
    </w:p>
    <w:p w14:paraId="67E937F2" w14:textId="77777777" w:rsidR="00FF0088" w:rsidRDefault="00FF0088" w:rsidP="00FF0088">
      <w:pPr>
        <w:jc w:val="center"/>
        <w:rPr>
          <w:b/>
          <w:lang w:val="en-NZ"/>
        </w:rPr>
      </w:pPr>
    </w:p>
    <w:p w14:paraId="51B7A5B1" w14:textId="77777777" w:rsidR="00FF0088" w:rsidRDefault="00FF0088" w:rsidP="00FF0088">
      <w:pPr>
        <w:jc w:val="center"/>
        <w:rPr>
          <w:b/>
          <w:lang w:val="en-NZ"/>
        </w:rPr>
      </w:pPr>
    </w:p>
    <w:p w14:paraId="378915FE" w14:textId="77777777" w:rsidR="00FF0088" w:rsidRDefault="00FF0088" w:rsidP="00FF0088">
      <w:pPr>
        <w:jc w:val="center"/>
        <w:rPr>
          <w:b/>
          <w:lang w:val="en-NZ"/>
        </w:rPr>
      </w:pPr>
    </w:p>
    <w:p w14:paraId="7F9406FC" w14:textId="77777777" w:rsidR="00FF0088" w:rsidRDefault="00FF0088" w:rsidP="00FF0088">
      <w:pPr>
        <w:jc w:val="center"/>
        <w:rPr>
          <w:b/>
          <w:lang w:val="en-NZ"/>
        </w:rPr>
      </w:pPr>
    </w:p>
    <w:p w14:paraId="1665B0AC" w14:textId="6A1DEC9F" w:rsidR="00DE1B9F" w:rsidRDefault="00DE1B9F" w:rsidP="00FF0088">
      <w:pPr>
        <w:jc w:val="center"/>
        <w:rPr>
          <w:lang w:val="en-NZ"/>
        </w:rPr>
      </w:pPr>
    </w:p>
    <w:p w14:paraId="25D3127A" w14:textId="40794C6F" w:rsidR="00DE1B9F" w:rsidRDefault="00DE1B9F">
      <w:pPr>
        <w:spacing w:after="200" w:line="276" w:lineRule="auto"/>
        <w:jc w:val="left"/>
        <w:rPr>
          <w:rFonts w:asciiTheme="majorHAnsi" w:eastAsiaTheme="majorEastAsia" w:hAnsiTheme="majorHAnsi" w:cstheme="majorBidi"/>
          <w:b/>
          <w:bCs/>
          <w:color w:val="365F91" w:themeColor="accent1" w:themeShade="BF"/>
          <w:sz w:val="28"/>
          <w:szCs w:val="28"/>
        </w:rPr>
      </w:pPr>
      <w:r>
        <w:br w:type="page"/>
      </w:r>
    </w:p>
    <w:p w14:paraId="2C7D7EDA" w14:textId="58705562" w:rsidR="0055055D" w:rsidRDefault="005835D4" w:rsidP="0055055D">
      <w:pPr>
        <w:pStyle w:val="Heading1"/>
      </w:pPr>
      <w:r>
        <w:lastRenderedPageBreak/>
        <w:t>Preliminaries</w:t>
      </w:r>
    </w:p>
    <w:p w14:paraId="346F47EC" w14:textId="77777777" w:rsidR="005835D4" w:rsidRDefault="005835D4" w:rsidP="005835D4">
      <w:pPr>
        <w:pStyle w:val="Heading2"/>
      </w:pPr>
      <w:r>
        <w:t>Background</w:t>
      </w:r>
    </w:p>
    <w:p w14:paraId="366F3EE8" w14:textId="089A0D13" w:rsidR="005835D4" w:rsidRDefault="005835D4" w:rsidP="005835D4">
      <w:r>
        <w:t>The Pacific Tuna Tagging Programme (PTTP) is a joint research project being implemented by the Oceanic Fisheries Programme (OFP) of the Pacific Community (SPC). The goal of the PTTP is to improve stock assessment and management of skipjack, yellowfin and bigeye tuna in the Pacific Ocean. The objectives of the PTTP, originally specified in WCPFC Regional Tagging Project Steering Committee (2006) were revised in 2016 (PTTP Steering Committee, 2016) and are:</w:t>
      </w:r>
    </w:p>
    <w:p w14:paraId="41EF7ACD" w14:textId="139D27EF" w:rsidR="005835D4" w:rsidRDefault="005835D4" w:rsidP="00F10B52">
      <w:pPr>
        <w:pStyle w:val="ListParagraph"/>
        <w:numPr>
          <w:ilvl w:val="0"/>
          <w:numId w:val="34"/>
        </w:numPr>
      </w:pPr>
      <w:r>
        <w:t>To obtain data that will contribute to, and reduce uncertainty in, WCPO tuna stock assessments including estimation of overall and local exploitation rates, extent of mixing and appropriate spatial strata for use in assessments.</w:t>
      </w:r>
    </w:p>
    <w:p w14:paraId="2DF6BB9C" w14:textId="6ADF1214" w:rsidR="005835D4" w:rsidRDefault="005835D4" w:rsidP="0015301D">
      <w:pPr>
        <w:pStyle w:val="ListParagraph"/>
        <w:numPr>
          <w:ilvl w:val="0"/>
          <w:numId w:val="34"/>
        </w:numPr>
      </w:pPr>
      <w:r>
        <w:t>To obtain information to better understand the interactions between tropical tuna species and major fishing gears to support development of mitigation measures (where appropriate) and better interpret fisheries data (e.g., CPUE).</w:t>
      </w:r>
    </w:p>
    <w:p w14:paraId="5D1D290E" w14:textId="436591C3" w:rsidR="005835D4" w:rsidRDefault="005835D4" w:rsidP="005835D4"/>
    <w:p w14:paraId="2A95B63D" w14:textId="607EF0FC" w:rsidR="005835D4" w:rsidRDefault="005835D4" w:rsidP="005835D4">
      <w:r>
        <w:t>Under these objectives, information collected includes age-specific rates of movement and mixing, movement between this region and other adjacent regions of the Pacific basin, species-specific vertical habitat utilisation by tunas, and the impacts of FADs on behaviour.</w:t>
      </w:r>
    </w:p>
    <w:p w14:paraId="03B7BAB6" w14:textId="77777777" w:rsidR="005835D4" w:rsidRDefault="005835D4" w:rsidP="005835D4"/>
    <w:p w14:paraId="7203F4B7" w14:textId="01DB411E" w:rsidR="00294A63" w:rsidRDefault="005835D4" w:rsidP="005835D4">
      <w:r>
        <w:t>The PTTP Steering Committee was established by SC2 to provide guidance and oversight in the development of firstly the project document (WCPFC Regional Tagging Project Steering Committee, 2006) and subsequently of operational plans, implementation and analytical work. The 1</w:t>
      </w:r>
      <w:r w:rsidR="00294A63">
        <w:t>3</w:t>
      </w:r>
      <w:r w:rsidR="00294A63" w:rsidRPr="00294A63">
        <w:rPr>
          <w:vertAlign w:val="superscript"/>
        </w:rPr>
        <w:t>th</w:t>
      </w:r>
      <w:r w:rsidR="00294A63">
        <w:t xml:space="preserve"> </w:t>
      </w:r>
      <w:r>
        <w:t>meeting of the PTTP Steering Committee was held at the 1</w:t>
      </w:r>
      <w:r w:rsidR="00294A63">
        <w:t>5</w:t>
      </w:r>
      <w:r w:rsidR="00294A63" w:rsidRPr="00294A63">
        <w:rPr>
          <w:vertAlign w:val="superscript"/>
        </w:rPr>
        <w:t>th</w:t>
      </w:r>
      <w:r w:rsidR="00294A63">
        <w:t xml:space="preserve"> </w:t>
      </w:r>
      <w:r>
        <w:t xml:space="preserve">Regular Meeting of the WCPFC Scientific Committee, </w:t>
      </w:r>
      <w:proofErr w:type="spellStart"/>
      <w:r w:rsidR="00294A63">
        <w:t>Pohnpei</w:t>
      </w:r>
      <w:proofErr w:type="spellEnd"/>
      <w:r>
        <w:t xml:space="preserve">, </w:t>
      </w:r>
      <w:proofErr w:type="gramStart"/>
      <w:r w:rsidR="00294A63">
        <w:t>FSM</w:t>
      </w:r>
      <w:proofErr w:type="gramEnd"/>
      <w:r>
        <w:t xml:space="preserve"> on </w:t>
      </w:r>
      <w:r w:rsidR="00294A63">
        <w:t>13</w:t>
      </w:r>
      <w:r w:rsidR="00294A63" w:rsidRPr="00294A63">
        <w:rPr>
          <w:vertAlign w:val="superscript"/>
        </w:rPr>
        <w:t>th</w:t>
      </w:r>
      <w:r w:rsidR="00294A63">
        <w:t xml:space="preserve"> </w:t>
      </w:r>
      <w:r>
        <w:t>August 201</w:t>
      </w:r>
      <w:r w:rsidR="00294A63">
        <w:t>9</w:t>
      </w:r>
      <w:r>
        <w:t>. The current donors to the project are the European Union, the Republic of Korea, the Pacific Commu</w:t>
      </w:r>
      <w:r w:rsidR="00E43868">
        <w:t>nity (SPC), the WCPFC and ISSF.</w:t>
      </w:r>
    </w:p>
    <w:p w14:paraId="74E35DE8" w14:textId="77777777" w:rsidR="00294A63" w:rsidRDefault="005835D4" w:rsidP="00294A63">
      <w:pPr>
        <w:pStyle w:val="Heading1"/>
      </w:pPr>
      <w:r>
        <w:t>Review and adoption of agenda</w:t>
      </w:r>
    </w:p>
    <w:p w14:paraId="5666D9DB" w14:textId="2DA4C9E8" w:rsidR="005835D4" w:rsidRDefault="005835D4" w:rsidP="005835D4">
      <w:r>
        <w:t>The provisional agenda was adopted.</w:t>
      </w:r>
    </w:p>
    <w:p w14:paraId="3E9FE8E9" w14:textId="754BDA55" w:rsidR="00294A63" w:rsidRDefault="00294A63" w:rsidP="00294A63">
      <w:pPr>
        <w:pStyle w:val="Heading1"/>
      </w:pPr>
      <w:r>
        <w:t>PTTP Progress Report (SC15-RP-PTTP-02)</w:t>
      </w:r>
    </w:p>
    <w:p w14:paraId="57029AEE" w14:textId="605A7747" w:rsidR="00E43868" w:rsidRDefault="00E43868" w:rsidP="00065609">
      <w:r w:rsidRPr="00E43868">
        <w:t>Since SC14, PTTP activities have included one Central Pacific voyage, CP13, in the waters of Marshall Islands, FSM, Nauru, Tuvalu and the nearby International Waters, continued implementation and refinement of tag recovery processes and tag seeding, data preparation for use in the 2019 stock assessment for skipjack tuna, and analysis of electronic tagging data for an EU funded WCPFC project (Scutt Phillips et al. 2019). Research voyage WP5 preparations began in late 2018 and the vessel departed Noro, Solomon Islands, 22nd July 2019.</w:t>
      </w:r>
    </w:p>
    <w:p w14:paraId="28C5CD41" w14:textId="77777777" w:rsidR="00065609" w:rsidRPr="009852BC" w:rsidRDefault="00065609" w:rsidP="00065609">
      <w:pPr>
        <w:rPr>
          <w:rFonts w:ascii="Arial" w:hAnsi="Arial" w:cs="Arial"/>
          <w:b/>
          <w:szCs w:val="22"/>
        </w:rPr>
      </w:pPr>
    </w:p>
    <w:p w14:paraId="19FE76E7" w14:textId="77A9C4DD" w:rsidR="00E43868" w:rsidRPr="009852BC" w:rsidRDefault="00E43868" w:rsidP="00E43868">
      <w:pPr>
        <w:pStyle w:val="PlainText"/>
        <w:autoSpaceDE w:val="0"/>
        <w:autoSpaceDN w:val="0"/>
        <w:adjustRightInd w:val="0"/>
        <w:spacing w:after="120"/>
        <w:jc w:val="both"/>
        <w:rPr>
          <w:rFonts w:asciiTheme="majorHAnsi" w:hAnsiTheme="majorHAnsi" w:cs="Arial"/>
          <w:b/>
          <w:color w:val="0070C0"/>
          <w:sz w:val="24"/>
          <w:szCs w:val="24"/>
          <w:lang w:val="en-AU"/>
        </w:rPr>
      </w:pPr>
      <w:r>
        <w:rPr>
          <w:rFonts w:asciiTheme="majorHAnsi" w:hAnsiTheme="majorHAnsi" w:cs="Arial"/>
          <w:b/>
          <w:color w:val="0070C0"/>
          <w:sz w:val="24"/>
          <w:szCs w:val="24"/>
          <w:lang w:val="en-AU" w:eastAsia="en-AU"/>
        </w:rPr>
        <w:t>Research voyages</w:t>
      </w:r>
    </w:p>
    <w:p w14:paraId="529C9775" w14:textId="2BBBACAF" w:rsidR="00E43868" w:rsidRDefault="00E43868" w:rsidP="00E43868">
      <w:r w:rsidRPr="00E43868">
        <w:t xml:space="preserve">CP13 </w:t>
      </w:r>
      <w:r w:rsidR="00384242">
        <w:t xml:space="preserve">focussed on </w:t>
      </w:r>
      <w:r w:rsidRPr="00E43868">
        <w:t xml:space="preserve">data collection for studies on tuna movements, exploitation rates and FAD association dynamics.  </w:t>
      </w:r>
      <w:r w:rsidR="00384242">
        <w:t xml:space="preserve">To improve coverage of </w:t>
      </w:r>
      <w:r w:rsidRPr="00E43868">
        <w:t xml:space="preserve">bigeye tuna tagging data from the west part of the WCPO (west of the 180 meridian), the study area </w:t>
      </w:r>
      <w:r w:rsidR="00384242">
        <w:t>covered</w:t>
      </w:r>
      <w:r w:rsidRPr="00E43868">
        <w:t xml:space="preserve"> the 165E an</w:t>
      </w:r>
      <w:r w:rsidR="00384242">
        <w:t xml:space="preserve">d 180 TAO mooring lines and </w:t>
      </w:r>
      <w:r w:rsidRPr="00E43868">
        <w:t xml:space="preserve">nearby waters. </w:t>
      </w:r>
      <w:r w:rsidR="0015032F">
        <w:t xml:space="preserve"> T</w:t>
      </w:r>
      <w:r w:rsidRPr="00E43868">
        <w:t>he Hawaii-based FV Gutsy Lady 4</w:t>
      </w:r>
      <w:r w:rsidR="0015032F">
        <w:t xml:space="preserve"> was chartered by SPC, and left </w:t>
      </w:r>
      <w:r w:rsidRPr="00E43868">
        <w:t>Majuro on the 16th of July for a total duration of 39 days. The European Union and the WCPFC</w:t>
      </w:r>
      <w:r w:rsidR="008F6B4F">
        <w:t xml:space="preserve"> jointly funded the cruise. </w:t>
      </w:r>
      <w:proofErr w:type="spellStart"/>
      <w:r w:rsidR="008F6B4F">
        <w:t>Tri</w:t>
      </w:r>
      <w:r w:rsidRPr="00E43868">
        <w:t>Marine</w:t>
      </w:r>
      <w:proofErr w:type="spellEnd"/>
      <w:r w:rsidRPr="00E43868">
        <w:t xml:space="preserve"> also supported the </w:t>
      </w:r>
      <w:r w:rsidRPr="00E43868">
        <w:lastRenderedPageBreak/>
        <w:t>cruise by providing positions of drifting FADs in the neighbourhood of the cruise. IRD/</w:t>
      </w:r>
      <w:proofErr w:type="spellStart"/>
      <w:r w:rsidRPr="00E43868">
        <w:t>Marbec</w:t>
      </w:r>
      <w:proofErr w:type="spellEnd"/>
      <w:r w:rsidRPr="00E43868">
        <w:t xml:space="preserve"> research unit and ISSF also contributed to the cruise in providing scientific personnel.</w:t>
      </w:r>
    </w:p>
    <w:p w14:paraId="7DCCEA53" w14:textId="77777777" w:rsidR="008F712B" w:rsidRPr="00E43868" w:rsidRDefault="008F712B" w:rsidP="00E43868"/>
    <w:p w14:paraId="4FC7291E" w14:textId="4436604A" w:rsidR="008F712B" w:rsidRPr="008F712B" w:rsidRDefault="00E43868" w:rsidP="008F712B">
      <w:r w:rsidRPr="00E43868">
        <w:t>In addition to routine archival and conventional tag release activities, a</w:t>
      </w:r>
      <w:r w:rsidR="0015032F">
        <w:t>coustic tagging experiments</w:t>
      </w:r>
      <w:r w:rsidRPr="00E43868">
        <w:t xml:space="preserve"> were also undertaken during the CP13 cruise as part of an EU-funded project on juvenile bigeye and yellowfin tuna bycatch mitigation. Eight drifting FADs were equipped with VR4 Global (</w:t>
      </w:r>
      <w:proofErr w:type="spellStart"/>
      <w:r w:rsidRPr="00E43868">
        <w:t>Vemco</w:t>
      </w:r>
      <w:proofErr w:type="spellEnd"/>
      <w:r w:rsidRPr="00E43868">
        <w:t xml:space="preserve">, </w:t>
      </w:r>
      <w:proofErr w:type="spellStart"/>
      <w:r w:rsidRPr="00E43868">
        <w:t>Amirix</w:t>
      </w:r>
      <w:proofErr w:type="spellEnd"/>
      <w:r w:rsidRPr="00E43868">
        <w:t>, Canada) satellite linked acoustic receivers.  Pressure sensitive acoustic tags (V13P) were implanted in the three major tuna species with a priority for bigeye</w:t>
      </w:r>
      <w:r w:rsidR="0015032F">
        <w:t xml:space="preserve"> to collect information on vertical behaviour of tuna at </w:t>
      </w:r>
      <w:proofErr w:type="spellStart"/>
      <w:r w:rsidR="0015032F">
        <w:t>dFADs</w:t>
      </w:r>
      <w:proofErr w:type="spellEnd"/>
      <w:r w:rsidR="0015032F">
        <w:t xml:space="preserve">, improve interpretation of echo sounder buoy data, and examine the residency of tuna at </w:t>
      </w:r>
      <w:proofErr w:type="spellStart"/>
      <w:r w:rsidR="0015032F">
        <w:t>dFADs</w:t>
      </w:r>
      <w:proofErr w:type="spellEnd"/>
      <w:r w:rsidR="0015032F">
        <w:t xml:space="preserve"> and species-specific vulnerability</w:t>
      </w:r>
      <w:r w:rsidRPr="00E43868">
        <w:t>.</w:t>
      </w:r>
      <w:r w:rsidR="00384242">
        <w:t xml:space="preserve"> </w:t>
      </w:r>
      <w:r w:rsidR="008F712B" w:rsidRPr="008F712B">
        <w:t xml:space="preserve">Table </w:t>
      </w:r>
      <w:r w:rsidR="00384242">
        <w:t>1</w:t>
      </w:r>
      <w:r w:rsidR="008F712B" w:rsidRPr="008F712B">
        <w:t xml:space="preserve"> summarizes the number of fish tagged per species and tag type</w:t>
      </w:r>
      <w:r w:rsidR="008F712B">
        <w:t>.</w:t>
      </w:r>
    </w:p>
    <w:p w14:paraId="268134F9" w14:textId="77777777" w:rsidR="008F712B" w:rsidRPr="005B65E7" w:rsidRDefault="008F712B" w:rsidP="008F712B">
      <w:pPr>
        <w:rPr>
          <w:rFonts w:ascii="Arial" w:hAnsi="Arial" w:cs="Arial"/>
          <w:szCs w:val="22"/>
          <w:lang w:val="en-US"/>
        </w:rPr>
      </w:pPr>
    </w:p>
    <w:p w14:paraId="45D9FC77" w14:textId="55CC86B4" w:rsidR="008F712B" w:rsidRDefault="008F712B" w:rsidP="008F712B">
      <w:pPr>
        <w:pStyle w:val="Caption"/>
        <w:rPr>
          <w:lang w:val="en-US"/>
        </w:rPr>
      </w:pPr>
      <w:r w:rsidRPr="005B65E7">
        <w:t xml:space="preserve">Table </w:t>
      </w:r>
      <w:r w:rsidR="00384242">
        <w:t>1</w:t>
      </w:r>
      <w:r w:rsidRPr="005B65E7">
        <w:t>:  Numbers of tags deployed by tag type and species</w:t>
      </w:r>
    </w:p>
    <w:tbl>
      <w:tblPr>
        <w:tblW w:w="7474" w:type="dxa"/>
        <w:jc w:val="center"/>
        <w:tblLook w:val="04A0" w:firstRow="1" w:lastRow="0" w:firstColumn="1" w:lastColumn="0" w:noHBand="0" w:noVBand="1"/>
      </w:tblPr>
      <w:tblGrid>
        <w:gridCol w:w="2263"/>
        <w:gridCol w:w="777"/>
        <w:gridCol w:w="777"/>
        <w:gridCol w:w="777"/>
        <w:gridCol w:w="960"/>
        <w:gridCol w:w="960"/>
        <w:gridCol w:w="960"/>
      </w:tblGrid>
      <w:tr w:rsidR="008F712B" w:rsidRPr="005B65E7" w14:paraId="5E4C3E56" w14:textId="77777777" w:rsidTr="008C3969">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6B72A0F" w14:textId="77777777" w:rsidR="008F712B" w:rsidRPr="005B65E7" w:rsidRDefault="008F712B" w:rsidP="00A31C14">
            <w:pPr>
              <w:rPr>
                <w:rFonts w:ascii="Calibri" w:hAnsi="Calibri" w:cs="Calibri"/>
                <w:b/>
                <w:bCs/>
                <w:color w:val="000000"/>
                <w:szCs w:val="22"/>
                <w:lang w:val="en-AU" w:eastAsia="en-AU"/>
              </w:rPr>
            </w:pPr>
            <w:r w:rsidRPr="005B65E7">
              <w:rPr>
                <w:rFonts w:ascii="Calibri" w:hAnsi="Calibri" w:cs="Calibri"/>
                <w:b/>
                <w:bCs/>
                <w:color w:val="000000"/>
                <w:szCs w:val="22"/>
                <w:lang w:val="en-AU" w:eastAsia="en-AU"/>
              </w:rPr>
              <w:t>Tag type</w:t>
            </w:r>
          </w:p>
        </w:tc>
        <w:tc>
          <w:tcPr>
            <w:tcW w:w="777" w:type="dxa"/>
            <w:tcBorders>
              <w:top w:val="single" w:sz="4" w:space="0" w:color="auto"/>
              <w:left w:val="nil"/>
              <w:bottom w:val="single" w:sz="4" w:space="0" w:color="auto"/>
              <w:right w:val="single" w:sz="4" w:space="0" w:color="auto"/>
            </w:tcBorders>
            <w:shd w:val="clear" w:color="000000" w:fill="DDEBF7"/>
            <w:vAlign w:val="center"/>
          </w:tcPr>
          <w:p w14:paraId="4BD57091"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FAL</w:t>
            </w:r>
          </w:p>
        </w:tc>
        <w:tc>
          <w:tcPr>
            <w:tcW w:w="777" w:type="dxa"/>
            <w:tcBorders>
              <w:top w:val="single" w:sz="4" w:space="0" w:color="auto"/>
              <w:left w:val="single" w:sz="4" w:space="0" w:color="auto"/>
              <w:bottom w:val="single" w:sz="4" w:space="0" w:color="auto"/>
              <w:right w:val="single" w:sz="4" w:space="0" w:color="auto"/>
            </w:tcBorders>
            <w:shd w:val="clear" w:color="000000" w:fill="DDEBF7"/>
            <w:vAlign w:val="center"/>
          </w:tcPr>
          <w:p w14:paraId="564C52D3"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OCS</w:t>
            </w:r>
          </w:p>
        </w:tc>
        <w:tc>
          <w:tcPr>
            <w:tcW w:w="777"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91254EC"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BET</w:t>
            </w:r>
          </w:p>
        </w:tc>
        <w:tc>
          <w:tcPr>
            <w:tcW w:w="960" w:type="dxa"/>
            <w:tcBorders>
              <w:top w:val="single" w:sz="4" w:space="0" w:color="auto"/>
              <w:left w:val="nil"/>
              <w:bottom w:val="single" w:sz="4" w:space="0" w:color="auto"/>
              <w:right w:val="single" w:sz="4" w:space="0" w:color="auto"/>
            </w:tcBorders>
            <w:shd w:val="clear" w:color="000000" w:fill="DDEBF7"/>
            <w:noWrap/>
            <w:vAlign w:val="center"/>
            <w:hideMark/>
          </w:tcPr>
          <w:p w14:paraId="5F50CDA1"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SKJ</w:t>
            </w:r>
          </w:p>
        </w:tc>
        <w:tc>
          <w:tcPr>
            <w:tcW w:w="960" w:type="dxa"/>
            <w:tcBorders>
              <w:top w:val="single" w:sz="4" w:space="0" w:color="auto"/>
              <w:left w:val="nil"/>
              <w:bottom w:val="single" w:sz="4" w:space="0" w:color="auto"/>
              <w:right w:val="single" w:sz="4" w:space="0" w:color="auto"/>
            </w:tcBorders>
            <w:shd w:val="clear" w:color="000000" w:fill="DDEBF7"/>
            <w:noWrap/>
            <w:vAlign w:val="center"/>
            <w:hideMark/>
          </w:tcPr>
          <w:p w14:paraId="39ED88E8"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YFT</w:t>
            </w:r>
          </w:p>
        </w:tc>
        <w:tc>
          <w:tcPr>
            <w:tcW w:w="960" w:type="dxa"/>
            <w:tcBorders>
              <w:top w:val="single" w:sz="4" w:space="0" w:color="auto"/>
              <w:left w:val="nil"/>
              <w:bottom w:val="single" w:sz="4" w:space="0" w:color="auto"/>
              <w:right w:val="single" w:sz="4" w:space="0" w:color="auto"/>
            </w:tcBorders>
            <w:shd w:val="clear" w:color="000000" w:fill="DDEBF7"/>
            <w:noWrap/>
            <w:vAlign w:val="center"/>
            <w:hideMark/>
          </w:tcPr>
          <w:p w14:paraId="68AA09F1" w14:textId="77777777" w:rsidR="008F712B" w:rsidRPr="005B65E7" w:rsidRDefault="008F712B" w:rsidP="00A31C14">
            <w:pPr>
              <w:jc w:val="center"/>
              <w:rPr>
                <w:rFonts w:ascii="Calibri" w:hAnsi="Calibri" w:cs="Calibri"/>
                <w:b/>
                <w:bCs/>
                <w:color w:val="000000"/>
                <w:szCs w:val="22"/>
                <w:lang w:val="en-AU" w:eastAsia="en-AU"/>
              </w:rPr>
            </w:pPr>
            <w:r w:rsidRPr="005B65E7">
              <w:rPr>
                <w:rFonts w:ascii="Calibri" w:hAnsi="Calibri" w:cs="Calibri"/>
                <w:b/>
                <w:bCs/>
                <w:color w:val="000000"/>
                <w:szCs w:val="22"/>
                <w:lang w:val="en-AU" w:eastAsia="en-AU"/>
              </w:rPr>
              <w:t>TOTAL</w:t>
            </w:r>
          </w:p>
        </w:tc>
      </w:tr>
      <w:tr w:rsidR="008F712B" w:rsidRPr="005B65E7" w14:paraId="232755EE"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E0056A4" w14:textId="77777777" w:rsidR="008F712B" w:rsidRPr="008C3969" w:rsidRDefault="008F712B" w:rsidP="00A31C14">
            <w:pPr>
              <w:rPr>
                <w:rFonts w:ascii="Calibri" w:hAnsi="Calibri" w:cs="Calibri"/>
                <w:bCs/>
                <w:szCs w:val="22"/>
                <w:lang w:val="en-AU" w:eastAsia="en-AU"/>
              </w:rPr>
            </w:pPr>
            <w:r w:rsidRPr="008C3969">
              <w:rPr>
                <w:rFonts w:ascii="Calibri" w:hAnsi="Calibri" w:cs="Calibri"/>
                <w:bCs/>
                <w:szCs w:val="22"/>
                <w:lang w:val="en-AU" w:eastAsia="en-AU"/>
              </w:rPr>
              <w:t>Archival</w:t>
            </w:r>
          </w:p>
        </w:tc>
        <w:tc>
          <w:tcPr>
            <w:tcW w:w="777" w:type="dxa"/>
            <w:tcBorders>
              <w:top w:val="single" w:sz="4" w:space="0" w:color="auto"/>
              <w:left w:val="nil"/>
              <w:bottom w:val="single" w:sz="4" w:space="0" w:color="auto"/>
              <w:right w:val="single" w:sz="4" w:space="0" w:color="auto"/>
            </w:tcBorders>
            <w:vAlign w:val="center"/>
          </w:tcPr>
          <w:p w14:paraId="5E088C8C"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vAlign w:val="center"/>
          </w:tcPr>
          <w:p w14:paraId="0904AED4"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3B3B7EF"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53</w:t>
            </w:r>
          </w:p>
        </w:tc>
        <w:tc>
          <w:tcPr>
            <w:tcW w:w="960" w:type="dxa"/>
            <w:tcBorders>
              <w:top w:val="nil"/>
              <w:left w:val="nil"/>
              <w:bottom w:val="single" w:sz="4" w:space="0" w:color="auto"/>
              <w:right w:val="single" w:sz="4" w:space="0" w:color="auto"/>
            </w:tcBorders>
            <w:shd w:val="clear" w:color="auto" w:fill="auto"/>
            <w:noWrap/>
            <w:vAlign w:val="center"/>
            <w:hideMark/>
          </w:tcPr>
          <w:p w14:paraId="70A41926"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w:t>
            </w:r>
          </w:p>
        </w:tc>
        <w:tc>
          <w:tcPr>
            <w:tcW w:w="960" w:type="dxa"/>
            <w:tcBorders>
              <w:top w:val="nil"/>
              <w:left w:val="nil"/>
              <w:bottom w:val="single" w:sz="4" w:space="0" w:color="auto"/>
              <w:right w:val="single" w:sz="4" w:space="0" w:color="auto"/>
            </w:tcBorders>
            <w:shd w:val="clear" w:color="auto" w:fill="auto"/>
            <w:noWrap/>
            <w:vAlign w:val="center"/>
            <w:hideMark/>
          </w:tcPr>
          <w:p w14:paraId="6265B206"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51</w:t>
            </w:r>
          </w:p>
        </w:tc>
        <w:tc>
          <w:tcPr>
            <w:tcW w:w="960" w:type="dxa"/>
            <w:tcBorders>
              <w:top w:val="nil"/>
              <w:left w:val="nil"/>
              <w:bottom w:val="single" w:sz="4" w:space="0" w:color="auto"/>
              <w:right w:val="single" w:sz="4" w:space="0" w:color="auto"/>
            </w:tcBorders>
            <w:shd w:val="clear" w:color="auto" w:fill="auto"/>
            <w:noWrap/>
            <w:vAlign w:val="center"/>
            <w:hideMark/>
          </w:tcPr>
          <w:p w14:paraId="726B8DAF" w14:textId="77777777" w:rsidR="008F712B" w:rsidRPr="0092664F" w:rsidRDefault="008F712B" w:rsidP="00A31C14">
            <w:pPr>
              <w:jc w:val="center"/>
              <w:rPr>
                <w:rFonts w:ascii="Calibri" w:hAnsi="Calibri" w:cs="Calibri"/>
                <w:b/>
                <w:szCs w:val="22"/>
                <w:lang w:val="en-AU" w:eastAsia="en-AU"/>
              </w:rPr>
            </w:pPr>
            <w:r w:rsidRPr="0092664F">
              <w:rPr>
                <w:rFonts w:ascii="Calibri" w:hAnsi="Calibri" w:cs="Calibri"/>
                <w:b/>
                <w:szCs w:val="22"/>
                <w:lang w:val="en-AU" w:eastAsia="en-AU"/>
              </w:rPr>
              <w:t>104</w:t>
            </w:r>
          </w:p>
        </w:tc>
      </w:tr>
      <w:tr w:rsidR="008F712B" w:rsidRPr="005B65E7" w14:paraId="454A9D42"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185FE8" w14:textId="77777777" w:rsidR="008F712B" w:rsidRPr="008C3969" w:rsidRDefault="008F712B" w:rsidP="00A31C14">
            <w:pPr>
              <w:rPr>
                <w:rFonts w:ascii="Calibri" w:hAnsi="Calibri" w:cs="Calibri"/>
                <w:bCs/>
                <w:szCs w:val="22"/>
                <w:lang w:val="en-AU" w:eastAsia="en-AU"/>
              </w:rPr>
            </w:pPr>
            <w:r w:rsidRPr="008C3969">
              <w:rPr>
                <w:rFonts w:ascii="Calibri" w:hAnsi="Calibri" w:cs="Calibri"/>
                <w:bCs/>
                <w:szCs w:val="22"/>
                <w:lang w:val="en-AU" w:eastAsia="en-AU"/>
              </w:rPr>
              <w:t>Archival and sonic tag</w:t>
            </w:r>
          </w:p>
        </w:tc>
        <w:tc>
          <w:tcPr>
            <w:tcW w:w="777" w:type="dxa"/>
            <w:tcBorders>
              <w:top w:val="single" w:sz="4" w:space="0" w:color="auto"/>
              <w:left w:val="nil"/>
              <w:bottom w:val="single" w:sz="4" w:space="0" w:color="auto"/>
              <w:right w:val="single" w:sz="4" w:space="0" w:color="auto"/>
            </w:tcBorders>
            <w:vAlign w:val="center"/>
          </w:tcPr>
          <w:p w14:paraId="3D2415F5"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vAlign w:val="center"/>
          </w:tcPr>
          <w:p w14:paraId="2C6B2734"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25CBCF82"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11</w:t>
            </w:r>
          </w:p>
        </w:tc>
        <w:tc>
          <w:tcPr>
            <w:tcW w:w="960" w:type="dxa"/>
            <w:tcBorders>
              <w:top w:val="nil"/>
              <w:left w:val="nil"/>
              <w:bottom w:val="single" w:sz="4" w:space="0" w:color="auto"/>
              <w:right w:val="single" w:sz="4" w:space="0" w:color="auto"/>
            </w:tcBorders>
            <w:shd w:val="clear" w:color="auto" w:fill="auto"/>
            <w:noWrap/>
            <w:vAlign w:val="center"/>
            <w:hideMark/>
          </w:tcPr>
          <w:p w14:paraId="16E46AFF"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w:t>
            </w:r>
          </w:p>
        </w:tc>
        <w:tc>
          <w:tcPr>
            <w:tcW w:w="960" w:type="dxa"/>
            <w:tcBorders>
              <w:top w:val="nil"/>
              <w:left w:val="nil"/>
              <w:bottom w:val="single" w:sz="4" w:space="0" w:color="auto"/>
              <w:right w:val="single" w:sz="4" w:space="0" w:color="auto"/>
            </w:tcBorders>
            <w:shd w:val="clear" w:color="auto" w:fill="auto"/>
            <w:noWrap/>
            <w:vAlign w:val="center"/>
            <w:hideMark/>
          </w:tcPr>
          <w:p w14:paraId="53E97806"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15</w:t>
            </w:r>
          </w:p>
        </w:tc>
        <w:tc>
          <w:tcPr>
            <w:tcW w:w="960" w:type="dxa"/>
            <w:tcBorders>
              <w:top w:val="nil"/>
              <w:left w:val="nil"/>
              <w:bottom w:val="single" w:sz="4" w:space="0" w:color="auto"/>
              <w:right w:val="single" w:sz="4" w:space="0" w:color="auto"/>
            </w:tcBorders>
            <w:shd w:val="clear" w:color="auto" w:fill="auto"/>
            <w:noWrap/>
            <w:vAlign w:val="center"/>
            <w:hideMark/>
          </w:tcPr>
          <w:p w14:paraId="3EAE71A5" w14:textId="77777777" w:rsidR="008F712B" w:rsidRPr="0092664F" w:rsidRDefault="008F712B" w:rsidP="00A31C14">
            <w:pPr>
              <w:jc w:val="center"/>
              <w:rPr>
                <w:rFonts w:ascii="Calibri" w:hAnsi="Calibri" w:cs="Calibri"/>
                <w:b/>
                <w:szCs w:val="22"/>
                <w:lang w:val="en-AU" w:eastAsia="en-AU"/>
              </w:rPr>
            </w:pPr>
            <w:r w:rsidRPr="0092664F">
              <w:rPr>
                <w:rFonts w:ascii="Calibri" w:hAnsi="Calibri" w:cs="Calibri"/>
                <w:b/>
                <w:szCs w:val="22"/>
                <w:lang w:val="en-AU" w:eastAsia="en-AU"/>
              </w:rPr>
              <w:t>26</w:t>
            </w:r>
          </w:p>
        </w:tc>
      </w:tr>
      <w:tr w:rsidR="008F712B" w:rsidRPr="005B65E7" w14:paraId="24BD4914"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7FD068" w14:textId="77777777" w:rsidR="008F712B" w:rsidRPr="008C3969" w:rsidRDefault="008F712B" w:rsidP="00A31C14">
            <w:pPr>
              <w:rPr>
                <w:rFonts w:ascii="Calibri" w:hAnsi="Calibri" w:cs="Calibri"/>
                <w:bCs/>
                <w:szCs w:val="22"/>
                <w:lang w:val="en-AU" w:eastAsia="en-AU"/>
              </w:rPr>
            </w:pPr>
            <w:r w:rsidRPr="008C3969">
              <w:rPr>
                <w:rFonts w:ascii="Calibri" w:hAnsi="Calibri" w:cs="Calibri"/>
                <w:bCs/>
                <w:szCs w:val="22"/>
                <w:lang w:val="en-AU" w:eastAsia="en-AU"/>
              </w:rPr>
              <w:t>Acoustic depth tag</w:t>
            </w:r>
          </w:p>
        </w:tc>
        <w:tc>
          <w:tcPr>
            <w:tcW w:w="777" w:type="dxa"/>
            <w:tcBorders>
              <w:top w:val="single" w:sz="4" w:space="0" w:color="auto"/>
              <w:left w:val="nil"/>
              <w:bottom w:val="single" w:sz="4" w:space="0" w:color="auto"/>
              <w:right w:val="single" w:sz="4" w:space="0" w:color="auto"/>
            </w:tcBorders>
            <w:vAlign w:val="center"/>
          </w:tcPr>
          <w:p w14:paraId="746B010B"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vAlign w:val="center"/>
          </w:tcPr>
          <w:p w14:paraId="4813E5FA"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3E6A7FB6"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97</w:t>
            </w:r>
          </w:p>
        </w:tc>
        <w:tc>
          <w:tcPr>
            <w:tcW w:w="960" w:type="dxa"/>
            <w:tcBorders>
              <w:top w:val="nil"/>
              <w:left w:val="nil"/>
              <w:bottom w:val="single" w:sz="4" w:space="0" w:color="auto"/>
              <w:right w:val="single" w:sz="4" w:space="0" w:color="auto"/>
            </w:tcBorders>
            <w:shd w:val="clear" w:color="auto" w:fill="auto"/>
            <w:noWrap/>
            <w:vAlign w:val="center"/>
            <w:hideMark/>
          </w:tcPr>
          <w:p w14:paraId="16B2456F"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14</w:t>
            </w:r>
          </w:p>
        </w:tc>
        <w:tc>
          <w:tcPr>
            <w:tcW w:w="960" w:type="dxa"/>
            <w:tcBorders>
              <w:top w:val="nil"/>
              <w:left w:val="nil"/>
              <w:bottom w:val="single" w:sz="4" w:space="0" w:color="auto"/>
              <w:right w:val="single" w:sz="4" w:space="0" w:color="auto"/>
            </w:tcBorders>
            <w:shd w:val="clear" w:color="auto" w:fill="auto"/>
            <w:noWrap/>
            <w:vAlign w:val="center"/>
            <w:hideMark/>
          </w:tcPr>
          <w:p w14:paraId="501E5E68"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42</w:t>
            </w:r>
          </w:p>
        </w:tc>
        <w:tc>
          <w:tcPr>
            <w:tcW w:w="960" w:type="dxa"/>
            <w:tcBorders>
              <w:top w:val="nil"/>
              <w:left w:val="nil"/>
              <w:bottom w:val="single" w:sz="4" w:space="0" w:color="auto"/>
              <w:right w:val="single" w:sz="4" w:space="0" w:color="auto"/>
            </w:tcBorders>
            <w:shd w:val="clear" w:color="auto" w:fill="auto"/>
            <w:noWrap/>
            <w:vAlign w:val="center"/>
            <w:hideMark/>
          </w:tcPr>
          <w:p w14:paraId="3818A6A1" w14:textId="77777777" w:rsidR="008F712B" w:rsidRPr="0092664F" w:rsidRDefault="008F712B" w:rsidP="00A31C14">
            <w:pPr>
              <w:jc w:val="center"/>
              <w:rPr>
                <w:rFonts w:ascii="Calibri" w:hAnsi="Calibri" w:cs="Calibri"/>
                <w:b/>
                <w:szCs w:val="22"/>
                <w:lang w:val="en-AU" w:eastAsia="en-AU"/>
              </w:rPr>
            </w:pPr>
            <w:r w:rsidRPr="0092664F">
              <w:rPr>
                <w:rFonts w:ascii="Calibri" w:hAnsi="Calibri" w:cs="Calibri"/>
                <w:b/>
                <w:szCs w:val="22"/>
                <w:lang w:val="en-AU" w:eastAsia="en-AU"/>
              </w:rPr>
              <w:t>153</w:t>
            </w:r>
          </w:p>
        </w:tc>
      </w:tr>
      <w:tr w:rsidR="008F712B" w:rsidRPr="005B65E7" w14:paraId="02F11B3C"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CA94EE6" w14:textId="77777777" w:rsidR="008F712B" w:rsidRPr="008C3969" w:rsidRDefault="008F712B" w:rsidP="00A31C14">
            <w:pPr>
              <w:rPr>
                <w:rFonts w:ascii="Calibri" w:hAnsi="Calibri" w:cs="Calibri"/>
                <w:bCs/>
                <w:szCs w:val="22"/>
                <w:lang w:val="en-AU" w:eastAsia="en-AU"/>
              </w:rPr>
            </w:pPr>
            <w:r w:rsidRPr="008C3969">
              <w:rPr>
                <w:rFonts w:ascii="Calibri" w:hAnsi="Calibri" w:cs="Calibri"/>
                <w:bCs/>
                <w:szCs w:val="22"/>
                <w:lang w:val="en-AU" w:eastAsia="en-AU"/>
              </w:rPr>
              <w:t xml:space="preserve">Yellow conventional </w:t>
            </w:r>
          </w:p>
        </w:tc>
        <w:tc>
          <w:tcPr>
            <w:tcW w:w="777" w:type="dxa"/>
            <w:tcBorders>
              <w:top w:val="single" w:sz="4" w:space="0" w:color="auto"/>
              <w:left w:val="nil"/>
              <w:bottom w:val="single" w:sz="4" w:space="0" w:color="auto"/>
              <w:right w:val="single" w:sz="4" w:space="0" w:color="auto"/>
            </w:tcBorders>
            <w:vAlign w:val="center"/>
          </w:tcPr>
          <w:p w14:paraId="56447DBC"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vAlign w:val="center"/>
          </w:tcPr>
          <w:p w14:paraId="1C986745" w14:textId="77777777" w:rsidR="008F712B" w:rsidRPr="008C3969" w:rsidRDefault="008F712B" w:rsidP="00A31C14">
            <w:pPr>
              <w:jc w:val="center"/>
              <w:rPr>
                <w:rFonts w:ascii="Calibri" w:hAnsi="Calibri" w:cs="Calibri"/>
                <w:szCs w:val="22"/>
                <w:lang w:val="en-AU" w:eastAsia="en-AU"/>
              </w:rPr>
            </w:pP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1DBE90F8"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450</w:t>
            </w:r>
          </w:p>
        </w:tc>
        <w:tc>
          <w:tcPr>
            <w:tcW w:w="960" w:type="dxa"/>
            <w:tcBorders>
              <w:top w:val="nil"/>
              <w:left w:val="nil"/>
              <w:bottom w:val="single" w:sz="4" w:space="0" w:color="auto"/>
              <w:right w:val="single" w:sz="4" w:space="0" w:color="auto"/>
            </w:tcBorders>
            <w:shd w:val="clear" w:color="auto" w:fill="auto"/>
            <w:noWrap/>
            <w:vAlign w:val="center"/>
            <w:hideMark/>
          </w:tcPr>
          <w:p w14:paraId="32CC37D6"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65</w:t>
            </w:r>
          </w:p>
        </w:tc>
        <w:tc>
          <w:tcPr>
            <w:tcW w:w="960" w:type="dxa"/>
            <w:tcBorders>
              <w:top w:val="nil"/>
              <w:left w:val="nil"/>
              <w:bottom w:val="single" w:sz="4" w:space="0" w:color="auto"/>
              <w:right w:val="single" w:sz="4" w:space="0" w:color="auto"/>
            </w:tcBorders>
            <w:shd w:val="clear" w:color="auto" w:fill="auto"/>
            <w:noWrap/>
            <w:vAlign w:val="center"/>
            <w:hideMark/>
          </w:tcPr>
          <w:p w14:paraId="5F86D9FE" w14:textId="77777777" w:rsidR="008F712B" w:rsidRPr="008C3969" w:rsidRDefault="008F712B" w:rsidP="00A31C14">
            <w:pPr>
              <w:jc w:val="center"/>
              <w:rPr>
                <w:rFonts w:ascii="Calibri" w:hAnsi="Calibri" w:cs="Calibri"/>
                <w:szCs w:val="22"/>
                <w:lang w:val="en-AU" w:eastAsia="en-AU"/>
              </w:rPr>
            </w:pPr>
            <w:r w:rsidRPr="008C3969">
              <w:rPr>
                <w:rFonts w:ascii="Calibri" w:hAnsi="Calibri" w:cs="Calibri"/>
                <w:szCs w:val="22"/>
                <w:lang w:val="en-AU" w:eastAsia="en-AU"/>
              </w:rPr>
              <w:t>335</w:t>
            </w:r>
          </w:p>
        </w:tc>
        <w:tc>
          <w:tcPr>
            <w:tcW w:w="960" w:type="dxa"/>
            <w:tcBorders>
              <w:top w:val="nil"/>
              <w:left w:val="nil"/>
              <w:bottom w:val="single" w:sz="4" w:space="0" w:color="auto"/>
              <w:right w:val="single" w:sz="4" w:space="0" w:color="auto"/>
            </w:tcBorders>
            <w:shd w:val="clear" w:color="auto" w:fill="auto"/>
            <w:noWrap/>
            <w:vAlign w:val="center"/>
            <w:hideMark/>
          </w:tcPr>
          <w:p w14:paraId="5365C987" w14:textId="77777777" w:rsidR="008F712B" w:rsidRPr="0092664F" w:rsidRDefault="008F712B" w:rsidP="00A31C14">
            <w:pPr>
              <w:jc w:val="center"/>
              <w:rPr>
                <w:rFonts w:ascii="Calibri" w:hAnsi="Calibri" w:cs="Calibri"/>
                <w:b/>
                <w:szCs w:val="22"/>
                <w:lang w:val="en-AU" w:eastAsia="en-AU"/>
              </w:rPr>
            </w:pPr>
            <w:r w:rsidRPr="0092664F">
              <w:rPr>
                <w:rFonts w:ascii="Calibri" w:hAnsi="Calibri" w:cs="Calibri"/>
                <w:b/>
                <w:szCs w:val="22"/>
                <w:lang w:val="en-AU" w:eastAsia="en-AU"/>
              </w:rPr>
              <w:t>850</w:t>
            </w:r>
          </w:p>
        </w:tc>
      </w:tr>
      <w:tr w:rsidR="008F712B" w:rsidRPr="005B65E7" w14:paraId="1C44DFF1"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76AE8271" w14:textId="77777777" w:rsidR="008F712B" w:rsidRPr="008C3969" w:rsidRDefault="008F712B" w:rsidP="00A31C14">
            <w:pPr>
              <w:rPr>
                <w:rFonts w:ascii="Calibri" w:hAnsi="Calibri" w:cs="Calibri"/>
                <w:bCs/>
                <w:szCs w:val="22"/>
                <w:lang w:val="en-AU" w:eastAsia="en-AU"/>
              </w:rPr>
            </w:pPr>
            <w:proofErr w:type="spellStart"/>
            <w:r w:rsidRPr="008C3969">
              <w:rPr>
                <w:rFonts w:ascii="Calibri" w:hAnsi="Calibri" w:cs="Calibri"/>
                <w:bCs/>
                <w:szCs w:val="22"/>
                <w:lang w:val="en-AU" w:eastAsia="en-AU"/>
              </w:rPr>
              <w:t>MiniPat</w:t>
            </w:r>
            <w:proofErr w:type="spellEnd"/>
            <w:r w:rsidRPr="008C3969">
              <w:rPr>
                <w:rFonts w:ascii="Calibri" w:hAnsi="Calibri" w:cs="Calibri"/>
                <w:bCs/>
                <w:szCs w:val="22"/>
                <w:lang w:val="en-AU" w:eastAsia="en-AU"/>
              </w:rPr>
              <w:t xml:space="preserve"> satellite tag</w:t>
            </w:r>
          </w:p>
        </w:tc>
        <w:tc>
          <w:tcPr>
            <w:tcW w:w="777" w:type="dxa"/>
            <w:tcBorders>
              <w:top w:val="single" w:sz="4" w:space="0" w:color="auto"/>
              <w:left w:val="nil"/>
              <w:bottom w:val="single" w:sz="4" w:space="0" w:color="auto"/>
              <w:right w:val="single" w:sz="4" w:space="0" w:color="auto"/>
            </w:tcBorders>
            <w:vAlign w:val="center"/>
          </w:tcPr>
          <w:p w14:paraId="1FCF2B5B" w14:textId="77777777" w:rsidR="008F712B" w:rsidRPr="008C3969" w:rsidRDefault="008F712B" w:rsidP="00A31C14">
            <w:pPr>
              <w:jc w:val="center"/>
              <w:rPr>
                <w:rFonts w:ascii="Calibri" w:hAnsi="Calibri" w:cs="Calibri"/>
                <w:bCs/>
                <w:szCs w:val="22"/>
                <w:lang w:val="en-AU" w:eastAsia="en-AU"/>
              </w:rPr>
            </w:pPr>
            <w:r w:rsidRPr="008C3969">
              <w:rPr>
                <w:rFonts w:ascii="Calibri" w:hAnsi="Calibri" w:cs="Calibri"/>
                <w:bCs/>
                <w:szCs w:val="22"/>
                <w:lang w:val="en-AU" w:eastAsia="en-AU"/>
              </w:rPr>
              <w:t>9</w:t>
            </w:r>
          </w:p>
        </w:tc>
        <w:tc>
          <w:tcPr>
            <w:tcW w:w="777" w:type="dxa"/>
            <w:tcBorders>
              <w:top w:val="nil"/>
              <w:left w:val="single" w:sz="4" w:space="0" w:color="auto"/>
              <w:bottom w:val="single" w:sz="4" w:space="0" w:color="auto"/>
              <w:right w:val="single" w:sz="4" w:space="0" w:color="auto"/>
            </w:tcBorders>
            <w:vAlign w:val="center"/>
          </w:tcPr>
          <w:p w14:paraId="69BF07AA" w14:textId="77777777" w:rsidR="008F712B" w:rsidRPr="008C3969" w:rsidRDefault="008F712B" w:rsidP="00A31C14">
            <w:pPr>
              <w:jc w:val="center"/>
              <w:rPr>
                <w:rFonts w:ascii="Calibri" w:hAnsi="Calibri" w:cs="Calibri"/>
                <w:bCs/>
                <w:szCs w:val="22"/>
                <w:lang w:val="en-AU" w:eastAsia="en-AU"/>
              </w:rPr>
            </w:pPr>
            <w:r w:rsidRPr="008C3969">
              <w:rPr>
                <w:rFonts w:ascii="Calibri" w:hAnsi="Calibri" w:cs="Calibri"/>
                <w:bCs/>
                <w:szCs w:val="22"/>
                <w:lang w:val="en-AU" w:eastAsia="en-AU"/>
              </w:rPr>
              <w:t>5</w:t>
            </w:r>
          </w:p>
        </w:tc>
        <w:tc>
          <w:tcPr>
            <w:tcW w:w="777" w:type="dxa"/>
            <w:tcBorders>
              <w:top w:val="nil"/>
              <w:left w:val="single" w:sz="4" w:space="0" w:color="auto"/>
              <w:bottom w:val="single" w:sz="4" w:space="0" w:color="auto"/>
              <w:right w:val="single" w:sz="4" w:space="0" w:color="auto"/>
            </w:tcBorders>
            <w:shd w:val="clear" w:color="auto" w:fill="auto"/>
            <w:noWrap/>
            <w:vAlign w:val="center"/>
          </w:tcPr>
          <w:p w14:paraId="6095FB25" w14:textId="77777777" w:rsidR="008F712B" w:rsidRPr="008C3969" w:rsidRDefault="008F712B" w:rsidP="00A31C14">
            <w:pPr>
              <w:jc w:val="center"/>
              <w:rPr>
                <w:rFonts w:ascii="Calibri" w:hAnsi="Calibri" w:cs="Calibri"/>
                <w:bCs/>
                <w:szCs w:val="22"/>
                <w:lang w:val="en-AU" w:eastAsia="en-AU"/>
              </w:rPr>
            </w:pPr>
          </w:p>
        </w:tc>
        <w:tc>
          <w:tcPr>
            <w:tcW w:w="960" w:type="dxa"/>
            <w:tcBorders>
              <w:top w:val="nil"/>
              <w:left w:val="nil"/>
              <w:bottom w:val="single" w:sz="4" w:space="0" w:color="auto"/>
              <w:right w:val="single" w:sz="4" w:space="0" w:color="auto"/>
            </w:tcBorders>
            <w:shd w:val="clear" w:color="auto" w:fill="auto"/>
            <w:noWrap/>
            <w:vAlign w:val="center"/>
          </w:tcPr>
          <w:p w14:paraId="74D093FA" w14:textId="77777777" w:rsidR="008F712B" w:rsidRPr="008C3969" w:rsidRDefault="008F712B" w:rsidP="00A31C14">
            <w:pPr>
              <w:jc w:val="center"/>
              <w:rPr>
                <w:rFonts w:ascii="Calibri" w:hAnsi="Calibri" w:cs="Calibri"/>
                <w:bCs/>
                <w:szCs w:val="22"/>
                <w:lang w:val="en-AU" w:eastAsia="en-AU"/>
              </w:rPr>
            </w:pPr>
          </w:p>
        </w:tc>
        <w:tc>
          <w:tcPr>
            <w:tcW w:w="960" w:type="dxa"/>
            <w:tcBorders>
              <w:top w:val="nil"/>
              <w:left w:val="nil"/>
              <w:bottom w:val="single" w:sz="4" w:space="0" w:color="auto"/>
              <w:right w:val="single" w:sz="4" w:space="0" w:color="auto"/>
            </w:tcBorders>
            <w:shd w:val="clear" w:color="auto" w:fill="auto"/>
            <w:noWrap/>
            <w:vAlign w:val="center"/>
          </w:tcPr>
          <w:p w14:paraId="00C9E059" w14:textId="77777777" w:rsidR="008F712B" w:rsidRPr="008C3969" w:rsidRDefault="008F712B" w:rsidP="00A31C14">
            <w:pPr>
              <w:jc w:val="center"/>
              <w:rPr>
                <w:rFonts w:ascii="Calibri" w:hAnsi="Calibri" w:cs="Calibri"/>
                <w:bCs/>
                <w:szCs w:val="22"/>
                <w:lang w:val="en-AU" w:eastAsia="en-AU"/>
              </w:rPr>
            </w:pPr>
            <w:r w:rsidRPr="008C3969">
              <w:rPr>
                <w:rFonts w:ascii="Calibri" w:hAnsi="Calibri" w:cs="Calibri"/>
                <w:bCs/>
                <w:szCs w:val="22"/>
                <w:lang w:val="en-AU" w:eastAsia="en-AU"/>
              </w:rPr>
              <w:t>1</w:t>
            </w:r>
          </w:p>
        </w:tc>
        <w:tc>
          <w:tcPr>
            <w:tcW w:w="960" w:type="dxa"/>
            <w:tcBorders>
              <w:top w:val="nil"/>
              <w:left w:val="nil"/>
              <w:bottom w:val="single" w:sz="4" w:space="0" w:color="auto"/>
              <w:right w:val="single" w:sz="4" w:space="0" w:color="auto"/>
            </w:tcBorders>
            <w:shd w:val="clear" w:color="auto" w:fill="auto"/>
            <w:noWrap/>
            <w:vAlign w:val="center"/>
          </w:tcPr>
          <w:p w14:paraId="5BB079FE" w14:textId="77777777" w:rsidR="008F712B" w:rsidRPr="0092664F" w:rsidRDefault="008F712B" w:rsidP="00A31C14">
            <w:pPr>
              <w:jc w:val="center"/>
              <w:rPr>
                <w:rFonts w:ascii="Calibri" w:hAnsi="Calibri" w:cs="Calibri"/>
                <w:b/>
                <w:bCs/>
                <w:szCs w:val="22"/>
                <w:lang w:val="en-AU" w:eastAsia="en-AU"/>
              </w:rPr>
            </w:pPr>
            <w:r w:rsidRPr="0092664F">
              <w:rPr>
                <w:rFonts w:ascii="Calibri" w:hAnsi="Calibri" w:cs="Calibri"/>
                <w:b/>
                <w:bCs/>
                <w:szCs w:val="22"/>
                <w:lang w:val="en-AU" w:eastAsia="en-AU"/>
              </w:rPr>
              <w:t>15</w:t>
            </w:r>
          </w:p>
        </w:tc>
      </w:tr>
      <w:tr w:rsidR="008F712B" w:rsidRPr="005B65E7" w14:paraId="515916F3" w14:textId="77777777" w:rsidTr="008C3969">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4FD740" w14:textId="77777777" w:rsidR="008F712B" w:rsidRPr="008C3969" w:rsidRDefault="008F712B" w:rsidP="00A31C14">
            <w:pPr>
              <w:rPr>
                <w:rFonts w:ascii="Calibri" w:hAnsi="Calibri" w:cs="Calibri"/>
                <w:b/>
                <w:bCs/>
                <w:szCs w:val="22"/>
                <w:lang w:val="en-AU" w:eastAsia="en-AU"/>
              </w:rPr>
            </w:pPr>
            <w:r w:rsidRPr="008C3969">
              <w:rPr>
                <w:rFonts w:ascii="Calibri" w:hAnsi="Calibri" w:cs="Calibri"/>
                <w:b/>
                <w:bCs/>
                <w:szCs w:val="22"/>
                <w:lang w:val="en-AU" w:eastAsia="en-AU"/>
              </w:rPr>
              <w:t>Total fish tagged</w:t>
            </w:r>
          </w:p>
        </w:tc>
        <w:tc>
          <w:tcPr>
            <w:tcW w:w="777" w:type="dxa"/>
            <w:tcBorders>
              <w:top w:val="single" w:sz="4" w:space="0" w:color="auto"/>
              <w:left w:val="nil"/>
              <w:bottom w:val="single" w:sz="4" w:space="0" w:color="auto"/>
              <w:right w:val="single" w:sz="4" w:space="0" w:color="auto"/>
            </w:tcBorders>
            <w:vAlign w:val="center"/>
          </w:tcPr>
          <w:p w14:paraId="27017CA8"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9</w:t>
            </w:r>
          </w:p>
        </w:tc>
        <w:tc>
          <w:tcPr>
            <w:tcW w:w="777" w:type="dxa"/>
            <w:tcBorders>
              <w:top w:val="nil"/>
              <w:left w:val="single" w:sz="4" w:space="0" w:color="auto"/>
              <w:bottom w:val="single" w:sz="4" w:space="0" w:color="auto"/>
              <w:right w:val="single" w:sz="4" w:space="0" w:color="auto"/>
            </w:tcBorders>
            <w:vAlign w:val="center"/>
          </w:tcPr>
          <w:p w14:paraId="7F17FAAA"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5</w:t>
            </w:r>
          </w:p>
        </w:tc>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55F85074"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611</w:t>
            </w:r>
          </w:p>
        </w:tc>
        <w:tc>
          <w:tcPr>
            <w:tcW w:w="960" w:type="dxa"/>
            <w:tcBorders>
              <w:top w:val="nil"/>
              <w:left w:val="nil"/>
              <w:bottom w:val="single" w:sz="4" w:space="0" w:color="auto"/>
              <w:right w:val="single" w:sz="4" w:space="0" w:color="auto"/>
            </w:tcBorders>
            <w:shd w:val="clear" w:color="auto" w:fill="auto"/>
            <w:noWrap/>
            <w:vAlign w:val="center"/>
            <w:hideMark/>
          </w:tcPr>
          <w:p w14:paraId="3233665B"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79</w:t>
            </w:r>
          </w:p>
        </w:tc>
        <w:tc>
          <w:tcPr>
            <w:tcW w:w="960" w:type="dxa"/>
            <w:tcBorders>
              <w:top w:val="nil"/>
              <w:left w:val="nil"/>
              <w:bottom w:val="single" w:sz="4" w:space="0" w:color="auto"/>
              <w:right w:val="single" w:sz="4" w:space="0" w:color="auto"/>
            </w:tcBorders>
            <w:shd w:val="clear" w:color="auto" w:fill="auto"/>
            <w:noWrap/>
            <w:vAlign w:val="center"/>
            <w:hideMark/>
          </w:tcPr>
          <w:p w14:paraId="78EA8054"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444</w:t>
            </w:r>
          </w:p>
        </w:tc>
        <w:tc>
          <w:tcPr>
            <w:tcW w:w="960" w:type="dxa"/>
            <w:tcBorders>
              <w:top w:val="nil"/>
              <w:left w:val="nil"/>
              <w:bottom w:val="single" w:sz="4" w:space="0" w:color="auto"/>
              <w:right w:val="single" w:sz="4" w:space="0" w:color="auto"/>
            </w:tcBorders>
            <w:shd w:val="clear" w:color="auto" w:fill="auto"/>
            <w:noWrap/>
            <w:vAlign w:val="center"/>
            <w:hideMark/>
          </w:tcPr>
          <w:p w14:paraId="574A1D76" w14:textId="77777777" w:rsidR="008F712B" w:rsidRPr="008C3969" w:rsidRDefault="008F712B" w:rsidP="00A31C14">
            <w:pPr>
              <w:jc w:val="center"/>
              <w:rPr>
                <w:rFonts w:ascii="Calibri" w:hAnsi="Calibri" w:cs="Calibri"/>
                <w:b/>
                <w:bCs/>
                <w:szCs w:val="22"/>
                <w:lang w:val="en-AU" w:eastAsia="en-AU"/>
              </w:rPr>
            </w:pPr>
            <w:r w:rsidRPr="008C3969">
              <w:rPr>
                <w:rFonts w:ascii="Calibri" w:hAnsi="Calibri" w:cs="Calibri"/>
                <w:b/>
                <w:bCs/>
                <w:szCs w:val="22"/>
                <w:lang w:val="en-AU" w:eastAsia="en-AU"/>
              </w:rPr>
              <w:t>1148</w:t>
            </w:r>
          </w:p>
        </w:tc>
      </w:tr>
    </w:tbl>
    <w:p w14:paraId="61D2555F" w14:textId="77777777" w:rsidR="008F712B" w:rsidRPr="00F26877" w:rsidRDefault="008F712B" w:rsidP="008F712B">
      <w:pPr>
        <w:rPr>
          <w:rFonts w:ascii="Arial" w:hAnsi="Arial" w:cs="Arial"/>
          <w:szCs w:val="22"/>
          <w:lang w:val="en-US"/>
        </w:rPr>
      </w:pPr>
    </w:p>
    <w:p w14:paraId="7AC800DA" w14:textId="74CB50CA" w:rsidR="008F712B" w:rsidRDefault="008F712B" w:rsidP="008F712B">
      <w:pPr>
        <w:pStyle w:val="Heading2"/>
      </w:pPr>
      <w:r>
        <w:t>Tag recoveries</w:t>
      </w:r>
    </w:p>
    <w:p w14:paraId="247BEC25" w14:textId="39BB7696" w:rsidR="008F712B" w:rsidRPr="008F712B" w:rsidRDefault="008F712B" w:rsidP="008F712B">
      <w:r w:rsidRPr="008F712B">
        <w:t xml:space="preserve">The release numbers and recovery percentages to date of conventional and archival tags made during the 13 Central Pacific (CP) voyages, the PNGTP, and Phase 1 and 2 of the PTTP are detailed in Table </w:t>
      </w:r>
      <w:r w:rsidR="00384242">
        <w:t>2</w:t>
      </w:r>
      <w:r w:rsidRPr="008F712B">
        <w:t>.</w:t>
      </w:r>
    </w:p>
    <w:p w14:paraId="5DCD97C4" w14:textId="77777777" w:rsidR="008F712B" w:rsidRDefault="008F712B" w:rsidP="008F712B">
      <w:pPr>
        <w:rPr>
          <w:rFonts w:ascii="Arial" w:hAnsi="Arial" w:cs="Arial"/>
          <w:szCs w:val="22"/>
        </w:rPr>
      </w:pPr>
    </w:p>
    <w:p w14:paraId="798BEF58" w14:textId="7A447215" w:rsidR="008F712B" w:rsidRPr="008F6B4F" w:rsidRDefault="008F712B" w:rsidP="008F712B">
      <w:pPr>
        <w:pStyle w:val="Caption"/>
      </w:pPr>
      <w:r w:rsidRPr="008F6B4F">
        <w:t xml:space="preserve">Table </w:t>
      </w:r>
      <w:r w:rsidR="00384242" w:rsidRPr="008F6B4F">
        <w:t>2</w:t>
      </w:r>
      <w:r w:rsidRPr="008F6B4F">
        <w:t>: CP, PNGTP and total PTTP tag release numbers, and % of recoveries to date (July 2019) of conventional and archival tags.</w:t>
      </w:r>
    </w:p>
    <w:p w14:paraId="086A03B3" w14:textId="77777777" w:rsidR="008F712B" w:rsidRDefault="008F712B" w:rsidP="008F712B">
      <w:pPr>
        <w:rPr>
          <w:rFonts w:ascii="Arial" w:hAnsi="Arial" w:cs="Arial"/>
          <w:szCs w:val="22"/>
        </w:rPr>
      </w:pPr>
      <w:r w:rsidRPr="002D00A6">
        <w:rPr>
          <w:noProof/>
          <w:lang w:val="en-AU" w:eastAsia="en-AU"/>
        </w:rPr>
        <w:drawing>
          <wp:inline distT="0" distB="0" distL="0" distR="0" wp14:anchorId="732F2B65" wp14:editId="73A0B0A8">
            <wp:extent cx="5850890" cy="137209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1372094"/>
                    </a:xfrm>
                    <a:prstGeom prst="rect">
                      <a:avLst/>
                    </a:prstGeom>
                    <a:noFill/>
                    <a:ln>
                      <a:noFill/>
                    </a:ln>
                  </pic:spPr>
                </pic:pic>
              </a:graphicData>
            </a:graphic>
          </wp:inline>
        </w:drawing>
      </w:r>
    </w:p>
    <w:p w14:paraId="661C9FE6" w14:textId="77777777" w:rsidR="008F712B" w:rsidRDefault="008F712B" w:rsidP="008F712B">
      <w:pPr>
        <w:rPr>
          <w:rFonts w:ascii="Arial" w:hAnsi="Arial" w:cs="Arial"/>
          <w:szCs w:val="22"/>
        </w:rPr>
      </w:pPr>
    </w:p>
    <w:p w14:paraId="68A7116C" w14:textId="4AB634BA" w:rsidR="00D00565" w:rsidRDefault="00D00565" w:rsidP="00D00565">
      <w:r>
        <w:t>As at 21 June 2019, a total of 79,625 tagged tuna had been recaptured and the data reported to SPC. There is a notable reduction in bigeye conventional tag recovery rate from CP9 onwards. These changes from ~30+% up to voyage CP8, fall to 14% for CP9, between 3 to 16% for CP10 to CP12, and currently only 2.1% for last year’s</w:t>
      </w:r>
      <w:r w:rsidR="000F19D3">
        <w:t xml:space="preserve"> CP13 cruise</w:t>
      </w:r>
      <w:r>
        <w:t>. F</w:t>
      </w:r>
      <w:r w:rsidR="000F19D3">
        <w:t>rom</w:t>
      </w:r>
      <w:r>
        <w:t xml:space="preserve"> CP10 to CP13 there are significant changes in the distribution of tag releases and subsequent fishing activity which may explain the differences in recapture rates. During these voyages, release methods changed with 45 to 95% of releases made on </w:t>
      </w:r>
      <w:proofErr w:type="spellStart"/>
      <w:r>
        <w:t>dFADs</w:t>
      </w:r>
      <w:proofErr w:type="spellEnd"/>
      <w:r>
        <w:t xml:space="preserve">, as opposed to 100% at TAO buoys, as in previous voyages. This has also changed the species composition of tag releases, with </w:t>
      </w:r>
      <w:r w:rsidR="004B2A94">
        <w:t>fewer</w:t>
      </w:r>
      <w:r>
        <w:t xml:space="preserve"> bigeye being tagged on </w:t>
      </w:r>
      <w:proofErr w:type="spellStart"/>
      <w:r>
        <w:t>dFADs</w:t>
      </w:r>
      <w:proofErr w:type="spellEnd"/>
      <w:r>
        <w:t xml:space="preserve"> compared to tagging on TAO buoys. It may be that fish have more </w:t>
      </w:r>
      <w:r>
        <w:lastRenderedPageBreak/>
        <w:t xml:space="preserve">time and a greater propensity to disperse from </w:t>
      </w:r>
      <w:proofErr w:type="spellStart"/>
      <w:r>
        <w:t>dFADs</w:t>
      </w:r>
      <w:proofErr w:type="spellEnd"/>
      <w:r>
        <w:t xml:space="preserve"> before fishing recommenced following the FAD closure period, thus reducing the tag recapture rate. </w:t>
      </w:r>
    </w:p>
    <w:p w14:paraId="2B2EF596" w14:textId="77777777" w:rsidR="00D00565" w:rsidRDefault="00D00565" w:rsidP="00D00565"/>
    <w:p w14:paraId="4073548B" w14:textId="323EC9E1" w:rsidR="00D00565" w:rsidRDefault="00D00565" w:rsidP="00D00565">
      <w:r>
        <w:t>Delays in obtaining recovery information f</w:t>
      </w:r>
      <w:r w:rsidR="008F6B4F">
        <w:t>or</w:t>
      </w:r>
      <w:r>
        <w:t xml:space="preserve"> WP4 tags, reported as recovered but not returned to SPC, have caused significant issues incorporating tagging data into the </w:t>
      </w:r>
      <w:r w:rsidR="008F6B4F">
        <w:t>2019</w:t>
      </w:r>
      <w:r>
        <w:t xml:space="preserve"> stock assessm</w:t>
      </w:r>
      <w:r w:rsidR="008F6B4F">
        <w:t>ent for WCPO skipjack</w:t>
      </w:r>
      <w:r>
        <w:t>. While some delays are inevitable, it highlights the importance of an efficient tag recovery system that promptly reports tags for timely inclusion in stock assessments and other analyses.</w:t>
      </w:r>
    </w:p>
    <w:p w14:paraId="00E2D260" w14:textId="18AD5E2E" w:rsidR="00D00565" w:rsidRDefault="00D00565" w:rsidP="00D00565"/>
    <w:p w14:paraId="5D447EE2" w14:textId="0CDBE5EB" w:rsidR="00D00565" w:rsidRDefault="00D00565" w:rsidP="00D00565">
      <w:r>
        <w:t>Across the WCPO, many</w:t>
      </w:r>
      <w:r w:rsidR="000F19D3">
        <w:t xml:space="preserve"> previously full-time</w:t>
      </w:r>
      <w:r>
        <w:t xml:space="preserve"> Tag Recovery Officers (TROs) have now taken on other duties at their respective local fisheries agencies. Following the signing of a </w:t>
      </w:r>
      <w:proofErr w:type="spellStart"/>
      <w:r>
        <w:t>MoU</w:t>
      </w:r>
      <w:proofErr w:type="spellEnd"/>
      <w:r>
        <w:t xml:space="preserve"> between PNG NFA and SPC, new TROs have now been appointed in </w:t>
      </w:r>
      <w:proofErr w:type="spellStart"/>
      <w:r>
        <w:t>Lae</w:t>
      </w:r>
      <w:proofErr w:type="spellEnd"/>
      <w:r>
        <w:t xml:space="preserve"> and Port Moresby. From July 2018 to July 2019, 252 tags were recovered by NFA and rewards were paid. New grant agreements have been signed with MIMRA, with five contracts for TROs renewed</w:t>
      </w:r>
      <w:r w:rsidR="000F19D3">
        <w:t>. N</w:t>
      </w:r>
      <w:r>
        <w:t xml:space="preserve">egotiations with Kiribati MFMRD to re-establish a full time TRO position in Tarawa are still in progress. Negotiation with MFMR to sign a new Grant agreement for the Noro office, Solomon Islands is also in progress, as well as the recruitment of a full time TRO in the Philippines. </w:t>
      </w:r>
    </w:p>
    <w:p w14:paraId="6B101A32" w14:textId="77777777" w:rsidR="000F19D3" w:rsidRDefault="000F19D3" w:rsidP="00D00565"/>
    <w:p w14:paraId="27C4818A" w14:textId="30F29C7D" w:rsidR="00D00565" w:rsidRDefault="000F19D3" w:rsidP="00D00565">
      <w:r>
        <w:t xml:space="preserve">Increased </w:t>
      </w:r>
      <w:r w:rsidR="008F6B4F">
        <w:t xml:space="preserve">tagging programme awareness raising </w:t>
      </w:r>
      <w:r>
        <w:t>efforts prior to and at the end of research voyages have been undertaken</w:t>
      </w:r>
      <w:r w:rsidR="008F6B4F">
        <w:t>, including t</w:t>
      </w:r>
      <w:r w:rsidR="00D00565">
        <w:t xml:space="preserve">he PIRFO website </w:t>
      </w:r>
      <w:r w:rsidR="008F6B4F">
        <w:t>aimed at</w:t>
      </w:r>
      <w:r w:rsidR="00D00565">
        <w:t xml:space="preserve"> observers. The messaging application “Slack” has been recently introduced to enhance the TROs network, allowing rapid exchanges of information between the officers, feedback on tag recovery information, and any issues encountered with the </w:t>
      </w:r>
      <w:proofErr w:type="spellStart"/>
      <w:r w:rsidR="00D00565">
        <w:t>TROtag</w:t>
      </w:r>
      <w:proofErr w:type="spellEnd"/>
      <w:r w:rsidR="00D00565">
        <w:t xml:space="preserve"> Database. The </w:t>
      </w:r>
      <w:proofErr w:type="spellStart"/>
      <w:r w:rsidR="00D00565">
        <w:t>TROtag</w:t>
      </w:r>
      <w:proofErr w:type="spellEnd"/>
      <w:r w:rsidR="00D00565">
        <w:t xml:space="preserve"> manual was updated and tutorial videos were developed to provide training on how to enter tag information in the database, alongside the use of “Slack” as a means of information sharing.</w:t>
      </w:r>
    </w:p>
    <w:p w14:paraId="70483435" w14:textId="77777777" w:rsidR="000F19D3" w:rsidRDefault="000F19D3" w:rsidP="00D00565"/>
    <w:p w14:paraId="38AA5204" w14:textId="2ED98126" w:rsidR="00D00565" w:rsidRDefault="00D00565" w:rsidP="00D00565">
      <w:r>
        <w:t>SPC receives recovery information from TROs on a semester basis. The establishment of new TRO positions has provided greater opportunity for collection of tags during unloading, transhipments and processing in canneries, with more complete a</w:t>
      </w:r>
      <w:r w:rsidR="000F19D3">
        <w:t>nd reliable capture information</w:t>
      </w:r>
      <w:r>
        <w:t xml:space="preserve">.  Major unloading and processing facilities, as well as transhipping vessels in port, have been visited by TROs over the last 12 months, except for Tarawa, where TRO positions have not yet been re-established. SPC staff continue to enter tag recovery information into </w:t>
      </w:r>
      <w:proofErr w:type="spellStart"/>
      <w:r>
        <w:t>TagDager</w:t>
      </w:r>
      <w:proofErr w:type="spellEnd"/>
      <w:r>
        <w:t xml:space="preserve"> and undertaking the necessary validation processes.</w:t>
      </w:r>
    </w:p>
    <w:p w14:paraId="693C4979" w14:textId="77777777" w:rsidR="00384242" w:rsidRDefault="00384242" w:rsidP="00D00565"/>
    <w:p w14:paraId="505042E6" w14:textId="2889344C" w:rsidR="00D00565" w:rsidRPr="008F6B4F" w:rsidRDefault="00D00565" w:rsidP="00D00565">
      <w:r>
        <w:t>In order to retrieve whole tagged fish released with strontium chloride or with an archival tag, a new reward system has been developed. On board purse seine vessels, observers are rewarded USD 50 to place the fish aside, to keep the fish frozen at all times, to coordinate the collection of biological samples onshore and to collect associated data. On-board longline vessel tagged fish are now purchased whole at a rate of USD 10 /kg. New Posters were created during early 2019 to disseminate this information, and are currently under translation for circulation across the tag recovery network.</w:t>
      </w:r>
    </w:p>
    <w:p w14:paraId="2173FBB4" w14:textId="5B00957A" w:rsidR="008F712B" w:rsidRDefault="008F712B" w:rsidP="008F712B">
      <w:pPr>
        <w:pStyle w:val="Heading2"/>
      </w:pPr>
      <w:r>
        <w:t>Biological sampling during tagging voyages</w:t>
      </w:r>
    </w:p>
    <w:p w14:paraId="1065B163" w14:textId="165EBDB6" w:rsidR="00753AF9" w:rsidRPr="00753AF9" w:rsidRDefault="008F712B" w:rsidP="00753AF9">
      <w:r w:rsidRPr="008F712B">
        <w:t>The PTTP continues to collect biological samples as part of long-term projects to characterize</w:t>
      </w:r>
      <w:r>
        <w:t xml:space="preserve"> </w:t>
      </w:r>
      <w:r w:rsidRPr="008F712B">
        <w:t xml:space="preserve">tuna biology and ecology, and trophic status of the </w:t>
      </w:r>
      <w:r w:rsidR="008F6B4F">
        <w:t>WCPO</w:t>
      </w:r>
      <w:r w:rsidRPr="008F712B">
        <w:t xml:space="preserve"> pelagic</w:t>
      </w:r>
      <w:r>
        <w:t xml:space="preserve"> </w:t>
      </w:r>
      <w:r w:rsidRPr="008F712B">
        <w:t xml:space="preserve">ecosystem. A total of 6478 stomach samples have been collected since the beginning of the PTTP, mainly from skipjack, yellowfin, bigeye and albacore tuna, including samples from 223 fish (primarily bigeye and </w:t>
      </w:r>
      <w:r w:rsidR="000F19D3">
        <w:t>yellowfin) obtained during CP13</w:t>
      </w:r>
      <w:r w:rsidR="00753AF9" w:rsidRPr="00753AF9">
        <w:t xml:space="preserve">. </w:t>
      </w:r>
    </w:p>
    <w:p w14:paraId="2852E4D4" w14:textId="77777777" w:rsidR="00753AF9" w:rsidRPr="009852BC" w:rsidRDefault="00753AF9" w:rsidP="00753AF9">
      <w:pPr>
        <w:rPr>
          <w:rFonts w:ascii="Arial" w:hAnsi="Arial" w:cs="Arial"/>
          <w:szCs w:val="22"/>
        </w:rPr>
      </w:pPr>
    </w:p>
    <w:p w14:paraId="4E66D8B6" w14:textId="58CE3B77" w:rsidR="00753AF9" w:rsidRDefault="00753AF9" w:rsidP="00294A63">
      <w:r w:rsidRPr="00753AF9">
        <w:t xml:space="preserve">Additionally, the tagging research voyages provide a large volume of biological samples for the WCPFC Tuna Tissue Bank (total of 22,750 samples to date). A total of 8,076 fish have been sampled from which 7,868 samples have been analysed to date. For the WCPFC Tuna Tissue Bank as a whole, these tagging research voyage samples represent 25.7% of the total fish sampled, 25.7 % of the total samples collected, </w:t>
      </w:r>
      <w:r w:rsidRPr="00753AF9">
        <w:lastRenderedPageBreak/>
        <w:t xml:space="preserve">and 32 % of the analyses processed from the tissue bank. </w:t>
      </w:r>
      <w:r w:rsidR="00917115">
        <w:t>T</w:t>
      </w:r>
      <w:r w:rsidRPr="00753AF9">
        <w:t>agging research voyages continue to provide a key contribution to the WCPFC Tuna Tissue Bank and add to the value of the cruises (SPC-OFP, 2017).</w:t>
      </w:r>
    </w:p>
    <w:p w14:paraId="0D933AFA" w14:textId="77777777" w:rsidR="00E90A83" w:rsidRPr="00DA091B" w:rsidRDefault="00E90A83" w:rsidP="000F19D3">
      <w:pPr>
        <w:pStyle w:val="Heading2"/>
      </w:pPr>
      <w:r w:rsidRPr="00DA091B">
        <w:t>Tag database and data capture improvements</w:t>
      </w:r>
    </w:p>
    <w:p w14:paraId="2F312443" w14:textId="6C645D9E" w:rsidR="00D00565" w:rsidRDefault="00D00565" w:rsidP="000F19D3">
      <w:pPr>
        <w:rPr>
          <w:lang w:val="en-AU"/>
        </w:rPr>
      </w:pPr>
      <w:r w:rsidRPr="009F37AB">
        <w:t xml:space="preserve">Along with the tagging website (www.spc.int/tagging), there is a new dedicated web application (The Web </w:t>
      </w:r>
      <w:r w:rsidR="004B3C28">
        <w:t>T</w:t>
      </w:r>
      <w:r w:rsidRPr="009F37AB">
        <w:t xml:space="preserve">agging Data System) allowing access </w:t>
      </w:r>
      <w:r>
        <w:rPr>
          <w:lang w:val="en-AU"/>
        </w:rPr>
        <w:t xml:space="preserve">to </w:t>
      </w:r>
      <w:r w:rsidRPr="009F37AB">
        <w:t>the tagging database (</w:t>
      </w:r>
      <w:proofErr w:type="spellStart"/>
      <w:r w:rsidRPr="009F37AB">
        <w:t>TagDager</w:t>
      </w:r>
      <w:proofErr w:type="spellEnd"/>
      <w:r w:rsidRPr="009F37AB">
        <w:t>) which helps to verify and process new tagging data (http://www.spc.int/tagging/webtagging). Note this is only</w:t>
      </w:r>
      <w:r>
        <w:t xml:space="preserve"> available to approved and authorised users. The purpose of the web tagging data s</w:t>
      </w:r>
      <w:r w:rsidRPr="009F37AB">
        <w:t xml:space="preserve">ystem </w:t>
      </w:r>
      <w:r>
        <w:rPr>
          <w:lang w:val="en-AU"/>
        </w:rPr>
        <w:t>is to:</w:t>
      </w:r>
    </w:p>
    <w:p w14:paraId="0B48F064" w14:textId="1A889DA4" w:rsidR="00D00565" w:rsidRDefault="00D00565" w:rsidP="000F19D3">
      <w:pPr>
        <w:pStyle w:val="ListParagraph"/>
        <w:numPr>
          <w:ilvl w:val="0"/>
          <w:numId w:val="42"/>
        </w:numPr>
      </w:pPr>
      <w:r>
        <w:t>identify fake recoveries</w:t>
      </w:r>
      <w:r w:rsidRPr="009F37AB">
        <w:t xml:space="preserve">: </w:t>
      </w:r>
      <w:r w:rsidRPr="000F19D3">
        <w:rPr>
          <w:lang w:val="en-AU"/>
        </w:rPr>
        <w:t xml:space="preserve">e.g. </w:t>
      </w:r>
      <w:r>
        <w:t>lost t</w:t>
      </w:r>
      <w:r w:rsidRPr="009F37AB">
        <w:t>ag</w:t>
      </w:r>
      <w:r w:rsidRPr="000F19D3">
        <w:rPr>
          <w:lang w:val="en-AU"/>
        </w:rPr>
        <w:t xml:space="preserve">s, </w:t>
      </w:r>
      <w:r w:rsidR="000F19D3">
        <w:rPr>
          <w:lang w:val="en-AU"/>
        </w:rPr>
        <w:t>tags</w:t>
      </w:r>
      <w:r w:rsidRPr="000F19D3">
        <w:rPr>
          <w:lang w:val="en-AU"/>
        </w:rPr>
        <w:t xml:space="preserve"> </w:t>
      </w:r>
      <w:r w:rsidRPr="009F37AB">
        <w:t xml:space="preserve">used for training or </w:t>
      </w:r>
      <w:r>
        <w:t>publicity, or tags already recovered;</w:t>
      </w:r>
    </w:p>
    <w:p w14:paraId="083ADBD6" w14:textId="44045B02" w:rsidR="00D00565" w:rsidRDefault="000F19D3" w:rsidP="000F19D3">
      <w:pPr>
        <w:pStyle w:val="ListParagraph"/>
        <w:numPr>
          <w:ilvl w:val="0"/>
          <w:numId w:val="42"/>
        </w:numPr>
      </w:pPr>
      <w:r>
        <w:t xml:space="preserve">access </w:t>
      </w:r>
      <w:r w:rsidR="00D00565" w:rsidRPr="009F37AB">
        <w:t xml:space="preserve">release information (vessel, </w:t>
      </w:r>
      <w:r w:rsidR="00917115">
        <w:t xml:space="preserve">release </w:t>
      </w:r>
      <w:r w:rsidR="00D00565" w:rsidRPr="009F37AB">
        <w:t xml:space="preserve">date, latitude </w:t>
      </w:r>
      <w:r>
        <w:t>&amp;</w:t>
      </w:r>
      <w:r w:rsidR="00D00565" w:rsidRPr="009F37AB">
        <w:t xml:space="preserve"> longitu</w:t>
      </w:r>
      <w:r w:rsidR="00D00565">
        <w:t>de of release, species, length);</w:t>
      </w:r>
    </w:p>
    <w:p w14:paraId="55105A5C" w14:textId="77777777" w:rsidR="00D00565" w:rsidRDefault="00D00565" w:rsidP="000F19D3">
      <w:pPr>
        <w:pStyle w:val="ListParagraph"/>
        <w:numPr>
          <w:ilvl w:val="0"/>
          <w:numId w:val="42"/>
        </w:numPr>
      </w:pPr>
      <w:r>
        <w:t>help to validate “date found”;</w:t>
      </w:r>
    </w:p>
    <w:p w14:paraId="6F676F69" w14:textId="77777777" w:rsidR="00D00565" w:rsidRDefault="00D00565" w:rsidP="000F19D3">
      <w:pPr>
        <w:pStyle w:val="ListParagraph"/>
        <w:numPr>
          <w:ilvl w:val="0"/>
          <w:numId w:val="42"/>
        </w:numPr>
      </w:pPr>
      <w:r w:rsidRPr="009F37AB">
        <w:t>estimate “date caught” when date</w:t>
      </w:r>
      <w:r>
        <w:t xml:space="preserve"> found is only provided;</w:t>
      </w:r>
    </w:p>
    <w:p w14:paraId="6E29EFE0" w14:textId="77777777" w:rsidR="00D00565" w:rsidRPr="000F19D3" w:rsidRDefault="00D00565" w:rsidP="000F19D3">
      <w:pPr>
        <w:pStyle w:val="ListParagraph"/>
        <w:numPr>
          <w:ilvl w:val="0"/>
          <w:numId w:val="42"/>
        </w:numPr>
        <w:rPr>
          <w:lang w:val="en-AU"/>
        </w:rPr>
      </w:pPr>
      <w:r w:rsidRPr="009F37AB">
        <w:t>search release information relative to tags seeded</w:t>
      </w:r>
      <w:r w:rsidRPr="000F19D3">
        <w:rPr>
          <w:lang w:val="en-AU"/>
        </w:rPr>
        <w:t>;</w:t>
      </w:r>
    </w:p>
    <w:p w14:paraId="59E45165" w14:textId="77777777" w:rsidR="00D00565" w:rsidRDefault="00D00565" w:rsidP="000F19D3">
      <w:pPr>
        <w:pStyle w:val="ListParagraph"/>
        <w:numPr>
          <w:ilvl w:val="0"/>
          <w:numId w:val="42"/>
        </w:numPr>
      </w:pPr>
      <w:r w:rsidRPr="009F37AB">
        <w:t xml:space="preserve">provide full access to the </w:t>
      </w:r>
      <w:proofErr w:type="spellStart"/>
      <w:r w:rsidRPr="009F37AB">
        <w:t>TagDager</w:t>
      </w:r>
      <w:proofErr w:type="spellEnd"/>
      <w:r w:rsidRPr="009F37AB">
        <w:t xml:space="preserve"> DB from any </w:t>
      </w:r>
      <w:r w:rsidRPr="000F19D3">
        <w:rPr>
          <w:lang w:val="en-AU"/>
        </w:rPr>
        <w:t xml:space="preserve">authorised users </w:t>
      </w:r>
      <w:r>
        <w:t>connected to the web; and</w:t>
      </w:r>
    </w:p>
    <w:p w14:paraId="2713749F" w14:textId="20946195" w:rsidR="00D00565" w:rsidRDefault="00D00565" w:rsidP="000F19D3">
      <w:pPr>
        <w:pStyle w:val="ListParagraph"/>
        <w:numPr>
          <w:ilvl w:val="0"/>
          <w:numId w:val="42"/>
        </w:numPr>
      </w:pPr>
      <w:proofErr w:type="gramStart"/>
      <w:r>
        <w:t>visualisations</w:t>
      </w:r>
      <w:proofErr w:type="gramEnd"/>
      <w:r>
        <w:t xml:space="preserve"> </w:t>
      </w:r>
      <w:r w:rsidR="000F19D3">
        <w:t xml:space="preserve">&amp; </w:t>
      </w:r>
      <w:r>
        <w:t>data access to CP13 sonic tagging data</w:t>
      </w:r>
      <w:r w:rsidR="000F19D3">
        <w:t xml:space="preserve">, </w:t>
      </w:r>
      <w:r>
        <w:t xml:space="preserve">available on the SPC </w:t>
      </w:r>
      <w:proofErr w:type="spellStart"/>
      <w:r>
        <w:t>webtagging</w:t>
      </w:r>
      <w:proofErr w:type="spellEnd"/>
      <w:r>
        <w:t xml:space="preserve"> site.</w:t>
      </w:r>
    </w:p>
    <w:p w14:paraId="777066FE" w14:textId="77777777" w:rsidR="000F19D3" w:rsidRPr="002B6007" w:rsidRDefault="000F19D3" w:rsidP="000F19D3"/>
    <w:p w14:paraId="29AB4BB4" w14:textId="4C8B54A5" w:rsidR="008F6B4F" w:rsidRPr="008F6B4F" w:rsidRDefault="00D00565" w:rsidP="008F6B4F">
      <w:pPr>
        <w:rPr>
          <w:lang w:val="en-AU"/>
        </w:rPr>
      </w:pPr>
      <w:r>
        <w:rPr>
          <w:lang w:val="en-AU"/>
        </w:rPr>
        <w:t xml:space="preserve">These improvements will </w:t>
      </w:r>
      <w:r w:rsidR="000F19D3">
        <w:rPr>
          <w:lang w:val="en-AU"/>
        </w:rPr>
        <w:t>assist</w:t>
      </w:r>
      <w:r>
        <w:rPr>
          <w:lang w:val="en-AU"/>
        </w:rPr>
        <w:t xml:space="preserve"> tag quality and significantly reduce the risk of attempted tag reward fraud. The </w:t>
      </w:r>
      <w:proofErr w:type="spellStart"/>
      <w:r>
        <w:rPr>
          <w:lang w:val="en-AU"/>
        </w:rPr>
        <w:t>TROtag</w:t>
      </w:r>
      <w:proofErr w:type="spellEnd"/>
      <w:r>
        <w:rPr>
          <w:lang w:val="en-AU"/>
        </w:rPr>
        <w:t xml:space="preserve"> database used by the Regional TROs has been enhanced with additional financial components, and allows better traceability of payment and faster financial reconciliation. Furthermore, a beta version of a mobile tuna tagging application to facilitate the collection of information by TROs has now been developed. Although not complete, the framework for linking directly to SPC tag recovery coordinators and the </w:t>
      </w:r>
      <w:proofErr w:type="spellStart"/>
      <w:r>
        <w:rPr>
          <w:lang w:val="en-AU"/>
        </w:rPr>
        <w:t>TagDager</w:t>
      </w:r>
      <w:proofErr w:type="spellEnd"/>
      <w:r>
        <w:rPr>
          <w:lang w:val="en-AU"/>
        </w:rPr>
        <w:t xml:space="preserve"> database is in place</w:t>
      </w:r>
      <w:r w:rsidRPr="00BF463C">
        <w:t>, including the ability to upload images of physical tags</w:t>
      </w:r>
      <w:r>
        <w:rPr>
          <w:lang w:val="en-AU"/>
        </w:rPr>
        <w:t>. Continued development is anticipated, before an eventual roll-out to selected TROs for trial.</w:t>
      </w:r>
    </w:p>
    <w:p w14:paraId="506B8462" w14:textId="095A86B1" w:rsidR="00D00565" w:rsidRDefault="00D00565" w:rsidP="00D00565">
      <w:pPr>
        <w:pStyle w:val="Heading2"/>
      </w:pPr>
      <w:r>
        <w:t>Tag seeding</w:t>
      </w:r>
    </w:p>
    <w:p w14:paraId="7D989E8C" w14:textId="6073DE9D" w:rsidR="00EB4E3A" w:rsidRDefault="00D00565" w:rsidP="00EB4E3A">
      <w:pPr>
        <w:rPr>
          <w:lang w:val="en-AU"/>
        </w:rPr>
      </w:pPr>
      <w:r w:rsidRPr="009852BC">
        <w:rPr>
          <w:lang w:val="en-AU"/>
        </w:rPr>
        <w:t xml:space="preserve">To date nearly </w:t>
      </w:r>
      <w:r w:rsidRPr="00D9462B">
        <w:rPr>
          <w:lang w:val="en-AU"/>
        </w:rPr>
        <w:t>5</w:t>
      </w:r>
      <w:r>
        <w:rPr>
          <w:lang w:val="en-AU"/>
        </w:rPr>
        <w:t>5</w:t>
      </w:r>
      <w:r w:rsidRPr="00D9462B">
        <w:rPr>
          <w:lang w:val="en-AU"/>
        </w:rPr>
        <w:t>%</w:t>
      </w:r>
      <w:r w:rsidRPr="009852BC">
        <w:rPr>
          <w:lang w:val="en-AU"/>
        </w:rPr>
        <w:t xml:space="preserve"> of seeded tags have been returned to SPC. In addition to allowing estimation of tag reporting rates, tag seeding data also allow the error rate in tag return information to be determined (</w:t>
      </w:r>
      <w:r w:rsidR="00917115">
        <w:rPr>
          <w:lang w:val="en-AU"/>
        </w:rPr>
        <w:t xml:space="preserve">see </w:t>
      </w:r>
      <w:r w:rsidRPr="009852BC">
        <w:rPr>
          <w:lang w:val="en-AU"/>
        </w:rPr>
        <w:t>Peatman et al., 2016</w:t>
      </w:r>
      <w:r>
        <w:rPr>
          <w:lang w:val="en-AU"/>
        </w:rPr>
        <w:t xml:space="preserve">). </w:t>
      </w:r>
      <w:r w:rsidRPr="009852BC">
        <w:t xml:space="preserve">From February 2007 to </w:t>
      </w:r>
      <w:r w:rsidRPr="009852BC">
        <w:rPr>
          <w:lang w:val="en-AU"/>
        </w:rPr>
        <w:t>July</w:t>
      </w:r>
      <w:r w:rsidRPr="009852BC">
        <w:t xml:space="preserve"> 201</w:t>
      </w:r>
      <w:r>
        <w:rPr>
          <w:lang w:val="en-AU"/>
        </w:rPr>
        <w:t>9</w:t>
      </w:r>
      <w:r w:rsidRPr="009852BC">
        <w:t xml:space="preserve">, </w:t>
      </w:r>
      <w:r w:rsidRPr="009852BC">
        <w:rPr>
          <w:lang w:val="en-AU"/>
        </w:rPr>
        <w:t xml:space="preserve">a total of </w:t>
      </w:r>
      <w:r w:rsidRPr="00D9462B">
        <w:rPr>
          <w:lang w:val="en-AU"/>
        </w:rPr>
        <w:t>5</w:t>
      </w:r>
      <w:r>
        <w:rPr>
          <w:lang w:val="en-AU"/>
        </w:rPr>
        <w:t>72</w:t>
      </w:r>
      <w:r w:rsidRPr="009852BC">
        <w:t xml:space="preserve"> tag seeding kits (seeding tags, applicators, guide books and data forms)</w:t>
      </w:r>
      <w:r w:rsidRPr="009852BC">
        <w:rPr>
          <w:lang w:val="en-AU"/>
        </w:rPr>
        <w:t xml:space="preserve"> for a</w:t>
      </w:r>
      <w:r w:rsidRPr="009852BC">
        <w:t xml:space="preserve"> total of </w:t>
      </w:r>
      <w:r>
        <w:rPr>
          <w:lang w:val="en-AU"/>
        </w:rPr>
        <w:t>14,335</w:t>
      </w:r>
      <w:r w:rsidRPr="009852BC">
        <w:t xml:space="preserve"> tags</w:t>
      </w:r>
      <w:r w:rsidRPr="009852BC">
        <w:rPr>
          <w:lang w:val="en-AU"/>
        </w:rPr>
        <w:t xml:space="preserve"> </w:t>
      </w:r>
      <w:r w:rsidRPr="009852BC">
        <w:t>have been given to observer coordinators and TRO</w:t>
      </w:r>
      <w:r w:rsidRPr="009852BC">
        <w:rPr>
          <w:lang w:val="en-AU"/>
        </w:rPr>
        <w:t>s</w:t>
      </w:r>
      <w:r w:rsidRPr="009852BC">
        <w:t xml:space="preserve"> in </w:t>
      </w:r>
      <w:r w:rsidRPr="009852BC">
        <w:rPr>
          <w:lang w:val="en-AU"/>
        </w:rPr>
        <w:t xml:space="preserve">Tonga, Ecuador, </w:t>
      </w:r>
      <w:r w:rsidRPr="009852BC">
        <w:t>PNG, Solomon Islands, Fiji, FSM, Marshall Islands, Kiribati, New Zealand and American Samoa for deployment on purse seine vessels by senior observers</w:t>
      </w:r>
      <w:r>
        <w:t xml:space="preserve">. </w:t>
      </w:r>
      <w:r w:rsidR="001B0A37">
        <w:t xml:space="preserve">Trials with both </w:t>
      </w:r>
      <w:r w:rsidRPr="009852BC">
        <w:t>steel head and plastic barb tags to test the effect of tag type</w:t>
      </w:r>
      <w:r w:rsidR="001B0A37">
        <w:t xml:space="preserve"> showed </w:t>
      </w:r>
      <w:r>
        <w:rPr>
          <w:lang w:val="en-AU"/>
        </w:rPr>
        <w:t>no significant effect of tag type in seeding experiments</w:t>
      </w:r>
      <w:r w:rsidR="001B0A37">
        <w:rPr>
          <w:lang w:val="en-AU"/>
        </w:rPr>
        <w:t>. T</w:t>
      </w:r>
      <w:r>
        <w:rPr>
          <w:lang w:val="en-AU"/>
        </w:rPr>
        <w:t>he use of steel head tags for tag seeding has now been discontinued</w:t>
      </w:r>
      <w:r w:rsidR="001B0A37">
        <w:rPr>
          <w:lang w:val="en-AU"/>
        </w:rPr>
        <w:t xml:space="preserve"> and those tags will continue to be used until depleted</w:t>
      </w:r>
      <w:r>
        <w:rPr>
          <w:lang w:val="en-AU"/>
        </w:rPr>
        <w:t>.</w:t>
      </w:r>
      <w:r w:rsidR="00EB4E3A">
        <w:rPr>
          <w:lang w:val="en-AU"/>
        </w:rPr>
        <w:t xml:space="preserve"> </w:t>
      </w:r>
      <w:r w:rsidR="00EB4E3A">
        <w:rPr>
          <w:color w:val="000000"/>
        </w:rPr>
        <w:t>This</w:t>
      </w:r>
      <w:r w:rsidR="00EB4E3A" w:rsidRPr="00D00565">
        <w:rPr>
          <w:color w:val="000000"/>
        </w:rPr>
        <w:t xml:space="preserve"> will ensure consistency with conventional tag types used throughout the PTTP, and may reduce the chances of tag seeding experiments being compromised.  </w:t>
      </w:r>
    </w:p>
    <w:p w14:paraId="6CF1EE0A" w14:textId="77777777" w:rsidR="00D00565" w:rsidRPr="00F946B5" w:rsidRDefault="00D00565" w:rsidP="00D00565">
      <w:pPr>
        <w:rPr>
          <w:lang w:val="en-AU"/>
        </w:rPr>
      </w:pPr>
    </w:p>
    <w:p w14:paraId="4D84F50B" w14:textId="36684E7C" w:rsidR="00D00565" w:rsidRDefault="00D00565" w:rsidP="001B0A37">
      <w:r w:rsidRPr="009852BC">
        <w:t>To aid in the implementation of tag seeding experiments, training is provided as part of the PIRFO observer</w:t>
      </w:r>
      <w:r w:rsidRPr="009852BC">
        <w:rPr>
          <w:lang w:val="en-AU"/>
        </w:rPr>
        <w:t xml:space="preserve"> upgrade</w:t>
      </w:r>
      <w:r w:rsidRPr="009852BC">
        <w:t xml:space="preserve"> training courses.</w:t>
      </w:r>
      <w:r w:rsidRPr="009852BC">
        <w:rPr>
          <w:lang w:val="en-AU"/>
        </w:rPr>
        <w:t xml:space="preserve"> </w:t>
      </w:r>
      <w:r w:rsidRPr="009852BC">
        <w:t xml:space="preserve">Tag Recovery Officers in the ports of </w:t>
      </w:r>
      <w:proofErr w:type="spellStart"/>
      <w:r w:rsidRPr="009852BC">
        <w:t>Pohnpei</w:t>
      </w:r>
      <w:proofErr w:type="spellEnd"/>
      <w:r w:rsidRPr="009852BC">
        <w:t xml:space="preserve">, Honiara, </w:t>
      </w:r>
      <w:proofErr w:type="spellStart"/>
      <w:r w:rsidRPr="009852BC">
        <w:rPr>
          <w:lang w:val="en-AU"/>
        </w:rPr>
        <w:t>Rabaul</w:t>
      </w:r>
      <w:proofErr w:type="spellEnd"/>
      <w:r w:rsidRPr="009852BC">
        <w:t xml:space="preserve">, Madang, </w:t>
      </w:r>
      <w:r w:rsidRPr="009852BC">
        <w:rPr>
          <w:lang w:val="en-AU"/>
        </w:rPr>
        <w:t>Pago Pago,</w:t>
      </w:r>
      <w:r>
        <w:rPr>
          <w:lang w:val="en-AU"/>
        </w:rPr>
        <w:t xml:space="preserve"> Port Moresby</w:t>
      </w:r>
      <w:r w:rsidRPr="009852BC">
        <w:rPr>
          <w:lang w:val="en-AU"/>
        </w:rPr>
        <w:t xml:space="preserve"> and Majuro </w:t>
      </w:r>
      <w:r w:rsidRPr="009852BC">
        <w:t xml:space="preserve">continue to liaise closely with </w:t>
      </w:r>
      <w:r w:rsidRPr="009852BC">
        <w:rPr>
          <w:lang w:val="en-AU"/>
        </w:rPr>
        <w:t>o</w:t>
      </w:r>
      <w:proofErr w:type="spellStart"/>
      <w:r w:rsidRPr="009852BC">
        <w:t>bserver</w:t>
      </w:r>
      <w:proofErr w:type="spellEnd"/>
      <w:r w:rsidRPr="009852BC">
        <w:t xml:space="preserve"> coordinators, </w:t>
      </w:r>
      <w:r w:rsidRPr="009852BC">
        <w:rPr>
          <w:lang w:val="en-AU"/>
        </w:rPr>
        <w:t>o</w:t>
      </w:r>
      <w:proofErr w:type="spellStart"/>
      <w:r w:rsidRPr="009852BC">
        <w:t>bserver</w:t>
      </w:r>
      <w:proofErr w:type="spellEnd"/>
      <w:r w:rsidRPr="009852BC">
        <w:t xml:space="preserve"> </w:t>
      </w:r>
      <w:proofErr w:type="spellStart"/>
      <w:r w:rsidRPr="009852BC">
        <w:t>debriefers</w:t>
      </w:r>
      <w:proofErr w:type="spellEnd"/>
      <w:r w:rsidRPr="009852BC">
        <w:t xml:space="preserve"> and observers to implement tag seeding experiments and to recover the tag seeding logs for deployed kits. Tag seeding debriefing material</w:t>
      </w:r>
      <w:r w:rsidRPr="009852BC">
        <w:rPr>
          <w:lang w:val="en-AU"/>
        </w:rPr>
        <w:t>s</w:t>
      </w:r>
      <w:r w:rsidRPr="009852BC">
        <w:t xml:space="preserve"> are used by </w:t>
      </w:r>
      <w:r w:rsidRPr="009852BC">
        <w:rPr>
          <w:lang w:val="en-AU"/>
        </w:rPr>
        <w:t xml:space="preserve">both </w:t>
      </w:r>
      <w:r w:rsidRPr="009852BC">
        <w:t>TROs</w:t>
      </w:r>
      <w:r w:rsidRPr="009852BC">
        <w:rPr>
          <w:lang w:val="en-AU"/>
        </w:rPr>
        <w:t xml:space="preserve"> and local </w:t>
      </w:r>
      <w:proofErr w:type="spellStart"/>
      <w:r w:rsidRPr="009852BC">
        <w:rPr>
          <w:lang w:val="en-AU"/>
        </w:rPr>
        <w:t>debriefers</w:t>
      </w:r>
      <w:proofErr w:type="spellEnd"/>
      <w:r>
        <w:t xml:space="preserve">. </w:t>
      </w:r>
      <w:r w:rsidRPr="00D9462B">
        <w:t xml:space="preserve">Of the </w:t>
      </w:r>
      <w:r w:rsidRPr="00004799">
        <w:rPr>
          <w:lang w:val="en-AU"/>
        </w:rPr>
        <w:t>57</w:t>
      </w:r>
      <w:r>
        <w:rPr>
          <w:lang w:val="en-AU"/>
        </w:rPr>
        <w:t>2</w:t>
      </w:r>
      <w:r w:rsidRPr="00D9462B">
        <w:t xml:space="preserve"> kits distributed to observer coordinators, </w:t>
      </w:r>
      <w:r w:rsidRPr="00004799">
        <w:rPr>
          <w:lang w:val="en-AU"/>
        </w:rPr>
        <w:t>4</w:t>
      </w:r>
      <w:r>
        <w:rPr>
          <w:lang w:val="en-AU"/>
        </w:rPr>
        <w:t>29</w:t>
      </w:r>
      <w:r w:rsidRPr="00D9462B">
        <w:t xml:space="preserve"> have been given to observers for deployment, of which </w:t>
      </w:r>
      <w:r w:rsidRPr="00004799">
        <w:rPr>
          <w:lang w:val="en-AU"/>
        </w:rPr>
        <w:t>35</w:t>
      </w:r>
      <w:r>
        <w:rPr>
          <w:lang w:val="en-AU"/>
        </w:rPr>
        <w:t>8</w:t>
      </w:r>
      <w:r w:rsidRPr="00D9462B">
        <w:t xml:space="preserve"> tag seeding datasheets have been received for observer trips.</w:t>
      </w:r>
      <w:r w:rsidR="001B0A37">
        <w:t xml:space="preserve"> </w:t>
      </w:r>
    </w:p>
    <w:p w14:paraId="5A97CB67" w14:textId="77777777" w:rsidR="001B0A37" w:rsidRPr="001B0A37" w:rsidRDefault="001B0A37" w:rsidP="001B0A37"/>
    <w:p w14:paraId="5D0E8844" w14:textId="1EA7519B" w:rsidR="00D00565" w:rsidRPr="00DA091B" w:rsidRDefault="00D00565" w:rsidP="001B0A37">
      <w:r w:rsidRPr="00D00565">
        <w:t>The accurate reporting of vessel name is particularly important for validation of location and time of recapture using VMS and log book data. Vessel name was reported incorrectly for 806 tags, was absent from the recovery information for 145 tags, and was correct for 3110 tags.</w:t>
      </w:r>
    </w:p>
    <w:p w14:paraId="1028B393" w14:textId="6F45D3AF" w:rsidR="00E90A83" w:rsidRPr="00DA091B" w:rsidRDefault="00E90A83" w:rsidP="00D00565">
      <w:pPr>
        <w:pStyle w:val="Heading2"/>
      </w:pPr>
      <w:r w:rsidRPr="00DA091B">
        <w:lastRenderedPageBreak/>
        <w:t xml:space="preserve">Tag </w:t>
      </w:r>
      <w:r w:rsidR="00D00565">
        <w:t>data analyses</w:t>
      </w:r>
    </w:p>
    <w:p w14:paraId="1913A27B" w14:textId="77777777" w:rsidR="00D00565" w:rsidRPr="00D00565" w:rsidRDefault="00D00565" w:rsidP="00D00565">
      <w:pPr>
        <w:autoSpaceDE w:val="0"/>
        <w:autoSpaceDN w:val="0"/>
        <w:adjustRightInd w:val="0"/>
        <w:spacing w:after="120"/>
        <w:rPr>
          <w:color w:val="000000"/>
        </w:rPr>
      </w:pPr>
      <w:r w:rsidRPr="00D00565">
        <w:rPr>
          <w:color w:val="000000"/>
        </w:rPr>
        <w:t>Data from tag seeding experiments have been used to estimate prior distributions for reporting rates for use in MULTIFAN-CL assessments of tuna stocks in the Western Central Pacific Ocean. These prior distributions are used to minimise bias in assessments resulting from the non-reporting (or detection) of tag recoveries, and as such are a critical input to the MULTIFAN-CL models.</w:t>
      </w:r>
    </w:p>
    <w:p w14:paraId="0FFB05B0" w14:textId="34B3B0BC" w:rsidR="00D00565" w:rsidRDefault="00D00565" w:rsidP="00D00565">
      <w:pPr>
        <w:autoSpaceDE w:val="0"/>
        <w:autoSpaceDN w:val="0"/>
        <w:adjustRightInd w:val="0"/>
        <w:spacing w:after="120"/>
        <w:rPr>
          <w:color w:val="000000"/>
        </w:rPr>
      </w:pPr>
      <w:r w:rsidRPr="00D00565">
        <w:rPr>
          <w:color w:val="000000"/>
        </w:rPr>
        <w:t>Reporting rate (RR) prior parameters have been updated for the 2019 skipjack assessment (Peatman et al., 2019 SC15-SA-IP-06). The approach to calculating the prior parameters has been revised, with substantial increases in penalty parameters.  A significant reduction in tag reporting was detected for tag seeding experiments in</w:t>
      </w:r>
      <w:r w:rsidR="00EB4E3A">
        <w:rPr>
          <w:color w:val="000000"/>
        </w:rPr>
        <w:t xml:space="preserve"> 2015.</w:t>
      </w:r>
      <w:r w:rsidRPr="00D00565">
        <w:rPr>
          <w:color w:val="000000"/>
        </w:rPr>
        <w:t xml:space="preserve"> However, it is difficult to explore this in detail given the relatively low numbers of seedi</w:t>
      </w:r>
      <w:r w:rsidR="00EB4E3A">
        <w:rPr>
          <w:color w:val="000000"/>
        </w:rPr>
        <w:t>ng experiments in recent years.</w:t>
      </w:r>
      <w:r w:rsidRPr="00D00565">
        <w:rPr>
          <w:color w:val="000000"/>
        </w:rPr>
        <w:t xml:space="preserve"> In this context, a power analysis was undertaken to explore the number of seeding experiments required to detect step-changes in reporting rates, and provide guidance on the number of tag seeding experiments moving forwards.  Current levels of tag seeding are insufficient to allow detection of modest increases or reductions in tag reporting rates (+ /- 15 %) within three years.  Increasing the number of seeding experiments, and improving the coverage of fleets, will be essential if tag seeding experiments are to be an effective component of the PTTP </w:t>
      </w:r>
      <w:r w:rsidR="00EB4E3A">
        <w:rPr>
          <w:color w:val="000000"/>
        </w:rPr>
        <w:t>in future</w:t>
      </w:r>
      <w:r w:rsidRPr="00D00565">
        <w:rPr>
          <w:color w:val="000000"/>
        </w:rPr>
        <w:t>.</w:t>
      </w:r>
    </w:p>
    <w:p w14:paraId="04FB3043" w14:textId="463CF8EF" w:rsidR="00D00565" w:rsidRDefault="0015032F" w:rsidP="0015032F">
      <w:pPr>
        <w:autoSpaceDE w:val="0"/>
        <w:autoSpaceDN w:val="0"/>
        <w:adjustRightInd w:val="0"/>
        <w:spacing w:after="120"/>
        <w:rPr>
          <w:color w:val="000000"/>
        </w:rPr>
      </w:pPr>
      <w:r w:rsidRPr="0015032F">
        <w:rPr>
          <w:color w:val="000000"/>
        </w:rPr>
        <w:t xml:space="preserve">The </w:t>
      </w:r>
      <w:proofErr w:type="spellStart"/>
      <w:r w:rsidRPr="0015032F">
        <w:rPr>
          <w:color w:val="000000"/>
        </w:rPr>
        <w:t>Ikamoana</w:t>
      </w:r>
      <w:proofErr w:type="spellEnd"/>
      <w:r w:rsidRPr="0015032F">
        <w:rPr>
          <w:color w:val="000000"/>
        </w:rPr>
        <w:t xml:space="preserve"> tag simulation tool (Scutt Phillips et al. 2018) was used to examine potential movement of tagged skipjack tuna from two locations near to planned releases during this year’s upcoming WP5 trip. Simulated tag releases were undertaken using behavioural forcing from SEAPODYM (Senina et al. 2016), under historical environmental and fishing effort scenarios, assuming releases of 40cm fork length skipjack during September 2012 (an ENSO neutral period). </w:t>
      </w:r>
      <w:r w:rsidR="00917115">
        <w:rPr>
          <w:color w:val="000000"/>
        </w:rPr>
        <w:t>Following simulation results</w:t>
      </w:r>
      <w:r w:rsidRPr="0015032F">
        <w:rPr>
          <w:color w:val="000000"/>
        </w:rPr>
        <w:t xml:space="preserve">, additional tag recovery effort </w:t>
      </w:r>
      <w:r w:rsidR="00917115">
        <w:rPr>
          <w:color w:val="000000"/>
        </w:rPr>
        <w:t>is planned in the Philippines to increase</w:t>
      </w:r>
      <w:r w:rsidRPr="0015032F">
        <w:rPr>
          <w:color w:val="000000"/>
        </w:rPr>
        <w:t xml:space="preserve"> recovery rates around the maritime continent area</w:t>
      </w:r>
      <w:r w:rsidR="00EB4E3A">
        <w:rPr>
          <w:color w:val="000000"/>
        </w:rPr>
        <w:t>.</w:t>
      </w:r>
    </w:p>
    <w:p w14:paraId="3F08D3FF" w14:textId="3CFF8DF4" w:rsidR="0015032F" w:rsidRDefault="0015032F" w:rsidP="0015032F">
      <w:pPr>
        <w:autoSpaceDE w:val="0"/>
        <w:autoSpaceDN w:val="0"/>
        <w:adjustRightInd w:val="0"/>
        <w:spacing w:after="120"/>
        <w:rPr>
          <w:color w:val="000000"/>
        </w:rPr>
      </w:pPr>
      <w:r w:rsidRPr="0015032F">
        <w:rPr>
          <w:color w:val="000000"/>
        </w:rPr>
        <w:t xml:space="preserve">Since SC14, two </w:t>
      </w:r>
      <w:r w:rsidR="00EB4E3A">
        <w:rPr>
          <w:color w:val="000000"/>
        </w:rPr>
        <w:t xml:space="preserve">albacore </w:t>
      </w:r>
      <w:r w:rsidRPr="0015032F">
        <w:rPr>
          <w:color w:val="000000"/>
        </w:rPr>
        <w:t xml:space="preserve">tags have been reported after being washed ashore in New Zealand. This increases the total reported tags, but not the number of informative recoveries, which remain at 31 (1%) for the project. Following a recovery in New Caledonia during 2017, the reward for white tags from albacore tuna tagged with </w:t>
      </w:r>
      <w:proofErr w:type="spellStart"/>
      <w:r w:rsidRPr="0015032F">
        <w:rPr>
          <w:color w:val="000000"/>
        </w:rPr>
        <w:t>oxytetracycline</w:t>
      </w:r>
      <w:proofErr w:type="spellEnd"/>
      <w:r w:rsidRPr="0015032F">
        <w:rPr>
          <w:color w:val="000000"/>
        </w:rPr>
        <w:t xml:space="preserve"> has been increased to US$250, and conventional tags to $US20, for recoveries in New Caledonia and French Polynesia.</w:t>
      </w:r>
    </w:p>
    <w:p w14:paraId="0C4A655B" w14:textId="183BEB0C" w:rsidR="0015032F" w:rsidRDefault="00666B28" w:rsidP="00666B28">
      <w:pPr>
        <w:autoSpaceDE w:val="0"/>
        <w:autoSpaceDN w:val="0"/>
        <w:adjustRightInd w:val="0"/>
        <w:spacing w:after="120"/>
        <w:rPr>
          <w:color w:val="000000"/>
        </w:rPr>
      </w:pPr>
      <w:r w:rsidRPr="00666B28">
        <w:rPr>
          <w:color w:val="000000"/>
        </w:rPr>
        <w:t>The</w:t>
      </w:r>
      <w:r>
        <w:rPr>
          <w:color w:val="000000"/>
        </w:rPr>
        <w:t xml:space="preserve"> CP13 cruise </w:t>
      </w:r>
      <w:r w:rsidRPr="00666B28">
        <w:rPr>
          <w:color w:val="000000"/>
        </w:rPr>
        <w:t>also involved extensive tagging of fish using acoustic telemetry ‘sonic’ tags. These fish were released at drifting FADs equipped with acoustic receivers as part of the WCPFC EU funded project WCPFC Mitigating bycatch of bigeye tuna and yellowfin tuna juveniles by purse seine fisheries.</w:t>
      </w:r>
      <w:r>
        <w:rPr>
          <w:color w:val="000000"/>
        </w:rPr>
        <w:t xml:space="preserve"> </w:t>
      </w:r>
      <w:r w:rsidRPr="00666B28">
        <w:rPr>
          <w:color w:val="000000"/>
        </w:rPr>
        <w:t>These tag releases provide</w:t>
      </w:r>
      <w:r>
        <w:rPr>
          <w:color w:val="000000"/>
        </w:rPr>
        <w:t>d</w:t>
      </w:r>
      <w:r w:rsidRPr="00666B28">
        <w:rPr>
          <w:color w:val="000000"/>
        </w:rPr>
        <w:t xml:space="preserve"> very high quality presence and depth data, whenever fish are in the presence of the acoustic receiver through which data are transmitted. </w:t>
      </w:r>
      <w:r>
        <w:rPr>
          <w:color w:val="000000"/>
        </w:rPr>
        <w:t>Further</w:t>
      </w:r>
      <w:r w:rsidRPr="00666B28">
        <w:rPr>
          <w:color w:val="000000"/>
        </w:rPr>
        <w:t xml:space="preserve"> details are provided in Scutt Phillips et al. (2019, SC15-EB-WP-08). </w:t>
      </w:r>
      <w:r>
        <w:rPr>
          <w:color w:val="000000"/>
        </w:rPr>
        <w:t>F</w:t>
      </w:r>
      <w:r w:rsidRPr="00666B28">
        <w:rPr>
          <w:color w:val="000000"/>
        </w:rPr>
        <w:t>ish detected at a second receiver, following their initial association with the FAD of release, may be considered as fishery-independent mark-recapture data.</w:t>
      </w:r>
      <w:r>
        <w:rPr>
          <w:color w:val="000000"/>
        </w:rPr>
        <w:t xml:space="preserve"> L</w:t>
      </w:r>
      <w:r w:rsidRPr="00666B28">
        <w:rPr>
          <w:color w:val="000000"/>
        </w:rPr>
        <w:t xml:space="preserve">arger scale adoption of these experiments could provide mark-recapture type data for estimating mortality </w:t>
      </w:r>
      <w:r w:rsidR="00AE1E78">
        <w:rPr>
          <w:color w:val="000000"/>
        </w:rPr>
        <w:t xml:space="preserve">rates </w:t>
      </w:r>
      <w:r w:rsidRPr="00666B28">
        <w:rPr>
          <w:color w:val="000000"/>
        </w:rPr>
        <w:t>and movement.</w:t>
      </w:r>
    </w:p>
    <w:p w14:paraId="0720D916" w14:textId="71C1D08F" w:rsidR="00666B28" w:rsidRPr="00666B28" w:rsidRDefault="00666B28" w:rsidP="00666B28">
      <w:pPr>
        <w:autoSpaceDE w:val="0"/>
        <w:autoSpaceDN w:val="0"/>
        <w:adjustRightInd w:val="0"/>
        <w:spacing w:after="120"/>
        <w:rPr>
          <w:color w:val="000000"/>
        </w:rPr>
      </w:pPr>
      <w:r w:rsidRPr="00666B28">
        <w:rPr>
          <w:color w:val="000000"/>
        </w:rPr>
        <w:t xml:space="preserve">A number of fish tagged with both archival and sonic </w:t>
      </w:r>
      <w:bookmarkStart w:id="0" w:name="_GoBack"/>
      <w:bookmarkEnd w:id="0"/>
      <w:r w:rsidRPr="00666B28">
        <w:rPr>
          <w:color w:val="000000"/>
        </w:rPr>
        <w:t>tags were released during CP13 as part of the WCPFC EU funded project Mitigating bycatch of bigeye tuna and yellowfin tuna juveniles by purse seine fisheries. Four archival tags have been recaptured and returned from this project already, of which two of those are from double-tagged bigeye tuna. These data allow</w:t>
      </w:r>
      <w:r>
        <w:rPr>
          <w:color w:val="000000"/>
        </w:rPr>
        <w:t xml:space="preserve"> </w:t>
      </w:r>
      <w:r w:rsidRPr="00666B28">
        <w:rPr>
          <w:color w:val="000000"/>
        </w:rPr>
        <w:t>examination of fine-scale vertical behaviour throughout time-at-liberty, accurate times and positions of fish whilst associating with sonic receivers, and estimates of horizontal movement from light-based geolocation which can be constrained using these known periods of association (Scutt Phillips et al. 2019, SC15-EB-WP-08).</w:t>
      </w:r>
    </w:p>
    <w:p w14:paraId="019DBF87" w14:textId="097DFC2D" w:rsidR="0015032F" w:rsidRDefault="00666B28" w:rsidP="00666B28">
      <w:pPr>
        <w:autoSpaceDE w:val="0"/>
        <w:autoSpaceDN w:val="0"/>
        <w:adjustRightInd w:val="0"/>
        <w:spacing w:after="120"/>
        <w:rPr>
          <w:color w:val="000000"/>
        </w:rPr>
      </w:pPr>
      <w:r w:rsidRPr="00666B28">
        <w:rPr>
          <w:color w:val="000000"/>
        </w:rPr>
        <w:t>Two double tagged bigeye tuna were recaptured following CP13, one released at 89cm FL (</w:t>
      </w:r>
      <w:proofErr w:type="spellStart"/>
      <w:r w:rsidRPr="00666B28">
        <w:rPr>
          <w:color w:val="000000"/>
        </w:rPr>
        <w:t>AgTag</w:t>
      </w:r>
      <w:proofErr w:type="spellEnd"/>
      <w:r w:rsidRPr="00666B28">
        <w:rPr>
          <w:color w:val="000000"/>
        </w:rPr>
        <w:t>) and the other at 72cm FL (</w:t>
      </w:r>
      <w:proofErr w:type="spellStart"/>
      <w:r w:rsidRPr="00666B28">
        <w:rPr>
          <w:color w:val="000000"/>
        </w:rPr>
        <w:t>AuTag</w:t>
      </w:r>
      <w:proofErr w:type="spellEnd"/>
      <w:r w:rsidRPr="00666B28">
        <w:rPr>
          <w:color w:val="000000"/>
        </w:rPr>
        <w:t xml:space="preserve">). Both fish associated with their FAD of release, for 11 and 7 days, respectively, as confirmed by detections from the attached sonic receiver.  Both fish were then at liberty for 3 and 4 months respectively, with </w:t>
      </w:r>
      <w:proofErr w:type="spellStart"/>
      <w:r w:rsidRPr="00666B28">
        <w:rPr>
          <w:color w:val="000000"/>
        </w:rPr>
        <w:t>AgTag</w:t>
      </w:r>
      <w:proofErr w:type="spellEnd"/>
      <w:r w:rsidRPr="00666B28">
        <w:rPr>
          <w:color w:val="000000"/>
        </w:rPr>
        <w:t xml:space="preserve"> briefly passing a second sonic receiver attached to another FAD in the </w:t>
      </w:r>
      <w:r w:rsidRPr="00666B28">
        <w:rPr>
          <w:color w:val="000000"/>
        </w:rPr>
        <w:lastRenderedPageBreak/>
        <w:t>area, before being recaptured. Horizontal geolocation estimates were calculated using Wildlife Computers GPE3 algorithm, and overlaid with the known positions of each individual fish while associating with receiver equipped FADs. In both cases, geolocation algorithms failed to capture any of the known horizontal movements from the sonic tag confirmed positions while fish associa</w:t>
      </w:r>
      <w:r>
        <w:rPr>
          <w:color w:val="000000"/>
        </w:rPr>
        <w:t>ted with receiver equipped FADs, highlighting the challenges of light-based geolocation for tropical tunas in equatorial waters. The fish showed</w:t>
      </w:r>
      <w:r w:rsidRPr="00666B28">
        <w:rPr>
          <w:color w:val="000000"/>
        </w:rPr>
        <w:t xml:space="preserve"> sustained departures from the drifting FAD of release, typically followed by a return in the second half of the night</w:t>
      </w:r>
      <w:r>
        <w:rPr>
          <w:color w:val="000000"/>
        </w:rPr>
        <w:t xml:space="preserve"> or just before dawn</w:t>
      </w:r>
      <w:r w:rsidRPr="00666B28">
        <w:rPr>
          <w:color w:val="000000"/>
        </w:rPr>
        <w:t>. Both fish also exhibited a slow disassociation with their FADs of release, with day- and night-time departures becoming longer over a period of 3-4 days, though fish always returned before dawn, before permanent abandonment of the F</w:t>
      </w:r>
      <w:r>
        <w:rPr>
          <w:color w:val="000000"/>
        </w:rPr>
        <w:t>AD (</w:t>
      </w:r>
      <w:r w:rsidRPr="00666B28">
        <w:rPr>
          <w:color w:val="000000"/>
        </w:rPr>
        <w:t>SC15-EB-WP-08).</w:t>
      </w:r>
    </w:p>
    <w:p w14:paraId="6AF8FE93" w14:textId="77777777" w:rsidR="00E90A83" w:rsidRPr="00DA091B" w:rsidRDefault="00E90A83" w:rsidP="00E90A83">
      <w:pPr>
        <w:pStyle w:val="Heading1"/>
        <w:rPr>
          <w:rFonts w:ascii="Times New Roman" w:hAnsi="Times New Roman"/>
        </w:rPr>
      </w:pPr>
      <w:r w:rsidRPr="00DA091B">
        <w:rPr>
          <w:rFonts w:ascii="Times New Roman" w:hAnsi="Times New Roman"/>
        </w:rPr>
        <w:t>201</w:t>
      </w:r>
      <w:r>
        <w:rPr>
          <w:rFonts w:ascii="Times New Roman" w:hAnsi="Times New Roman"/>
        </w:rPr>
        <w:t>9‐2022</w:t>
      </w:r>
      <w:r w:rsidRPr="00DA091B">
        <w:rPr>
          <w:rFonts w:ascii="Times New Roman" w:hAnsi="Times New Roman"/>
        </w:rPr>
        <w:t xml:space="preserve"> Work Plan</w:t>
      </w:r>
    </w:p>
    <w:p w14:paraId="6D4B49DB" w14:textId="77777777" w:rsidR="00E90A83" w:rsidRPr="00DA091B" w:rsidRDefault="00E90A83" w:rsidP="008F6B4F">
      <w:pPr>
        <w:pStyle w:val="Heading2"/>
      </w:pPr>
      <w:r>
        <w:t>Issues arising from 2018-19</w:t>
      </w:r>
    </w:p>
    <w:p w14:paraId="1249944E" w14:textId="5EC88D04" w:rsidR="00666B28" w:rsidRDefault="00666B28" w:rsidP="00666B28">
      <w:pPr>
        <w:autoSpaceDE w:val="0"/>
        <w:autoSpaceDN w:val="0"/>
        <w:adjustRightInd w:val="0"/>
        <w:spacing w:after="120"/>
      </w:pPr>
      <w:r>
        <w:t>The PTTP continues to be a highly successful programme and with the significant commitment from the Commission to ongoing funding, the successful CP13 and the WP5 voyage now underway, this programme, already recognised as an ongoing high priority, is a real strength of WCPFC’s science for the medium term. However, there remain significant issues facing the success of any tuna tagging research programme in the region.</w:t>
      </w:r>
    </w:p>
    <w:p w14:paraId="2FA89B5C" w14:textId="06BE4942" w:rsidR="00666B28" w:rsidRDefault="00666B28" w:rsidP="008F6B4F">
      <w:pPr>
        <w:pStyle w:val="ListParagraph"/>
        <w:numPr>
          <w:ilvl w:val="0"/>
          <w:numId w:val="44"/>
        </w:numPr>
        <w:autoSpaceDE w:val="0"/>
        <w:autoSpaceDN w:val="0"/>
        <w:adjustRightInd w:val="0"/>
        <w:spacing w:after="120"/>
        <w:ind w:left="426" w:hanging="425"/>
      </w:pPr>
      <w:r>
        <w:t>The ongoing difficulty in maintaining an effective tag recovery network remains apparent</w:t>
      </w:r>
      <w:r w:rsidR="00265E5D">
        <w:t xml:space="preserve">, which has had implications for </w:t>
      </w:r>
      <w:r>
        <w:t>this year’s WCPO skipjack tuna stock assessment (SC15-SA-WP-05). This reinforces the need to improve and maintain an effective recovery network, despite the introduction of other responsibilities, such as biological sample collection, for TROs across the region.</w:t>
      </w:r>
    </w:p>
    <w:p w14:paraId="71203905" w14:textId="59A4374D" w:rsidR="00666B28" w:rsidRDefault="00666B28" w:rsidP="008F6B4F">
      <w:pPr>
        <w:pStyle w:val="ListParagraph"/>
        <w:numPr>
          <w:ilvl w:val="0"/>
          <w:numId w:val="44"/>
        </w:numPr>
        <w:autoSpaceDE w:val="0"/>
        <w:autoSpaceDN w:val="0"/>
        <w:adjustRightInd w:val="0"/>
        <w:spacing w:after="120"/>
        <w:ind w:left="426" w:hanging="425"/>
      </w:pPr>
      <w:r>
        <w:t>The past year continued the trend of low numbers of tag seeding kit deployments for observers. As highlighted by an information paper on tag seeding analyses (SC15-SA-IP-06), the current levels of deployments are far below those required to likely detect changes in reporting rate. Furthermore, tag seeding analyses suggest reduced reporting of conventional tags in recent years, although this is uncertain due to the recent drop in tag seeding experiments.</w:t>
      </w:r>
    </w:p>
    <w:p w14:paraId="1BAC210D" w14:textId="4D0D2345" w:rsidR="00666B28" w:rsidRDefault="00666B28" w:rsidP="008F6B4F">
      <w:pPr>
        <w:pStyle w:val="ListParagraph"/>
        <w:numPr>
          <w:ilvl w:val="0"/>
          <w:numId w:val="44"/>
        </w:numPr>
        <w:autoSpaceDE w:val="0"/>
        <w:autoSpaceDN w:val="0"/>
        <w:adjustRightInd w:val="0"/>
        <w:spacing w:after="120"/>
        <w:ind w:left="426" w:hanging="425"/>
      </w:pPr>
      <w:r>
        <w:t xml:space="preserve">Providing external validation of movement estimates from within MULTIFAN-CL and SEAPODYM remains difficult. Continued tag-related analyses and development of tools such as the </w:t>
      </w:r>
      <w:proofErr w:type="spellStart"/>
      <w:r>
        <w:t>Ikamoana</w:t>
      </w:r>
      <w:proofErr w:type="spellEnd"/>
      <w:r>
        <w:t xml:space="preserve"> tuna movement simulator provide a framework to examine the effects of mixing and movement, and optimise future tagging voyages. </w:t>
      </w:r>
    </w:p>
    <w:p w14:paraId="22271BFD" w14:textId="462860D3" w:rsidR="00E90A83" w:rsidRPr="008F6B4F" w:rsidRDefault="00666B28" w:rsidP="00E90A83">
      <w:pPr>
        <w:pStyle w:val="ListParagraph"/>
        <w:numPr>
          <w:ilvl w:val="0"/>
          <w:numId w:val="44"/>
        </w:numPr>
        <w:autoSpaceDE w:val="0"/>
        <w:autoSpaceDN w:val="0"/>
        <w:adjustRightInd w:val="0"/>
        <w:spacing w:after="120"/>
        <w:ind w:left="426" w:hanging="425"/>
      </w:pPr>
      <w:r>
        <w:t xml:space="preserve">A strong case for identifying a long-term multi-purpose tagging platform in the WCPO remains. Integrating WCPFC biological sampling and other tuna ecosystem research into the design, areas of research that face the same cost pressures, makes the case even stronger. Investigations have continued in 2019, with direct support from New Zealand, and a feasibility study will be advertised in order to provide expert advice on the operations, cost and procurement of such a vessel. Issues of increasing charter costs of commercial vessels, alongside a decreasing number of appropriate platforms, continues to make this a critical concern. </w:t>
      </w:r>
    </w:p>
    <w:p w14:paraId="51697753" w14:textId="77777777" w:rsidR="00E90A83" w:rsidRPr="00DA091B" w:rsidRDefault="00E90A83" w:rsidP="008F6B4F">
      <w:pPr>
        <w:pStyle w:val="Heading2"/>
      </w:pPr>
      <w:r w:rsidRPr="00DA091B">
        <w:t>Work plan</w:t>
      </w:r>
    </w:p>
    <w:p w14:paraId="47A521A4" w14:textId="643F00AA" w:rsidR="00032237" w:rsidRDefault="00E90A83" w:rsidP="00917115">
      <w:pPr>
        <w:autoSpaceDE w:val="0"/>
        <w:autoSpaceDN w:val="0"/>
        <w:adjustRightInd w:val="0"/>
        <w:spacing w:after="120"/>
        <w:rPr>
          <w:color w:val="000000"/>
        </w:rPr>
      </w:pPr>
      <w:r w:rsidRPr="00DA091B">
        <w:rPr>
          <w:color w:val="000000"/>
        </w:rPr>
        <w:t>The proposed PTTP work plan for the period 201</w:t>
      </w:r>
      <w:r>
        <w:rPr>
          <w:color w:val="000000"/>
        </w:rPr>
        <w:t>9</w:t>
      </w:r>
      <w:r w:rsidRPr="00DA091B">
        <w:rPr>
          <w:color w:val="000000"/>
        </w:rPr>
        <w:t>‐202</w:t>
      </w:r>
      <w:r>
        <w:rPr>
          <w:color w:val="000000"/>
        </w:rPr>
        <w:t>2</w:t>
      </w:r>
      <w:r w:rsidRPr="00DA091B">
        <w:rPr>
          <w:color w:val="000000"/>
        </w:rPr>
        <w:t xml:space="preserve"> was discussed by the PTTP SC and is set out in Table 1. </w:t>
      </w:r>
      <w:r w:rsidR="00666B28">
        <w:t>The 2019 work-plan is well advanced, including successful negotiations around access to a pole and line vessel for WP5. The work-plan recognises the decisions of SC in 2016 to normalise the tagging programme (WCPFC SC, 2017), the decisions of SC in 2017 where this rolling medium-term research work-plan was endorsed (WCPFC-SC 2017) and the decisions of SC in 2018 to normalise the tagging research plan as part of the ongoing high priority science work of WCPFC (WCPFC SC, 2018).</w:t>
      </w:r>
      <w:r w:rsidR="00917115">
        <w:t xml:space="preserve"> </w:t>
      </w:r>
      <w:r w:rsidR="00032237">
        <w:rPr>
          <w:color w:val="000000"/>
        </w:rPr>
        <w:br w:type="page"/>
      </w:r>
    </w:p>
    <w:p w14:paraId="25086F24" w14:textId="77777777" w:rsidR="00E90A83" w:rsidRDefault="00E90A83" w:rsidP="00E90A83">
      <w:pPr>
        <w:rPr>
          <w:rFonts w:ascii="Arial" w:hAnsi="Arial" w:cs="Arial"/>
          <w:b/>
          <w:sz w:val="20"/>
          <w:szCs w:val="20"/>
        </w:rPr>
      </w:pPr>
      <w:r w:rsidRPr="00DA091B">
        <w:rPr>
          <w:rFonts w:ascii="Arial" w:hAnsi="Arial" w:cs="Arial"/>
          <w:b/>
          <w:sz w:val="20"/>
          <w:szCs w:val="20"/>
        </w:rPr>
        <w:lastRenderedPageBreak/>
        <w:t>Table 1: Indicative P</w:t>
      </w:r>
      <w:r>
        <w:rPr>
          <w:rFonts w:ascii="Arial" w:hAnsi="Arial" w:cs="Arial"/>
          <w:b/>
          <w:sz w:val="20"/>
          <w:szCs w:val="20"/>
        </w:rPr>
        <w:t xml:space="preserve">TTP </w:t>
      </w:r>
      <w:proofErr w:type="spellStart"/>
      <w:r>
        <w:rPr>
          <w:rFonts w:ascii="Arial" w:hAnsi="Arial" w:cs="Arial"/>
          <w:b/>
          <w:sz w:val="20"/>
          <w:szCs w:val="20"/>
        </w:rPr>
        <w:t>workplan</w:t>
      </w:r>
      <w:proofErr w:type="spellEnd"/>
      <w:r>
        <w:rPr>
          <w:rFonts w:ascii="Arial" w:hAnsi="Arial" w:cs="Arial"/>
          <w:b/>
          <w:sz w:val="20"/>
          <w:szCs w:val="20"/>
        </w:rPr>
        <w:t xml:space="preserve"> for the period 2019-2022</w:t>
      </w:r>
      <w:r w:rsidRPr="00DA091B">
        <w:rPr>
          <w:rFonts w:ascii="Arial" w:hAnsi="Arial" w:cs="Arial"/>
          <w:b/>
          <w:sz w:val="20"/>
          <w:szCs w:val="20"/>
        </w:rPr>
        <w:t>.</w:t>
      </w:r>
    </w:p>
    <w:p w14:paraId="4F9C7465" w14:textId="77777777" w:rsidR="00E90A83" w:rsidRDefault="00E90A83" w:rsidP="00E90A83">
      <w:pPr>
        <w:rPr>
          <w:rFonts w:ascii="Arial" w:hAnsi="Arial" w:cs="Arial"/>
          <w:b/>
          <w:sz w:val="20"/>
          <w:szCs w:val="20"/>
        </w:rPr>
      </w:pPr>
    </w:p>
    <w:tbl>
      <w:tblPr>
        <w:tblW w:w="10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3580"/>
        <w:gridCol w:w="1736"/>
        <w:gridCol w:w="1701"/>
        <w:gridCol w:w="1559"/>
        <w:gridCol w:w="1559"/>
        <w:gridCol w:w="10"/>
      </w:tblGrid>
      <w:tr w:rsidR="00032237" w:rsidRPr="009852BC" w14:paraId="03DF5800" w14:textId="77777777" w:rsidTr="0056106A">
        <w:trPr>
          <w:gridAfter w:val="1"/>
          <w:wAfter w:w="10" w:type="dxa"/>
          <w:jc w:val="center"/>
        </w:trPr>
        <w:tc>
          <w:tcPr>
            <w:tcW w:w="4071" w:type="dxa"/>
            <w:gridSpan w:val="2"/>
          </w:tcPr>
          <w:p w14:paraId="2B3B5ACB"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ACTIVITIES</w:t>
            </w:r>
          </w:p>
        </w:tc>
        <w:tc>
          <w:tcPr>
            <w:tcW w:w="1736" w:type="dxa"/>
          </w:tcPr>
          <w:p w14:paraId="1F16F03F" w14:textId="77777777" w:rsidR="00032237" w:rsidRPr="009852BC" w:rsidRDefault="00032237" w:rsidP="00A31C14">
            <w:pPr>
              <w:rPr>
                <w:rFonts w:ascii="Arial" w:hAnsi="Arial" w:cs="Arial"/>
                <w:b/>
                <w:sz w:val="18"/>
                <w:szCs w:val="18"/>
                <w:lang w:val="en-US"/>
              </w:rPr>
            </w:pPr>
            <w:r w:rsidRPr="009852BC">
              <w:rPr>
                <w:rFonts w:ascii="Arial" w:hAnsi="Arial" w:cs="Arial"/>
                <w:b/>
                <w:caps/>
                <w:sz w:val="18"/>
                <w:szCs w:val="18"/>
                <w:lang w:val="en-US"/>
              </w:rPr>
              <w:t>201</w:t>
            </w:r>
            <w:r>
              <w:rPr>
                <w:rFonts w:ascii="Arial" w:hAnsi="Arial" w:cs="Arial"/>
                <w:b/>
                <w:caps/>
                <w:sz w:val="18"/>
                <w:szCs w:val="18"/>
                <w:lang w:val="en-US"/>
              </w:rPr>
              <w:t>9</w:t>
            </w:r>
          </w:p>
        </w:tc>
        <w:tc>
          <w:tcPr>
            <w:tcW w:w="1701" w:type="dxa"/>
          </w:tcPr>
          <w:p w14:paraId="4E0B53D6" w14:textId="77777777" w:rsidR="00032237" w:rsidRPr="009852BC" w:rsidRDefault="00032237" w:rsidP="00A31C14">
            <w:pPr>
              <w:rPr>
                <w:rFonts w:ascii="Arial" w:hAnsi="Arial" w:cs="Arial"/>
                <w:b/>
                <w:caps/>
                <w:sz w:val="18"/>
                <w:szCs w:val="18"/>
                <w:lang w:val="en-US"/>
              </w:rPr>
            </w:pPr>
            <w:r w:rsidRPr="009852BC">
              <w:rPr>
                <w:rFonts w:ascii="Arial" w:hAnsi="Arial" w:cs="Arial"/>
                <w:b/>
                <w:caps/>
                <w:sz w:val="18"/>
                <w:szCs w:val="18"/>
                <w:lang w:val="en-US"/>
              </w:rPr>
              <w:t>20</w:t>
            </w:r>
            <w:r>
              <w:rPr>
                <w:rFonts w:ascii="Arial" w:hAnsi="Arial" w:cs="Arial"/>
                <w:b/>
                <w:caps/>
                <w:sz w:val="18"/>
                <w:szCs w:val="18"/>
                <w:lang w:val="en-US"/>
              </w:rPr>
              <w:t>20</w:t>
            </w:r>
          </w:p>
        </w:tc>
        <w:tc>
          <w:tcPr>
            <w:tcW w:w="1559" w:type="dxa"/>
          </w:tcPr>
          <w:p w14:paraId="239C265D" w14:textId="77777777" w:rsidR="00032237" w:rsidRPr="009852BC" w:rsidRDefault="00032237" w:rsidP="00A31C14">
            <w:pPr>
              <w:rPr>
                <w:rFonts w:ascii="Arial" w:hAnsi="Arial" w:cs="Arial"/>
                <w:b/>
                <w:caps/>
                <w:sz w:val="18"/>
                <w:szCs w:val="18"/>
                <w:lang w:val="en-US"/>
              </w:rPr>
            </w:pPr>
            <w:r w:rsidRPr="009852BC">
              <w:rPr>
                <w:rFonts w:ascii="Arial" w:hAnsi="Arial" w:cs="Arial"/>
                <w:b/>
                <w:caps/>
                <w:sz w:val="18"/>
                <w:szCs w:val="18"/>
                <w:lang w:val="en-US"/>
              </w:rPr>
              <w:t>202</w:t>
            </w:r>
            <w:r>
              <w:rPr>
                <w:rFonts w:ascii="Arial" w:hAnsi="Arial" w:cs="Arial"/>
                <w:b/>
                <w:caps/>
                <w:sz w:val="18"/>
                <w:szCs w:val="18"/>
                <w:lang w:val="en-US"/>
              </w:rPr>
              <w:t>1</w:t>
            </w:r>
          </w:p>
        </w:tc>
        <w:tc>
          <w:tcPr>
            <w:tcW w:w="1559" w:type="dxa"/>
          </w:tcPr>
          <w:p w14:paraId="38788DA9" w14:textId="77777777" w:rsidR="00032237" w:rsidRPr="009852BC" w:rsidRDefault="00032237" w:rsidP="00A31C14">
            <w:pPr>
              <w:rPr>
                <w:rFonts w:ascii="Arial" w:hAnsi="Arial" w:cs="Arial"/>
                <w:b/>
                <w:caps/>
                <w:sz w:val="18"/>
                <w:szCs w:val="18"/>
                <w:lang w:val="en-US"/>
              </w:rPr>
            </w:pPr>
            <w:r w:rsidRPr="009852BC">
              <w:rPr>
                <w:rFonts w:ascii="Arial" w:hAnsi="Arial" w:cs="Arial"/>
                <w:b/>
                <w:caps/>
                <w:sz w:val="18"/>
                <w:szCs w:val="18"/>
                <w:lang w:val="en-US"/>
              </w:rPr>
              <w:t>202</w:t>
            </w:r>
            <w:r>
              <w:rPr>
                <w:rFonts w:ascii="Arial" w:hAnsi="Arial" w:cs="Arial"/>
                <w:b/>
                <w:caps/>
                <w:sz w:val="18"/>
                <w:szCs w:val="18"/>
                <w:lang w:val="en-US"/>
              </w:rPr>
              <w:t>2</w:t>
            </w:r>
          </w:p>
        </w:tc>
      </w:tr>
      <w:tr w:rsidR="00032237" w:rsidRPr="009852BC" w14:paraId="693786C1" w14:textId="77777777" w:rsidTr="0056106A">
        <w:trPr>
          <w:jc w:val="center"/>
        </w:trPr>
        <w:tc>
          <w:tcPr>
            <w:tcW w:w="10636" w:type="dxa"/>
            <w:gridSpan w:val="7"/>
          </w:tcPr>
          <w:p w14:paraId="2A3FB60B"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TAGGING</w:t>
            </w:r>
          </w:p>
        </w:tc>
      </w:tr>
      <w:tr w:rsidR="00032237" w:rsidRPr="009852BC" w14:paraId="5D362757" w14:textId="77777777" w:rsidTr="0056106A">
        <w:trPr>
          <w:gridAfter w:val="1"/>
          <w:wAfter w:w="10" w:type="dxa"/>
          <w:jc w:val="center"/>
        </w:trPr>
        <w:tc>
          <w:tcPr>
            <w:tcW w:w="491" w:type="dxa"/>
          </w:tcPr>
          <w:p w14:paraId="12399440"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w:t>
            </w:r>
          </w:p>
        </w:tc>
        <w:tc>
          <w:tcPr>
            <w:tcW w:w="3580" w:type="dxa"/>
          </w:tcPr>
          <w:p w14:paraId="45F91193" w14:textId="77777777" w:rsidR="00032237" w:rsidRPr="009852BC" w:rsidRDefault="00032237" w:rsidP="00A31C14">
            <w:pPr>
              <w:rPr>
                <w:rFonts w:ascii="Arial" w:hAnsi="Arial" w:cs="Arial"/>
                <w:sz w:val="18"/>
                <w:szCs w:val="18"/>
                <w:lang w:val="en-US"/>
              </w:rPr>
            </w:pPr>
            <w:bookmarkStart w:id="1" w:name="_Toc205008709"/>
            <w:bookmarkStart w:id="2" w:name="_Toc205008794"/>
            <w:r w:rsidRPr="009852BC">
              <w:rPr>
                <w:rFonts w:ascii="Arial" w:hAnsi="Arial" w:cs="Arial"/>
                <w:b/>
                <w:sz w:val="18"/>
                <w:szCs w:val="18"/>
                <w:lang w:val="en-US"/>
              </w:rPr>
              <w:t>Pole and line tagging research voyage</w:t>
            </w:r>
          </w:p>
          <w:bookmarkEnd w:id="1"/>
          <w:bookmarkEnd w:id="2"/>
          <w:p w14:paraId="7F240253" w14:textId="77777777" w:rsidR="00032237" w:rsidRPr="009852BC" w:rsidRDefault="00032237" w:rsidP="00A31C14">
            <w:pPr>
              <w:rPr>
                <w:rFonts w:ascii="Arial" w:hAnsi="Arial" w:cs="Arial"/>
                <w:sz w:val="18"/>
                <w:szCs w:val="18"/>
                <w:lang w:val="en-US"/>
              </w:rPr>
            </w:pPr>
          </w:p>
          <w:p w14:paraId="237A26C3"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Target is skipjack, with secondary target of yellowfin</w:t>
            </w:r>
            <w:r>
              <w:rPr>
                <w:rFonts w:ascii="Arial" w:hAnsi="Arial" w:cs="Arial"/>
                <w:sz w:val="18"/>
                <w:szCs w:val="18"/>
                <w:lang w:val="en-US"/>
              </w:rPr>
              <w:t>.</w:t>
            </w:r>
          </w:p>
          <w:p w14:paraId="202DBD04" w14:textId="77777777" w:rsidR="00032237" w:rsidRPr="009852BC" w:rsidRDefault="00032237" w:rsidP="00A31C14">
            <w:pPr>
              <w:rPr>
                <w:rFonts w:ascii="Arial" w:hAnsi="Arial" w:cs="Arial"/>
                <w:sz w:val="18"/>
                <w:szCs w:val="18"/>
                <w:lang w:val="en-US"/>
              </w:rPr>
            </w:pPr>
          </w:p>
          <w:p w14:paraId="15B90272"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Following SC</w:t>
            </w:r>
            <w:r w:rsidRPr="009852BC">
              <w:rPr>
                <w:rFonts w:ascii="Arial" w:hAnsi="Arial" w:cs="Arial"/>
                <w:sz w:val="18"/>
                <w:szCs w:val="18"/>
                <w:lang w:val="en-US"/>
              </w:rPr>
              <w:t xml:space="preserve"> recommendation</w:t>
            </w:r>
            <w:r>
              <w:rPr>
                <w:rFonts w:ascii="Arial" w:hAnsi="Arial" w:cs="Arial"/>
                <w:sz w:val="18"/>
                <w:szCs w:val="18"/>
                <w:lang w:val="en-US"/>
              </w:rPr>
              <w:t>s</w:t>
            </w:r>
            <w:r w:rsidRPr="009852BC">
              <w:rPr>
                <w:rFonts w:ascii="Arial" w:hAnsi="Arial" w:cs="Arial"/>
                <w:sz w:val="18"/>
                <w:szCs w:val="18"/>
                <w:lang w:val="en-US"/>
              </w:rPr>
              <w:t xml:space="preserve"> to implement a skipjack tagging experiment every second year, a pole and line </w:t>
            </w:r>
            <w:r>
              <w:rPr>
                <w:rFonts w:ascii="Arial" w:hAnsi="Arial" w:cs="Arial"/>
                <w:sz w:val="18"/>
                <w:szCs w:val="18"/>
                <w:lang w:val="en-US"/>
              </w:rPr>
              <w:t>research voyage</w:t>
            </w:r>
            <w:r w:rsidRPr="009852BC">
              <w:rPr>
                <w:rFonts w:ascii="Arial" w:hAnsi="Arial" w:cs="Arial"/>
                <w:sz w:val="18"/>
                <w:szCs w:val="18"/>
                <w:lang w:val="en-US"/>
              </w:rPr>
              <w:t xml:space="preserve"> is scheduled for 201</w:t>
            </w:r>
            <w:r>
              <w:rPr>
                <w:rFonts w:ascii="Arial" w:hAnsi="Arial" w:cs="Arial"/>
                <w:sz w:val="18"/>
                <w:szCs w:val="18"/>
                <w:lang w:val="en-US"/>
              </w:rPr>
              <w:t>9</w:t>
            </w:r>
            <w:r w:rsidRPr="009852BC">
              <w:rPr>
                <w:rFonts w:ascii="Arial" w:hAnsi="Arial" w:cs="Arial"/>
                <w:sz w:val="18"/>
                <w:szCs w:val="18"/>
                <w:lang w:val="en-US"/>
              </w:rPr>
              <w:t xml:space="preserve"> and biennially thereafter.</w:t>
            </w:r>
          </w:p>
          <w:p w14:paraId="759F8788" w14:textId="77777777" w:rsidR="00032237" w:rsidRPr="009852BC" w:rsidRDefault="00032237" w:rsidP="00A31C14">
            <w:pPr>
              <w:rPr>
                <w:rFonts w:ascii="Arial" w:hAnsi="Arial" w:cs="Arial"/>
                <w:sz w:val="18"/>
                <w:szCs w:val="18"/>
                <w:lang w:val="en-US"/>
              </w:rPr>
            </w:pPr>
          </w:p>
          <w:p w14:paraId="44DE4B1C" w14:textId="749AC06D" w:rsidR="00032237" w:rsidRPr="00917115" w:rsidRDefault="00032237" w:rsidP="00A31C14">
            <w:pPr>
              <w:rPr>
                <w:rFonts w:ascii="Arial" w:hAnsi="Arial" w:cs="Arial"/>
                <w:color w:val="FFFFFF" w:themeColor="background1"/>
                <w:sz w:val="18"/>
                <w:szCs w:val="18"/>
                <w:lang w:val="en-US"/>
              </w:rPr>
            </w:pPr>
            <w:r w:rsidRPr="009852BC">
              <w:rPr>
                <w:rFonts w:ascii="Arial" w:hAnsi="Arial" w:cs="Arial"/>
                <w:sz w:val="18"/>
                <w:szCs w:val="18"/>
                <w:lang w:val="en-US"/>
              </w:rPr>
              <w:t>Note also critical component of biological sampling in support of Project 35b.</w:t>
            </w:r>
          </w:p>
        </w:tc>
        <w:tc>
          <w:tcPr>
            <w:tcW w:w="1736" w:type="dxa"/>
            <w:tcBorders>
              <w:bottom w:val="single" w:sz="4" w:space="0" w:color="000000"/>
            </w:tcBorders>
            <w:shd w:val="clear" w:color="auto" w:fill="000000" w:themeFill="text1"/>
          </w:tcPr>
          <w:p w14:paraId="1EF456A1"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 xml:space="preserve">A charter arrangement has been concluded with NFD for use of the </w:t>
            </w:r>
            <w:proofErr w:type="spellStart"/>
            <w:r>
              <w:rPr>
                <w:rFonts w:ascii="Arial" w:hAnsi="Arial" w:cs="Arial"/>
                <w:sz w:val="18"/>
                <w:szCs w:val="18"/>
                <w:lang w:val="en-US"/>
              </w:rPr>
              <w:t>Soltai</w:t>
            </w:r>
            <w:proofErr w:type="spellEnd"/>
            <w:r>
              <w:rPr>
                <w:rFonts w:ascii="Arial" w:hAnsi="Arial" w:cs="Arial"/>
                <w:sz w:val="18"/>
                <w:szCs w:val="18"/>
                <w:lang w:val="en-US"/>
              </w:rPr>
              <w:t xml:space="preserve"> 105 Pole &amp; Line vessel to implement 62-day WP5 research voyage</w:t>
            </w:r>
          </w:p>
        </w:tc>
        <w:tc>
          <w:tcPr>
            <w:tcW w:w="1701" w:type="dxa"/>
            <w:tcBorders>
              <w:bottom w:val="single" w:sz="4" w:space="0" w:color="000000"/>
            </w:tcBorders>
            <w:shd w:val="clear" w:color="auto" w:fill="FFFFFF" w:themeFill="background1"/>
          </w:tcPr>
          <w:p w14:paraId="1EAC0FB8" w14:textId="77777777" w:rsidR="00032237" w:rsidRPr="009852BC" w:rsidRDefault="00032237" w:rsidP="00A31C14">
            <w:pPr>
              <w:rPr>
                <w:rFonts w:ascii="Arial" w:hAnsi="Arial" w:cs="Arial"/>
                <w:sz w:val="18"/>
                <w:szCs w:val="18"/>
                <w:lang w:val="en-US"/>
              </w:rPr>
            </w:pPr>
          </w:p>
        </w:tc>
        <w:tc>
          <w:tcPr>
            <w:tcW w:w="1559" w:type="dxa"/>
            <w:tcBorders>
              <w:bottom w:val="single" w:sz="4" w:space="0" w:color="000000"/>
            </w:tcBorders>
            <w:shd w:val="clear" w:color="auto" w:fill="000000" w:themeFill="text1"/>
          </w:tcPr>
          <w:p w14:paraId="49E3C648"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Plans to be refined after assessing viable</w:t>
            </w:r>
            <w:r w:rsidRPr="009852BC">
              <w:rPr>
                <w:rFonts w:ascii="Arial" w:hAnsi="Arial" w:cs="Arial"/>
                <w:sz w:val="18"/>
                <w:szCs w:val="18"/>
                <w:lang w:val="en-US"/>
              </w:rPr>
              <w:t xml:space="preserve"> </w:t>
            </w:r>
            <w:r>
              <w:rPr>
                <w:rFonts w:ascii="Arial" w:hAnsi="Arial" w:cs="Arial"/>
                <w:sz w:val="18"/>
                <w:szCs w:val="18"/>
                <w:lang w:val="en-US"/>
              </w:rPr>
              <w:t>available options</w:t>
            </w:r>
          </w:p>
        </w:tc>
        <w:tc>
          <w:tcPr>
            <w:tcW w:w="1559" w:type="dxa"/>
            <w:tcBorders>
              <w:bottom w:val="single" w:sz="4" w:space="0" w:color="000000"/>
            </w:tcBorders>
            <w:shd w:val="clear" w:color="auto" w:fill="FFFFFF" w:themeFill="background1"/>
          </w:tcPr>
          <w:p w14:paraId="423A9A16" w14:textId="77777777" w:rsidR="00032237" w:rsidRPr="009852BC" w:rsidRDefault="00032237" w:rsidP="00A31C14">
            <w:pPr>
              <w:rPr>
                <w:rFonts w:ascii="Arial" w:hAnsi="Arial" w:cs="Arial"/>
                <w:sz w:val="18"/>
                <w:szCs w:val="18"/>
                <w:lang w:val="en-US"/>
              </w:rPr>
            </w:pPr>
          </w:p>
        </w:tc>
      </w:tr>
      <w:tr w:rsidR="00032237" w:rsidRPr="009852BC" w14:paraId="7C36BA80" w14:textId="77777777" w:rsidTr="0056106A">
        <w:trPr>
          <w:gridAfter w:val="1"/>
          <w:wAfter w:w="10" w:type="dxa"/>
          <w:jc w:val="center"/>
        </w:trPr>
        <w:tc>
          <w:tcPr>
            <w:tcW w:w="491" w:type="dxa"/>
          </w:tcPr>
          <w:p w14:paraId="01901D49"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2.</w:t>
            </w:r>
          </w:p>
        </w:tc>
        <w:tc>
          <w:tcPr>
            <w:tcW w:w="3580" w:type="dxa"/>
          </w:tcPr>
          <w:p w14:paraId="10C0237C"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Dangler/troll tagging research voyage</w:t>
            </w:r>
          </w:p>
          <w:p w14:paraId="361DF4BC" w14:textId="77777777" w:rsidR="00032237" w:rsidRPr="009852BC" w:rsidRDefault="00032237" w:rsidP="00A31C14">
            <w:pPr>
              <w:rPr>
                <w:rFonts w:ascii="Arial" w:hAnsi="Arial" w:cs="Arial"/>
                <w:color w:val="000000"/>
                <w:sz w:val="18"/>
                <w:szCs w:val="18"/>
                <w:lang w:val="en-US"/>
              </w:rPr>
            </w:pPr>
          </w:p>
          <w:p w14:paraId="3642A77A" w14:textId="77777777" w:rsidR="00032237" w:rsidRPr="009852BC" w:rsidRDefault="00032237" w:rsidP="00A31C14">
            <w:pPr>
              <w:rPr>
                <w:rFonts w:ascii="Arial" w:hAnsi="Arial" w:cs="Arial"/>
                <w:color w:val="000000"/>
                <w:sz w:val="18"/>
                <w:szCs w:val="18"/>
                <w:lang w:val="en-US"/>
              </w:rPr>
            </w:pPr>
            <w:r w:rsidRPr="009852BC">
              <w:rPr>
                <w:rFonts w:ascii="Arial" w:hAnsi="Arial" w:cs="Arial"/>
                <w:color w:val="000000"/>
                <w:sz w:val="18"/>
                <w:szCs w:val="18"/>
                <w:lang w:val="en-US"/>
              </w:rPr>
              <w:t>Target is bigeye, wit</w:t>
            </w:r>
            <w:r>
              <w:rPr>
                <w:rFonts w:ascii="Arial" w:hAnsi="Arial" w:cs="Arial"/>
                <w:color w:val="000000"/>
                <w:sz w:val="18"/>
                <w:szCs w:val="18"/>
                <w:lang w:val="en-US"/>
              </w:rPr>
              <w:t>h secondary target of yellowfin.</w:t>
            </w:r>
          </w:p>
          <w:p w14:paraId="361FC6F1" w14:textId="77777777" w:rsidR="00032237" w:rsidRPr="009852BC" w:rsidRDefault="00032237" w:rsidP="00A31C14">
            <w:pPr>
              <w:rPr>
                <w:rFonts w:ascii="Arial" w:hAnsi="Arial" w:cs="Arial"/>
                <w:color w:val="000000"/>
                <w:sz w:val="18"/>
                <w:szCs w:val="18"/>
                <w:lang w:val="en-US"/>
              </w:rPr>
            </w:pPr>
          </w:p>
          <w:p w14:paraId="7C1FDA4C" w14:textId="77777777" w:rsidR="00032237" w:rsidRPr="009852BC" w:rsidRDefault="00032237" w:rsidP="00A31C14">
            <w:pPr>
              <w:rPr>
                <w:rFonts w:ascii="Arial" w:hAnsi="Arial" w:cs="Arial"/>
                <w:color w:val="000000"/>
                <w:sz w:val="18"/>
                <w:szCs w:val="18"/>
                <w:lang w:val="en-US"/>
              </w:rPr>
            </w:pPr>
            <w:r w:rsidRPr="009852BC">
              <w:rPr>
                <w:rFonts w:ascii="Arial" w:hAnsi="Arial" w:cs="Arial"/>
                <w:color w:val="000000"/>
                <w:sz w:val="18"/>
                <w:szCs w:val="18"/>
                <w:lang w:val="en-US"/>
              </w:rPr>
              <w:t xml:space="preserve">Following SC12 recommendation to implement a bigeye </w:t>
            </w:r>
            <w:r>
              <w:rPr>
                <w:rFonts w:ascii="Arial" w:hAnsi="Arial" w:cs="Arial"/>
                <w:color w:val="000000"/>
                <w:sz w:val="18"/>
                <w:szCs w:val="18"/>
                <w:lang w:val="en-US"/>
              </w:rPr>
              <w:t>tagging</w:t>
            </w:r>
            <w:r w:rsidRPr="009852BC">
              <w:rPr>
                <w:rFonts w:ascii="Arial" w:hAnsi="Arial" w:cs="Arial"/>
                <w:color w:val="000000"/>
                <w:sz w:val="18"/>
                <w:szCs w:val="18"/>
                <w:lang w:val="en-US"/>
              </w:rPr>
              <w:t xml:space="preserve"> experiment every second year, a dangler/troll </w:t>
            </w:r>
            <w:r>
              <w:rPr>
                <w:rFonts w:ascii="Arial" w:hAnsi="Arial" w:cs="Arial"/>
                <w:color w:val="000000"/>
                <w:sz w:val="18"/>
                <w:szCs w:val="18"/>
                <w:lang w:val="en-US"/>
              </w:rPr>
              <w:t>experiment is scheduled for 2020</w:t>
            </w:r>
            <w:r w:rsidRPr="009852BC">
              <w:rPr>
                <w:rFonts w:ascii="Arial" w:hAnsi="Arial" w:cs="Arial"/>
                <w:color w:val="000000"/>
                <w:sz w:val="18"/>
                <w:szCs w:val="18"/>
                <w:lang w:val="en-US"/>
              </w:rPr>
              <w:t xml:space="preserve"> and biennially thereafter.</w:t>
            </w:r>
          </w:p>
          <w:p w14:paraId="6D069223" w14:textId="77777777" w:rsidR="00032237" w:rsidRPr="009852BC" w:rsidRDefault="00032237" w:rsidP="00A31C14">
            <w:pPr>
              <w:rPr>
                <w:rFonts w:ascii="Arial" w:hAnsi="Arial" w:cs="Arial"/>
                <w:color w:val="000000"/>
                <w:sz w:val="18"/>
                <w:szCs w:val="18"/>
                <w:lang w:val="en-US"/>
              </w:rPr>
            </w:pPr>
          </w:p>
          <w:p w14:paraId="0756385D" w14:textId="759AC70E" w:rsidR="00032237" w:rsidRPr="009852BC" w:rsidRDefault="00032237" w:rsidP="00A31C14">
            <w:pPr>
              <w:rPr>
                <w:rFonts w:ascii="Arial" w:hAnsi="Arial" w:cs="Arial"/>
                <w:color w:val="000000"/>
                <w:sz w:val="18"/>
                <w:szCs w:val="18"/>
                <w:lang w:val="en-US"/>
              </w:rPr>
            </w:pPr>
            <w:r w:rsidRPr="009852BC">
              <w:rPr>
                <w:rFonts w:ascii="Arial" w:hAnsi="Arial" w:cs="Arial"/>
                <w:sz w:val="18"/>
                <w:szCs w:val="18"/>
                <w:lang w:val="en-US"/>
              </w:rPr>
              <w:t>Note also critical component of biological sampling in support of Project 35b.</w:t>
            </w:r>
            <w:r w:rsidRPr="009852BC">
              <w:rPr>
                <w:rFonts w:ascii="Arial" w:hAnsi="Arial" w:cs="Arial"/>
                <w:color w:val="FFFFFF" w:themeColor="background1"/>
                <w:sz w:val="18"/>
                <w:szCs w:val="18"/>
                <w:lang w:val="en-US"/>
              </w:rPr>
              <w:t>ch</w:t>
            </w:r>
          </w:p>
        </w:tc>
        <w:tc>
          <w:tcPr>
            <w:tcW w:w="1736" w:type="dxa"/>
            <w:shd w:val="clear" w:color="auto" w:fill="FFFFFF" w:themeFill="background1"/>
          </w:tcPr>
          <w:p w14:paraId="11BD0262" w14:textId="77777777" w:rsidR="00032237" w:rsidRPr="009852BC" w:rsidRDefault="00032237" w:rsidP="00A31C14">
            <w:pPr>
              <w:rPr>
                <w:rFonts w:ascii="Arial" w:hAnsi="Arial" w:cs="Arial"/>
                <w:color w:val="FFFFFF" w:themeColor="background1"/>
                <w:sz w:val="18"/>
                <w:szCs w:val="18"/>
                <w:lang w:val="en-US"/>
              </w:rPr>
            </w:pPr>
          </w:p>
        </w:tc>
        <w:tc>
          <w:tcPr>
            <w:tcW w:w="1701" w:type="dxa"/>
            <w:shd w:val="clear" w:color="auto" w:fill="000000" w:themeFill="text1"/>
          </w:tcPr>
          <w:p w14:paraId="1B111EBA" w14:textId="77777777" w:rsidR="00032237" w:rsidRDefault="00032237" w:rsidP="00A31C14">
            <w:pPr>
              <w:rPr>
                <w:rFonts w:ascii="Arial" w:hAnsi="Arial" w:cs="Arial"/>
                <w:color w:val="FFFFFF" w:themeColor="background1"/>
                <w:sz w:val="18"/>
                <w:szCs w:val="18"/>
                <w:lang w:val="en-US"/>
              </w:rPr>
            </w:pPr>
            <w:r w:rsidRPr="009852BC">
              <w:rPr>
                <w:rFonts w:ascii="Arial" w:hAnsi="Arial" w:cs="Arial"/>
                <w:color w:val="FFFFFF" w:themeColor="background1"/>
                <w:sz w:val="18"/>
                <w:szCs w:val="18"/>
                <w:lang w:val="en-US"/>
              </w:rPr>
              <w:t>Focus in the Central Pacific to continue  view of bigeye across the WCPO</w:t>
            </w:r>
          </w:p>
          <w:p w14:paraId="7AD49717" w14:textId="77777777" w:rsidR="00032237" w:rsidRPr="009852BC" w:rsidRDefault="00032237" w:rsidP="00A31C14">
            <w:pPr>
              <w:rPr>
                <w:rFonts w:ascii="Arial" w:hAnsi="Arial" w:cs="Arial"/>
                <w:color w:val="FFFFFF" w:themeColor="background1"/>
                <w:sz w:val="18"/>
                <w:szCs w:val="18"/>
                <w:lang w:val="en-US"/>
              </w:rPr>
            </w:pPr>
          </w:p>
        </w:tc>
        <w:tc>
          <w:tcPr>
            <w:tcW w:w="1559" w:type="dxa"/>
            <w:shd w:val="clear" w:color="auto" w:fill="FFFFFF" w:themeFill="background1"/>
          </w:tcPr>
          <w:p w14:paraId="48B53F2C" w14:textId="77777777" w:rsidR="00032237" w:rsidRPr="009852BC" w:rsidRDefault="00032237" w:rsidP="00A31C14">
            <w:pPr>
              <w:rPr>
                <w:rFonts w:ascii="Arial" w:hAnsi="Arial" w:cs="Arial"/>
                <w:color w:val="000000"/>
                <w:sz w:val="18"/>
                <w:szCs w:val="18"/>
                <w:lang w:val="en-US"/>
              </w:rPr>
            </w:pPr>
            <w:r>
              <w:rPr>
                <w:rFonts w:ascii="Arial" w:hAnsi="Arial" w:cs="Arial"/>
                <w:sz w:val="18"/>
                <w:szCs w:val="18"/>
                <w:lang w:val="en-US"/>
              </w:rPr>
              <w:t>D</w:t>
            </w:r>
            <w:r w:rsidRPr="009A4477">
              <w:rPr>
                <w:rFonts w:ascii="Arial" w:hAnsi="Arial" w:cs="Arial"/>
                <w:sz w:val="18"/>
                <w:szCs w:val="18"/>
                <w:lang w:val="en-US"/>
              </w:rPr>
              <w:t>epe</w:t>
            </w:r>
            <w:r>
              <w:rPr>
                <w:rFonts w:ascii="Arial" w:hAnsi="Arial" w:cs="Arial"/>
                <w:sz w:val="18"/>
                <w:szCs w:val="18"/>
                <w:lang w:val="en-US"/>
              </w:rPr>
              <w:t>n</w:t>
            </w:r>
            <w:r w:rsidRPr="009A4477">
              <w:rPr>
                <w:rFonts w:ascii="Arial" w:hAnsi="Arial" w:cs="Arial"/>
                <w:sz w:val="18"/>
                <w:szCs w:val="18"/>
                <w:lang w:val="en-US"/>
              </w:rPr>
              <w:t xml:space="preserve">dent on </w:t>
            </w:r>
            <w:r>
              <w:rPr>
                <w:rFonts w:ascii="Arial" w:hAnsi="Arial" w:cs="Arial"/>
                <w:sz w:val="18"/>
                <w:szCs w:val="18"/>
                <w:lang w:val="en-US"/>
              </w:rPr>
              <w:t>outcome of obtaining a suitable pole and line vessel, it may be appropriate to undertake a second consecutive year of dangler/troll research</w:t>
            </w:r>
          </w:p>
        </w:tc>
        <w:tc>
          <w:tcPr>
            <w:tcW w:w="1559" w:type="dxa"/>
            <w:shd w:val="clear" w:color="auto" w:fill="000000" w:themeFill="text1"/>
          </w:tcPr>
          <w:p w14:paraId="6C455186" w14:textId="77777777" w:rsidR="00032237" w:rsidRDefault="00032237" w:rsidP="00A31C14">
            <w:pPr>
              <w:rPr>
                <w:rFonts w:ascii="Arial" w:hAnsi="Arial" w:cs="Arial"/>
                <w:color w:val="FFFFFF" w:themeColor="background1"/>
                <w:sz w:val="18"/>
                <w:szCs w:val="18"/>
                <w:lang w:val="en-US"/>
              </w:rPr>
            </w:pPr>
            <w:r w:rsidRPr="009852BC">
              <w:rPr>
                <w:rFonts w:ascii="Arial" w:hAnsi="Arial" w:cs="Arial"/>
                <w:color w:val="FFFFFF" w:themeColor="background1"/>
                <w:sz w:val="18"/>
                <w:szCs w:val="18"/>
                <w:lang w:val="en-US"/>
              </w:rPr>
              <w:t>Focus in the Central Pacific to continue  view of bigeye across the WCPO</w:t>
            </w:r>
          </w:p>
          <w:p w14:paraId="3A557A04" w14:textId="77777777" w:rsidR="00032237" w:rsidRPr="009852BC" w:rsidRDefault="00032237" w:rsidP="00A31C14">
            <w:pPr>
              <w:rPr>
                <w:rFonts w:ascii="Arial" w:hAnsi="Arial" w:cs="Arial"/>
                <w:color w:val="000000"/>
                <w:sz w:val="18"/>
                <w:szCs w:val="18"/>
                <w:lang w:val="en-US"/>
              </w:rPr>
            </w:pPr>
          </w:p>
        </w:tc>
      </w:tr>
      <w:tr w:rsidR="00032237" w:rsidRPr="009852BC" w14:paraId="6ED743A7" w14:textId="77777777" w:rsidTr="0056106A">
        <w:trPr>
          <w:jc w:val="center"/>
        </w:trPr>
        <w:tc>
          <w:tcPr>
            <w:tcW w:w="10636" w:type="dxa"/>
            <w:gridSpan w:val="7"/>
          </w:tcPr>
          <w:p w14:paraId="5A9DB28A"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TAG RECOVERY</w:t>
            </w:r>
          </w:p>
        </w:tc>
      </w:tr>
      <w:tr w:rsidR="00032237" w:rsidRPr="009852BC" w14:paraId="7AC30D92" w14:textId="77777777" w:rsidTr="0056106A">
        <w:trPr>
          <w:gridAfter w:val="1"/>
          <w:wAfter w:w="10" w:type="dxa"/>
          <w:jc w:val="center"/>
        </w:trPr>
        <w:tc>
          <w:tcPr>
            <w:tcW w:w="491" w:type="dxa"/>
          </w:tcPr>
          <w:p w14:paraId="534B509B"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3.</w:t>
            </w:r>
          </w:p>
        </w:tc>
        <w:tc>
          <w:tcPr>
            <w:tcW w:w="3580" w:type="dxa"/>
          </w:tcPr>
          <w:p w14:paraId="0B603CBA" w14:textId="77777777" w:rsidR="00032237" w:rsidRPr="009852BC" w:rsidRDefault="00032237" w:rsidP="00A31C14">
            <w:pPr>
              <w:rPr>
                <w:rFonts w:ascii="Arial" w:hAnsi="Arial" w:cs="Arial"/>
                <w:color w:val="000000"/>
                <w:sz w:val="18"/>
                <w:szCs w:val="18"/>
                <w:lang w:val="en-US"/>
              </w:rPr>
            </w:pPr>
            <w:r w:rsidRPr="009852BC">
              <w:rPr>
                <w:rFonts w:ascii="Arial" w:hAnsi="Arial" w:cs="Arial"/>
                <w:color w:val="000000"/>
                <w:sz w:val="18"/>
                <w:szCs w:val="18"/>
                <w:lang w:val="en-US"/>
              </w:rPr>
              <w:t>Establish new TRO positions where required.</w:t>
            </w:r>
          </w:p>
        </w:tc>
        <w:tc>
          <w:tcPr>
            <w:tcW w:w="1736" w:type="dxa"/>
            <w:shd w:val="clear" w:color="auto" w:fill="000000"/>
          </w:tcPr>
          <w:p w14:paraId="06066D10" w14:textId="77777777" w:rsidR="00032237" w:rsidRPr="009852BC" w:rsidRDefault="00032237" w:rsidP="00A31C14">
            <w:pPr>
              <w:rPr>
                <w:rFonts w:ascii="Arial" w:hAnsi="Arial" w:cs="Arial"/>
                <w:color w:val="000000"/>
                <w:sz w:val="18"/>
                <w:szCs w:val="18"/>
                <w:lang w:val="en-US"/>
              </w:rPr>
            </w:pPr>
          </w:p>
        </w:tc>
        <w:tc>
          <w:tcPr>
            <w:tcW w:w="1701" w:type="dxa"/>
            <w:tcBorders>
              <w:bottom w:val="single" w:sz="4" w:space="0" w:color="000000"/>
            </w:tcBorders>
            <w:shd w:val="clear" w:color="auto" w:fill="000000" w:themeFill="text1"/>
          </w:tcPr>
          <w:p w14:paraId="3F92A8D9"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000000" w:themeFill="text1"/>
          </w:tcPr>
          <w:p w14:paraId="786462D9"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000000" w:themeFill="text1"/>
          </w:tcPr>
          <w:p w14:paraId="3E310CC1" w14:textId="77777777" w:rsidR="00032237" w:rsidRPr="009852BC" w:rsidRDefault="00032237" w:rsidP="00A31C14">
            <w:pPr>
              <w:rPr>
                <w:rFonts w:ascii="Arial" w:hAnsi="Arial" w:cs="Arial"/>
                <w:color w:val="000000"/>
                <w:sz w:val="18"/>
                <w:szCs w:val="18"/>
                <w:lang w:val="en-US"/>
              </w:rPr>
            </w:pPr>
          </w:p>
        </w:tc>
      </w:tr>
      <w:tr w:rsidR="00032237" w:rsidRPr="009852BC" w14:paraId="01910D3B" w14:textId="77777777" w:rsidTr="0056106A">
        <w:trPr>
          <w:gridAfter w:val="1"/>
          <w:wAfter w:w="10" w:type="dxa"/>
          <w:jc w:val="center"/>
        </w:trPr>
        <w:tc>
          <w:tcPr>
            <w:tcW w:w="491" w:type="dxa"/>
          </w:tcPr>
          <w:p w14:paraId="27EC827E"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4.</w:t>
            </w:r>
          </w:p>
        </w:tc>
        <w:tc>
          <w:tcPr>
            <w:tcW w:w="3580" w:type="dxa"/>
          </w:tcPr>
          <w:p w14:paraId="3756D758" w14:textId="77777777" w:rsidR="00032237" w:rsidRPr="009852BC" w:rsidRDefault="00032237" w:rsidP="00A31C14">
            <w:pPr>
              <w:rPr>
                <w:rFonts w:ascii="Arial" w:hAnsi="Arial" w:cs="Arial"/>
                <w:color w:val="000000"/>
                <w:sz w:val="18"/>
                <w:szCs w:val="18"/>
                <w:lang w:val="en-US"/>
              </w:rPr>
            </w:pPr>
            <w:r w:rsidRPr="009852BC">
              <w:rPr>
                <w:rFonts w:ascii="Arial" w:hAnsi="Arial" w:cs="Arial"/>
                <w:color w:val="000000"/>
                <w:sz w:val="18"/>
                <w:szCs w:val="18"/>
                <w:lang w:val="en-US"/>
              </w:rPr>
              <w:t>Ongoing support of TROs in PNG, Philippines, Thailand and key Pacific Island locations.</w:t>
            </w:r>
          </w:p>
        </w:tc>
        <w:tc>
          <w:tcPr>
            <w:tcW w:w="1736" w:type="dxa"/>
            <w:shd w:val="clear" w:color="auto" w:fill="000000"/>
          </w:tcPr>
          <w:p w14:paraId="19900DF5" w14:textId="77777777" w:rsidR="00032237" w:rsidRPr="009852BC" w:rsidRDefault="00032237" w:rsidP="00A31C14">
            <w:pPr>
              <w:rPr>
                <w:rFonts w:ascii="Arial" w:hAnsi="Arial" w:cs="Arial"/>
                <w:color w:val="000000"/>
                <w:sz w:val="18"/>
                <w:szCs w:val="18"/>
                <w:lang w:val="en-US"/>
              </w:rPr>
            </w:pPr>
          </w:p>
        </w:tc>
        <w:tc>
          <w:tcPr>
            <w:tcW w:w="1701" w:type="dxa"/>
            <w:tcBorders>
              <w:bottom w:val="single" w:sz="4" w:space="0" w:color="000000"/>
            </w:tcBorders>
            <w:shd w:val="clear" w:color="auto" w:fill="000000" w:themeFill="text1"/>
          </w:tcPr>
          <w:p w14:paraId="46743251"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000000" w:themeFill="text1"/>
          </w:tcPr>
          <w:p w14:paraId="72BB1DBF"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000000" w:themeFill="text1"/>
          </w:tcPr>
          <w:p w14:paraId="0F711DCD" w14:textId="77777777" w:rsidR="00032237" w:rsidRPr="009852BC" w:rsidRDefault="00032237" w:rsidP="00A31C14">
            <w:pPr>
              <w:rPr>
                <w:rFonts w:ascii="Arial" w:hAnsi="Arial" w:cs="Arial"/>
                <w:color w:val="000000"/>
                <w:sz w:val="18"/>
                <w:szCs w:val="18"/>
                <w:lang w:val="en-US"/>
              </w:rPr>
            </w:pPr>
          </w:p>
        </w:tc>
      </w:tr>
      <w:tr w:rsidR="00032237" w:rsidRPr="009852BC" w14:paraId="1434B081" w14:textId="77777777" w:rsidTr="0056106A">
        <w:trPr>
          <w:gridAfter w:val="1"/>
          <w:wAfter w:w="10" w:type="dxa"/>
          <w:jc w:val="center"/>
        </w:trPr>
        <w:tc>
          <w:tcPr>
            <w:tcW w:w="491" w:type="dxa"/>
          </w:tcPr>
          <w:p w14:paraId="34B5360C"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6.</w:t>
            </w:r>
          </w:p>
        </w:tc>
        <w:tc>
          <w:tcPr>
            <w:tcW w:w="3580" w:type="dxa"/>
          </w:tcPr>
          <w:p w14:paraId="26E74B3F" w14:textId="77777777" w:rsidR="00032237" w:rsidRPr="009852BC" w:rsidRDefault="00032237" w:rsidP="00A31C14">
            <w:pPr>
              <w:rPr>
                <w:rFonts w:ascii="Arial" w:hAnsi="Arial" w:cs="Arial"/>
                <w:color w:val="000000"/>
                <w:sz w:val="18"/>
                <w:szCs w:val="18"/>
                <w:lang w:val="en-US"/>
              </w:rPr>
            </w:pPr>
            <w:r w:rsidRPr="009852BC">
              <w:rPr>
                <w:rFonts w:ascii="Arial" w:hAnsi="Arial" w:cs="Arial"/>
                <w:color w:val="000000"/>
                <w:sz w:val="18"/>
                <w:szCs w:val="18"/>
                <w:lang w:val="en-US"/>
              </w:rPr>
              <w:t>Review and revise tag rewards scheme.</w:t>
            </w:r>
          </w:p>
        </w:tc>
        <w:tc>
          <w:tcPr>
            <w:tcW w:w="1736" w:type="dxa"/>
            <w:tcBorders>
              <w:bottom w:val="single" w:sz="4" w:space="0" w:color="000000"/>
            </w:tcBorders>
            <w:shd w:val="clear" w:color="auto" w:fill="FFFFFF" w:themeFill="background1"/>
          </w:tcPr>
          <w:p w14:paraId="123E698C" w14:textId="77777777" w:rsidR="00032237" w:rsidRPr="009852BC" w:rsidRDefault="00032237" w:rsidP="00A31C14">
            <w:pPr>
              <w:rPr>
                <w:rFonts w:ascii="Arial" w:hAnsi="Arial" w:cs="Arial"/>
                <w:color w:val="000000"/>
                <w:sz w:val="18"/>
                <w:szCs w:val="18"/>
                <w:lang w:val="en-US"/>
              </w:rPr>
            </w:pPr>
          </w:p>
        </w:tc>
        <w:tc>
          <w:tcPr>
            <w:tcW w:w="1701" w:type="dxa"/>
            <w:tcBorders>
              <w:bottom w:val="single" w:sz="4" w:space="0" w:color="000000"/>
            </w:tcBorders>
            <w:shd w:val="clear" w:color="auto" w:fill="000000" w:themeFill="text1"/>
          </w:tcPr>
          <w:p w14:paraId="7F63DDC9"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FFFFFF" w:themeFill="background1"/>
          </w:tcPr>
          <w:p w14:paraId="354059E0" w14:textId="77777777" w:rsidR="00032237" w:rsidRPr="009852BC" w:rsidRDefault="00032237" w:rsidP="00A31C14">
            <w:pPr>
              <w:rPr>
                <w:rFonts w:ascii="Arial" w:hAnsi="Arial" w:cs="Arial"/>
                <w:color w:val="000000"/>
                <w:sz w:val="18"/>
                <w:szCs w:val="18"/>
                <w:lang w:val="en-US"/>
              </w:rPr>
            </w:pPr>
          </w:p>
        </w:tc>
        <w:tc>
          <w:tcPr>
            <w:tcW w:w="1559" w:type="dxa"/>
            <w:tcBorders>
              <w:bottom w:val="single" w:sz="4" w:space="0" w:color="000000"/>
            </w:tcBorders>
            <w:shd w:val="clear" w:color="auto" w:fill="FFFFFF" w:themeFill="background1"/>
          </w:tcPr>
          <w:p w14:paraId="00C4AD30" w14:textId="77777777" w:rsidR="00032237" w:rsidRPr="009852BC" w:rsidRDefault="00032237" w:rsidP="00A31C14">
            <w:pPr>
              <w:rPr>
                <w:rFonts w:ascii="Arial" w:hAnsi="Arial" w:cs="Arial"/>
                <w:color w:val="000000"/>
                <w:sz w:val="18"/>
                <w:szCs w:val="18"/>
                <w:lang w:val="en-US"/>
              </w:rPr>
            </w:pPr>
          </w:p>
        </w:tc>
      </w:tr>
      <w:tr w:rsidR="00032237" w:rsidRPr="009852BC" w14:paraId="4BCD6CAC" w14:textId="77777777" w:rsidTr="0056106A">
        <w:trPr>
          <w:jc w:val="center"/>
        </w:trPr>
        <w:tc>
          <w:tcPr>
            <w:tcW w:w="10636" w:type="dxa"/>
            <w:gridSpan w:val="7"/>
            <w:shd w:val="clear" w:color="auto" w:fill="auto"/>
          </w:tcPr>
          <w:p w14:paraId="446402D5" w14:textId="77777777" w:rsidR="00032237" w:rsidRPr="009852BC" w:rsidRDefault="00032237" w:rsidP="00A31C14">
            <w:pPr>
              <w:rPr>
                <w:rFonts w:ascii="Arial" w:hAnsi="Arial" w:cs="Arial"/>
                <w:b/>
                <w:color w:val="000000"/>
                <w:sz w:val="18"/>
                <w:szCs w:val="18"/>
                <w:lang w:val="en-US"/>
              </w:rPr>
            </w:pPr>
            <w:r w:rsidRPr="009852BC">
              <w:rPr>
                <w:rFonts w:ascii="Arial" w:hAnsi="Arial" w:cs="Arial"/>
                <w:b/>
                <w:color w:val="000000"/>
                <w:sz w:val="18"/>
                <w:szCs w:val="18"/>
                <w:lang w:val="en-US"/>
              </w:rPr>
              <w:t>DATA MANAGEMENT</w:t>
            </w:r>
          </w:p>
        </w:tc>
      </w:tr>
      <w:tr w:rsidR="00032237" w:rsidRPr="009852BC" w14:paraId="077476DD" w14:textId="77777777" w:rsidTr="0056106A">
        <w:trPr>
          <w:gridAfter w:val="1"/>
          <w:wAfter w:w="10" w:type="dxa"/>
          <w:jc w:val="center"/>
        </w:trPr>
        <w:tc>
          <w:tcPr>
            <w:tcW w:w="491" w:type="dxa"/>
            <w:shd w:val="clear" w:color="auto" w:fill="auto"/>
          </w:tcPr>
          <w:p w14:paraId="22CEE8FD"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7.</w:t>
            </w:r>
          </w:p>
        </w:tc>
        <w:tc>
          <w:tcPr>
            <w:tcW w:w="3580" w:type="dxa"/>
            <w:shd w:val="clear" w:color="auto" w:fill="auto"/>
          </w:tcPr>
          <w:p w14:paraId="76CCF7F7"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PTTP data verification with VMS and Logbook, and cannery data</w:t>
            </w:r>
            <w:r>
              <w:rPr>
                <w:rFonts w:ascii="Arial" w:hAnsi="Arial" w:cs="Arial"/>
                <w:sz w:val="18"/>
                <w:szCs w:val="18"/>
                <w:lang w:val="en-US"/>
              </w:rPr>
              <w:t>.</w:t>
            </w:r>
          </w:p>
        </w:tc>
        <w:tc>
          <w:tcPr>
            <w:tcW w:w="1736" w:type="dxa"/>
            <w:shd w:val="clear" w:color="auto" w:fill="000000"/>
          </w:tcPr>
          <w:p w14:paraId="3051B891" w14:textId="77777777" w:rsidR="00032237" w:rsidRPr="009852BC" w:rsidRDefault="00032237" w:rsidP="00A31C14">
            <w:pPr>
              <w:rPr>
                <w:rFonts w:ascii="Arial" w:hAnsi="Arial" w:cs="Arial"/>
                <w:sz w:val="18"/>
                <w:szCs w:val="18"/>
                <w:lang w:val="en-US"/>
              </w:rPr>
            </w:pPr>
          </w:p>
        </w:tc>
        <w:tc>
          <w:tcPr>
            <w:tcW w:w="1701" w:type="dxa"/>
            <w:shd w:val="clear" w:color="auto" w:fill="000000"/>
          </w:tcPr>
          <w:p w14:paraId="4A2253A3" w14:textId="77777777" w:rsidR="00032237" w:rsidRPr="009852BC" w:rsidRDefault="00032237" w:rsidP="00A31C14">
            <w:pPr>
              <w:rPr>
                <w:rFonts w:ascii="Arial" w:hAnsi="Arial" w:cs="Arial"/>
                <w:sz w:val="18"/>
                <w:szCs w:val="18"/>
                <w:lang w:val="en-US"/>
              </w:rPr>
            </w:pPr>
          </w:p>
        </w:tc>
        <w:tc>
          <w:tcPr>
            <w:tcW w:w="1559" w:type="dxa"/>
            <w:shd w:val="clear" w:color="auto" w:fill="000000"/>
          </w:tcPr>
          <w:p w14:paraId="21EF8090" w14:textId="77777777" w:rsidR="00032237" w:rsidRPr="009852BC" w:rsidRDefault="00032237" w:rsidP="00A31C14">
            <w:pPr>
              <w:rPr>
                <w:rFonts w:ascii="Arial" w:hAnsi="Arial" w:cs="Arial"/>
                <w:sz w:val="18"/>
                <w:szCs w:val="18"/>
                <w:lang w:val="en-US"/>
              </w:rPr>
            </w:pPr>
          </w:p>
        </w:tc>
        <w:tc>
          <w:tcPr>
            <w:tcW w:w="1559" w:type="dxa"/>
            <w:shd w:val="clear" w:color="auto" w:fill="000000"/>
          </w:tcPr>
          <w:p w14:paraId="7C23E0D0" w14:textId="77777777" w:rsidR="00032237" w:rsidRPr="009852BC" w:rsidRDefault="00032237" w:rsidP="00A31C14">
            <w:pPr>
              <w:rPr>
                <w:rFonts w:ascii="Arial" w:hAnsi="Arial" w:cs="Arial"/>
                <w:sz w:val="18"/>
                <w:szCs w:val="18"/>
                <w:lang w:val="en-US"/>
              </w:rPr>
            </w:pPr>
          </w:p>
        </w:tc>
      </w:tr>
      <w:tr w:rsidR="00032237" w:rsidRPr="009852BC" w14:paraId="658BAAF0" w14:textId="77777777" w:rsidTr="0056106A">
        <w:trPr>
          <w:gridAfter w:val="1"/>
          <w:wAfter w:w="10" w:type="dxa"/>
          <w:jc w:val="center"/>
        </w:trPr>
        <w:tc>
          <w:tcPr>
            <w:tcW w:w="491" w:type="dxa"/>
            <w:shd w:val="clear" w:color="auto" w:fill="auto"/>
          </w:tcPr>
          <w:p w14:paraId="1A00B3F6"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8.</w:t>
            </w:r>
          </w:p>
        </w:tc>
        <w:tc>
          <w:tcPr>
            <w:tcW w:w="3580" w:type="dxa"/>
            <w:shd w:val="clear" w:color="auto" w:fill="auto"/>
          </w:tcPr>
          <w:p w14:paraId="28049645"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Consolidation of the web tagging database framework</w:t>
            </w:r>
            <w:r>
              <w:rPr>
                <w:rFonts w:ascii="Arial" w:hAnsi="Arial" w:cs="Arial"/>
                <w:sz w:val="18"/>
                <w:szCs w:val="18"/>
                <w:lang w:val="en-US"/>
              </w:rPr>
              <w:t>.</w:t>
            </w:r>
          </w:p>
        </w:tc>
        <w:tc>
          <w:tcPr>
            <w:tcW w:w="1736" w:type="dxa"/>
            <w:tcBorders>
              <w:bottom w:val="single" w:sz="4" w:space="0" w:color="000000"/>
            </w:tcBorders>
            <w:shd w:val="clear" w:color="auto" w:fill="000000"/>
          </w:tcPr>
          <w:p w14:paraId="5305ADDB" w14:textId="77777777" w:rsidR="00032237" w:rsidRPr="009852BC" w:rsidRDefault="00032237" w:rsidP="00A31C14">
            <w:pPr>
              <w:rPr>
                <w:rFonts w:ascii="Arial" w:hAnsi="Arial" w:cs="Arial"/>
                <w:sz w:val="18"/>
                <w:szCs w:val="18"/>
                <w:lang w:val="en-US"/>
              </w:rPr>
            </w:pPr>
          </w:p>
        </w:tc>
        <w:tc>
          <w:tcPr>
            <w:tcW w:w="1701" w:type="dxa"/>
            <w:tcBorders>
              <w:bottom w:val="single" w:sz="4" w:space="0" w:color="000000"/>
            </w:tcBorders>
            <w:shd w:val="clear" w:color="auto" w:fill="000000"/>
          </w:tcPr>
          <w:p w14:paraId="1BEB8DC4" w14:textId="77777777" w:rsidR="00032237" w:rsidRPr="009852BC" w:rsidRDefault="00032237" w:rsidP="00A31C14">
            <w:pPr>
              <w:rPr>
                <w:rFonts w:ascii="Arial" w:hAnsi="Arial" w:cs="Arial"/>
                <w:sz w:val="18"/>
                <w:szCs w:val="18"/>
                <w:lang w:val="en-US"/>
              </w:rPr>
            </w:pPr>
          </w:p>
        </w:tc>
        <w:tc>
          <w:tcPr>
            <w:tcW w:w="1559" w:type="dxa"/>
            <w:tcBorders>
              <w:bottom w:val="single" w:sz="4" w:space="0" w:color="000000"/>
            </w:tcBorders>
            <w:shd w:val="clear" w:color="auto" w:fill="000000"/>
          </w:tcPr>
          <w:p w14:paraId="36AA5E90" w14:textId="77777777" w:rsidR="00032237" w:rsidRPr="009852BC" w:rsidRDefault="00032237" w:rsidP="00A31C14">
            <w:pPr>
              <w:rPr>
                <w:rFonts w:ascii="Arial" w:hAnsi="Arial" w:cs="Arial"/>
                <w:sz w:val="18"/>
                <w:szCs w:val="18"/>
                <w:lang w:val="en-US"/>
              </w:rPr>
            </w:pPr>
          </w:p>
        </w:tc>
        <w:tc>
          <w:tcPr>
            <w:tcW w:w="1559" w:type="dxa"/>
            <w:tcBorders>
              <w:bottom w:val="single" w:sz="4" w:space="0" w:color="000000"/>
            </w:tcBorders>
            <w:shd w:val="clear" w:color="auto" w:fill="000000"/>
          </w:tcPr>
          <w:p w14:paraId="40FA834B" w14:textId="77777777" w:rsidR="00032237" w:rsidRPr="009852BC" w:rsidRDefault="00032237" w:rsidP="00A31C14">
            <w:pPr>
              <w:rPr>
                <w:rFonts w:ascii="Arial" w:hAnsi="Arial" w:cs="Arial"/>
                <w:sz w:val="18"/>
                <w:szCs w:val="18"/>
                <w:lang w:val="en-US"/>
              </w:rPr>
            </w:pPr>
          </w:p>
        </w:tc>
      </w:tr>
      <w:tr w:rsidR="00032237" w:rsidRPr="009852BC" w14:paraId="77D26168" w14:textId="77777777" w:rsidTr="0056106A">
        <w:trPr>
          <w:gridAfter w:val="1"/>
          <w:wAfter w:w="10" w:type="dxa"/>
          <w:jc w:val="center"/>
        </w:trPr>
        <w:tc>
          <w:tcPr>
            <w:tcW w:w="491" w:type="dxa"/>
            <w:shd w:val="clear" w:color="auto" w:fill="auto"/>
          </w:tcPr>
          <w:p w14:paraId="3A299919"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9.</w:t>
            </w:r>
          </w:p>
        </w:tc>
        <w:tc>
          <w:tcPr>
            <w:tcW w:w="3580" w:type="dxa"/>
            <w:shd w:val="clear" w:color="auto" w:fill="auto"/>
          </w:tcPr>
          <w:p w14:paraId="68E31ABD"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New tools to consolidate collection of recapture information</w:t>
            </w:r>
            <w:r>
              <w:rPr>
                <w:rFonts w:ascii="Arial" w:hAnsi="Arial" w:cs="Arial"/>
                <w:sz w:val="18"/>
                <w:szCs w:val="18"/>
                <w:lang w:val="en-US"/>
              </w:rPr>
              <w:t>.</w:t>
            </w:r>
          </w:p>
        </w:tc>
        <w:tc>
          <w:tcPr>
            <w:tcW w:w="1736" w:type="dxa"/>
            <w:shd w:val="clear" w:color="auto" w:fill="000000" w:themeFill="text1"/>
          </w:tcPr>
          <w:p w14:paraId="6B85A983"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Tuna Tagging Application is in development</w:t>
            </w:r>
          </w:p>
        </w:tc>
        <w:tc>
          <w:tcPr>
            <w:tcW w:w="1701" w:type="dxa"/>
            <w:shd w:val="clear" w:color="auto" w:fill="000000" w:themeFill="text1"/>
          </w:tcPr>
          <w:p w14:paraId="01C4F32A" w14:textId="77777777" w:rsidR="00032237" w:rsidRPr="009852BC" w:rsidRDefault="00032237" w:rsidP="00A31C14">
            <w:pPr>
              <w:rPr>
                <w:rFonts w:ascii="Arial" w:hAnsi="Arial" w:cs="Arial"/>
                <w:sz w:val="18"/>
                <w:szCs w:val="18"/>
                <w:lang w:val="en-US"/>
              </w:rPr>
            </w:pPr>
          </w:p>
        </w:tc>
        <w:tc>
          <w:tcPr>
            <w:tcW w:w="1559" w:type="dxa"/>
            <w:shd w:val="clear" w:color="auto" w:fill="auto"/>
          </w:tcPr>
          <w:p w14:paraId="7BB14D5F" w14:textId="77777777" w:rsidR="00032237" w:rsidRPr="009852BC" w:rsidRDefault="00032237" w:rsidP="00A31C14">
            <w:pPr>
              <w:rPr>
                <w:rFonts w:ascii="Arial" w:hAnsi="Arial" w:cs="Arial"/>
                <w:sz w:val="18"/>
                <w:szCs w:val="18"/>
                <w:lang w:val="en-US"/>
              </w:rPr>
            </w:pPr>
          </w:p>
        </w:tc>
        <w:tc>
          <w:tcPr>
            <w:tcW w:w="1559" w:type="dxa"/>
            <w:shd w:val="clear" w:color="auto" w:fill="auto"/>
          </w:tcPr>
          <w:p w14:paraId="5BF241C7" w14:textId="77777777" w:rsidR="00032237" w:rsidRPr="009852BC" w:rsidRDefault="00032237" w:rsidP="00A31C14">
            <w:pPr>
              <w:rPr>
                <w:rFonts w:ascii="Arial" w:hAnsi="Arial" w:cs="Arial"/>
                <w:sz w:val="18"/>
                <w:szCs w:val="18"/>
                <w:lang w:val="en-US"/>
              </w:rPr>
            </w:pPr>
          </w:p>
        </w:tc>
      </w:tr>
      <w:tr w:rsidR="00032237" w:rsidRPr="009852BC" w14:paraId="756A174A" w14:textId="77777777" w:rsidTr="0056106A">
        <w:trPr>
          <w:jc w:val="center"/>
        </w:trPr>
        <w:tc>
          <w:tcPr>
            <w:tcW w:w="10636" w:type="dxa"/>
            <w:gridSpan w:val="7"/>
          </w:tcPr>
          <w:p w14:paraId="5CEFC51F" w14:textId="77777777" w:rsidR="00032237" w:rsidRPr="009852BC" w:rsidRDefault="00032237" w:rsidP="00A31C14">
            <w:pPr>
              <w:rPr>
                <w:rFonts w:ascii="Arial" w:hAnsi="Arial" w:cs="Arial"/>
                <w:b/>
                <w:caps/>
                <w:sz w:val="18"/>
                <w:szCs w:val="18"/>
                <w:lang w:val="en-US"/>
              </w:rPr>
            </w:pPr>
            <w:r w:rsidRPr="009852BC">
              <w:rPr>
                <w:rFonts w:ascii="Arial" w:hAnsi="Arial" w:cs="Arial"/>
                <w:b/>
                <w:caps/>
                <w:sz w:val="18"/>
                <w:szCs w:val="18"/>
                <w:lang w:val="en-US"/>
              </w:rPr>
              <w:t>Data Analyses</w:t>
            </w:r>
          </w:p>
        </w:tc>
      </w:tr>
      <w:tr w:rsidR="00032237" w:rsidRPr="009852BC" w14:paraId="594074C9" w14:textId="77777777" w:rsidTr="0056106A">
        <w:trPr>
          <w:jc w:val="center"/>
        </w:trPr>
        <w:tc>
          <w:tcPr>
            <w:tcW w:w="491" w:type="dxa"/>
          </w:tcPr>
          <w:p w14:paraId="020C7AB5"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10.</w:t>
            </w:r>
          </w:p>
        </w:tc>
        <w:tc>
          <w:tcPr>
            <w:tcW w:w="3580" w:type="dxa"/>
            <w:shd w:val="clear" w:color="auto" w:fill="auto"/>
          </w:tcPr>
          <w:p w14:paraId="33CC18F1"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Tag reporting and seeding</w:t>
            </w:r>
            <w:r>
              <w:rPr>
                <w:rFonts w:ascii="Arial" w:hAnsi="Arial" w:cs="Arial"/>
                <w:sz w:val="18"/>
                <w:szCs w:val="18"/>
                <w:lang w:val="en-US"/>
              </w:rPr>
              <w:t>.</w:t>
            </w:r>
          </w:p>
          <w:p w14:paraId="37E5AF51" w14:textId="77777777" w:rsidR="00032237" w:rsidRPr="009852BC" w:rsidRDefault="00032237" w:rsidP="00A31C14">
            <w:pPr>
              <w:rPr>
                <w:rFonts w:ascii="Arial" w:hAnsi="Arial" w:cs="Arial"/>
                <w:sz w:val="18"/>
                <w:szCs w:val="18"/>
                <w:lang w:val="en-US"/>
              </w:rPr>
            </w:pPr>
          </w:p>
        </w:tc>
        <w:tc>
          <w:tcPr>
            <w:tcW w:w="6565" w:type="dxa"/>
            <w:gridSpan w:val="5"/>
            <w:shd w:val="clear" w:color="auto" w:fill="000000"/>
          </w:tcPr>
          <w:p w14:paraId="01839823"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Purpose: Estimation is a direct scalar for fishing mortality.</w:t>
            </w:r>
          </w:p>
          <w:p w14:paraId="307024CC"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Tasks: Routine update of analyses, reporting to SC.</w:t>
            </w:r>
          </w:p>
        </w:tc>
      </w:tr>
      <w:tr w:rsidR="00032237" w:rsidRPr="009852BC" w14:paraId="31E1A9C9" w14:textId="77777777" w:rsidTr="0056106A">
        <w:trPr>
          <w:jc w:val="center"/>
        </w:trPr>
        <w:tc>
          <w:tcPr>
            <w:tcW w:w="491" w:type="dxa"/>
          </w:tcPr>
          <w:p w14:paraId="18CD1DB9"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11.</w:t>
            </w:r>
          </w:p>
        </w:tc>
        <w:tc>
          <w:tcPr>
            <w:tcW w:w="3580" w:type="dxa"/>
          </w:tcPr>
          <w:p w14:paraId="0FFA0426"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Fishing and natural mortality</w:t>
            </w:r>
            <w:r>
              <w:rPr>
                <w:rFonts w:ascii="Arial" w:hAnsi="Arial" w:cs="Arial"/>
                <w:sz w:val="18"/>
                <w:szCs w:val="18"/>
                <w:lang w:val="en-US"/>
              </w:rPr>
              <w:t>.</w:t>
            </w:r>
          </w:p>
          <w:p w14:paraId="057DD34A" w14:textId="77777777" w:rsidR="00032237" w:rsidRPr="009852BC" w:rsidRDefault="00032237" w:rsidP="00A31C14">
            <w:pPr>
              <w:rPr>
                <w:rFonts w:ascii="Arial" w:hAnsi="Arial" w:cs="Arial"/>
                <w:sz w:val="18"/>
                <w:szCs w:val="18"/>
                <w:lang w:val="en-US"/>
              </w:rPr>
            </w:pPr>
          </w:p>
        </w:tc>
        <w:tc>
          <w:tcPr>
            <w:tcW w:w="6565" w:type="dxa"/>
            <w:gridSpan w:val="5"/>
            <w:shd w:val="clear" w:color="auto" w:fill="000000"/>
          </w:tcPr>
          <w:p w14:paraId="471F7B2D"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Purpose:  Provide external validation to estimates from within MFCL and identify fishing mortality changes in response to expansion of the WCPO fisheries.</w:t>
            </w:r>
          </w:p>
          <w:p w14:paraId="1DC53728"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Tasks: Routine update of analyses, reporting to SC.</w:t>
            </w:r>
          </w:p>
        </w:tc>
      </w:tr>
      <w:tr w:rsidR="00032237" w:rsidRPr="009852BC" w14:paraId="4D34F0E0" w14:textId="77777777" w:rsidTr="0056106A">
        <w:trPr>
          <w:jc w:val="center"/>
        </w:trPr>
        <w:tc>
          <w:tcPr>
            <w:tcW w:w="491" w:type="dxa"/>
          </w:tcPr>
          <w:p w14:paraId="393B5CF6"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12.</w:t>
            </w:r>
          </w:p>
        </w:tc>
        <w:tc>
          <w:tcPr>
            <w:tcW w:w="3580" w:type="dxa"/>
          </w:tcPr>
          <w:p w14:paraId="356A1426"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Movement</w:t>
            </w:r>
            <w:r>
              <w:rPr>
                <w:rFonts w:ascii="Arial" w:hAnsi="Arial" w:cs="Arial"/>
                <w:sz w:val="18"/>
                <w:szCs w:val="18"/>
                <w:lang w:val="en-US"/>
              </w:rPr>
              <w:t>.</w:t>
            </w:r>
          </w:p>
          <w:p w14:paraId="4193B3EC" w14:textId="77777777" w:rsidR="00032237" w:rsidRPr="009852BC" w:rsidRDefault="00032237" w:rsidP="00A31C14">
            <w:pPr>
              <w:rPr>
                <w:rFonts w:ascii="Arial" w:hAnsi="Arial" w:cs="Arial"/>
                <w:sz w:val="18"/>
                <w:szCs w:val="18"/>
                <w:lang w:val="en-US"/>
              </w:rPr>
            </w:pPr>
          </w:p>
          <w:p w14:paraId="5A6A2E76" w14:textId="77777777" w:rsidR="00032237" w:rsidRPr="009852BC" w:rsidRDefault="00032237" w:rsidP="00A31C14">
            <w:pPr>
              <w:rPr>
                <w:rFonts w:ascii="Arial" w:hAnsi="Arial" w:cs="Arial"/>
                <w:sz w:val="18"/>
                <w:szCs w:val="18"/>
                <w:lang w:val="en-US"/>
              </w:rPr>
            </w:pPr>
          </w:p>
        </w:tc>
        <w:tc>
          <w:tcPr>
            <w:tcW w:w="6565" w:type="dxa"/>
            <w:gridSpan w:val="5"/>
            <w:shd w:val="clear" w:color="auto" w:fill="000000"/>
          </w:tcPr>
          <w:p w14:paraId="36855AE1"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Purpose:  Provide external validation to estimates from within MFCL and SEAPODYM.</w:t>
            </w:r>
          </w:p>
          <w:p w14:paraId="34FC46CD"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Tasks: Routine update of analyses, reporting to SC.</w:t>
            </w:r>
          </w:p>
        </w:tc>
      </w:tr>
      <w:tr w:rsidR="00032237" w:rsidRPr="0064032D" w14:paraId="1048EC10" w14:textId="77777777" w:rsidTr="0056106A">
        <w:trPr>
          <w:gridAfter w:val="1"/>
          <w:wAfter w:w="10" w:type="dxa"/>
          <w:jc w:val="center"/>
        </w:trPr>
        <w:tc>
          <w:tcPr>
            <w:tcW w:w="491" w:type="dxa"/>
          </w:tcPr>
          <w:p w14:paraId="0309A961"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13.</w:t>
            </w:r>
          </w:p>
        </w:tc>
        <w:tc>
          <w:tcPr>
            <w:tcW w:w="3580" w:type="dxa"/>
          </w:tcPr>
          <w:p w14:paraId="24B3A636" w14:textId="77777777" w:rsidR="00032237" w:rsidRPr="009852BC" w:rsidRDefault="00032237" w:rsidP="00A31C14">
            <w:pPr>
              <w:rPr>
                <w:rFonts w:ascii="Arial" w:hAnsi="Arial" w:cs="Arial"/>
                <w:sz w:val="18"/>
                <w:szCs w:val="18"/>
                <w:lang w:val="en-US"/>
              </w:rPr>
            </w:pPr>
            <w:proofErr w:type="spellStart"/>
            <w:r>
              <w:rPr>
                <w:rFonts w:ascii="Arial" w:hAnsi="Arial" w:cs="Arial"/>
                <w:sz w:val="18"/>
                <w:szCs w:val="18"/>
                <w:lang w:val="en-US"/>
              </w:rPr>
              <w:t>Ikamoana</w:t>
            </w:r>
            <w:proofErr w:type="spellEnd"/>
            <w:r>
              <w:rPr>
                <w:rFonts w:ascii="Arial" w:hAnsi="Arial" w:cs="Arial"/>
                <w:sz w:val="18"/>
                <w:szCs w:val="18"/>
                <w:lang w:val="en-US"/>
              </w:rPr>
              <w:t xml:space="preserve"> tag-simulation analyses.</w:t>
            </w:r>
          </w:p>
        </w:tc>
        <w:tc>
          <w:tcPr>
            <w:tcW w:w="1736" w:type="dxa"/>
            <w:shd w:val="clear" w:color="auto" w:fill="000000" w:themeFill="text1"/>
          </w:tcPr>
          <w:p w14:paraId="1AFC3366"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FSM/Palau tag release scenarios undertaken to inform recovery effort</w:t>
            </w:r>
          </w:p>
        </w:tc>
        <w:tc>
          <w:tcPr>
            <w:tcW w:w="1701" w:type="dxa"/>
            <w:shd w:val="clear" w:color="auto" w:fill="000000"/>
          </w:tcPr>
          <w:p w14:paraId="584C8900" w14:textId="4A5C916E" w:rsidR="00032237" w:rsidRPr="009852BC" w:rsidRDefault="00032237" w:rsidP="00A31C14">
            <w:pPr>
              <w:rPr>
                <w:rFonts w:ascii="Arial" w:hAnsi="Arial" w:cs="Arial"/>
                <w:sz w:val="18"/>
                <w:szCs w:val="18"/>
                <w:lang w:val="en-US"/>
              </w:rPr>
            </w:pPr>
            <w:r>
              <w:rPr>
                <w:rFonts w:ascii="Arial" w:hAnsi="Arial" w:cs="Arial"/>
                <w:sz w:val="18"/>
                <w:szCs w:val="18"/>
                <w:lang w:val="en-US"/>
              </w:rPr>
              <w:t>Undertake tag release simulations to info</w:t>
            </w:r>
            <w:r w:rsidR="0056106A">
              <w:rPr>
                <w:rFonts w:ascii="Arial" w:hAnsi="Arial" w:cs="Arial"/>
                <w:sz w:val="18"/>
                <w:szCs w:val="18"/>
                <w:lang w:val="en-US"/>
              </w:rPr>
              <w:t>rm MF</w:t>
            </w:r>
            <w:r>
              <w:rPr>
                <w:rFonts w:ascii="Arial" w:hAnsi="Arial" w:cs="Arial"/>
                <w:sz w:val="18"/>
                <w:szCs w:val="18"/>
                <w:lang w:val="en-US"/>
              </w:rPr>
              <w:t>CL  tag mixing period</w:t>
            </w:r>
          </w:p>
        </w:tc>
        <w:tc>
          <w:tcPr>
            <w:tcW w:w="1559" w:type="dxa"/>
            <w:shd w:val="clear" w:color="auto" w:fill="000000" w:themeFill="text1"/>
          </w:tcPr>
          <w:p w14:paraId="0B30A0A4" w14:textId="77777777" w:rsidR="00032237" w:rsidRPr="009852BC" w:rsidRDefault="00032237" w:rsidP="00A31C14">
            <w:pPr>
              <w:rPr>
                <w:rFonts w:ascii="Arial" w:hAnsi="Arial" w:cs="Arial"/>
                <w:sz w:val="18"/>
                <w:szCs w:val="18"/>
                <w:lang w:val="en-US"/>
              </w:rPr>
            </w:pPr>
            <w:r>
              <w:rPr>
                <w:rFonts w:ascii="Arial" w:hAnsi="Arial" w:cs="Arial"/>
                <w:sz w:val="18"/>
                <w:szCs w:val="18"/>
                <w:lang w:val="en-US"/>
              </w:rPr>
              <w:t>Optimal design for 2021</w:t>
            </w:r>
            <w:r w:rsidRPr="009A4477">
              <w:rPr>
                <w:rFonts w:ascii="Arial" w:hAnsi="Arial" w:cs="Arial"/>
                <w:sz w:val="18"/>
                <w:szCs w:val="18"/>
                <w:lang w:val="en-US"/>
              </w:rPr>
              <w:t xml:space="preserve"> </w:t>
            </w:r>
            <w:r>
              <w:rPr>
                <w:rFonts w:ascii="Arial" w:hAnsi="Arial" w:cs="Arial"/>
                <w:sz w:val="18"/>
                <w:szCs w:val="18"/>
                <w:lang w:val="en-US"/>
              </w:rPr>
              <w:t xml:space="preserve">skipjack-focused </w:t>
            </w:r>
            <w:r w:rsidRPr="009A4477">
              <w:rPr>
                <w:rFonts w:ascii="Arial" w:hAnsi="Arial" w:cs="Arial"/>
                <w:sz w:val="18"/>
                <w:szCs w:val="18"/>
                <w:lang w:val="en-US"/>
              </w:rPr>
              <w:t>research voyage</w:t>
            </w:r>
          </w:p>
        </w:tc>
        <w:tc>
          <w:tcPr>
            <w:tcW w:w="1559" w:type="dxa"/>
            <w:shd w:val="clear" w:color="auto" w:fill="auto"/>
          </w:tcPr>
          <w:p w14:paraId="638F6CAC" w14:textId="77777777" w:rsidR="00032237" w:rsidRPr="009852BC" w:rsidRDefault="00032237" w:rsidP="00A31C14">
            <w:pPr>
              <w:rPr>
                <w:rFonts w:ascii="Arial" w:hAnsi="Arial" w:cs="Arial"/>
                <w:sz w:val="18"/>
                <w:szCs w:val="18"/>
                <w:lang w:val="en-US"/>
              </w:rPr>
            </w:pPr>
          </w:p>
        </w:tc>
      </w:tr>
      <w:tr w:rsidR="00032237" w:rsidRPr="009852BC" w14:paraId="6062AE14" w14:textId="77777777" w:rsidTr="0056106A">
        <w:trPr>
          <w:jc w:val="center"/>
        </w:trPr>
        <w:tc>
          <w:tcPr>
            <w:tcW w:w="10636" w:type="dxa"/>
            <w:gridSpan w:val="7"/>
          </w:tcPr>
          <w:p w14:paraId="5894D2AA"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PLANNING</w:t>
            </w:r>
          </w:p>
        </w:tc>
      </w:tr>
      <w:tr w:rsidR="00032237" w:rsidRPr="009852BC" w14:paraId="08189CCA" w14:textId="77777777" w:rsidTr="0056106A">
        <w:trPr>
          <w:jc w:val="center"/>
        </w:trPr>
        <w:tc>
          <w:tcPr>
            <w:tcW w:w="491" w:type="dxa"/>
          </w:tcPr>
          <w:p w14:paraId="44BD2BCD" w14:textId="77777777" w:rsidR="00032237" w:rsidRPr="009852BC" w:rsidRDefault="00032237" w:rsidP="00A31C14">
            <w:pPr>
              <w:rPr>
                <w:rFonts w:ascii="Arial" w:hAnsi="Arial" w:cs="Arial"/>
                <w:b/>
                <w:sz w:val="18"/>
                <w:szCs w:val="18"/>
                <w:lang w:val="en-US"/>
              </w:rPr>
            </w:pPr>
            <w:r w:rsidRPr="009852BC">
              <w:rPr>
                <w:rFonts w:ascii="Arial" w:hAnsi="Arial" w:cs="Arial"/>
                <w:b/>
                <w:sz w:val="18"/>
                <w:szCs w:val="18"/>
                <w:lang w:val="en-US"/>
              </w:rPr>
              <w:t>14.</w:t>
            </w:r>
          </w:p>
        </w:tc>
        <w:tc>
          <w:tcPr>
            <w:tcW w:w="3580" w:type="dxa"/>
          </w:tcPr>
          <w:p w14:paraId="28463EF3"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Review and update research plan</w:t>
            </w:r>
          </w:p>
        </w:tc>
        <w:tc>
          <w:tcPr>
            <w:tcW w:w="6565" w:type="dxa"/>
            <w:gridSpan w:val="5"/>
            <w:shd w:val="clear" w:color="auto" w:fill="000000" w:themeFill="text1"/>
          </w:tcPr>
          <w:p w14:paraId="29E9C433" w14:textId="77777777" w:rsidR="00032237" w:rsidRPr="009852BC" w:rsidRDefault="00032237" w:rsidP="00A31C14">
            <w:pPr>
              <w:rPr>
                <w:rFonts w:ascii="Arial" w:hAnsi="Arial" w:cs="Arial"/>
                <w:sz w:val="18"/>
                <w:szCs w:val="18"/>
                <w:lang w:val="en-US"/>
              </w:rPr>
            </w:pPr>
            <w:r w:rsidRPr="009852BC">
              <w:rPr>
                <w:rFonts w:ascii="Arial" w:hAnsi="Arial" w:cs="Arial"/>
                <w:sz w:val="18"/>
                <w:szCs w:val="18"/>
                <w:lang w:val="en-US"/>
              </w:rPr>
              <w:t>Ongoing annual task for rolling plan.</w:t>
            </w:r>
          </w:p>
        </w:tc>
      </w:tr>
    </w:tbl>
    <w:p w14:paraId="2C73A477" w14:textId="77777777" w:rsidR="00E90A83" w:rsidRPr="00DA091B" w:rsidRDefault="00E90A83" w:rsidP="00E90A83">
      <w:pPr>
        <w:pStyle w:val="Heading1"/>
        <w:rPr>
          <w:rFonts w:ascii="Times New Roman" w:hAnsi="Times New Roman"/>
        </w:rPr>
      </w:pPr>
      <w:r w:rsidRPr="00DA091B">
        <w:rPr>
          <w:rFonts w:ascii="Times New Roman" w:hAnsi="Times New Roman"/>
        </w:rPr>
        <w:lastRenderedPageBreak/>
        <w:t>Other Regional or Sub‐regional Tagging Projects</w:t>
      </w:r>
    </w:p>
    <w:p w14:paraId="0AA503B3" w14:textId="77777777" w:rsidR="00E90A83" w:rsidRPr="00DA091B" w:rsidRDefault="00E90A83" w:rsidP="00E90A83">
      <w:pPr>
        <w:autoSpaceDE w:val="0"/>
        <w:autoSpaceDN w:val="0"/>
        <w:adjustRightInd w:val="0"/>
        <w:rPr>
          <w:i/>
          <w:iCs/>
          <w:color w:val="4F83BE"/>
          <w:sz w:val="28"/>
          <w:szCs w:val="28"/>
        </w:rPr>
      </w:pPr>
      <w:r w:rsidRPr="00DA091B">
        <w:rPr>
          <w:i/>
          <w:iCs/>
          <w:color w:val="4F83BE"/>
          <w:sz w:val="28"/>
          <w:szCs w:val="28"/>
        </w:rPr>
        <w:t>Japan</w:t>
      </w:r>
    </w:p>
    <w:p w14:paraId="2245D491" w14:textId="37BA2055" w:rsidR="00CE36B1" w:rsidRDefault="00E90A83" w:rsidP="00E90A83">
      <w:pPr>
        <w:autoSpaceDE w:val="0"/>
        <w:autoSpaceDN w:val="0"/>
        <w:adjustRightInd w:val="0"/>
        <w:rPr>
          <w:color w:val="000000"/>
        </w:rPr>
      </w:pPr>
      <w:r w:rsidRPr="00DA091B">
        <w:rPr>
          <w:lang w:val="en-AU" w:eastAsia="en-AU"/>
        </w:rPr>
        <w:t>Japan advised it</w:t>
      </w:r>
      <w:r w:rsidR="00CE36B1">
        <w:rPr>
          <w:lang w:val="en-AU" w:eastAsia="en-AU"/>
        </w:rPr>
        <w:t xml:space="preserve"> is continuing its tagging research, </w:t>
      </w:r>
      <w:r w:rsidR="004B2A94">
        <w:rPr>
          <w:lang w:val="en-AU" w:eastAsia="en-AU"/>
        </w:rPr>
        <w:t xml:space="preserve">and </w:t>
      </w:r>
      <w:r w:rsidR="00CE36B1">
        <w:rPr>
          <w:lang w:val="en-AU" w:eastAsia="en-AU"/>
        </w:rPr>
        <w:t xml:space="preserve">two tagging </w:t>
      </w:r>
      <w:r w:rsidR="004B2A94">
        <w:rPr>
          <w:lang w:val="en-AU" w:eastAsia="en-AU"/>
        </w:rPr>
        <w:t>cruises</w:t>
      </w:r>
      <w:r w:rsidR="00CE36B1">
        <w:rPr>
          <w:lang w:val="en-AU" w:eastAsia="en-AU"/>
        </w:rPr>
        <w:t xml:space="preserve"> were </w:t>
      </w:r>
      <w:r w:rsidR="004B2A94">
        <w:rPr>
          <w:lang w:val="en-AU" w:eastAsia="en-AU"/>
        </w:rPr>
        <w:t>foreshadowed</w:t>
      </w:r>
      <w:r w:rsidR="00CE36B1">
        <w:rPr>
          <w:lang w:val="en-AU" w:eastAsia="en-AU"/>
        </w:rPr>
        <w:t xml:space="preserve"> to the </w:t>
      </w:r>
      <w:r w:rsidR="00CE36B1">
        <w:rPr>
          <w:color w:val="000000"/>
        </w:rPr>
        <w:t>Steering Committee, with the aim of releasing 500 archival tags during 2019</w:t>
      </w:r>
      <w:r w:rsidR="004B2A94">
        <w:rPr>
          <w:color w:val="000000"/>
        </w:rPr>
        <w:t>-2020</w:t>
      </w:r>
      <w:r w:rsidR="00CE36B1">
        <w:rPr>
          <w:color w:val="000000"/>
        </w:rPr>
        <w:t>, with 300 releases planned in tropical areas of the western Pacific on smaller fish, and 200 off eastern Japan on larger skipjack. Assistance in recovery of tags was requested.</w:t>
      </w:r>
    </w:p>
    <w:p w14:paraId="4062E3D7" w14:textId="6A5D796E" w:rsidR="00E90A83" w:rsidRPr="00DA091B" w:rsidRDefault="00E90A83" w:rsidP="00E90A83">
      <w:pPr>
        <w:autoSpaceDE w:val="0"/>
        <w:autoSpaceDN w:val="0"/>
        <w:adjustRightInd w:val="0"/>
        <w:rPr>
          <w:lang w:val="en-AU" w:eastAsia="en-AU"/>
        </w:rPr>
      </w:pPr>
    </w:p>
    <w:p w14:paraId="2CCB8367" w14:textId="77777777" w:rsidR="00E90A83" w:rsidRPr="00DA091B" w:rsidRDefault="00E90A83" w:rsidP="00E90A83">
      <w:pPr>
        <w:autoSpaceDE w:val="0"/>
        <w:autoSpaceDN w:val="0"/>
        <w:adjustRightInd w:val="0"/>
        <w:rPr>
          <w:i/>
          <w:iCs/>
          <w:color w:val="4F83BE"/>
          <w:sz w:val="28"/>
          <w:szCs w:val="28"/>
        </w:rPr>
      </w:pPr>
      <w:r w:rsidRPr="00DA091B">
        <w:rPr>
          <w:i/>
          <w:iCs/>
          <w:color w:val="4F83BE"/>
          <w:sz w:val="28"/>
          <w:szCs w:val="28"/>
        </w:rPr>
        <w:t>IATTC</w:t>
      </w:r>
    </w:p>
    <w:p w14:paraId="55D2ED64" w14:textId="4EE97336" w:rsidR="009E120C" w:rsidRPr="009E120C" w:rsidRDefault="009E120C" w:rsidP="009E120C">
      <w:pPr>
        <w:pStyle w:val="Heading1"/>
        <w:spacing w:before="0"/>
        <w:rPr>
          <w:rFonts w:asciiTheme="minorHAnsi" w:eastAsiaTheme="minorEastAsia" w:hAnsiTheme="minorHAnsi" w:cstheme="minorBidi"/>
          <w:b w:val="0"/>
          <w:bCs w:val="0"/>
          <w:color w:val="000000"/>
          <w:sz w:val="22"/>
          <w:szCs w:val="24"/>
        </w:rPr>
      </w:pPr>
      <w:r w:rsidRPr="009E120C">
        <w:rPr>
          <w:rFonts w:asciiTheme="minorHAnsi" w:eastAsiaTheme="minorEastAsia" w:hAnsiTheme="minorHAnsi" w:cstheme="minorBidi"/>
          <w:b w:val="0"/>
          <w:bCs w:val="0"/>
          <w:color w:val="000000"/>
          <w:sz w:val="22"/>
          <w:szCs w:val="24"/>
        </w:rPr>
        <w:t>The IATTC undertook a tuna tagging cruise aboard a chartered live-bait pole and line fishing vessel during an 85 day charter period of March 6 through May 30, 2019 in the subtropical to Equatorial Eastern Pacific Ocean, with financial support from the European Union.</w:t>
      </w:r>
    </w:p>
    <w:p w14:paraId="08602A11" w14:textId="35278734" w:rsidR="009E120C" w:rsidRPr="009E120C" w:rsidRDefault="009E120C" w:rsidP="009E120C">
      <w:pPr>
        <w:pStyle w:val="Heading1"/>
        <w:spacing w:before="0"/>
        <w:rPr>
          <w:rFonts w:asciiTheme="minorHAnsi" w:eastAsiaTheme="minorEastAsia" w:hAnsiTheme="minorHAnsi" w:cstheme="minorBidi"/>
          <w:b w:val="0"/>
          <w:bCs w:val="0"/>
          <w:color w:val="000000"/>
          <w:sz w:val="22"/>
          <w:szCs w:val="24"/>
        </w:rPr>
      </w:pPr>
      <w:r w:rsidRPr="009E120C">
        <w:rPr>
          <w:rFonts w:asciiTheme="minorHAnsi" w:eastAsiaTheme="minorEastAsia" w:hAnsiTheme="minorHAnsi" w:cstheme="minorBidi"/>
          <w:b w:val="0"/>
          <w:bCs w:val="0"/>
          <w:color w:val="000000"/>
          <w:sz w:val="22"/>
          <w:szCs w:val="24"/>
        </w:rPr>
        <w:t xml:space="preserve">Unfortunately, the tagging cruise was relatively unsuccessful. This resulted from no concentrations of skipjack, bigeye, or yellowfin tuna schools found in the designated area off Central America and Northern South America, between the coast and about 95⁰W, during the tagging cruise. Concerns about finding schools of skipjack and other tunas in the designated area for tagging were discussed internally at IATTC three months in advance of the tagging cruise, as well as during the IATTC tagging workshop in January 2019, because of the intensive fishing effort by tuna purse-seine vessels in that region focused on </w:t>
      </w:r>
      <w:proofErr w:type="spellStart"/>
      <w:r w:rsidRPr="009E120C">
        <w:rPr>
          <w:rFonts w:asciiTheme="minorHAnsi" w:eastAsiaTheme="minorEastAsia" w:hAnsiTheme="minorHAnsi" w:cstheme="minorBidi"/>
          <w:b w:val="0"/>
          <w:bCs w:val="0"/>
          <w:color w:val="000000"/>
          <w:sz w:val="22"/>
          <w:szCs w:val="24"/>
        </w:rPr>
        <w:t>unassociated</w:t>
      </w:r>
      <w:proofErr w:type="spellEnd"/>
      <w:r w:rsidRPr="009E120C">
        <w:rPr>
          <w:rFonts w:asciiTheme="minorHAnsi" w:eastAsiaTheme="minorEastAsia" w:hAnsiTheme="minorHAnsi" w:cstheme="minorBidi"/>
          <w:b w:val="0"/>
          <w:bCs w:val="0"/>
          <w:color w:val="000000"/>
          <w:sz w:val="22"/>
          <w:szCs w:val="24"/>
        </w:rPr>
        <w:t xml:space="preserve"> schools of skipjack and tuna aggregations associated with fish aggregating devices.  Permits were thus requested for access to undertake fishing and tagging activities within the closed waters of the Galapagos Islands National Park, Ecuador, </w:t>
      </w:r>
      <w:proofErr w:type="spellStart"/>
      <w:r w:rsidRPr="009E120C">
        <w:rPr>
          <w:rFonts w:asciiTheme="minorHAnsi" w:eastAsiaTheme="minorEastAsia" w:hAnsiTheme="minorHAnsi" w:cstheme="minorBidi"/>
          <w:b w:val="0"/>
          <w:bCs w:val="0"/>
          <w:color w:val="000000"/>
          <w:sz w:val="22"/>
          <w:szCs w:val="24"/>
        </w:rPr>
        <w:t>Malpelo</w:t>
      </w:r>
      <w:proofErr w:type="spellEnd"/>
      <w:r w:rsidRPr="009E120C">
        <w:rPr>
          <w:rFonts w:asciiTheme="minorHAnsi" w:eastAsiaTheme="minorEastAsia" w:hAnsiTheme="minorHAnsi" w:cstheme="minorBidi"/>
          <w:b w:val="0"/>
          <w:bCs w:val="0"/>
          <w:color w:val="000000"/>
          <w:sz w:val="22"/>
          <w:szCs w:val="24"/>
        </w:rPr>
        <w:t xml:space="preserve"> Island National Park, Colombia, and the Revillagigedo Islands National Park, Mexico so as to increase the probability of finding concentrations of </w:t>
      </w:r>
      <w:proofErr w:type="spellStart"/>
      <w:r w:rsidRPr="009E120C">
        <w:rPr>
          <w:rFonts w:asciiTheme="minorHAnsi" w:eastAsiaTheme="minorEastAsia" w:hAnsiTheme="minorHAnsi" w:cstheme="minorBidi"/>
          <w:b w:val="0"/>
          <w:bCs w:val="0"/>
          <w:color w:val="000000"/>
          <w:sz w:val="22"/>
          <w:szCs w:val="24"/>
        </w:rPr>
        <w:t>unassociated</w:t>
      </w:r>
      <w:proofErr w:type="spellEnd"/>
      <w:r w:rsidRPr="009E120C">
        <w:rPr>
          <w:rFonts w:asciiTheme="minorHAnsi" w:eastAsiaTheme="minorEastAsia" w:hAnsiTheme="minorHAnsi" w:cstheme="minorBidi"/>
          <w:b w:val="0"/>
          <w:bCs w:val="0"/>
          <w:color w:val="000000"/>
          <w:sz w:val="22"/>
          <w:szCs w:val="24"/>
        </w:rPr>
        <w:t xml:space="preserve"> skipjack schools, but unfortunately those permits were not obtained before the cruise.</w:t>
      </w:r>
    </w:p>
    <w:p w14:paraId="4CBE3949" w14:textId="77777777" w:rsidR="009E120C" w:rsidRDefault="009E120C" w:rsidP="009E120C">
      <w:pPr>
        <w:pStyle w:val="Heading1"/>
        <w:spacing w:before="0"/>
        <w:rPr>
          <w:rFonts w:asciiTheme="minorHAnsi" w:eastAsiaTheme="minorEastAsia" w:hAnsiTheme="minorHAnsi" w:cstheme="minorBidi"/>
          <w:b w:val="0"/>
          <w:bCs w:val="0"/>
          <w:color w:val="000000"/>
          <w:sz w:val="22"/>
          <w:szCs w:val="24"/>
        </w:rPr>
      </w:pPr>
      <w:r w:rsidRPr="009E120C">
        <w:rPr>
          <w:rFonts w:asciiTheme="minorHAnsi" w:eastAsiaTheme="minorEastAsia" w:hAnsiTheme="minorHAnsi" w:cstheme="minorBidi"/>
          <w:b w:val="0"/>
          <w:bCs w:val="0"/>
          <w:color w:val="000000"/>
          <w:sz w:val="22"/>
          <w:szCs w:val="24"/>
        </w:rPr>
        <w:t xml:space="preserve">During the tagging cruise only a total of 1,455 tunas were tagged: total SKJ 220 (43 with archival tags (ATs)), total BET 189 (46 with ATs), and total YFT 1,046 (242 with ATs). </w:t>
      </w:r>
    </w:p>
    <w:p w14:paraId="639ADC0C" w14:textId="5032ED16" w:rsidR="009E120C" w:rsidRDefault="009E120C" w:rsidP="009E120C">
      <w:pPr>
        <w:pStyle w:val="Heading1"/>
        <w:spacing w:before="0"/>
        <w:rPr>
          <w:rFonts w:asciiTheme="minorHAnsi" w:eastAsiaTheme="minorEastAsia" w:hAnsiTheme="minorHAnsi" w:cstheme="minorBidi"/>
          <w:b w:val="0"/>
          <w:bCs w:val="0"/>
          <w:color w:val="000000"/>
          <w:sz w:val="22"/>
          <w:szCs w:val="24"/>
        </w:rPr>
      </w:pPr>
      <w:r w:rsidRPr="009E120C">
        <w:rPr>
          <w:rFonts w:asciiTheme="minorHAnsi" w:eastAsiaTheme="minorEastAsia" w:hAnsiTheme="minorHAnsi" w:cstheme="minorBidi"/>
          <w:b w:val="0"/>
          <w:bCs w:val="0"/>
          <w:color w:val="000000"/>
          <w:sz w:val="22"/>
          <w:szCs w:val="24"/>
        </w:rPr>
        <w:t>The IATTC is currently planning to conduct two more tuna tagging cruises focused on SKJ during February through April of 2020 and 2021, with financial support from the European Union. The IATTC administration is currently working towards obtaining permits for conducting fishing/tagging activities within waters of the same national parks mentioned for those two tagging cruises.</w:t>
      </w:r>
    </w:p>
    <w:p w14:paraId="4BF120F9" w14:textId="7F6F158E" w:rsidR="00E90A83" w:rsidRPr="00DA091B" w:rsidRDefault="00E90A83" w:rsidP="009E120C">
      <w:pPr>
        <w:pStyle w:val="Heading1"/>
        <w:rPr>
          <w:rFonts w:ascii="Times New Roman" w:hAnsi="Times New Roman"/>
        </w:rPr>
      </w:pPr>
      <w:r w:rsidRPr="00DA091B">
        <w:rPr>
          <w:rFonts w:ascii="Times New Roman" w:hAnsi="Times New Roman"/>
        </w:rPr>
        <w:t>Administrative Matters</w:t>
      </w:r>
    </w:p>
    <w:p w14:paraId="67481E0A" w14:textId="2C41B0D8" w:rsidR="00E90A83" w:rsidRPr="00DA091B" w:rsidRDefault="00E90A83" w:rsidP="00E90A83">
      <w:pPr>
        <w:autoSpaceDE w:val="0"/>
        <w:autoSpaceDN w:val="0"/>
        <w:adjustRightInd w:val="0"/>
        <w:spacing w:after="120"/>
        <w:rPr>
          <w:color w:val="000000"/>
        </w:rPr>
      </w:pPr>
      <w:r w:rsidRPr="00DA091B">
        <w:rPr>
          <w:color w:val="000000"/>
        </w:rPr>
        <w:t xml:space="preserve">The support of all current and past donors is gratefully acknowledged, as are the efforts of all contributors and project collaborators. The donors have recently included Papua New Guinea, the Republic of Korea, Australia, </w:t>
      </w:r>
      <w:r>
        <w:rPr>
          <w:color w:val="000000"/>
        </w:rPr>
        <w:t xml:space="preserve">the </w:t>
      </w:r>
      <w:r w:rsidRPr="00DA091B">
        <w:rPr>
          <w:color w:val="000000"/>
        </w:rPr>
        <w:t>European Union, New Zealand, the Pacific Community (SPC)</w:t>
      </w:r>
      <w:r>
        <w:rPr>
          <w:color w:val="000000"/>
        </w:rPr>
        <w:t>,</w:t>
      </w:r>
      <w:r w:rsidRPr="00DA091B">
        <w:rPr>
          <w:color w:val="000000"/>
        </w:rPr>
        <w:t xml:space="preserve"> </w:t>
      </w:r>
      <w:r>
        <w:rPr>
          <w:color w:val="000000"/>
        </w:rPr>
        <w:t xml:space="preserve">the </w:t>
      </w:r>
      <w:r w:rsidRPr="00DA091B">
        <w:rPr>
          <w:color w:val="000000"/>
        </w:rPr>
        <w:t>WCPFC</w:t>
      </w:r>
      <w:r>
        <w:rPr>
          <w:color w:val="000000"/>
        </w:rPr>
        <w:t xml:space="preserve"> and ISSF</w:t>
      </w:r>
      <w:r w:rsidRPr="00DA091B">
        <w:rPr>
          <w:color w:val="000000"/>
        </w:rPr>
        <w:t xml:space="preserve">. </w:t>
      </w:r>
    </w:p>
    <w:p w14:paraId="54B55C65" w14:textId="77777777" w:rsidR="00E90A83" w:rsidRPr="00DA091B" w:rsidRDefault="00E90A83" w:rsidP="00E90A83">
      <w:pPr>
        <w:pStyle w:val="Heading1"/>
        <w:rPr>
          <w:rFonts w:ascii="Times New Roman" w:hAnsi="Times New Roman"/>
        </w:rPr>
      </w:pPr>
      <w:r w:rsidRPr="00DA091B">
        <w:rPr>
          <w:rFonts w:ascii="Times New Roman" w:hAnsi="Times New Roman"/>
        </w:rPr>
        <w:t>Discussion</w:t>
      </w:r>
    </w:p>
    <w:p w14:paraId="799BF7F5" w14:textId="450F2F97" w:rsidR="00DA48C8" w:rsidRDefault="00A91842" w:rsidP="00E90A83">
      <w:pPr>
        <w:autoSpaceDE w:val="0"/>
        <w:autoSpaceDN w:val="0"/>
        <w:adjustRightInd w:val="0"/>
        <w:spacing w:after="120"/>
        <w:rPr>
          <w:color w:val="000000"/>
        </w:rPr>
      </w:pPr>
      <w:r>
        <w:rPr>
          <w:color w:val="000000"/>
        </w:rPr>
        <w:t xml:space="preserve">The Steering Committee noted the work of WP5 undertaking strontium chloride marking, with plans to do so in future cruises. </w:t>
      </w:r>
      <w:r w:rsidR="00E075DA">
        <w:rPr>
          <w:color w:val="000000"/>
        </w:rPr>
        <w:t>It was</w:t>
      </w:r>
      <w:r>
        <w:rPr>
          <w:color w:val="000000"/>
        </w:rPr>
        <w:t xml:space="preserve"> </w:t>
      </w:r>
      <w:r w:rsidR="00433E16">
        <w:rPr>
          <w:color w:val="000000"/>
        </w:rPr>
        <w:t>n</w:t>
      </w:r>
      <w:r>
        <w:rPr>
          <w:color w:val="000000"/>
        </w:rPr>
        <w:t>oted that this work relied on the receipt of accurate lengths and otoliths</w:t>
      </w:r>
      <w:r w:rsidR="00E61AC4">
        <w:rPr>
          <w:color w:val="000000"/>
        </w:rPr>
        <w:t xml:space="preserve"> on the recapture of these fish.</w:t>
      </w:r>
      <w:r>
        <w:rPr>
          <w:color w:val="000000"/>
        </w:rPr>
        <w:t xml:space="preserve"> The Steering Committee noted that this </w:t>
      </w:r>
      <w:r w:rsidR="00E61AC4">
        <w:rPr>
          <w:color w:val="000000"/>
        </w:rPr>
        <w:t xml:space="preserve">activity </w:t>
      </w:r>
      <w:r>
        <w:rPr>
          <w:color w:val="000000"/>
        </w:rPr>
        <w:t xml:space="preserve">would be across all species, including skipjack, </w:t>
      </w:r>
      <w:r w:rsidR="00E61AC4">
        <w:rPr>
          <w:color w:val="000000"/>
        </w:rPr>
        <w:t>although</w:t>
      </w:r>
      <w:r>
        <w:rPr>
          <w:color w:val="000000"/>
        </w:rPr>
        <w:t xml:space="preserve"> the potential issues with otolith-based ageing of this species</w:t>
      </w:r>
      <w:r w:rsidR="00E61AC4">
        <w:rPr>
          <w:color w:val="000000"/>
        </w:rPr>
        <w:t xml:space="preserve"> </w:t>
      </w:r>
      <w:r w:rsidR="00E075DA">
        <w:rPr>
          <w:color w:val="000000"/>
        </w:rPr>
        <w:t>were</w:t>
      </w:r>
      <w:r w:rsidR="00E61AC4">
        <w:rPr>
          <w:color w:val="000000"/>
        </w:rPr>
        <w:t xml:space="preserve"> recognised</w:t>
      </w:r>
      <w:r>
        <w:rPr>
          <w:color w:val="000000"/>
        </w:rPr>
        <w:t>.</w:t>
      </w:r>
      <w:r w:rsidR="00CE36B1">
        <w:rPr>
          <w:color w:val="000000"/>
        </w:rPr>
        <w:t xml:space="preserve"> </w:t>
      </w:r>
    </w:p>
    <w:p w14:paraId="6B4E7C7E" w14:textId="7F79A888" w:rsidR="00E61AC4" w:rsidRDefault="00E61AC4" w:rsidP="00E90A83">
      <w:pPr>
        <w:autoSpaceDE w:val="0"/>
        <w:autoSpaceDN w:val="0"/>
        <w:adjustRightInd w:val="0"/>
        <w:spacing w:after="120"/>
        <w:rPr>
          <w:color w:val="000000"/>
        </w:rPr>
      </w:pPr>
      <w:r>
        <w:rPr>
          <w:color w:val="000000"/>
        </w:rPr>
        <w:t xml:space="preserve">Planning for CP14 in 2020 is yet to begin. The plan is to continue to focus the cruise within FAD closure months and access drifting FAD positions through e.g. </w:t>
      </w:r>
      <w:proofErr w:type="spellStart"/>
      <w:r>
        <w:rPr>
          <w:color w:val="000000"/>
        </w:rPr>
        <w:t>TriMarine</w:t>
      </w:r>
      <w:proofErr w:type="spellEnd"/>
      <w:r>
        <w:rPr>
          <w:color w:val="000000"/>
        </w:rPr>
        <w:t xml:space="preserve"> assistance, but other structures (such as Tau buoys or their replacement) would also be exploited as needed.</w:t>
      </w:r>
    </w:p>
    <w:p w14:paraId="49F7DFA7" w14:textId="71D0A0D8" w:rsidR="00A91842" w:rsidRDefault="00E61AC4" w:rsidP="00E90A83">
      <w:pPr>
        <w:autoSpaceDE w:val="0"/>
        <w:autoSpaceDN w:val="0"/>
        <w:adjustRightInd w:val="0"/>
        <w:spacing w:after="120"/>
        <w:rPr>
          <w:color w:val="000000"/>
        </w:rPr>
      </w:pPr>
      <w:r>
        <w:rPr>
          <w:color w:val="000000"/>
        </w:rPr>
        <w:lastRenderedPageBreak/>
        <w:t xml:space="preserve">There was a repeated request </w:t>
      </w:r>
      <w:r w:rsidR="00F56920">
        <w:rPr>
          <w:color w:val="000000"/>
        </w:rPr>
        <w:t xml:space="preserve">for support in tag recovery activities. </w:t>
      </w:r>
    </w:p>
    <w:p w14:paraId="6B3375E8" w14:textId="77777777" w:rsidR="00E90A83" w:rsidRPr="00DA091B" w:rsidRDefault="00E90A83" w:rsidP="00E90A83">
      <w:pPr>
        <w:pStyle w:val="Heading1"/>
        <w:rPr>
          <w:rFonts w:ascii="Times New Roman" w:hAnsi="Times New Roman"/>
        </w:rPr>
      </w:pPr>
      <w:r w:rsidRPr="00DA091B">
        <w:rPr>
          <w:rFonts w:ascii="Times New Roman" w:hAnsi="Times New Roman"/>
        </w:rPr>
        <w:t>Recommendations</w:t>
      </w:r>
      <w:r>
        <w:rPr>
          <w:rFonts w:ascii="Times New Roman" w:hAnsi="Times New Roman"/>
        </w:rPr>
        <w:t xml:space="preserve"> for SC15</w:t>
      </w:r>
    </w:p>
    <w:p w14:paraId="303F46AF" w14:textId="744903C6" w:rsidR="00E90A83" w:rsidRDefault="00E90A83" w:rsidP="00E90A83">
      <w:pPr>
        <w:autoSpaceDE w:val="0"/>
        <w:autoSpaceDN w:val="0"/>
        <w:adjustRightInd w:val="0"/>
        <w:rPr>
          <w:lang w:val="en-AU" w:eastAsia="en-AU"/>
        </w:rPr>
      </w:pPr>
      <w:r w:rsidRPr="00DA091B">
        <w:rPr>
          <w:lang w:val="en-AU" w:eastAsia="en-AU"/>
        </w:rPr>
        <w:t>The Steering Committee therefore recommended to SC</w:t>
      </w:r>
      <w:r w:rsidR="003F44B4">
        <w:rPr>
          <w:lang w:val="en-AU" w:eastAsia="en-AU"/>
        </w:rPr>
        <w:t>15</w:t>
      </w:r>
      <w:r w:rsidRPr="00DA091B">
        <w:rPr>
          <w:lang w:val="en-AU" w:eastAsia="en-AU"/>
        </w:rPr>
        <w:t xml:space="preserve"> that it:</w:t>
      </w:r>
    </w:p>
    <w:p w14:paraId="5377C053" w14:textId="67025014" w:rsidR="00E61AC4" w:rsidRPr="00E61AC4" w:rsidRDefault="00E61AC4" w:rsidP="00E61AC4">
      <w:pPr>
        <w:pStyle w:val="ListParagraph"/>
        <w:numPr>
          <w:ilvl w:val="0"/>
          <w:numId w:val="42"/>
        </w:numPr>
        <w:autoSpaceDE w:val="0"/>
        <w:autoSpaceDN w:val="0"/>
        <w:adjustRightInd w:val="0"/>
        <w:rPr>
          <w:lang w:val="en-AU" w:eastAsia="en-AU"/>
        </w:rPr>
      </w:pPr>
      <w:r w:rsidRPr="00E61AC4">
        <w:rPr>
          <w:lang w:val="en-AU" w:eastAsia="en-AU"/>
        </w:rPr>
        <w:t>Note the successful 2018 CP13 tagging voyage</w:t>
      </w:r>
    </w:p>
    <w:p w14:paraId="341A232B" w14:textId="632EB1A6" w:rsidR="00E61AC4" w:rsidRPr="00E61AC4" w:rsidRDefault="00E61AC4" w:rsidP="00E61AC4">
      <w:pPr>
        <w:pStyle w:val="ListParagraph"/>
        <w:numPr>
          <w:ilvl w:val="0"/>
          <w:numId w:val="42"/>
        </w:numPr>
        <w:autoSpaceDE w:val="0"/>
        <w:autoSpaceDN w:val="0"/>
        <w:adjustRightInd w:val="0"/>
        <w:rPr>
          <w:lang w:val="en-AU" w:eastAsia="en-AU"/>
        </w:rPr>
      </w:pPr>
      <w:r w:rsidRPr="00E61AC4">
        <w:rPr>
          <w:lang w:val="en-AU" w:eastAsia="en-AU"/>
        </w:rPr>
        <w:t>Note the importance of effective tag seeding to estimating reporting rates, and support increased deployment and fleet coverage of tag seeding experiments</w:t>
      </w:r>
      <w:r>
        <w:rPr>
          <w:lang w:val="en-AU" w:eastAsia="en-AU"/>
        </w:rPr>
        <w:t>;</w:t>
      </w:r>
    </w:p>
    <w:p w14:paraId="69C3FB7D" w14:textId="580962A5" w:rsidR="00E61AC4" w:rsidRPr="00E61AC4" w:rsidRDefault="00E61AC4" w:rsidP="00E61AC4">
      <w:pPr>
        <w:pStyle w:val="ListParagraph"/>
        <w:numPr>
          <w:ilvl w:val="0"/>
          <w:numId w:val="42"/>
        </w:numPr>
        <w:autoSpaceDE w:val="0"/>
        <w:autoSpaceDN w:val="0"/>
        <w:adjustRightInd w:val="0"/>
        <w:rPr>
          <w:lang w:val="en-AU" w:eastAsia="en-AU"/>
        </w:rPr>
      </w:pPr>
      <w:r w:rsidRPr="00E61AC4">
        <w:rPr>
          <w:lang w:val="en-AU" w:eastAsia="en-AU"/>
        </w:rPr>
        <w:t>Note the need for continued member participation and support in tag reporting;</w:t>
      </w:r>
    </w:p>
    <w:p w14:paraId="2B0121B1" w14:textId="5529FFC6" w:rsidR="00E61AC4" w:rsidRPr="00E61AC4" w:rsidRDefault="00E61AC4" w:rsidP="00E61AC4">
      <w:pPr>
        <w:pStyle w:val="ListParagraph"/>
        <w:numPr>
          <w:ilvl w:val="0"/>
          <w:numId w:val="42"/>
        </w:numPr>
        <w:autoSpaceDE w:val="0"/>
        <w:autoSpaceDN w:val="0"/>
        <w:adjustRightInd w:val="0"/>
        <w:rPr>
          <w:lang w:val="en-AU" w:eastAsia="en-AU"/>
        </w:rPr>
      </w:pPr>
      <w:r w:rsidRPr="00E61AC4">
        <w:rPr>
          <w:lang w:val="en-AU" w:eastAsia="en-AU"/>
        </w:rPr>
        <w:t>Support the 2020 tagging programme, and associated budget;</w:t>
      </w:r>
    </w:p>
    <w:p w14:paraId="6576550C" w14:textId="448C5ECE" w:rsidR="00E61AC4" w:rsidRPr="00E61AC4" w:rsidRDefault="00E61AC4" w:rsidP="00E61AC4">
      <w:pPr>
        <w:pStyle w:val="ListParagraph"/>
        <w:numPr>
          <w:ilvl w:val="0"/>
          <w:numId w:val="45"/>
        </w:numPr>
        <w:autoSpaceDE w:val="0"/>
        <w:autoSpaceDN w:val="0"/>
        <w:adjustRightInd w:val="0"/>
        <w:rPr>
          <w:lang w:val="en-AU" w:eastAsia="en-AU"/>
        </w:rPr>
      </w:pPr>
      <w:r w:rsidRPr="00E61AC4">
        <w:rPr>
          <w:lang w:val="en-AU" w:eastAsia="en-AU"/>
        </w:rPr>
        <w:t>Support the 2021-2022 tagging programme, and associated indicative budget; and</w:t>
      </w:r>
    </w:p>
    <w:p w14:paraId="3022B0ED" w14:textId="26F15B55" w:rsidR="00E61AC4" w:rsidRPr="00E61AC4" w:rsidRDefault="00E61AC4" w:rsidP="00E61AC4">
      <w:pPr>
        <w:pStyle w:val="ListParagraph"/>
        <w:numPr>
          <w:ilvl w:val="0"/>
          <w:numId w:val="38"/>
        </w:numPr>
        <w:autoSpaceDE w:val="0"/>
        <w:autoSpaceDN w:val="0"/>
        <w:adjustRightInd w:val="0"/>
        <w:rPr>
          <w:lang w:val="en-AU" w:eastAsia="en-AU"/>
        </w:rPr>
      </w:pPr>
      <w:r w:rsidRPr="00E61AC4">
        <w:rPr>
          <w:lang w:val="en-AU" w:eastAsia="en-AU"/>
        </w:rPr>
        <w:t>Consider and support t</w:t>
      </w:r>
      <w:r>
        <w:rPr>
          <w:lang w:val="en-AU" w:eastAsia="en-AU"/>
        </w:rPr>
        <w:t>he PTTP work-plan for 2019-2022.</w:t>
      </w:r>
    </w:p>
    <w:p w14:paraId="3CBC2BCB" w14:textId="144982E1" w:rsidR="00E90A83" w:rsidRDefault="00E90A83" w:rsidP="00E90A83">
      <w:pPr>
        <w:pStyle w:val="Heading1"/>
        <w:rPr>
          <w:rFonts w:ascii="Times New Roman" w:hAnsi="Times New Roman"/>
        </w:rPr>
      </w:pPr>
      <w:r w:rsidRPr="00DA091B">
        <w:rPr>
          <w:rFonts w:ascii="Times New Roman" w:hAnsi="Times New Roman"/>
        </w:rPr>
        <w:t>References</w:t>
      </w:r>
    </w:p>
    <w:p w14:paraId="4F9F5C80" w14:textId="77777777" w:rsidR="004E1BE3" w:rsidRPr="005E653E" w:rsidRDefault="00E90A83" w:rsidP="004E1BE3">
      <w:pPr>
        <w:rPr>
          <w:lang w:val="en-AU" w:eastAsia="en-AU"/>
        </w:rPr>
      </w:pPr>
      <w:r w:rsidRPr="005E653E">
        <w:rPr>
          <w:lang w:val="en-AU" w:eastAsia="en-AU"/>
        </w:rPr>
        <w:t>Peatman, T., Caillot, S., Leroy, B., McKechnie, S., Roupsard, F., Sanchez, C., Nicol, S., and N. Smith. 2016. Analysis of tag seeding data and reporting rates. WCPFC-SC12-2016/SA-IP-13, Bali, Indonesia, 3–11 August 2016.</w:t>
      </w:r>
    </w:p>
    <w:p w14:paraId="07457047" w14:textId="77777777" w:rsidR="004E1BE3" w:rsidRPr="005E653E" w:rsidRDefault="004E1BE3" w:rsidP="004E1BE3">
      <w:pPr>
        <w:rPr>
          <w:lang w:val="en-AU" w:eastAsia="en-AU"/>
        </w:rPr>
      </w:pPr>
    </w:p>
    <w:p w14:paraId="06DD5684" w14:textId="77777777" w:rsidR="004E1BE3" w:rsidRPr="005E653E" w:rsidRDefault="00E90A83" w:rsidP="004E1BE3">
      <w:pPr>
        <w:rPr>
          <w:lang w:val="en-AU" w:eastAsia="en-AU"/>
        </w:rPr>
      </w:pPr>
      <w:r w:rsidRPr="005E653E">
        <w:rPr>
          <w:lang w:val="en-AU" w:eastAsia="en-AU"/>
        </w:rPr>
        <w:t>PTTP Steering Committee. 2016. Report of the Pacific Tuna Tagging Programme Steering Committee. WCPFC-SC12-2016/RP-PTTP-01, Bali, Indonesia, 3–11 August 2016.</w:t>
      </w:r>
    </w:p>
    <w:p w14:paraId="3A79239E" w14:textId="66408F91" w:rsidR="004E1BE3" w:rsidRPr="005E653E" w:rsidRDefault="004E1BE3" w:rsidP="004E1BE3">
      <w:pPr>
        <w:rPr>
          <w:lang w:val="en-AU" w:eastAsia="en-AU"/>
        </w:rPr>
      </w:pPr>
    </w:p>
    <w:p w14:paraId="74BC8764" w14:textId="0E645763" w:rsidR="00E90A83" w:rsidRPr="005E653E" w:rsidRDefault="00E90A83" w:rsidP="004E1BE3">
      <w:pPr>
        <w:rPr>
          <w:lang w:val="en-AU" w:eastAsia="en-AU"/>
        </w:rPr>
      </w:pPr>
      <w:r w:rsidRPr="005E653E">
        <w:rPr>
          <w:lang w:val="en-AU" w:eastAsia="en-AU"/>
        </w:rPr>
        <w:t>Scutt Phillips, J., Sen Gupta, A., Senina, I., van Sebille, E. Van, Lange, M., Lehodey, P., Hampton, J., Nicol, S., 2018. Progress in Oceanography An individual-based model of skipjack tuna (</w:t>
      </w:r>
      <w:proofErr w:type="spellStart"/>
      <w:r w:rsidRPr="005E653E">
        <w:rPr>
          <w:i/>
          <w:lang w:val="en-AU" w:eastAsia="en-AU"/>
        </w:rPr>
        <w:t>Katsuwonus</w:t>
      </w:r>
      <w:proofErr w:type="spellEnd"/>
      <w:r w:rsidRPr="005E653E">
        <w:rPr>
          <w:i/>
          <w:lang w:val="en-AU" w:eastAsia="en-AU"/>
        </w:rPr>
        <w:t xml:space="preserve"> </w:t>
      </w:r>
      <w:proofErr w:type="spellStart"/>
      <w:r w:rsidRPr="005E653E">
        <w:rPr>
          <w:i/>
          <w:lang w:val="en-AU" w:eastAsia="en-AU"/>
        </w:rPr>
        <w:t>pelamis</w:t>
      </w:r>
      <w:proofErr w:type="spellEnd"/>
      <w:r w:rsidRPr="005E653E">
        <w:rPr>
          <w:lang w:val="en-AU" w:eastAsia="en-AU"/>
        </w:rPr>
        <w:t xml:space="preserve">) movement in the tropical Pacific Ocean. </w:t>
      </w:r>
      <w:proofErr w:type="spellStart"/>
      <w:r w:rsidRPr="005E653E">
        <w:rPr>
          <w:i/>
          <w:lang w:val="en-AU" w:eastAsia="en-AU"/>
        </w:rPr>
        <w:t>Prog</w:t>
      </w:r>
      <w:proofErr w:type="spellEnd"/>
      <w:r w:rsidRPr="005E653E">
        <w:rPr>
          <w:i/>
          <w:lang w:val="en-AU" w:eastAsia="en-AU"/>
        </w:rPr>
        <w:t xml:space="preserve">. </w:t>
      </w:r>
      <w:proofErr w:type="spellStart"/>
      <w:r w:rsidRPr="005E653E">
        <w:rPr>
          <w:i/>
          <w:lang w:val="en-AU" w:eastAsia="en-AU"/>
        </w:rPr>
        <w:t>Oceanogr</w:t>
      </w:r>
      <w:proofErr w:type="spellEnd"/>
      <w:r w:rsidRPr="005E653E">
        <w:rPr>
          <w:lang w:val="en-AU" w:eastAsia="en-AU"/>
        </w:rPr>
        <w:t xml:space="preserve">. 164, 63–74. </w:t>
      </w:r>
      <w:hyperlink r:id="rId10" w:history="1">
        <w:r w:rsidRPr="005E653E">
          <w:rPr>
            <w:rStyle w:val="Hyperlink"/>
            <w:color w:val="auto"/>
            <w:sz w:val="20"/>
            <w:szCs w:val="20"/>
            <w:lang w:val="en-AU" w:eastAsia="en-AU"/>
          </w:rPr>
          <w:t>https://doi.org/10.1016/j.pocean.2018.04.007</w:t>
        </w:r>
      </w:hyperlink>
    </w:p>
    <w:p w14:paraId="2A74CBF0" w14:textId="77777777" w:rsidR="004E1BE3" w:rsidRPr="005E653E" w:rsidRDefault="004E1BE3" w:rsidP="004E1BE3"/>
    <w:p w14:paraId="47AB7B61" w14:textId="18A91AC6" w:rsidR="004E1BE3" w:rsidRPr="005E653E" w:rsidRDefault="004E1BE3" w:rsidP="004E1BE3">
      <w:pPr>
        <w:rPr>
          <w:lang w:val="en-US"/>
        </w:rPr>
      </w:pPr>
      <w:r w:rsidRPr="005E653E">
        <w:t xml:space="preserve">Scutt Phillips, J., Leroy, B., Peatman, T., Escalle, L., Smith, N., 2019. Electronic tagging for the mitigation of bigeye and yellowfin tuna juveniles by purse seine fisheries. </w:t>
      </w:r>
      <w:r w:rsidRPr="005E653E">
        <w:rPr>
          <w:lang w:val="en-US"/>
        </w:rPr>
        <w:t>WCPFC-SC1</w:t>
      </w:r>
      <w:r w:rsidRPr="005E653E">
        <w:rPr>
          <w:rFonts w:hint="eastAsia"/>
          <w:lang w:val="en-US"/>
        </w:rPr>
        <w:t>5</w:t>
      </w:r>
      <w:r w:rsidRPr="005E653E">
        <w:rPr>
          <w:lang w:val="en-US"/>
        </w:rPr>
        <w:t>-</w:t>
      </w:r>
      <w:r w:rsidRPr="005E653E">
        <w:rPr>
          <w:rFonts w:hint="eastAsia"/>
          <w:lang w:val="en-US"/>
        </w:rPr>
        <w:t>2019</w:t>
      </w:r>
      <w:r w:rsidRPr="005E653E">
        <w:rPr>
          <w:lang w:val="en-US"/>
        </w:rPr>
        <w:t>/EB</w:t>
      </w:r>
      <w:r w:rsidRPr="005E653E">
        <w:rPr>
          <w:rFonts w:hint="eastAsia"/>
          <w:lang w:val="en-US"/>
        </w:rPr>
        <w:t>-WP</w:t>
      </w:r>
      <w:r w:rsidRPr="005E653E">
        <w:rPr>
          <w:lang w:val="en-US"/>
        </w:rPr>
        <w:t xml:space="preserve">-08, </w:t>
      </w:r>
      <w:r w:rsidRPr="005E653E">
        <w:t xml:space="preserve">Scientific Committee Fifteenth Regular Session. </w:t>
      </w:r>
      <w:proofErr w:type="spellStart"/>
      <w:r w:rsidRPr="005E653E">
        <w:t>Pohnpei</w:t>
      </w:r>
      <w:proofErr w:type="spellEnd"/>
      <w:r w:rsidRPr="005E653E">
        <w:t>, Federated States of Micronesia, 12-20 Aug.</w:t>
      </w:r>
    </w:p>
    <w:p w14:paraId="047E6FF6" w14:textId="77777777" w:rsidR="004E1BE3" w:rsidRPr="00544013" w:rsidRDefault="004E1BE3" w:rsidP="004E1BE3">
      <w:pPr>
        <w:rPr>
          <w:color w:val="FF0000"/>
        </w:rPr>
      </w:pPr>
    </w:p>
    <w:p w14:paraId="7FA2FCBD" w14:textId="7B6FA0F2" w:rsidR="00E90A83" w:rsidRPr="005E653E" w:rsidRDefault="004E1BE3" w:rsidP="004E1BE3">
      <w:r w:rsidRPr="005E653E">
        <w:t xml:space="preserve">Senina, I., Lehodey, P., </w:t>
      </w:r>
      <w:proofErr w:type="spellStart"/>
      <w:r w:rsidRPr="005E653E">
        <w:t>Calmettesa</w:t>
      </w:r>
      <w:proofErr w:type="spellEnd"/>
      <w:r w:rsidRPr="005E653E">
        <w:t>, B., Nicol, S., Caillot, S., Hampton, J., &amp; Williams, P. (2016). Predicting skipjack tuna dynamics and effects of climate change using SEAPODYM with fishing and tagging data. Scientific Committee Twelfth Regular Session. Bali, Indonesia, 3-11.</w:t>
      </w:r>
    </w:p>
    <w:p w14:paraId="04D58907" w14:textId="17B69ADD" w:rsidR="004E1BE3" w:rsidRPr="00544013" w:rsidRDefault="004E1BE3" w:rsidP="004E1BE3">
      <w:pPr>
        <w:rPr>
          <w:color w:val="FF0000"/>
        </w:rPr>
      </w:pPr>
    </w:p>
    <w:p w14:paraId="07386703" w14:textId="52C056DD" w:rsidR="004E1BE3" w:rsidRDefault="004E1BE3" w:rsidP="004E1BE3">
      <w:r w:rsidRPr="005E653E">
        <w:t xml:space="preserve">SPC-OFP. 2017. Project 35: Bigeye biology, and Project 35b: WCPFC Tuna Tissue Bank. WCPFC-SC12-2016/ RP-P35-01, </w:t>
      </w:r>
      <w:proofErr w:type="spellStart"/>
      <w:r w:rsidRPr="005E653E">
        <w:t>Rarotonga</w:t>
      </w:r>
      <w:proofErr w:type="spellEnd"/>
      <w:r w:rsidRPr="005E653E">
        <w:t>, Cook Islands, 9–17 August 2017.</w:t>
      </w:r>
    </w:p>
    <w:p w14:paraId="5DD7125C" w14:textId="61515D84" w:rsidR="004E1BE3" w:rsidRPr="00544013" w:rsidRDefault="004E1BE3" w:rsidP="004E1BE3">
      <w:pPr>
        <w:rPr>
          <w:color w:val="FF0000"/>
          <w:lang w:val="en-AU" w:eastAsia="en-AU"/>
        </w:rPr>
      </w:pPr>
    </w:p>
    <w:p w14:paraId="565D907F" w14:textId="77777777" w:rsidR="004E1BE3" w:rsidRPr="005E653E" w:rsidRDefault="004E1BE3" w:rsidP="004E1BE3">
      <w:r w:rsidRPr="005E653E">
        <w:t xml:space="preserve">WCPFC-SC. 2017. Summary Report. Thirteenth Regular Session of the Scientific Committee, </w:t>
      </w:r>
      <w:proofErr w:type="spellStart"/>
      <w:r w:rsidRPr="005E653E">
        <w:t>Rarotonga</w:t>
      </w:r>
      <w:proofErr w:type="spellEnd"/>
      <w:r w:rsidRPr="005E653E">
        <w:t xml:space="preserve">, Cook Islands, 9-17 August 2017. The Commission for the Conservation and Management of Highly Migratory Fish Stocks in the Western and Central Pacific Ocean. </w:t>
      </w:r>
    </w:p>
    <w:p w14:paraId="33877EBC" w14:textId="23A08272" w:rsidR="00E43868" w:rsidRPr="005E653E" w:rsidRDefault="00E43868" w:rsidP="004E1BE3"/>
    <w:p w14:paraId="7E316A33" w14:textId="653BB93C" w:rsidR="005E653E" w:rsidRPr="005E653E" w:rsidRDefault="005E653E" w:rsidP="005E653E">
      <w:r w:rsidRPr="005E653E">
        <w:t xml:space="preserve">WCPFC-SC. 2018. Summary Report. Fourteenth Regular Session of the Scientific Committee, Busan, South Korea, 8-16 August 2018. The Commission for the Conservation and Management of Highly Migratory Fish Stocks in the Western and Central Pacific Ocean. </w:t>
      </w:r>
    </w:p>
    <w:p w14:paraId="5FB9267B" w14:textId="77777777" w:rsidR="005E653E" w:rsidRPr="005835D4" w:rsidRDefault="005E653E" w:rsidP="004E1BE3"/>
    <w:sectPr w:rsidR="005E653E" w:rsidRPr="005835D4" w:rsidSect="004B2A94">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CA91" w14:textId="77777777" w:rsidR="00C66DD7" w:rsidRDefault="00C66DD7" w:rsidP="00BC5FA4">
      <w:r>
        <w:separator/>
      </w:r>
    </w:p>
  </w:endnote>
  <w:endnote w:type="continuationSeparator" w:id="0">
    <w:p w14:paraId="122E7825" w14:textId="77777777" w:rsidR="00C66DD7" w:rsidRDefault="00C66DD7" w:rsidP="00BC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29021"/>
      <w:docPartObj>
        <w:docPartGallery w:val="Page Numbers (Bottom of Page)"/>
        <w:docPartUnique/>
      </w:docPartObj>
    </w:sdtPr>
    <w:sdtEndPr>
      <w:rPr>
        <w:noProof/>
      </w:rPr>
    </w:sdtEndPr>
    <w:sdtContent>
      <w:p w14:paraId="6D92A0B1" w14:textId="260464F7" w:rsidR="004B2A94" w:rsidRDefault="004B2A94">
        <w:pPr>
          <w:pStyle w:val="Footer"/>
          <w:jc w:val="center"/>
        </w:pPr>
        <w:r>
          <w:fldChar w:fldCharType="begin"/>
        </w:r>
        <w:r>
          <w:instrText xml:space="preserve"> PAGE   \* MERGEFORMAT </w:instrText>
        </w:r>
        <w:r>
          <w:fldChar w:fldCharType="separate"/>
        </w:r>
        <w:r w:rsidR="002D3C98">
          <w:rPr>
            <w:noProof/>
          </w:rPr>
          <w:t>7</w:t>
        </w:r>
        <w:r>
          <w:rPr>
            <w:noProof/>
          </w:rPr>
          <w:fldChar w:fldCharType="end"/>
        </w:r>
      </w:p>
    </w:sdtContent>
  </w:sdt>
  <w:p w14:paraId="302CA5E8" w14:textId="77777777" w:rsidR="004B2A94" w:rsidRDefault="004B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39FB2" w14:textId="77777777" w:rsidR="00C66DD7" w:rsidRDefault="00C66DD7" w:rsidP="00BC5FA4">
      <w:r>
        <w:separator/>
      </w:r>
    </w:p>
  </w:footnote>
  <w:footnote w:type="continuationSeparator" w:id="0">
    <w:p w14:paraId="5B7BC566" w14:textId="77777777" w:rsidR="00C66DD7" w:rsidRDefault="00C66DD7" w:rsidP="00BC5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B7A"/>
    <w:multiLevelType w:val="hybridMultilevel"/>
    <w:tmpl w:val="07324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E6A87"/>
    <w:multiLevelType w:val="hybridMultilevel"/>
    <w:tmpl w:val="2B3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14DCF"/>
    <w:multiLevelType w:val="hybridMultilevel"/>
    <w:tmpl w:val="214A6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3219D"/>
    <w:multiLevelType w:val="hybridMultilevel"/>
    <w:tmpl w:val="85A81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2784C"/>
    <w:multiLevelType w:val="hybridMultilevel"/>
    <w:tmpl w:val="AA52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15D30"/>
    <w:multiLevelType w:val="hybridMultilevel"/>
    <w:tmpl w:val="6340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AE5ABA"/>
    <w:multiLevelType w:val="hybridMultilevel"/>
    <w:tmpl w:val="C0283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E7F58"/>
    <w:multiLevelType w:val="hybridMultilevel"/>
    <w:tmpl w:val="A05C8440"/>
    <w:lvl w:ilvl="0" w:tplc="B052A5C2">
      <w:numFmt w:val="bullet"/>
      <w:lvlText w:val="–"/>
      <w:lvlJc w:val="left"/>
      <w:pPr>
        <w:ind w:left="405" w:hanging="360"/>
      </w:pPr>
      <w:rPr>
        <w:rFonts w:ascii="Calibri" w:eastAsiaTheme="minorEastAsia" w:hAnsi="Calibri"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14400866"/>
    <w:multiLevelType w:val="hybridMultilevel"/>
    <w:tmpl w:val="3B22F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6FA5"/>
    <w:multiLevelType w:val="hybridMultilevel"/>
    <w:tmpl w:val="279CEBD2"/>
    <w:lvl w:ilvl="0" w:tplc="B46E5654">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46E26"/>
    <w:multiLevelType w:val="hybridMultilevel"/>
    <w:tmpl w:val="05BAE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AD40F0"/>
    <w:multiLevelType w:val="hybridMultilevel"/>
    <w:tmpl w:val="112AB8B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2" w15:restartNumberingAfterBreak="0">
    <w:nsid w:val="1B47220E"/>
    <w:multiLevelType w:val="hybridMultilevel"/>
    <w:tmpl w:val="E640D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4B4B34"/>
    <w:multiLevelType w:val="hybridMultilevel"/>
    <w:tmpl w:val="8ECE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250BA"/>
    <w:multiLevelType w:val="hybridMultilevel"/>
    <w:tmpl w:val="D614412A"/>
    <w:lvl w:ilvl="0" w:tplc="89865D76">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FC6179"/>
    <w:multiLevelType w:val="hybridMultilevel"/>
    <w:tmpl w:val="628A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A5AAE"/>
    <w:multiLevelType w:val="hybridMultilevel"/>
    <w:tmpl w:val="7AE64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B15DF4"/>
    <w:multiLevelType w:val="hybridMultilevel"/>
    <w:tmpl w:val="4EE86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E8155C"/>
    <w:multiLevelType w:val="hybridMultilevel"/>
    <w:tmpl w:val="4DCA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A11E8A"/>
    <w:multiLevelType w:val="hybridMultilevel"/>
    <w:tmpl w:val="7FAA0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4942"/>
    <w:multiLevelType w:val="hybridMultilevel"/>
    <w:tmpl w:val="7592C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D55C0"/>
    <w:multiLevelType w:val="hybridMultilevel"/>
    <w:tmpl w:val="EC46D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7060FF"/>
    <w:multiLevelType w:val="hybridMultilevel"/>
    <w:tmpl w:val="A22E2B9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FC46D8"/>
    <w:multiLevelType w:val="hybridMultilevel"/>
    <w:tmpl w:val="0C6AA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54606A"/>
    <w:multiLevelType w:val="hybridMultilevel"/>
    <w:tmpl w:val="7AE64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8B2802"/>
    <w:multiLevelType w:val="hybridMultilevel"/>
    <w:tmpl w:val="04F0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B20142"/>
    <w:multiLevelType w:val="hybridMultilevel"/>
    <w:tmpl w:val="DE2AA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FB2B2A"/>
    <w:multiLevelType w:val="hybridMultilevel"/>
    <w:tmpl w:val="546C3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C03084"/>
    <w:multiLevelType w:val="hybridMultilevel"/>
    <w:tmpl w:val="CBA642D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9" w15:restartNumberingAfterBreak="0">
    <w:nsid w:val="406C342E"/>
    <w:multiLevelType w:val="hybridMultilevel"/>
    <w:tmpl w:val="2F6CC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0C54AF"/>
    <w:multiLevelType w:val="hybridMultilevel"/>
    <w:tmpl w:val="9E7CA1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BE3D78"/>
    <w:multiLevelType w:val="hybridMultilevel"/>
    <w:tmpl w:val="B0E0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345134"/>
    <w:multiLevelType w:val="hybridMultilevel"/>
    <w:tmpl w:val="F4BC5C44"/>
    <w:lvl w:ilvl="0" w:tplc="C3CE3E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B7C13"/>
    <w:multiLevelType w:val="hybridMultilevel"/>
    <w:tmpl w:val="EF2ADECE"/>
    <w:lvl w:ilvl="0" w:tplc="F828CA28">
      <w:start w:val="6"/>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AB014E"/>
    <w:multiLevelType w:val="hybridMultilevel"/>
    <w:tmpl w:val="524E1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9A3778"/>
    <w:multiLevelType w:val="hybridMultilevel"/>
    <w:tmpl w:val="48E83E76"/>
    <w:lvl w:ilvl="0" w:tplc="8382B5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AA0DE4"/>
    <w:multiLevelType w:val="hybridMultilevel"/>
    <w:tmpl w:val="527858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B90E34"/>
    <w:multiLevelType w:val="hybridMultilevel"/>
    <w:tmpl w:val="3098943A"/>
    <w:lvl w:ilvl="0" w:tplc="324C13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2878AF"/>
    <w:multiLevelType w:val="hybridMultilevel"/>
    <w:tmpl w:val="5BA2E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0612D"/>
    <w:multiLevelType w:val="hybridMultilevel"/>
    <w:tmpl w:val="7880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42EF7"/>
    <w:multiLevelType w:val="hybridMultilevel"/>
    <w:tmpl w:val="CF68836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77E6C"/>
    <w:multiLevelType w:val="hybridMultilevel"/>
    <w:tmpl w:val="878C97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2945E1"/>
    <w:multiLevelType w:val="hybridMultilevel"/>
    <w:tmpl w:val="11CC0EFA"/>
    <w:lvl w:ilvl="0" w:tplc="0C09000F">
      <w:start w:val="1"/>
      <w:numFmt w:val="decimal"/>
      <w:lvlText w:val="%1."/>
      <w:lvlJc w:val="left"/>
      <w:pPr>
        <w:ind w:left="405" w:hanging="360"/>
      </w:p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43" w15:restartNumberingAfterBreak="0">
    <w:nsid w:val="7A7520D4"/>
    <w:multiLevelType w:val="hybridMultilevel"/>
    <w:tmpl w:val="53CE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196938"/>
    <w:multiLevelType w:val="hybridMultilevel"/>
    <w:tmpl w:val="E4C29194"/>
    <w:lvl w:ilvl="0" w:tplc="0C090001">
      <w:start w:val="1"/>
      <w:numFmt w:val="bullet"/>
      <w:lvlText w:val=""/>
      <w:lvlJc w:val="left"/>
      <w:pPr>
        <w:ind w:left="720" w:hanging="360"/>
      </w:pPr>
      <w:rPr>
        <w:rFonts w:ascii="Symbol" w:hAnsi="Symbol" w:hint="default"/>
      </w:rPr>
    </w:lvl>
    <w:lvl w:ilvl="1" w:tplc="D82251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31"/>
  </w:num>
  <w:num w:numId="4">
    <w:abstractNumId w:val="32"/>
  </w:num>
  <w:num w:numId="5">
    <w:abstractNumId w:val="40"/>
  </w:num>
  <w:num w:numId="6">
    <w:abstractNumId w:val="13"/>
  </w:num>
  <w:num w:numId="7">
    <w:abstractNumId w:val="9"/>
  </w:num>
  <w:num w:numId="8">
    <w:abstractNumId w:val="1"/>
  </w:num>
  <w:num w:numId="9">
    <w:abstractNumId w:val="22"/>
  </w:num>
  <w:num w:numId="10">
    <w:abstractNumId w:val="28"/>
  </w:num>
  <w:num w:numId="11">
    <w:abstractNumId w:val="7"/>
  </w:num>
  <w:num w:numId="12">
    <w:abstractNumId w:val="42"/>
  </w:num>
  <w:num w:numId="13">
    <w:abstractNumId w:val="43"/>
  </w:num>
  <w:num w:numId="14">
    <w:abstractNumId w:val="33"/>
  </w:num>
  <w:num w:numId="15">
    <w:abstractNumId w:val="5"/>
  </w:num>
  <w:num w:numId="16">
    <w:abstractNumId w:val="17"/>
  </w:num>
  <w:num w:numId="17">
    <w:abstractNumId w:val="4"/>
  </w:num>
  <w:num w:numId="18">
    <w:abstractNumId w:val="41"/>
  </w:num>
  <w:num w:numId="19">
    <w:abstractNumId w:val="2"/>
  </w:num>
  <w:num w:numId="20">
    <w:abstractNumId w:val="23"/>
  </w:num>
  <w:num w:numId="21">
    <w:abstractNumId w:val="14"/>
  </w:num>
  <w:num w:numId="22">
    <w:abstractNumId w:val="21"/>
  </w:num>
  <w:num w:numId="23">
    <w:abstractNumId w:val="44"/>
  </w:num>
  <w:num w:numId="24">
    <w:abstractNumId w:val="16"/>
  </w:num>
  <w:num w:numId="25">
    <w:abstractNumId w:val="37"/>
  </w:num>
  <w:num w:numId="26">
    <w:abstractNumId w:val="11"/>
  </w:num>
  <w:num w:numId="27">
    <w:abstractNumId w:val="3"/>
  </w:num>
  <w:num w:numId="28">
    <w:abstractNumId w:val="15"/>
  </w:num>
  <w:num w:numId="29">
    <w:abstractNumId w:val="38"/>
  </w:num>
  <w:num w:numId="30">
    <w:abstractNumId w:val="27"/>
  </w:num>
  <w:num w:numId="31">
    <w:abstractNumId w:val="26"/>
  </w:num>
  <w:num w:numId="32">
    <w:abstractNumId w:val="29"/>
  </w:num>
  <w:num w:numId="33">
    <w:abstractNumId w:val="24"/>
  </w:num>
  <w:num w:numId="34">
    <w:abstractNumId w:val="10"/>
  </w:num>
  <w:num w:numId="35">
    <w:abstractNumId w:val="30"/>
  </w:num>
  <w:num w:numId="36">
    <w:abstractNumId w:val="20"/>
  </w:num>
  <w:num w:numId="37">
    <w:abstractNumId w:val="34"/>
  </w:num>
  <w:num w:numId="38">
    <w:abstractNumId w:val="0"/>
  </w:num>
  <w:num w:numId="39">
    <w:abstractNumId w:val="18"/>
  </w:num>
  <w:num w:numId="40">
    <w:abstractNumId w:val="12"/>
  </w:num>
  <w:num w:numId="41">
    <w:abstractNumId w:val="19"/>
  </w:num>
  <w:num w:numId="42">
    <w:abstractNumId w:val="39"/>
  </w:num>
  <w:num w:numId="43">
    <w:abstractNumId w:val="36"/>
  </w:num>
  <w:num w:numId="44">
    <w:abstractNumId w:val="35"/>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NZ"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DF"/>
    <w:rsid w:val="00000875"/>
    <w:rsid w:val="0000269B"/>
    <w:rsid w:val="000040B1"/>
    <w:rsid w:val="00011160"/>
    <w:rsid w:val="000113EB"/>
    <w:rsid w:val="00012C20"/>
    <w:rsid w:val="00013F6E"/>
    <w:rsid w:val="0001411C"/>
    <w:rsid w:val="00014BDD"/>
    <w:rsid w:val="000179A7"/>
    <w:rsid w:val="000179BF"/>
    <w:rsid w:val="000235A1"/>
    <w:rsid w:val="000257A7"/>
    <w:rsid w:val="00030BC6"/>
    <w:rsid w:val="0003124D"/>
    <w:rsid w:val="00032237"/>
    <w:rsid w:val="00034166"/>
    <w:rsid w:val="0004150F"/>
    <w:rsid w:val="00046EF7"/>
    <w:rsid w:val="00054486"/>
    <w:rsid w:val="00056839"/>
    <w:rsid w:val="00056FBD"/>
    <w:rsid w:val="00060607"/>
    <w:rsid w:val="00061034"/>
    <w:rsid w:val="00065609"/>
    <w:rsid w:val="00077B5B"/>
    <w:rsid w:val="00081655"/>
    <w:rsid w:val="000834B9"/>
    <w:rsid w:val="00085D12"/>
    <w:rsid w:val="0009060A"/>
    <w:rsid w:val="000A5AFF"/>
    <w:rsid w:val="000B1C61"/>
    <w:rsid w:val="000B324C"/>
    <w:rsid w:val="000B64E0"/>
    <w:rsid w:val="000B7BF6"/>
    <w:rsid w:val="000E1100"/>
    <w:rsid w:val="000E17A6"/>
    <w:rsid w:val="000E27E4"/>
    <w:rsid w:val="000E3DC2"/>
    <w:rsid w:val="000E5232"/>
    <w:rsid w:val="000F047B"/>
    <w:rsid w:val="000F0845"/>
    <w:rsid w:val="000F19D3"/>
    <w:rsid w:val="000F306D"/>
    <w:rsid w:val="000F7B59"/>
    <w:rsid w:val="00101079"/>
    <w:rsid w:val="00106B4E"/>
    <w:rsid w:val="001158AC"/>
    <w:rsid w:val="00115FBC"/>
    <w:rsid w:val="00117349"/>
    <w:rsid w:val="0012212A"/>
    <w:rsid w:val="00123F3E"/>
    <w:rsid w:val="00127F25"/>
    <w:rsid w:val="00137889"/>
    <w:rsid w:val="0015032F"/>
    <w:rsid w:val="00152EFE"/>
    <w:rsid w:val="0015459F"/>
    <w:rsid w:val="00155327"/>
    <w:rsid w:val="001624F1"/>
    <w:rsid w:val="00163031"/>
    <w:rsid w:val="0016421B"/>
    <w:rsid w:val="00165B54"/>
    <w:rsid w:val="001666EE"/>
    <w:rsid w:val="0017500F"/>
    <w:rsid w:val="00176630"/>
    <w:rsid w:val="001834D2"/>
    <w:rsid w:val="001905AC"/>
    <w:rsid w:val="00193347"/>
    <w:rsid w:val="00197325"/>
    <w:rsid w:val="001A1110"/>
    <w:rsid w:val="001A20D6"/>
    <w:rsid w:val="001A2769"/>
    <w:rsid w:val="001B0204"/>
    <w:rsid w:val="001B0A37"/>
    <w:rsid w:val="001B149E"/>
    <w:rsid w:val="001B4804"/>
    <w:rsid w:val="001B5865"/>
    <w:rsid w:val="001C0A8D"/>
    <w:rsid w:val="001C1705"/>
    <w:rsid w:val="001C54D1"/>
    <w:rsid w:val="001C66BB"/>
    <w:rsid w:val="001C7DFC"/>
    <w:rsid w:val="001C7FC7"/>
    <w:rsid w:val="001D0F9D"/>
    <w:rsid w:val="001D5A8F"/>
    <w:rsid w:val="001E4FE7"/>
    <w:rsid w:val="001E6A7E"/>
    <w:rsid w:val="001F2EB9"/>
    <w:rsid w:val="001F70B3"/>
    <w:rsid w:val="00200B00"/>
    <w:rsid w:val="00200EA8"/>
    <w:rsid w:val="00202BFE"/>
    <w:rsid w:val="00205CF9"/>
    <w:rsid w:val="002120CD"/>
    <w:rsid w:val="00217708"/>
    <w:rsid w:val="00222716"/>
    <w:rsid w:val="002313D8"/>
    <w:rsid w:val="0023320D"/>
    <w:rsid w:val="00241ABA"/>
    <w:rsid w:val="002447D1"/>
    <w:rsid w:val="00244BCB"/>
    <w:rsid w:val="00253932"/>
    <w:rsid w:val="00260A73"/>
    <w:rsid w:val="00265E5D"/>
    <w:rsid w:val="0027272F"/>
    <w:rsid w:val="0027389A"/>
    <w:rsid w:val="00274F2C"/>
    <w:rsid w:val="00283979"/>
    <w:rsid w:val="00294A63"/>
    <w:rsid w:val="0029518C"/>
    <w:rsid w:val="00295B59"/>
    <w:rsid w:val="00296821"/>
    <w:rsid w:val="002A2A69"/>
    <w:rsid w:val="002A4367"/>
    <w:rsid w:val="002A4CBB"/>
    <w:rsid w:val="002B1D9E"/>
    <w:rsid w:val="002B1E4C"/>
    <w:rsid w:val="002C18F3"/>
    <w:rsid w:val="002D30A5"/>
    <w:rsid w:val="002D3C98"/>
    <w:rsid w:val="002E6E22"/>
    <w:rsid w:val="003027BB"/>
    <w:rsid w:val="00304D45"/>
    <w:rsid w:val="003070E1"/>
    <w:rsid w:val="00310AB6"/>
    <w:rsid w:val="00312A37"/>
    <w:rsid w:val="00314639"/>
    <w:rsid w:val="003168DD"/>
    <w:rsid w:val="00323BEF"/>
    <w:rsid w:val="00334BC7"/>
    <w:rsid w:val="0033737D"/>
    <w:rsid w:val="0033754E"/>
    <w:rsid w:val="00343ABE"/>
    <w:rsid w:val="00346DC7"/>
    <w:rsid w:val="003578A4"/>
    <w:rsid w:val="00364E62"/>
    <w:rsid w:val="003701EF"/>
    <w:rsid w:val="00374E5A"/>
    <w:rsid w:val="00375BC7"/>
    <w:rsid w:val="00381B20"/>
    <w:rsid w:val="00382C14"/>
    <w:rsid w:val="00384242"/>
    <w:rsid w:val="00390FC2"/>
    <w:rsid w:val="0039221F"/>
    <w:rsid w:val="003958EE"/>
    <w:rsid w:val="003A0962"/>
    <w:rsid w:val="003A4A5B"/>
    <w:rsid w:val="003B163C"/>
    <w:rsid w:val="003B1CC7"/>
    <w:rsid w:val="003B5003"/>
    <w:rsid w:val="003C1DA3"/>
    <w:rsid w:val="003C4002"/>
    <w:rsid w:val="003C6E2B"/>
    <w:rsid w:val="003D6290"/>
    <w:rsid w:val="003D6AFB"/>
    <w:rsid w:val="003E2816"/>
    <w:rsid w:val="003E5288"/>
    <w:rsid w:val="003F34CD"/>
    <w:rsid w:val="003F44B4"/>
    <w:rsid w:val="003F4E92"/>
    <w:rsid w:val="003F54F3"/>
    <w:rsid w:val="003F72B2"/>
    <w:rsid w:val="003F7706"/>
    <w:rsid w:val="00400775"/>
    <w:rsid w:val="0041341C"/>
    <w:rsid w:val="00417D42"/>
    <w:rsid w:val="00417DF6"/>
    <w:rsid w:val="00430048"/>
    <w:rsid w:val="00433E16"/>
    <w:rsid w:val="00434AE1"/>
    <w:rsid w:val="004405EC"/>
    <w:rsid w:val="00442BF9"/>
    <w:rsid w:val="00445032"/>
    <w:rsid w:val="0044622D"/>
    <w:rsid w:val="00471C41"/>
    <w:rsid w:val="0047588C"/>
    <w:rsid w:val="00476FA6"/>
    <w:rsid w:val="004801CD"/>
    <w:rsid w:val="00481E9C"/>
    <w:rsid w:val="004832AF"/>
    <w:rsid w:val="0048528A"/>
    <w:rsid w:val="00486853"/>
    <w:rsid w:val="00490DC8"/>
    <w:rsid w:val="00493101"/>
    <w:rsid w:val="00494286"/>
    <w:rsid w:val="00497FD4"/>
    <w:rsid w:val="004A2A10"/>
    <w:rsid w:val="004A48ED"/>
    <w:rsid w:val="004A5443"/>
    <w:rsid w:val="004A6892"/>
    <w:rsid w:val="004B2A94"/>
    <w:rsid w:val="004B3C28"/>
    <w:rsid w:val="004B4AC4"/>
    <w:rsid w:val="004B7E76"/>
    <w:rsid w:val="004C1907"/>
    <w:rsid w:val="004C3F41"/>
    <w:rsid w:val="004C788F"/>
    <w:rsid w:val="004D5C89"/>
    <w:rsid w:val="004E1BE3"/>
    <w:rsid w:val="004E6C6A"/>
    <w:rsid w:val="004E7667"/>
    <w:rsid w:val="004F311F"/>
    <w:rsid w:val="004F3195"/>
    <w:rsid w:val="004F3277"/>
    <w:rsid w:val="004F3363"/>
    <w:rsid w:val="004F4107"/>
    <w:rsid w:val="00512912"/>
    <w:rsid w:val="00520008"/>
    <w:rsid w:val="00520569"/>
    <w:rsid w:val="005235E0"/>
    <w:rsid w:val="00523886"/>
    <w:rsid w:val="00533E18"/>
    <w:rsid w:val="00542BD5"/>
    <w:rsid w:val="00542D58"/>
    <w:rsid w:val="00544013"/>
    <w:rsid w:val="00545EDE"/>
    <w:rsid w:val="00547000"/>
    <w:rsid w:val="00547BBB"/>
    <w:rsid w:val="0055055D"/>
    <w:rsid w:val="00552624"/>
    <w:rsid w:val="0055354B"/>
    <w:rsid w:val="0056106A"/>
    <w:rsid w:val="0056308B"/>
    <w:rsid w:val="0056341C"/>
    <w:rsid w:val="0056428E"/>
    <w:rsid w:val="00567EA9"/>
    <w:rsid w:val="005710A6"/>
    <w:rsid w:val="00573236"/>
    <w:rsid w:val="00573865"/>
    <w:rsid w:val="0057402F"/>
    <w:rsid w:val="00575EE1"/>
    <w:rsid w:val="00581856"/>
    <w:rsid w:val="005835D4"/>
    <w:rsid w:val="005875D7"/>
    <w:rsid w:val="00591DC4"/>
    <w:rsid w:val="005A0D34"/>
    <w:rsid w:val="005A74E4"/>
    <w:rsid w:val="005A798F"/>
    <w:rsid w:val="005B0323"/>
    <w:rsid w:val="005B5821"/>
    <w:rsid w:val="005B59F1"/>
    <w:rsid w:val="005C141E"/>
    <w:rsid w:val="005C3069"/>
    <w:rsid w:val="005D6836"/>
    <w:rsid w:val="005E1139"/>
    <w:rsid w:val="005E3243"/>
    <w:rsid w:val="005E3808"/>
    <w:rsid w:val="005E3BA7"/>
    <w:rsid w:val="005E653E"/>
    <w:rsid w:val="005E7148"/>
    <w:rsid w:val="005F1A3D"/>
    <w:rsid w:val="005F7B09"/>
    <w:rsid w:val="00600F5F"/>
    <w:rsid w:val="00602274"/>
    <w:rsid w:val="0060464C"/>
    <w:rsid w:val="00605E54"/>
    <w:rsid w:val="0061052A"/>
    <w:rsid w:val="00614780"/>
    <w:rsid w:val="00614D0A"/>
    <w:rsid w:val="00622BBC"/>
    <w:rsid w:val="006239F8"/>
    <w:rsid w:val="00626904"/>
    <w:rsid w:val="0063308C"/>
    <w:rsid w:val="006340D0"/>
    <w:rsid w:val="0063458A"/>
    <w:rsid w:val="0063684F"/>
    <w:rsid w:val="006377B9"/>
    <w:rsid w:val="00637BA8"/>
    <w:rsid w:val="00641F7D"/>
    <w:rsid w:val="00642B80"/>
    <w:rsid w:val="006439FE"/>
    <w:rsid w:val="00644D2B"/>
    <w:rsid w:val="006461EF"/>
    <w:rsid w:val="0064655A"/>
    <w:rsid w:val="00652C67"/>
    <w:rsid w:val="00653F77"/>
    <w:rsid w:val="00665D18"/>
    <w:rsid w:val="00666B28"/>
    <w:rsid w:val="00672101"/>
    <w:rsid w:val="00672587"/>
    <w:rsid w:val="0067558E"/>
    <w:rsid w:val="0068236D"/>
    <w:rsid w:val="0068335B"/>
    <w:rsid w:val="00687030"/>
    <w:rsid w:val="006927D6"/>
    <w:rsid w:val="00692D33"/>
    <w:rsid w:val="006C2498"/>
    <w:rsid w:val="006D0780"/>
    <w:rsid w:val="006D1A88"/>
    <w:rsid w:val="006D293E"/>
    <w:rsid w:val="006D728C"/>
    <w:rsid w:val="006E0697"/>
    <w:rsid w:val="006E3A03"/>
    <w:rsid w:val="006E3C28"/>
    <w:rsid w:val="006E4F10"/>
    <w:rsid w:val="0070097E"/>
    <w:rsid w:val="00703813"/>
    <w:rsid w:val="00705EEC"/>
    <w:rsid w:val="00710633"/>
    <w:rsid w:val="00714FC8"/>
    <w:rsid w:val="00717CAA"/>
    <w:rsid w:val="007220C0"/>
    <w:rsid w:val="00724F9C"/>
    <w:rsid w:val="00725D10"/>
    <w:rsid w:val="007265F5"/>
    <w:rsid w:val="00731A53"/>
    <w:rsid w:val="007346DF"/>
    <w:rsid w:val="0073533A"/>
    <w:rsid w:val="007359AE"/>
    <w:rsid w:val="0074667A"/>
    <w:rsid w:val="00751112"/>
    <w:rsid w:val="00752AD9"/>
    <w:rsid w:val="00753AF9"/>
    <w:rsid w:val="00756B24"/>
    <w:rsid w:val="00761B4E"/>
    <w:rsid w:val="007671F4"/>
    <w:rsid w:val="0077096D"/>
    <w:rsid w:val="00774B05"/>
    <w:rsid w:val="00776F1D"/>
    <w:rsid w:val="00782338"/>
    <w:rsid w:val="00794EE0"/>
    <w:rsid w:val="00797F5D"/>
    <w:rsid w:val="007A2CC1"/>
    <w:rsid w:val="007B1B7F"/>
    <w:rsid w:val="007B1BFB"/>
    <w:rsid w:val="007D2106"/>
    <w:rsid w:val="007D309B"/>
    <w:rsid w:val="007D48DC"/>
    <w:rsid w:val="007D494E"/>
    <w:rsid w:val="007D7459"/>
    <w:rsid w:val="007E3254"/>
    <w:rsid w:val="007E5A66"/>
    <w:rsid w:val="007E6310"/>
    <w:rsid w:val="007F127E"/>
    <w:rsid w:val="007F391E"/>
    <w:rsid w:val="007F7959"/>
    <w:rsid w:val="00800135"/>
    <w:rsid w:val="00806688"/>
    <w:rsid w:val="00814987"/>
    <w:rsid w:val="0081607B"/>
    <w:rsid w:val="00816380"/>
    <w:rsid w:val="00816F74"/>
    <w:rsid w:val="00821506"/>
    <w:rsid w:val="008344D5"/>
    <w:rsid w:val="00836293"/>
    <w:rsid w:val="00836818"/>
    <w:rsid w:val="00836F62"/>
    <w:rsid w:val="00843E8A"/>
    <w:rsid w:val="0086005B"/>
    <w:rsid w:val="00860C62"/>
    <w:rsid w:val="00861EF8"/>
    <w:rsid w:val="0086208D"/>
    <w:rsid w:val="00862156"/>
    <w:rsid w:val="00862F87"/>
    <w:rsid w:val="0087660B"/>
    <w:rsid w:val="008811BF"/>
    <w:rsid w:val="0088143D"/>
    <w:rsid w:val="00882396"/>
    <w:rsid w:val="00883865"/>
    <w:rsid w:val="00891C2C"/>
    <w:rsid w:val="008968C8"/>
    <w:rsid w:val="008A2EB9"/>
    <w:rsid w:val="008A3580"/>
    <w:rsid w:val="008A4C70"/>
    <w:rsid w:val="008A5F98"/>
    <w:rsid w:val="008B2AFB"/>
    <w:rsid w:val="008B5F6D"/>
    <w:rsid w:val="008B72E2"/>
    <w:rsid w:val="008C3969"/>
    <w:rsid w:val="008C44B6"/>
    <w:rsid w:val="008C514C"/>
    <w:rsid w:val="008C77DA"/>
    <w:rsid w:val="008D7F8E"/>
    <w:rsid w:val="008E0826"/>
    <w:rsid w:val="008F3142"/>
    <w:rsid w:val="008F621F"/>
    <w:rsid w:val="008F6B4F"/>
    <w:rsid w:val="008F712B"/>
    <w:rsid w:val="00903462"/>
    <w:rsid w:val="009100D0"/>
    <w:rsid w:val="00911BA2"/>
    <w:rsid w:val="009163CB"/>
    <w:rsid w:val="00917115"/>
    <w:rsid w:val="00917208"/>
    <w:rsid w:val="0092263C"/>
    <w:rsid w:val="0092664F"/>
    <w:rsid w:val="00931BCF"/>
    <w:rsid w:val="00934AB4"/>
    <w:rsid w:val="00937D10"/>
    <w:rsid w:val="009402D5"/>
    <w:rsid w:val="009404CD"/>
    <w:rsid w:val="00940968"/>
    <w:rsid w:val="00946B47"/>
    <w:rsid w:val="00951F15"/>
    <w:rsid w:val="00956600"/>
    <w:rsid w:val="00966ED1"/>
    <w:rsid w:val="00967AF4"/>
    <w:rsid w:val="009725B7"/>
    <w:rsid w:val="0097417F"/>
    <w:rsid w:val="00975DC3"/>
    <w:rsid w:val="00976A66"/>
    <w:rsid w:val="00980467"/>
    <w:rsid w:val="00980E25"/>
    <w:rsid w:val="00982502"/>
    <w:rsid w:val="00983207"/>
    <w:rsid w:val="0098539E"/>
    <w:rsid w:val="00985461"/>
    <w:rsid w:val="00993048"/>
    <w:rsid w:val="0099340D"/>
    <w:rsid w:val="0099612A"/>
    <w:rsid w:val="00996935"/>
    <w:rsid w:val="009A0D75"/>
    <w:rsid w:val="009A1EB9"/>
    <w:rsid w:val="009A39D2"/>
    <w:rsid w:val="009A4921"/>
    <w:rsid w:val="009B4BEA"/>
    <w:rsid w:val="009B5460"/>
    <w:rsid w:val="009B5D68"/>
    <w:rsid w:val="009C3EA9"/>
    <w:rsid w:val="009C4F21"/>
    <w:rsid w:val="009C68D3"/>
    <w:rsid w:val="009D1EAE"/>
    <w:rsid w:val="009D2170"/>
    <w:rsid w:val="009D5196"/>
    <w:rsid w:val="009E120C"/>
    <w:rsid w:val="009E2130"/>
    <w:rsid w:val="009E2FA9"/>
    <w:rsid w:val="009F04B7"/>
    <w:rsid w:val="009F370A"/>
    <w:rsid w:val="009F59C8"/>
    <w:rsid w:val="009F6CC2"/>
    <w:rsid w:val="00A0044B"/>
    <w:rsid w:val="00A01AA1"/>
    <w:rsid w:val="00A0217C"/>
    <w:rsid w:val="00A07B4E"/>
    <w:rsid w:val="00A129AE"/>
    <w:rsid w:val="00A14413"/>
    <w:rsid w:val="00A20223"/>
    <w:rsid w:val="00A212C4"/>
    <w:rsid w:val="00A22F42"/>
    <w:rsid w:val="00A27277"/>
    <w:rsid w:val="00A31764"/>
    <w:rsid w:val="00A35410"/>
    <w:rsid w:val="00A375A6"/>
    <w:rsid w:val="00A37AD8"/>
    <w:rsid w:val="00A428EA"/>
    <w:rsid w:val="00A46F6F"/>
    <w:rsid w:val="00A475C6"/>
    <w:rsid w:val="00A522F6"/>
    <w:rsid w:val="00A56A1A"/>
    <w:rsid w:val="00A61612"/>
    <w:rsid w:val="00A61926"/>
    <w:rsid w:val="00A66B29"/>
    <w:rsid w:val="00A70A19"/>
    <w:rsid w:val="00A73B88"/>
    <w:rsid w:val="00A743FE"/>
    <w:rsid w:val="00A75346"/>
    <w:rsid w:val="00A8100C"/>
    <w:rsid w:val="00A85A32"/>
    <w:rsid w:val="00A90E8A"/>
    <w:rsid w:val="00A91842"/>
    <w:rsid w:val="00A9351F"/>
    <w:rsid w:val="00AA2610"/>
    <w:rsid w:val="00AA4064"/>
    <w:rsid w:val="00AA4C68"/>
    <w:rsid w:val="00AA620A"/>
    <w:rsid w:val="00AB53FA"/>
    <w:rsid w:val="00AC2406"/>
    <w:rsid w:val="00AC24C5"/>
    <w:rsid w:val="00AC4C4C"/>
    <w:rsid w:val="00AD00A5"/>
    <w:rsid w:val="00AD292A"/>
    <w:rsid w:val="00AD32B3"/>
    <w:rsid w:val="00AD3E7E"/>
    <w:rsid w:val="00AD7DC5"/>
    <w:rsid w:val="00AE1E78"/>
    <w:rsid w:val="00AF1855"/>
    <w:rsid w:val="00AF2A6B"/>
    <w:rsid w:val="00AF4C78"/>
    <w:rsid w:val="00B00256"/>
    <w:rsid w:val="00B005C2"/>
    <w:rsid w:val="00B04183"/>
    <w:rsid w:val="00B06CA7"/>
    <w:rsid w:val="00B1253B"/>
    <w:rsid w:val="00B1309B"/>
    <w:rsid w:val="00B233A6"/>
    <w:rsid w:val="00B25F1B"/>
    <w:rsid w:val="00B31E2A"/>
    <w:rsid w:val="00B34314"/>
    <w:rsid w:val="00B37534"/>
    <w:rsid w:val="00B378E3"/>
    <w:rsid w:val="00B4495A"/>
    <w:rsid w:val="00B45715"/>
    <w:rsid w:val="00B46993"/>
    <w:rsid w:val="00B5386E"/>
    <w:rsid w:val="00B55717"/>
    <w:rsid w:val="00B578C8"/>
    <w:rsid w:val="00B61E16"/>
    <w:rsid w:val="00B700BB"/>
    <w:rsid w:val="00B70171"/>
    <w:rsid w:val="00B7766D"/>
    <w:rsid w:val="00B8469A"/>
    <w:rsid w:val="00B97345"/>
    <w:rsid w:val="00BA041C"/>
    <w:rsid w:val="00BA1DB7"/>
    <w:rsid w:val="00BA2DA6"/>
    <w:rsid w:val="00BB0505"/>
    <w:rsid w:val="00BB6C28"/>
    <w:rsid w:val="00BB7B34"/>
    <w:rsid w:val="00BC0132"/>
    <w:rsid w:val="00BC5FA4"/>
    <w:rsid w:val="00BC6703"/>
    <w:rsid w:val="00BD1560"/>
    <w:rsid w:val="00BE3271"/>
    <w:rsid w:val="00BE4B80"/>
    <w:rsid w:val="00BE5B5C"/>
    <w:rsid w:val="00BE6434"/>
    <w:rsid w:val="00BE7647"/>
    <w:rsid w:val="00BF5322"/>
    <w:rsid w:val="00BF74F1"/>
    <w:rsid w:val="00C00A6D"/>
    <w:rsid w:val="00C05751"/>
    <w:rsid w:val="00C0782E"/>
    <w:rsid w:val="00C235E7"/>
    <w:rsid w:val="00C23C4C"/>
    <w:rsid w:val="00C32A66"/>
    <w:rsid w:val="00C40740"/>
    <w:rsid w:val="00C47BA1"/>
    <w:rsid w:val="00C50146"/>
    <w:rsid w:val="00C51C1A"/>
    <w:rsid w:val="00C52E91"/>
    <w:rsid w:val="00C575B7"/>
    <w:rsid w:val="00C60139"/>
    <w:rsid w:val="00C629CC"/>
    <w:rsid w:val="00C642A2"/>
    <w:rsid w:val="00C64B0A"/>
    <w:rsid w:val="00C6512C"/>
    <w:rsid w:val="00C66DD7"/>
    <w:rsid w:val="00C6797A"/>
    <w:rsid w:val="00C73FB4"/>
    <w:rsid w:val="00C76DC1"/>
    <w:rsid w:val="00C83AE7"/>
    <w:rsid w:val="00C8760D"/>
    <w:rsid w:val="00C930D4"/>
    <w:rsid w:val="00C949CE"/>
    <w:rsid w:val="00C95BEE"/>
    <w:rsid w:val="00C967B5"/>
    <w:rsid w:val="00CA0C6D"/>
    <w:rsid w:val="00CA532E"/>
    <w:rsid w:val="00CA67F9"/>
    <w:rsid w:val="00CA6D15"/>
    <w:rsid w:val="00CB7FFA"/>
    <w:rsid w:val="00CD01A3"/>
    <w:rsid w:val="00CD0EC6"/>
    <w:rsid w:val="00CD25AD"/>
    <w:rsid w:val="00CD7E18"/>
    <w:rsid w:val="00CE16A8"/>
    <w:rsid w:val="00CE36B1"/>
    <w:rsid w:val="00D00565"/>
    <w:rsid w:val="00D01FA2"/>
    <w:rsid w:val="00D035BC"/>
    <w:rsid w:val="00D105BA"/>
    <w:rsid w:val="00D11A9A"/>
    <w:rsid w:val="00D1345E"/>
    <w:rsid w:val="00D153DA"/>
    <w:rsid w:val="00D15DC7"/>
    <w:rsid w:val="00D16DB5"/>
    <w:rsid w:val="00D23CB1"/>
    <w:rsid w:val="00D26BFB"/>
    <w:rsid w:val="00D307A7"/>
    <w:rsid w:val="00D3357C"/>
    <w:rsid w:val="00D42D7A"/>
    <w:rsid w:val="00D4352A"/>
    <w:rsid w:val="00D46258"/>
    <w:rsid w:val="00D57B53"/>
    <w:rsid w:val="00D60468"/>
    <w:rsid w:val="00D60831"/>
    <w:rsid w:val="00D62C7C"/>
    <w:rsid w:val="00D63808"/>
    <w:rsid w:val="00D64040"/>
    <w:rsid w:val="00D64410"/>
    <w:rsid w:val="00D71734"/>
    <w:rsid w:val="00D7234F"/>
    <w:rsid w:val="00D74295"/>
    <w:rsid w:val="00D76157"/>
    <w:rsid w:val="00D839D1"/>
    <w:rsid w:val="00D96BE0"/>
    <w:rsid w:val="00D97536"/>
    <w:rsid w:val="00DA48C8"/>
    <w:rsid w:val="00DA4C94"/>
    <w:rsid w:val="00DA79FF"/>
    <w:rsid w:val="00DA7AB5"/>
    <w:rsid w:val="00DB015B"/>
    <w:rsid w:val="00DB280B"/>
    <w:rsid w:val="00DB5023"/>
    <w:rsid w:val="00DC4C92"/>
    <w:rsid w:val="00DE1B9F"/>
    <w:rsid w:val="00DE25D8"/>
    <w:rsid w:val="00DE30AD"/>
    <w:rsid w:val="00DE4EA9"/>
    <w:rsid w:val="00DF0259"/>
    <w:rsid w:val="00DF3308"/>
    <w:rsid w:val="00DF43E5"/>
    <w:rsid w:val="00DF58E4"/>
    <w:rsid w:val="00DF711A"/>
    <w:rsid w:val="00DF7D11"/>
    <w:rsid w:val="00E00E6D"/>
    <w:rsid w:val="00E01637"/>
    <w:rsid w:val="00E04ED6"/>
    <w:rsid w:val="00E06458"/>
    <w:rsid w:val="00E075DA"/>
    <w:rsid w:val="00E124FC"/>
    <w:rsid w:val="00E173DE"/>
    <w:rsid w:val="00E20538"/>
    <w:rsid w:val="00E25C2F"/>
    <w:rsid w:val="00E351BB"/>
    <w:rsid w:val="00E36959"/>
    <w:rsid w:val="00E43868"/>
    <w:rsid w:val="00E465B7"/>
    <w:rsid w:val="00E52DE4"/>
    <w:rsid w:val="00E61AC4"/>
    <w:rsid w:val="00E6420E"/>
    <w:rsid w:val="00E64CD3"/>
    <w:rsid w:val="00E66698"/>
    <w:rsid w:val="00E702AA"/>
    <w:rsid w:val="00E70E1D"/>
    <w:rsid w:val="00E715BF"/>
    <w:rsid w:val="00E72C9B"/>
    <w:rsid w:val="00E76E6B"/>
    <w:rsid w:val="00E81688"/>
    <w:rsid w:val="00E84AB3"/>
    <w:rsid w:val="00E85C1A"/>
    <w:rsid w:val="00E90A83"/>
    <w:rsid w:val="00E90F3C"/>
    <w:rsid w:val="00E94233"/>
    <w:rsid w:val="00EA6D98"/>
    <w:rsid w:val="00EB13B7"/>
    <w:rsid w:val="00EB3031"/>
    <w:rsid w:val="00EB3E6F"/>
    <w:rsid w:val="00EB4E3A"/>
    <w:rsid w:val="00EC0A26"/>
    <w:rsid w:val="00EC0AAB"/>
    <w:rsid w:val="00EC2A17"/>
    <w:rsid w:val="00EC404F"/>
    <w:rsid w:val="00EC44BC"/>
    <w:rsid w:val="00ED068E"/>
    <w:rsid w:val="00ED7149"/>
    <w:rsid w:val="00ED741D"/>
    <w:rsid w:val="00ED78C2"/>
    <w:rsid w:val="00EF004A"/>
    <w:rsid w:val="00EF4F70"/>
    <w:rsid w:val="00EF65BA"/>
    <w:rsid w:val="00F03123"/>
    <w:rsid w:val="00F0371C"/>
    <w:rsid w:val="00F20A6B"/>
    <w:rsid w:val="00F20B82"/>
    <w:rsid w:val="00F218DA"/>
    <w:rsid w:val="00F22A7C"/>
    <w:rsid w:val="00F24A70"/>
    <w:rsid w:val="00F30114"/>
    <w:rsid w:val="00F33E82"/>
    <w:rsid w:val="00F41698"/>
    <w:rsid w:val="00F42734"/>
    <w:rsid w:val="00F449A2"/>
    <w:rsid w:val="00F517D2"/>
    <w:rsid w:val="00F53290"/>
    <w:rsid w:val="00F55C36"/>
    <w:rsid w:val="00F56920"/>
    <w:rsid w:val="00F60E63"/>
    <w:rsid w:val="00F6285C"/>
    <w:rsid w:val="00F636F1"/>
    <w:rsid w:val="00F64CF9"/>
    <w:rsid w:val="00F66CA0"/>
    <w:rsid w:val="00F67B36"/>
    <w:rsid w:val="00F76892"/>
    <w:rsid w:val="00F804EB"/>
    <w:rsid w:val="00F82039"/>
    <w:rsid w:val="00F8267D"/>
    <w:rsid w:val="00F8403A"/>
    <w:rsid w:val="00F9055F"/>
    <w:rsid w:val="00F94861"/>
    <w:rsid w:val="00FB12CD"/>
    <w:rsid w:val="00FB3187"/>
    <w:rsid w:val="00FB43A5"/>
    <w:rsid w:val="00FC0E4B"/>
    <w:rsid w:val="00FC1041"/>
    <w:rsid w:val="00FC4785"/>
    <w:rsid w:val="00FC5EB0"/>
    <w:rsid w:val="00FE12AF"/>
    <w:rsid w:val="00FE4BD6"/>
    <w:rsid w:val="00FE5EE6"/>
    <w:rsid w:val="00FE6570"/>
    <w:rsid w:val="00FF0088"/>
    <w:rsid w:val="00FF4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A70D8"/>
  <w15:docId w15:val="{B16D6D53-022F-4CDB-A945-5769C139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5D4"/>
    <w:pPr>
      <w:spacing w:after="0" w:line="240" w:lineRule="auto"/>
      <w:jc w:val="both"/>
    </w:pPr>
    <w:rPr>
      <w:rFonts w:eastAsiaTheme="minorEastAsia"/>
      <w:szCs w:val="24"/>
      <w:lang w:val="en-GB"/>
    </w:rPr>
  </w:style>
  <w:style w:type="paragraph" w:styleId="Heading1">
    <w:name w:val="heading 1"/>
    <w:basedOn w:val="Normal"/>
    <w:next w:val="Normal"/>
    <w:link w:val="Heading1Char"/>
    <w:uiPriority w:val="9"/>
    <w:qFormat/>
    <w:rsid w:val="00BC5FA4"/>
    <w:pPr>
      <w:keepNext/>
      <w:keepLines/>
      <w:spacing w:before="48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F42"/>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val="en-AU"/>
    </w:rPr>
  </w:style>
  <w:style w:type="paragraph" w:styleId="Heading3">
    <w:name w:val="heading 3"/>
    <w:basedOn w:val="Normal"/>
    <w:next w:val="Normal"/>
    <w:link w:val="Heading3Char"/>
    <w:uiPriority w:val="9"/>
    <w:unhideWhenUsed/>
    <w:qFormat/>
    <w:rsid w:val="00C23C4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3C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DF"/>
    <w:pPr>
      <w:ind w:left="720"/>
      <w:contextualSpacing/>
    </w:pPr>
  </w:style>
  <w:style w:type="character" w:styleId="CommentReference">
    <w:name w:val="annotation reference"/>
    <w:basedOn w:val="DefaultParagraphFont"/>
    <w:unhideWhenUsed/>
    <w:rsid w:val="007346DF"/>
    <w:rPr>
      <w:sz w:val="16"/>
      <w:szCs w:val="16"/>
    </w:rPr>
  </w:style>
  <w:style w:type="paragraph" w:styleId="CommentText">
    <w:name w:val="annotation text"/>
    <w:basedOn w:val="Normal"/>
    <w:link w:val="CommentTextChar"/>
    <w:unhideWhenUsed/>
    <w:rsid w:val="007346DF"/>
    <w:rPr>
      <w:sz w:val="20"/>
      <w:szCs w:val="20"/>
    </w:rPr>
  </w:style>
  <w:style w:type="character" w:customStyle="1" w:styleId="CommentTextChar">
    <w:name w:val="Comment Text Char"/>
    <w:basedOn w:val="DefaultParagraphFont"/>
    <w:link w:val="CommentText"/>
    <w:rsid w:val="007346DF"/>
    <w:rPr>
      <w:rFonts w:eastAsiaTheme="minorEastAsia"/>
      <w:sz w:val="20"/>
      <w:szCs w:val="20"/>
      <w:lang w:val="en-GB"/>
    </w:rPr>
  </w:style>
  <w:style w:type="paragraph" w:styleId="BalloonText">
    <w:name w:val="Balloon Text"/>
    <w:basedOn w:val="Normal"/>
    <w:link w:val="BalloonTextChar"/>
    <w:uiPriority w:val="99"/>
    <w:semiHidden/>
    <w:unhideWhenUsed/>
    <w:rsid w:val="007346DF"/>
    <w:rPr>
      <w:rFonts w:ascii="Tahoma" w:hAnsi="Tahoma" w:cs="Tahoma"/>
      <w:sz w:val="16"/>
      <w:szCs w:val="16"/>
    </w:rPr>
  </w:style>
  <w:style w:type="character" w:customStyle="1" w:styleId="BalloonTextChar">
    <w:name w:val="Balloon Text Char"/>
    <w:basedOn w:val="DefaultParagraphFont"/>
    <w:link w:val="BalloonText"/>
    <w:uiPriority w:val="99"/>
    <w:semiHidden/>
    <w:rsid w:val="007346DF"/>
    <w:rPr>
      <w:rFonts w:ascii="Tahoma" w:eastAsiaTheme="minorEastAsia" w:hAnsi="Tahoma" w:cs="Tahoma"/>
      <w:sz w:val="16"/>
      <w:szCs w:val="16"/>
      <w:lang w:val="en-GB"/>
    </w:rPr>
  </w:style>
  <w:style w:type="character" w:customStyle="1" w:styleId="Heading2Char">
    <w:name w:val="Heading 2 Char"/>
    <w:basedOn w:val="DefaultParagraphFont"/>
    <w:link w:val="Heading2"/>
    <w:uiPriority w:val="9"/>
    <w:rsid w:val="00A22F42"/>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uiPriority w:val="99"/>
    <w:unhideWhenUsed/>
    <w:rsid w:val="00BE6434"/>
    <w:rPr>
      <w:color w:val="0000FF" w:themeColor="hyperlink"/>
      <w:u w:val="single"/>
    </w:rPr>
  </w:style>
  <w:style w:type="character" w:customStyle="1" w:styleId="Heading1Char">
    <w:name w:val="Heading 1 Char"/>
    <w:basedOn w:val="DefaultParagraphFont"/>
    <w:link w:val="Heading1"/>
    <w:uiPriority w:val="9"/>
    <w:rsid w:val="00BC5FA4"/>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9F0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5F1B"/>
    <w:rPr>
      <w:b/>
      <w:bCs/>
    </w:rPr>
  </w:style>
  <w:style w:type="character" w:customStyle="1" w:styleId="CommentSubjectChar">
    <w:name w:val="Comment Subject Char"/>
    <w:basedOn w:val="CommentTextChar"/>
    <w:link w:val="CommentSubject"/>
    <w:uiPriority w:val="99"/>
    <w:semiHidden/>
    <w:rsid w:val="00B25F1B"/>
    <w:rPr>
      <w:rFonts w:eastAsiaTheme="minorEastAsia"/>
      <w:b/>
      <w:bCs/>
      <w:sz w:val="20"/>
      <w:szCs w:val="20"/>
      <w:lang w:val="en-GB"/>
    </w:rPr>
  </w:style>
  <w:style w:type="paragraph" w:styleId="Revision">
    <w:name w:val="Revision"/>
    <w:hidden/>
    <w:uiPriority w:val="99"/>
    <w:semiHidden/>
    <w:rsid w:val="00B97345"/>
    <w:pPr>
      <w:spacing w:after="0" w:line="240" w:lineRule="auto"/>
    </w:pPr>
    <w:rPr>
      <w:rFonts w:eastAsiaTheme="minorEastAsia"/>
      <w:szCs w:val="24"/>
      <w:lang w:val="en-GB"/>
    </w:rPr>
  </w:style>
  <w:style w:type="paragraph" w:customStyle="1" w:styleId="Default">
    <w:name w:val="Default"/>
    <w:rsid w:val="00614780"/>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rsid w:val="00614780"/>
    <w:pPr>
      <w:spacing w:after="120"/>
      <w:jc w:val="left"/>
    </w:pPr>
    <w:rPr>
      <w:rFonts w:ascii="Times New Roman" w:eastAsia="Batang" w:hAnsi="Times New Roman" w:cs="Times New Roman"/>
      <w:sz w:val="16"/>
      <w:szCs w:val="16"/>
      <w:lang w:val="en-AU"/>
    </w:rPr>
  </w:style>
  <w:style w:type="character" w:customStyle="1" w:styleId="BodyText3Char">
    <w:name w:val="Body Text 3 Char"/>
    <w:basedOn w:val="DefaultParagraphFont"/>
    <w:link w:val="BodyText3"/>
    <w:rsid w:val="00614780"/>
    <w:rPr>
      <w:rFonts w:ascii="Times New Roman" w:eastAsia="Batang" w:hAnsi="Times New Roman" w:cs="Times New Roman"/>
      <w:sz w:val="16"/>
      <w:szCs w:val="16"/>
      <w:lang w:val="en-AU"/>
    </w:rPr>
  </w:style>
  <w:style w:type="paragraph" w:styleId="FootnoteText">
    <w:name w:val="footnote text"/>
    <w:basedOn w:val="Normal"/>
    <w:link w:val="FootnoteTextChar"/>
    <w:unhideWhenUsed/>
    <w:rsid w:val="00BC5FA4"/>
    <w:rPr>
      <w:sz w:val="20"/>
      <w:szCs w:val="20"/>
    </w:rPr>
  </w:style>
  <w:style w:type="character" w:customStyle="1" w:styleId="FootnoteTextChar">
    <w:name w:val="Footnote Text Char"/>
    <w:basedOn w:val="DefaultParagraphFont"/>
    <w:link w:val="FootnoteText"/>
    <w:rsid w:val="00BC5FA4"/>
    <w:rPr>
      <w:rFonts w:eastAsiaTheme="minorEastAsia"/>
      <w:sz w:val="20"/>
      <w:szCs w:val="20"/>
      <w:lang w:val="en-GB"/>
    </w:rPr>
  </w:style>
  <w:style w:type="character" w:styleId="FootnoteReference">
    <w:name w:val="footnote reference"/>
    <w:basedOn w:val="DefaultParagraphFont"/>
    <w:unhideWhenUsed/>
    <w:rsid w:val="00BC5FA4"/>
    <w:rPr>
      <w:vertAlign w:val="superscript"/>
    </w:rPr>
  </w:style>
  <w:style w:type="paragraph" w:styleId="Caption">
    <w:name w:val="caption"/>
    <w:basedOn w:val="Normal"/>
    <w:next w:val="Normal"/>
    <w:unhideWhenUsed/>
    <w:qFormat/>
    <w:rsid w:val="00860C62"/>
    <w:pPr>
      <w:spacing w:after="200"/>
    </w:pPr>
    <w:rPr>
      <w:b/>
      <w:bCs/>
      <w:color w:val="4F81BD" w:themeColor="accent1"/>
      <w:szCs w:val="22"/>
    </w:rPr>
  </w:style>
  <w:style w:type="paragraph" w:styleId="Header">
    <w:name w:val="header"/>
    <w:basedOn w:val="Normal"/>
    <w:link w:val="HeaderChar"/>
    <w:uiPriority w:val="99"/>
    <w:unhideWhenUsed/>
    <w:rsid w:val="00591DC4"/>
    <w:pPr>
      <w:tabs>
        <w:tab w:val="center" w:pos="4513"/>
        <w:tab w:val="right" w:pos="9026"/>
      </w:tabs>
    </w:pPr>
  </w:style>
  <w:style w:type="character" w:customStyle="1" w:styleId="HeaderChar">
    <w:name w:val="Header Char"/>
    <w:basedOn w:val="DefaultParagraphFont"/>
    <w:link w:val="Header"/>
    <w:uiPriority w:val="99"/>
    <w:rsid w:val="00591DC4"/>
    <w:rPr>
      <w:rFonts w:eastAsiaTheme="minorEastAsia"/>
      <w:szCs w:val="24"/>
      <w:lang w:val="en-GB"/>
    </w:rPr>
  </w:style>
  <w:style w:type="paragraph" w:styleId="Footer">
    <w:name w:val="footer"/>
    <w:basedOn w:val="Normal"/>
    <w:link w:val="FooterChar"/>
    <w:uiPriority w:val="99"/>
    <w:unhideWhenUsed/>
    <w:rsid w:val="00591DC4"/>
    <w:pPr>
      <w:tabs>
        <w:tab w:val="center" w:pos="4513"/>
        <w:tab w:val="right" w:pos="9026"/>
      </w:tabs>
    </w:pPr>
  </w:style>
  <w:style w:type="character" w:customStyle="1" w:styleId="FooterChar">
    <w:name w:val="Footer Char"/>
    <w:basedOn w:val="DefaultParagraphFont"/>
    <w:link w:val="Footer"/>
    <w:uiPriority w:val="99"/>
    <w:rsid w:val="00591DC4"/>
    <w:rPr>
      <w:rFonts w:eastAsiaTheme="minorEastAsia"/>
      <w:szCs w:val="24"/>
      <w:lang w:val="en-GB"/>
    </w:rPr>
  </w:style>
  <w:style w:type="character" w:styleId="FollowedHyperlink">
    <w:name w:val="FollowedHyperlink"/>
    <w:basedOn w:val="DefaultParagraphFont"/>
    <w:uiPriority w:val="99"/>
    <w:semiHidden/>
    <w:unhideWhenUsed/>
    <w:rsid w:val="000E3DC2"/>
    <w:rPr>
      <w:color w:val="800080" w:themeColor="followedHyperlink"/>
      <w:u w:val="single"/>
    </w:rPr>
  </w:style>
  <w:style w:type="character" w:customStyle="1" w:styleId="Heading3Char">
    <w:name w:val="Heading 3 Char"/>
    <w:basedOn w:val="DefaultParagraphFont"/>
    <w:link w:val="Heading3"/>
    <w:uiPriority w:val="9"/>
    <w:rsid w:val="00C23C4C"/>
    <w:rPr>
      <w:rFonts w:asciiTheme="majorHAnsi" w:eastAsiaTheme="majorEastAsia" w:hAnsiTheme="majorHAnsi" w:cstheme="majorBidi"/>
      <w:b/>
      <w:bCs/>
      <w:color w:val="4F81BD" w:themeColor="accent1"/>
      <w:szCs w:val="24"/>
      <w:lang w:val="en-GB"/>
    </w:rPr>
  </w:style>
  <w:style w:type="character" w:customStyle="1" w:styleId="Heading4Char">
    <w:name w:val="Heading 4 Char"/>
    <w:basedOn w:val="DefaultParagraphFont"/>
    <w:link w:val="Heading4"/>
    <w:uiPriority w:val="9"/>
    <w:rsid w:val="00C23C4C"/>
    <w:rPr>
      <w:rFonts w:asciiTheme="majorHAnsi" w:eastAsiaTheme="majorEastAsia" w:hAnsiTheme="majorHAnsi" w:cstheme="majorBidi"/>
      <w:b/>
      <w:bCs/>
      <w:i/>
      <w:iCs/>
      <w:color w:val="4F81BD" w:themeColor="accent1"/>
      <w:szCs w:val="24"/>
      <w:lang w:val="en-GB"/>
    </w:rPr>
  </w:style>
  <w:style w:type="paragraph" w:styleId="PlainText">
    <w:name w:val="Plain Text"/>
    <w:basedOn w:val="Normal"/>
    <w:link w:val="PlainTextChar"/>
    <w:uiPriority w:val="99"/>
    <w:rsid w:val="00E43868"/>
    <w:pPr>
      <w:jc w:val="left"/>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E43868"/>
    <w:rPr>
      <w:rFonts w:ascii="Courier New" w:eastAsia="Times New Roman" w:hAnsi="Courier New" w:cs="Times New Roman"/>
      <w:sz w:val="20"/>
      <w:szCs w:val="20"/>
      <w:lang w:val="x-none" w:eastAsia="x-none"/>
    </w:rPr>
  </w:style>
  <w:style w:type="paragraph" w:styleId="BodyText">
    <w:name w:val="Body Text"/>
    <w:basedOn w:val="Normal"/>
    <w:link w:val="BodyTextChar"/>
    <w:rsid w:val="00E43868"/>
    <w:pPr>
      <w:spacing w:after="120"/>
      <w:jc w:val="left"/>
    </w:pPr>
    <w:rPr>
      <w:rFonts w:ascii="Times New Roman" w:eastAsia="Times New Roman" w:hAnsi="Times New Roman" w:cs="Times New Roman"/>
      <w:sz w:val="24"/>
      <w:lang w:eastAsia="en-GB"/>
    </w:rPr>
  </w:style>
  <w:style w:type="character" w:customStyle="1" w:styleId="BodyTextChar">
    <w:name w:val="Body Text Char"/>
    <w:basedOn w:val="DefaultParagraphFont"/>
    <w:link w:val="BodyText"/>
    <w:rsid w:val="00E43868"/>
    <w:rPr>
      <w:rFonts w:ascii="Times New Roman" w:eastAsia="Times New Roman" w:hAnsi="Times New Roman" w:cs="Times New Roman"/>
      <w:sz w:val="24"/>
      <w:szCs w:val="24"/>
      <w:lang w:val="en-GB" w:eastAsia="en-GB"/>
    </w:rPr>
  </w:style>
  <w:style w:type="paragraph" w:styleId="NoSpacing">
    <w:name w:val="No Spacing"/>
    <w:uiPriority w:val="1"/>
    <w:qFormat/>
    <w:rsid w:val="00E90A8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33336">
      <w:bodyDiv w:val="1"/>
      <w:marLeft w:val="0"/>
      <w:marRight w:val="0"/>
      <w:marTop w:val="0"/>
      <w:marBottom w:val="0"/>
      <w:divBdr>
        <w:top w:val="none" w:sz="0" w:space="0" w:color="auto"/>
        <w:left w:val="none" w:sz="0" w:space="0" w:color="auto"/>
        <w:bottom w:val="none" w:sz="0" w:space="0" w:color="auto"/>
        <w:right w:val="none" w:sz="0" w:space="0" w:color="auto"/>
      </w:divBdr>
    </w:div>
    <w:div w:id="7372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pocean.2018.04.007"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15C7-D151-42B1-8ACA-BCA61C37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SPC/CPS</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sheltonh</dc:creator>
  <cp:lastModifiedBy>Graham Pilling</cp:lastModifiedBy>
  <cp:revision>4</cp:revision>
  <cp:lastPrinted>2019-07-07T04:29:00Z</cp:lastPrinted>
  <dcterms:created xsi:type="dcterms:W3CDTF">2019-08-14T23:41:00Z</dcterms:created>
  <dcterms:modified xsi:type="dcterms:W3CDTF">2019-08-15T00:04:00Z</dcterms:modified>
</cp:coreProperties>
</file>