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8C2" w:rsidRPr="002828C2" w:rsidRDefault="00923253" w:rsidP="002828C2">
      <w:pPr>
        <w:tabs>
          <w:tab w:val="left" w:pos="820"/>
        </w:tabs>
        <w:rPr>
          <w:b/>
          <w:sz w:val="24"/>
          <w:szCs w:val="24"/>
        </w:rPr>
      </w:pPr>
      <w:bookmarkStart w:id="0" w:name="_GoBack"/>
      <w:bookmarkEnd w:id="0"/>
      <w:r>
        <w:rPr>
          <w:b/>
          <w:sz w:val="24"/>
          <w:szCs w:val="24"/>
        </w:rPr>
        <w:t>North</w:t>
      </w:r>
      <w:r w:rsidR="007D4594">
        <w:rPr>
          <w:b/>
          <w:sz w:val="24"/>
          <w:szCs w:val="24"/>
        </w:rPr>
        <w:t xml:space="preserve"> Pacific </w:t>
      </w:r>
      <w:r w:rsidR="007055E5">
        <w:rPr>
          <w:b/>
          <w:sz w:val="24"/>
          <w:szCs w:val="24"/>
        </w:rPr>
        <w:t>Striped Marlin</w:t>
      </w:r>
      <w:r w:rsidR="002828C2">
        <w:rPr>
          <w:b/>
          <w:sz w:val="24"/>
          <w:szCs w:val="24"/>
        </w:rPr>
        <w:t xml:space="preserve"> </w:t>
      </w:r>
      <w:r w:rsidR="002828C2" w:rsidRPr="002828C2">
        <w:rPr>
          <w:b/>
          <w:sz w:val="24"/>
          <w:szCs w:val="24"/>
        </w:rPr>
        <w:t xml:space="preserve">Stock </w:t>
      </w:r>
      <w:r w:rsidR="002828C2">
        <w:rPr>
          <w:b/>
          <w:sz w:val="24"/>
          <w:szCs w:val="24"/>
        </w:rPr>
        <w:t>Status</w:t>
      </w:r>
    </w:p>
    <w:p w:rsidR="002828C2" w:rsidRPr="002828C2" w:rsidRDefault="002828C2" w:rsidP="002828C2">
      <w:pPr>
        <w:pStyle w:val="BodyText"/>
        <w:rPr>
          <w:sz w:val="24"/>
          <w:szCs w:val="24"/>
        </w:rPr>
      </w:pPr>
    </w:p>
    <w:p w:rsidR="002828C2" w:rsidRDefault="002828C2" w:rsidP="002828C2">
      <w:pPr>
        <w:pStyle w:val="ListParagraph"/>
        <w:tabs>
          <w:tab w:val="left" w:pos="820"/>
        </w:tabs>
        <w:ind w:right="116"/>
        <w:rPr>
          <w:b/>
          <w:sz w:val="24"/>
          <w:szCs w:val="24"/>
        </w:rPr>
      </w:pPr>
      <w:r>
        <w:rPr>
          <w:b/>
          <w:sz w:val="24"/>
          <w:szCs w:val="24"/>
        </w:rPr>
        <w:t>SC14</w:t>
      </w:r>
      <w:r w:rsidRPr="002828C2">
        <w:rPr>
          <w:b/>
          <w:sz w:val="24"/>
          <w:szCs w:val="24"/>
        </w:rPr>
        <w:t xml:space="preserve"> noted that no stock assessments were conducted for </w:t>
      </w:r>
      <w:r w:rsidR="00923253">
        <w:rPr>
          <w:b/>
          <w:sz w:val="24"/>
          <w:szCs w:val="24"/>
        </w:rPr>
        <w:t>North</w:t>
      </w:r>
      <w:r w:rsidR="007D4594">
        <w:rPr>
          <w:b/>
          <w:sz w:val="24"/>
          <w:szCs w:val="24"/>
        </w:rPr>
        <w:t xml:space="preserve"> Pacific </w:t>
      </w:r>
      <w:r w:rsidR="007055E5">
        <w:rPr>
          <w:b/>
          <w:sz w:val="24"/>
          <w:szCs w:val="24"/>
        </w:rPr>
        <w:t>striped marlin</w:t>
      </w:r>
      <w:r w:rsidRPr="002828C2">
        <w:rPr>
          <w:b/>
          <w:sz w:val="24"/>
          <w:szCs w:val="24"/>
        </w:rPr>
        <w:t xml:space="preserve"> </w:t>
      </w:r>
      <w:r>
        <w:rPr>
          <w:b/>
          <w:sz w:val="24"/>
          <w:szCs w:val="24"/>
        </w:rPr>
        <w:t>in 2018</w:t>
      </w:r>
      <w:r w:rsidRPr="002828C2">
        <w:rPr>
          <w:b/>
          <w:sz w:val="24"/>
          <w:szCs w:val="24"/>
        </w:rPr>
        <w:t>. Therefore, the st</w:t>
      </w:r>
      <w:r w:rsidR="007D4594">
        <w:rPr>
          <w:b/>
          <w:sz w:val="24"/>
          <w:szCs w:val="24"/>
        </w:rPr>
        <w:t>ock status descriptions</w:t>
      </w:r>
      <w:r w:rsidR="00923253">
        <w:rPr>
          <w:b/>
          <w:sz w:val="24"/>
          <w:szCs w:val="24"/>
        </w:rPr>
        <w:t xml:space="preserve"> from SC11</w:t>
      </w:r>
      <w:r w:rsidRPr="002828C2">
        <w:rPr>
          <w:b/>
          <w:sz w:val="24"/>
          <w:szCs w:val="24"/>
        </w:rPr>
        <w:t xml:space="preserve"> are still current for </w:t>
      </w:r>
      <w:r w:rsidR="00923253">
        <w:rPr>
          <w:b/>
          <w:sz w:val="24"/>
          <w:szCs w:val="24"/>
        </w:rPr>
        <w:t>North</w:t>
      </w:r>
      <w:r w:rsidR="007055E5">
        <w:rPr>
          <w:b/>
          <w:sz w:val="24"/>
          <w:szCs w:val="24"/>
        </w:rPr>
        <w:t xml:space="preserve"> Pacific striped marlin</w:t>
      </w:r>
      <w:r w:rsidRPr="002828C2">
        <w:rPr>
          <w:b/>
          <w:sz w:val="24"/>
          <w:szCs w:val="24"/>
        </w:rPr>
        <w:t>. Updated information on catches was not compiled for and reviewed by</w:t>
      </w:r>
      <w:r w:rsidRPr="002828C2">
        <w:rPr>
          <w:b/>
          <w:spacing w:val="-19"/>
          <w:sz w:val="24"/>
          <w:szCs w:val="24"/>
        </w:rPr>
        <w:t xml:space="preserve"> </w:t>
      </w:r>
      <w:r>
        <w:rPr>
          <w:b/>
          <w:sz w:val="24"/>
          <w:szCs w:val="24"/>
        </w:rPr>
        <w:t>SC14</w:t>
      </w:r>
      <w:r w:rsidRPr="002828C2">
        <w:rPr>
          <w:b/>
          <w:sz w:val="24"/>
          <w:szCs w:val="24"/>
        </w:rPr>
        <w:t>.</w:t>
      </w:r>
    </w:p>
    <w:p w:rsidR="004421E6" w:rsidRDefault="004421E6" w:rsidP="002828C2">
      <w:pPr>
        <w:pStyle w:val="ListParagraph"/>
        <w:tabs>
          <w:tab w:val="left" w:pos="820"/>
        </w:tabs>
        <w:ind w:right="116"/>
        <w:rPr>
          <w:b/>
          <w:sz w:val="24"/>
          <w:szCs w:val="24"/>
        </w:rPr>
      </w:pPr>
    </w:p>
    <w:p w:rsidR="004421E6" w:rsidRDefault="004421E6" w:rsidP="002828C2">
      <w:pPr>
        <w:pStyle w:val="ListParagraph"/>
        <w:tabs>
          <w:tab w:val="left" w:pos="820"/>
        </w:tabs>
        <w:ind w:right="116"/>
        <w:rPr>
          <w:b/>
          <w:sz w:val="24"/>
          <w:szCs w:val="24"/>
        </w:rPr>
      </w:pPr>
      <w:r>
        <w:rPr>
          <w:b/>
          <w:sz w:val="24"/>
          <w:szCs w:val="24"/>
        </w:rPr>
        <w:t xml:space="preserve">To emphasize the importance of developing a stock rebuilding plan for North Pacific striped marlin, SC14 </w:t>
      </w:r>
      <w:r w:rsidR="00A75622">
        <w:rPr>
          <w:b/>
          <w:sz w:val="24"/>
          <w:szCs w:val="24"/>
        </w:rPr>
        <w:t>reiterated</w:t>
      </w:r>
      <w:r>
        <w:rPr>
          <w:b/>
          <w:sz w:val="24"/>
          <w:szCs w:val="24"/>
        </w:rPr>
        <w:t xml:space="preserve"> the </w:t>
      </w:r>
      <w:r w:rsidR="00A75622">
        <w:rPr>
          <w:b/>
          <w:sz w:val="24"/>
          <w:szCs w:val="24"/>
        </w:rPr>
        <w:t>ISC15</w:t>
      </w:r>
      <w:r>
        <w:rPr>
          <w:b/>
          <w:sz w:val="24"/>
          <w:szCs w:val="24"/>
        </w:rPr>
        <w:t xml:space="preserve"> stock status information</w:t>
      </w:r>
      <w:r w:rsidR="00A75622">
        <w:rPr>
          <w:b/>
          <w:sz w:val="24"/>
          <w:szCs w:val="24"/>
        </w:rPr>
        <w:t>, excerpted from SC11</w:t>
      </w:r>
      <w:r>
        <w:rPr>
          <w:b/>
          <w:sz w:val="24"/>
          <w:szCs w:val="24"/>
        </w:rPr>
        <w:t>:</w:t>
      </w:r>
    </w:p>
    <w:p w:rsidR="004421E6" w:rsidRDefault="004421E6" w:rsidP="002828C2">
      <w:pPr>
        <w:pStyle w:val="ListParagraph"/>
        <w:tabs>
          <w:tab w:val="left" w:pos="820"/>
        </w:tabs>
        <w:ind w:right="116"/>
        <w:rPr>
          <w:b/>
          <w:sz w:val="24"/>
          <w:szCs w:val="24"/>
        </w:rPr>
      </w:pPr>
    </w:p>
    <w:p w:rsidR="004421E6" w:rsidRPr="004421E6" w:rsidRDefault="004421E6" w:rsidP="00A81AFE">
      <w:pPr>
        <w:pStyle w:val="Heading3"/>
        <w:rPr>
          <w:b w:val="0"/>
        </w:rPr>
      </w:pPr>
      <w:r w:rsidRPr="004421E6">
        <w:rPr>
          <w:b w:val="0"/>
        </w:rPr>
        <w:t>“Estimates of population biomass of the Western and Central North Pacific (WCNPO) striped marlin stock (</w:t>
      </w:r>
      <w:proofErr w:type="spellStart"/>
      <w:r w:rsidRPr="004421E6">
        <w:rPr>
          <w:b w:val="0"/>
        </w:rPr>
        <w:t>Kajikia</w:t>
      </w:r>
      <w:proofErr w:type="spellEnd"/>
      <w:r w:rsidRPr="004421E6">
        <w:rPr>
          <w:b w:val="0"/>
        </w:rPr>
        <w:t xml:space="preserve"> audax) exhibit a long-term</w:t>
      </w:r>
      <w:r w:rsidR="00A81AFE">
        <w:rPr>
          <w:b w:val="0"/>
        </w:rPr>
        <w:t xml:space="preserve"> decline</w:t>
      </w:r>
      <w:r w:rsidR="00A75622">
        <w:rPr>
          <w:b w:val="0"/>
        </w:rPr>
        <w:t xml:space="preserve"> (Table 1)</w:t>
      </w:r>
      <w:r w:rsidRPr="004421E6">
        <w:rPr>
          <w:b w:val="0"/>
        </w:rPr>
        <w:t>. Population biomass (age-1 and older) averaged roughly 20,513 mt, or 46% of unfished biomass during 1975-1979, the first 5 years of the assessment time frame, and declined to 6,819 mt, or 15% of unfished biomass in 2013. Spawning stock biomass is estimated to be 1,094 mt in 2013 (39% of SSB</w:t>
      </w:r>
      <w:r w:rsidRPr="00A81AFE">
        <w:rPr>
          <w:b w:val="0"/>
          <w:vertAlign w:val="subscript"/>
        </w:rPr>
        <w:t>MSY</w:t>
      </w:r>
      <w:r w:rsidRPr="004421E6">
        <w:rPr>
          <w:b w:val="0"/>
        </w:rPr>
        <w:t>, the spawning stock biomass to pro</w:t>
      </w:r>
      <w:r w:rsidR="00A81AFE">
        <w:rPr>
          <w:b w:val="0"/>
        </w:rPr>
        <w:t>duce MSY</w:t>
      </w:r>
      <w:r w:rsidRPr="004421E6">
        <w:rPr>
          <w:b w:val="0"/>
        </w:rPr>
        <w:t>). Fishing mortality on the stock (average F on ages 3 and older</w:t>
      </w:r>
      <w:r w:rsidR="00A81AFE">
        <w:rPr>
          <w:b w:val="0"/>
        </w:rPr>
        <w:t xml:space="preserve">) is currently high </w:t>
      </w:r>
      <w:r w:rsidRPr="004421E6">
        <w:rPr>
          <w:b w:val="0"/>
        </w:rPr>
        <w:t>and averaged roughly F =0.94 during 2010-2012, or 49% above F</w:t>
      </w:r>
      <w:r w:rsidRPr="00A81AFE">
        <w:rPr>
          <w:b w:val="0"/>
          <w:vertAlign w:val="subscript"/>
        </w:rPr>
        <w:t>MSY</w:t>
      </w:r>
      <w:r w:rsidRPr="004421E6">
        <w:rPr>
          <w:b w:val="0"/>
        </w:rPr>
        <w:t>. The predicted value of the spawning potential ratio (SPR, the predicted spawning output at current F as a fraction of unfished spawning output) is currently SPR</w:t>
      </w:r>
      <w:r w:rsidRPr="00A81AFE">
        <w:rPr>
          <w:b w:val="0"/>
          <w:vertAlign w:val="subscript"/>
        </w:rPr>
        <w:t>2010-2012</w:t>
      </w:r>
      <w:r w:rsidRPr="004421E6">
        <w:rPr>
          <w:b w:val="0"/>
        </w:rPr>
        <w:t xml:space="preserve"> = 12% which is 33% below the level of SPR required to produce MSY. Recruitment averaged about 308 thousand recruits during 1994-2011, which was 25% below the 1975-2013 average. No target or limit reference points have been established for the WCNPO striped marlin stock under the auspices of the WCPFC.</w:t>
      </w:r>
    </w:p>
    <w:p w:rsidR="004421E6" w:rsidRPr="004421E6" w:rsidRDefault="004421E6" w:rsidP="004421E6">
      <w:pPr>
        <w:pStyle w:val="BodyText"/>
        <w:spacing w:before="1"/>
        <w:rPr>
          <w:b w:val="0"/>
          <w:i/>
        </w:rPr>
      </w:pPr>
    </w:p>
    <w:p w:rsidR="004421E6" w:rsidRPr="004421E6" w:rsidRDefault="004421E6" w:rsidP="004421E6">
      <w:pPr>
        <w:pStyle w:val="Heading3"/>
        <w:ind w:right="221"/>
        <w:rPr>
          <w:b w:val="0"/>
        </w:rPr>
      </w:pPr>
      <w:r w:rsidRPr="004421E6">
        <w:rPr>
          <w:b w:val="0"/>
        </w:rPr>
        <w:t>The WCNPO striped marlin stock is expected to be highly productive due to its rapid growth and high resilience to reductions in spawning potential. The status of the stock is highly dependent on the magnitude of recruitment, which has been below its long-term average since 2007, with the exception of 2010 (Table S1). Changes in recent size composition data in comparison to the previous assessment resulted in changes in fishery selectivity estimates and also affected recruitment estimates. This, in turn, affected the scaling of biomass and fishing mortality</w:t>
      </w:r>
      <w:r w:rsidR="00A75622">
        <w:rPr>
          <w:b w:val="0"/>
        </w:rPr>
        <w:t xml:space="preserve"> to reference levels</w:t>
      </w:r>
      <w:r w:rsidRPr="004421E6">
        <w:rPr>
          <w:b w:val="0"/>
        </w:rPr>
        <w:t>.</w:t>
      </w:r>
    </w:p>
    <w:p w:rsidR="00A75622" w:rsidRDefault="00A75622" w:rsidP="004421E6">
      <w:pPr>
        <w:pStyle w:val="Heading3"/>
        <w:ind w:right="154"/>
        <w:rPr>
          <w:b w:val="0"/>
          <w:i w:val="0"/>
        </w:rPr>
      </w:pPr>
    </w:p>
    <w:p w:rsidR="00A75622" w:rsidRDefault="00A75622" w:rsidP="00A75622">
      <w:pPr>
        <w:pStyle w:val="BodyText"/>
        <w:spacing w:before="192" w:after="6" w:line="237" w:lineRule="auto"/>
        <w:ind w:left="120" w:right="117"/>
        <w:jc w:val="both"/>
      </w:pPr>
      <w:r>
        <w:t>Table S1: Reported annual values of catch (mt</w:t>
      </w:r>
      <w:r w:rsidR="00B849A1">
        <w:t xml:space="preserve">), </w:t>
      </w:r>
      <w:proofErr w:type="spellStart"/>
      <w:r w:rsidR="00B849A1">
        <w:t>poulation</w:t>
      </w:r>
      <w:proofErr w:type="spellEnd"/>
      <w:r w:rsidR="00B849A1">
        <w:t xml:space="preserve"> biomass (</w:t>
      </w:r>
      <w:r>
        <w:t xml:space="preserve">mt), </w:t>
      </w:r>
      <w:r w:rsidR="00B849A1">
        <w:t xml:space="preserve">spawning stock biomass (mt), </w:t>
      </w:r>
      <w:r>
        <w:rPr>
          <w:position w:val="2"/>
        </w:rPr>
        <w:t>relative</w:t>
      </w:r>
      <w:r>
        <w:rPr>
          <w:spacing w:val="-3"/>
          <w:position w:val="2"/>
        </w:rPr>
        <w:t xml:space="preserve"> </w:t>
      </w:r>
      <w:r w:rsidR="00B849A1">
        <w:rPr>
          <w:spacing w:val="-3"/>
          <w:position w:val="2"/>
        </w:rPr>
        <w:t xml:space="preserve">spawning stock </w:t>
      </w:r>
      <w:r>
        <w:rPr>
          <w:position w:val="2"/>
        </w:rPr>
        <w:t>biomass</w:t>
      </w:r>
      <w:r>
        <w:rPr>
          <w:spacing w:val="-3"/>
          <w:position w:val="2"/>
        </w:rPr>
        <w:t xml:space="preserve"> </w:t>
      </w:r>
      <w:r w:rsidR="00B849A1">
        <w:rPr>
          <w:i/>
          <w:position w:val="2"/>
        </w:rPr>
        <w:t>SSB/SSB</w:t>
      </w:r>
      <w:r>
        <w:rPr>
          <w:i/>
          <w:sz w:val="14"/>
        </w:rPr>
        <w:t>MSY</w:t>
      </w:r>
      <w:r>
        <w:rPr>
          <w:position w:val="2"/>
        </w:rPr>
        <w:t>),</w:t>
      </w:r>
      <w:r>
        <w:rPr>
          <w:spacing w:val="-3"/>
          <w:position w:val="2"/>
        </w:rPr>
        <w:t xml:space="preserve"> </w:t>
      </w:r>
      <w:r w:rsidR="00B849A1">
        <w:rPr>
          <w:spacing w:val="-3"/>
          <w:position w:val="2"/>
        </w:rPr>
        <w:t xml:space="preserve">recruitment (000s), </w:t>
      </w:r>
      <w:r w:rsidR="00B849A1">
        <w:rPr>
          <w:position w:val="2"/>
        </w:rPr>
        <w:t>fishing mortality,</w:t>
      </w:r>
      <w:r>
        <w:rPr>
          <w:spacing w:val="-6"/>
          <w:position w:val="2"/>
        </w:rPr>
        <w:t xml:space="preserve"> </w:t>
      </w:r>
      <w:r>
        <w:rPr>
          <w:position w:val="2"/>
        </w:rPr>
        <w:t>relative</w:t>
      </w:r>
      <w:r>
        <w:rPr>
          <w:spacing w:val="-5"/>
          <w:position w:val="2"/>
        </w:rPr>
        <w:t xml:space="preserve"> </w:t>
      </w:r>
      <w:r w:rsidR="00B849A1">
        <w:rPr>
          <w:position w:val="2"/>
        </w:rPr>
        <w:t>fishing mortality</w:t>
      </w:r>
      <w:r>
        <w:rPr>
          <w:spacing w:val="-5"/>
          <w:position w:val="2"/>
        </w:rPr>
        <w:t xml:space="preserve"> </w:t>
      </w:r>
      <w:r>
        <w:rPr>
          <w:position w:val="2"/>
        </w:rPr>
        <w:t>(</w:t>
      </w:r>
      <w:r w:rsidR="00B849A1">
        <w:rPr>
          <w:i/>
          <w:position w:val="2"/>
        </w:rPr>
        <w:t>F/F</w:t>
      </w:r>
      <w:r>
        <w:rPr>
          <w:i/>
          <w:sz w:val="14"/>
        </w:rPr>
        <w:t>MSY</w:t>
      </w:r>
      <w:r>
        <w:rPr>
          <w:position w:val="2"/>
        </w:rPr>
        <w:t>),</w:t>
      </w:r>
      <w:r>
        <w:rPr>
          <w:spacing w:val="-3"/>
          <w:position w:val="2"/>
        </w:rPr>
        <w:t xml:space="preserve"> </w:t>
      </w:r>
      <w:r w:rsidR="00B849A1">
        <w:rPr>
          <w:spacing w:val="-3"/>
          <w:position w:val="2"/>
        </w:rPr>
        <w:t xml:space="preserve">exploitation rate, </w:t>
      </w:r>
      <w:r>
        <w:rPr>
          <w:position w:val="2"/>
        </w:rPr>
        <w:t xml:space="preserve">and </w:t>
      </w:r>
      <w:r w:rsidR="00B849A1">
        <w:rPr>
          <w:position w:val="2"/>
        </w:rPr>
        <w:t xml:space="preserve">spawning potential ration for the WCNPO striped marlin </w:t>
      </w:r>
      <w:r>
        <w:rPr>
          <w:position w:val="2"/>
        </w:rPr>
        <w:t>stock.</w:t>
      </w:r>
    </w:p>
    <w:tbl>
      <w:tblPr>
        <w:tblW w:w="0" w:type="auto"/>
        <w:tblInd w:w="11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5"/>
        <w:gridCol w:w="735"/>
        <w:gridCol w:w="704"/>
        <w:gridCol w:w="706"/>
        <w:gridCol w:w="706"/>
        <w:gridCol w:w="703"/>
        <w:gridCol w:w="703"/>
        <w:gridCol w:w="673"/>
        <w:gridCol w:w="743"/>
        <w:gridCol w:w="697"/>
        <w:gridCol w:w="682"/>
      </w:tblGrid>
      <w:tr w:rsidR="00A75622" w:rsidTr="009846FD">
        <w:trPr>
          <w:trHeight w:hRule="exact" w:val="214"/>
        </w:trPr>
        <w:tc>
          <w:tcPr>
            <w:tcW w:w="2305" w:type="dxa"/>
            <w:tcBorders>
              <w:top w:val="single" w:sz="3" w:space="0" w:color="000000"/>
              <w:bottom w:val="single" w:sz="3" w:space="0" w:color="000000"/>
            </w:tcBorders>
            <w:shd w:val="clear" w:color="auto" w:fill="D8D8D8"/>
          </w:tcPr>
          <w:p w:rsidR="00A75622" w:rsidRDefault="00A75622" w:rsidP="009846FD">
            <w:pPr>
              <w:pStyle w:val="TableParagraph"/>
              <w:spacing w:before="1" w:line="240" w:lineRule="auto"/>
              <w:ind w:left="942" w:right="942"/>
              <w:jc w:val="center"/>
              <w:rPr>
                <w:b/>
                <w:sz w:val="18"/>
              </w:rPr>
            </w:pPr>
            <w:r>
              <w:rPr>
                <w:b/>
                <w:sz w:val="18"/>
              </w:rPr>
              <w:t>Year</w:t>
            </w:r>
          </w:p>
        </w:tc>
        <w:tc>
          <w:tcPr>
            <w:tcW w:w="735" w:type="dxa"/>
            <w:tcBorders>
              <w:top w:val="single" w:sz="3" w:space="0" w:color="000000"/>
              <w:bottom w:val="single" w:sz="3" w:space="0" w:color="000000"/>
            </w:tcBorders>
            <w:shd w:val="clear" w:color="auto" w:fill="D8D8D8"/>
          </w:tcPr>
          <w:p w:rsidR="00A75622" w:rsidRDefault="00A75622" w:rsidP="009846FD">
            <w:pPr>
              <w:pStyle w:val="TableParagraph"/>
              <w:spacing w:before="1" w:line="240" w:lineRule="auto"/>
              <w:ind w:left="169"/>
              <w:jc w:val="left"/>
              <w:rPr>
                <w:b/>
                <w:sz w:val="18"/>
              </w:rPr>
            </w:pPr>
            <w:r>
              <w:rPr>
                <w:b/>
                <w:sz w:val="18"/>
              </w:rPr>
              <w:t>2007</w:t>
            </w:r>
          </w:p>
        </w:tc>
        <w:tc>
          <w:tcPr>
            <w:tcW w:w="704" w:type="dxa"/>
            <w:tcBorders>
              <w:top w:val="single" w:sz="3" w:space="0" w:color="000000"/>
              <w:bottom w:val="single" w:sz="3" w:space="0" w:color="000000"/>
            </w:tcBorders>
            <w:shd w:val="clear" w:color="auto" w:fill="D8D8D8"/>
          </w:tcPr>
          <w:p w:rsidR="00A75622" w:rsidRDefault="00A75622" w:rsidP="009846FD">
            <w:pPr>
              <w:pStyle w:val="TableParagraph"/>
              <w:spacing w:before="1" w:line="240" w:lineRule="auto"/>
              <w:ind w:left="137"/>
              <w:jc w:val="left"/>
              <w:rPr>
                <w:b/>
                <w:sz w:val="18"/>
              </w:rPr>
            </w:pPr>
            <w:r>
              <w:rPr>
                <w:b/>
                <w:sz w:val="18"/>
              </w:rPr>
              <w:t>2008</w:t>
            </w:r>
          </w:p>
        </w:tc>
        <w:tc>
          <w:tcPr>
            <w:tcW w:w="706" w:type="dxa"/>
            <w:tcBorders>
              <w:top w:val="single" w:sz="3" w:space="0" w:color="000000"/>
              <w:bottom w:val="single" w:sz="3" w:space="0" w:color="000000"/>
            </w:tcBorders>
            <w:shd w:val="clear" w:color="auto" w:fill="D8D8D8"/>
          </w:tcPr>
          <w:p w:rsidR="00A75622" w:rsidRDefault="00A75622" w:rsidP="009846FD">
            <w:pPr>
              <w:pStyle w:val="TableParagraph"/>
              <w:spacing w:before="1" w:line="240" w:lineRule="auto"/>
              <w:ind w:right="203"/>
              <w:rPr>
                <w:b/>
                <w:sz w:val="18"/>
              </w:rPr>
            </w:pPr>
            <w:r>
              <w:rPr>
                <w:b/>
                <w:sz w:val="18"/>
              </w:rPr>
              <w:t>2009</w:t>
            </w:r>
          </w:p>
        </w:tc>
        <w:tc>
          <w:tcPr>
            <w:tcW w:w="706" w:type="dxa"/>
            <w:tcBorders>
              <w:top w:val="single" w:sz="3" w:space="0" w:color="000000"/>
              <w:bottom w:val="single" w:sz="3" w:space="0" w:color="000000"/>
            </w:tcBorders>
            <w:shd w:val="clear" w:color="auto" w:fill="D8D8D8"/>
          </w:tcPr>
          <w:p w:rsidR="00A75622" w:rsidRDefault="00A75622" w:rsidP="009846FD">
            <w:pPr>
              <w:pStyle w:val="TableParagraph"/>
              <w:spacing w:before="1" w:line="240" w:lineRule="auto"/>
              <w:ind w:left="55" w:right="119"/>
              <w:jc w:val="center"/>
              <w:rPr>
                <w:b/>
                <w:sz w:val="18"/>
              </w:rPr>
            </w:pPr>
            <w:r>
              <w:rPr>
                <w:b/>
                <w:sz w:val="18"/>
              </w:rPr>
              <w:t>2010</w:t>
            </w:r>
          </w:p>
        </w:tc>
        <w:tc>
          <w:tcPr>
            <w:tcW w:w="703" w:type="dxa"/>
            <w:tcBorders>
              <w:top w:val="single" w:sz="3" w:space="0" w:color="000000"/>
              <w:bottom w:val="single" w:sz="3" w:space="0" w:color="000000"/>
            </w:tcBorders>
            <w:shd w:val="clear" w:color="auto" w:fill="D8D8D8"/>
          </w:tcPr>
          <w:p w:rsidR="00A75622" w:rsidRDefault="00A75622" w:rsidP="009846FD">
            <w:pPr>
              <w:pStyle w:val="TableParagraph"/>
              <w:spacing w:before="1" w:line="240" w:lineRule="auto"/>
              <w:ind w:left="138"/>
              <w:jc w:val="left"/>
              <w:rPr>
                <w:b/>
                <w:sz w:val="18"/>
              </w:rPr>
            </w:pPr>
            <w:r>
              <w:rPr>
                <w:b/>
                <w:sz w:val="18"/>
              </w:rPr>
              <w:t>2011</w:t>
            </w:r>
          </w:p>
        </w:tc>
        <w:tc>
          <w:tcPr>
            <w:tcW w:w="703" w:type="dxa"/>
            <w:tcBorders>
              <w:top w:val="single" w:sz="3" w:space="0" w:color="000000"/>
              <w:bottom w:val="single" w:sz="3" w:space="0" w:color="000000"/>
            </w:tcBorders>
            <w:shd w:val="clear" w:color="auto" w:fill="D8D8D8"/>
          </w:tcPr>
          <w:p w:rsidR="00A75622" w:rsidRDefault="00A75622" w:rsidP="009846FD">
            <w:pPr>
              <w:pStyle w:val="TableParagraph"/>
              <w:spacing w:before="1" w:line="240" w:lineRule="auto"/>
              <w:ind w:left="136"/>
              <w:jc w:val="left"/>
              <w:rPr>
                <w:b/>
                <w:sz w:val="18"/>
              </w:rPr>
            </w:pPr>
            <w:r>
              <w:rPr>
                <w:b/>
                <w:sz w:val="18"/>
              </w:rPr>
              <w:t>2012</w:t>
            </w:r>
          </w:p>
        </w:tc>
        <w:tc>
          <w:tcPr>
            <w:tcW w:w="673" w:type="dxa"/>
            <w:tcBorders>
              <w:top w:val="single" w:sz="3" w:space="0" w:color="000000"/>
              <w:bottom w:val="single" w:sz="3" w:space="0" w:color="000000"/>
            </w:tcBorders>
            <w:shd w:val="clear" w:color="auto" w:fill="D8D8D8"/>
          </w:tcPr>
          <w:p w:rsidR="00A75622" w:rsidRDefault="00A75622" w:rsidP="009846FD">
            <w:pPr>
              <w:pStyle w:val="TableParagraph"/>
              <w:spacing w:before="1" w:line="240" w:lineRule="auto"/>
              <w:ind w:left="138"/>
              <w:jc w:val="left"/>
              <w:rPr>
                <w:b/>
                <w:sz w:val="18"/>
              </w:rPr>
            </w:pPr>
            <w:r>
              <w:rPr>
                <w:b/>
                <w:sz w:val="18"/>
              </w:rPr>
              <w:t>2013</w:t>
            </w:r>
          </w:p>
        </w:tc>
        <w:tc>
          <w:tcPr>
            <w:tcW w:w="743" w:type="dxa"/>
            <w:tcBorders>
              <w:top w:val="single" w:sz="3" w:space="0" w:color="000000"/>
              <w:bottom w:val="single" w:sz="3" w:space="0" w:color="000000"/>
            </w:tcBorders>
            <w:shd w:val="clear" w:color="auto" w:fill="D8D8D8"/>
          </w:tcPr>
          <w:p w:rsidR="00A75622" w:rsidRDefault="00A75622" w:rsidP="009846FD">
            <w:pPr>
              <w:pStyle w:val="TableParagraph"/>
              <w:spacing w:line="208" w:lineRule="exact"/>
              <w:ind w:right="135"/>
              <w:rPr>
                <w:b/>
                <w:sz w:val="12"/>
              </w:rPr>
            </w:pPr>
            <w:r>
              <w:rPr>
                <w:b/>
                <w:sz w:val="18"/>
              </w:rPr>
              <w:t>Mean</w:t>
            </w:r>
            <w:r>
              <w:rPr>
                <w:b/>
                <w:position w:val="6"/>
                <w:sz w:val="12"/>
              </w:rPr>
              <w:t>1</w:t>
            </w:r>
          </w:p>
        </w:tc>
        <w:tc>
          <w:tcPr>
            <w:tcW w:w="697" w:type="dxa"/>
            <w:tcBorders>
              <w:top w:val="single" w:sz="3" w:space="0" w:color="000000"/>
              <w:bottom w:val="single" w:sz="3" w:space="0" w:color="000000"/>
            </w:tcBorders>
            <w:shd w:val="clear" w:color="auto" w:fill="D8D8D8"/>
          </w:tcPr>
          <w:p w:rsidR="00A75622" w:rsidRDefault="00A75622" w:rsidP="009846FD">
            <w:pPr>
              <w:pStyle w:val="TableParagraph"/>
              <w:spacing w:line="208" w:lineRule="exact"/>
              <w:ind w:right="179"/>
              <w:rPr>
                <w:b/>
                <w:sz w:val="12"/>
              </w:rPr>
            </w:pPr>
            <w:r>
              <w:rPr>
                <w:b/>
                <w:sz w:val="18"/>
              </w:rPr>
              <w:t>Min</w:t>
            </w:r>
            <w:r>
              <w:rPr>
                <w:b/>
                <w:position w:val="6"/>
                <w:sz w:val="12"/>
              </w:rPr>
              <w:t>1</w:t>
            </w:r>
          </w:p>
        </w:tc>
        <w:tc>
          <w:tcPr>
            <w:tcW w:w="682" w:type="dxa"/>
            <w:tcBorders>
              <w:top w:val="single" w:sz="3" w:space="0" w:color="000000"/>
              <w:bottom w:val="single" w:sz="3" w:space="0" w:color="000000"/>
            </w:tcBorders>
            <w:shd w:val="clear" w:color="auto" w:fill="D8D8D8"/>
          </w:tcPr>
          <w:p w:rsidR="00A75622" w:rsidRDefault="00A75622" w:rsidP="009846FD">
            <w:pPr>
              <w:pStyle w:val="TableParagraph"/>
              <w:spacing w:line="208" w:lineRule="exact"/>
              <w:ind w:left="67" w:right="83"/>
              <w:jc w:val="center"/>
              <w:rPr>
                <w:b/>
                <w:sz w:val="12"/>
              </w:rPr>
            </w:pPr>
            <w:r>
              <w:rPr>
                <w:b/>
                <w:sz w:val="18"/>
              </w:rPr>
              <w:t>Max</w:t>
            </w:r>
            <w:r>
              <w:rPr>
                <w:b/>
                <w:position w:val="6"/>
                <w:sz w:val="12"/>
              </w:rPr>
              <w:t>1</w:t>
            </w:r>
          </w:p>
        </w:tc>
      </w:tr>
      <w:tr w:rsidR="00A75622" w:rsidTr="009846FD">
        <w:trPr>
          <w:trHeight w:hRule="exact" w:val="219"/>
        </w:trPr>
        <w:tc>
          <w:tcPr>
            <w:tcW w:w="2305" w:type="dxa"/>
            <w:tcBorders>
              <w:top w:val="single" w:sz="3" w:space="0" w:color="000000"/>
            </w:tcBorders>
          </w:tcPr>
          <w:p w:rsidR="00A75622" w:rsidRDefault="00A75622" w:rsidP="009846FD">
            <w:pPr>
              <w:pStyle w:val="TableParagraph"/>
              <w:spacing w:before="3" w:line="240" w:lineRule="auto"/>
              <w:ind w:left="107"/>
              <w:jc w:val="left"/>
              <w:rPr>
                <w:sz w:val="18"/>
              </w:rPr>
            </w:pPr>
            <w:r>
              <w:rPr>
                <w:sz w:val="18"/>
              </w:rPr>
              <w:t>Reported Catch</w:t>
            </w:r>
          </w:p>
        </w:tc>
        <w:tc>
          <w:tcPr>
            <w:tcW w:w="735" w:type="dxa"/>
            <w:tcBorders>
              <w:top w:val="single" w:sz="3" w:space="0" w:color="000000"/>
            </w:tcBorders>
          </w:tcPr>
          <w:p w:rsidR="00A75622" w:rsidRDefault="00A75622" w:rsidP="009846FD">
            <w:pPr>
              <w:pStyle w:val="TableParagraph"/>
              <w:spacing w:before="3" w:line="240" w:lineRule="auto"/>
              <w:ind w:right="137"/>
              <w:rPr>
                <w:sz w:val="18"/>
              </w:rPr>
            </w:pPr>
            <w:r>
              <w:rPr>
                <w:sz w:val="18"/>
              </w:rPr>
              <w:t>3084</w:t>
            </w:r>
          </w:p>
        </w:tc>
        <w:tc>
          <w:tcPr>
            <w:tcW w:w="704" w:type="dxa"/>
            <w:tcBorders>
              <w:top w:val="single" w:sz="3" w:space="0" w:color="000000"/>
            </w:tcBorders>
          </w:tcPr>
          <w:p w:rsidR="00A75622" w:rsidRDefault="00A75622" w:rsidP="009846FD">
            <w:pPr>
              <w:pStyle w:val="TableParagraph"/>
              <w:spacing w:before="3" w:line="240" w:lineRule="auto"/>
              <w:ind w:right="140"/>
              <w:rPr>
                <w:sz w:val="18"/>
              </w:rPr>
            </w:pPr>
            <w:r>
              <w:rPr>
                <w:sz w:val="18"/>
              </w:rPr>
              <w:t>3503</w:t>
            </w:r>
          </w:p>
        </w:tc>
        <w:tc>
          <w:tcPr>
            <w:tcW w:w="706" w:type="dxa"/>
            <w:tcBorders>
              <w:top w:val="single" w:sz="3" w:space="0" w:color="000000"/>
            </w:tcBorders>
          </w:tcPr>
          <w:p w:rsidR="00A75622" w:rsidRDefault="00A75622" w:rsidP="009846FD">
            <w:pPr>
              <w:pStyle w:val="TableParagraph"/>
              <w:spacing w:before="3" w:line="240" w:lineRule="auto"/>
              <w:ind w:right="140"/>
              <w:rPr>
                <w:sz w:val="18"/>
              </w:rPr>
            </w:pPr>
            <w:r>
              <w:rPr>
                <w:sz w:val="18"/>
              </w:rPr>
              <w:t>2468</w:t>
            </w:r>
          </w:p>
        </w:tc>
        <w:tc>
          <w:tcPr>
            <w:tcW w:w="706" w:type="dxa"/>
            <w:tcBorders>
              <w:top w:val="single" w:sz="3" w:space="0" w:color="000000"/>
            </w:tcBorders>
          </w:tcPr>
          <w:p w:rsidR="00A75622" w:rsidRDefault="00A75622" w:rsidP="009846FD">
            <w:pPr>
              <w:pStyle w:val="TableParagraph"/>
              <w:spacing w:before="3" w:line="240" w:lineRule="auto"/>
              <w:ind w:left="120" w:right="58"/>
              <w:jc w:val="center"/>
              <w:rPr>
                <w:sz w:val="18"/>
              </w:rPr>
            </w:pPr>
            <w:r>
              <w:rPr>
                <w:sz w:val="18"/>
              </w:rPr>
              <w:t>2852</w:t>
            </w:r>
          </w:p>
        </w:tc>
        <w:tc>
          <w:tcPr>
            <w:tcW w:w="703" w:type="dxa"/>
            <w:tcBorders>
              <w:top w:val="single" w:sz="3" w:space="0" w:color="000000"/>
            </w:tcBorders>
          </w:tcPr>
          <w:p w:rsidR="00A75622" w:rsidRDefault="00A75622" w:rsidP="009846FD">
            <w:pPr>
              <w:pStyle w:val="TableParagraph"/>
              <w:spacing w:before="3" w:line="240" w:lineRule="auto"/>
              <w:ind w:right="136"/>
              <w:rPr>
                <w:sz w:val="18"/>
              </w:rPr>
            </w:pPr>
            <w:r>
              <w:rPr>
                <w:sz w:val="18"/>
              </w:rPr>
              <w:t>3125</w:t>
            </w:r>
          </w:p>
        </w:tc>
        <w:tc>
          <w:tcPr>
            <w:tcW w:w="703" w:type="dxa"/>
            <w:tcBorders>
              <w:top w:val="single" w:sz="3" w:space="0" w:color="000000"/>
            </w:tcBorders>
          </w:tcPr>
          <w:p w:rsidR="00A75622" w:rsidRDefault="00A75622" w:rsidP="009846FD">
            <w:pPr>
              <w:pStyle w:val="TableParagraph"/>
              <w:spacing w:before="3" w:line="240" w:lineRule="auto"/>
              <w:ind w:right="140"/>
              <w:rPr>
                <w:sz w:val="18"/>
              </w:rPr>
            </w:pPr>
            <w:r>
              <w:rPr>
                <w:sz w:val="18"/>
              </w:rPr>
              <w:t>3521</w:t>
            </w:r>
          </w:p>
        </w:tc>
        <w:tc>
          <w:tcPr>
            <w:tcW w:w="673" w:type="dxa"/>
            <w:tcBorders>
              <w:top w:val="single" w:sz="3" w:space="0" w:color="000000"/>
            </w:tcBorders>
          </w:tcPr>
          <w:p w:rsidR="00A75622" w:rsidRDefault="00A75622" w:rsidP="009846FD">
            <w:pPr>
              <w:pStyle w:val="TableParagraph"/>
              <w:spacing w:before="3" w:line="240" w:lineRule="auto"/>
              <w:ind w:right="106"/>
              <w:rPr>
                <w:sz w:val="18"/>
              </w:rPr>
            </w:pPr>
            <w:r>
              <w:rPr>
                <w:sz w:val="18"/>
              </w:rPr>
              <w:t>2984</w:t>
            </w:r>
          </w:p>
        </w:tc>
        <w:tc>
          <w:tcPr>
            <w:tcW w:w="743" w:type="dxa"/>
            <w:tcBorders>
              <w:top w:val="single" w:sz="3" w:space="0" w:color="000000"/>
            </w:tcBorders>
          </w:tcPr>
          <w:p w:rsidR="00A75622" w:rsidRDefault="00A75622" w:rsidP="009846FD">
            <w:pPr>
              <w:pStyle w:val="TableParagraph"/>
              <w:spacing w:before="3" w:line="240" w:lineRule="auto"/>
              <w:ind w:right="134"/>
              <w:rPr>
                <w:sz w:val="18"/>
              </w:rPr>
            </w:pPr>
            <w:r>
              <w:rPr>
                <w:sz w:val="18"/>
              </w:rPr>
              <w:t>5822</w:t>
            </w:r>
          </w:p>
        </w:tc>
        <w:tc>
          <w:tcPr>
            <w:tcW w:w="697" w:type="dxa"/>
            <w:tcBorders>
              <w:top w:val="single" w:sz="3" w:space="0" w:color="000000"/>
            </w:tcBorders>
          </w:tcPr>
          <w:p w:rsidR="00A75622" w:rsidRDefault="00A75622" w:rsidP="009846FD">
            <w:pPr>
              <w:pStyle w:val="TableParagraph"/>
              <w:spacing w:before="3" w:line="240" w:lineRule="auto"/>
              <w:ind w:right="125"/>
              <w:rPr>
                <w:sz w:val="18"/>
              </w:rPr>
            </w:pPr>
            <w:r>
              <w:rPr>
                <w:sz w:val="18"/>
              </w:rPr>
              <w:t>2468</w:t>
            </w:r>
          </w:p>
        </w:tc>
        <w:tc>
          <w:tcPr>
            <w:tcW w:w="682" w:type="dxa"/>
            <w:tcBorders>
              <w:top w:val="single" w:sz="3" w:space="0" w:color="000000"/>
            </w:tcBorders>
          </w:tcPr>
          <w:p w:rsidR="00A75622" w:rsidRDefault="00A75622" w:rsidP="009846FD">
            <w:pPr>
              <w:pStyle w:val="TableParagraph"/>
              <w:spacing w:before="3" w:line="240" w:lineRule="auto"/>
              <w:ind w:left="103" w:right="83"/>
              <w:jc w:val="center"/>
              <w:rPr>
                <w:sz w:val="18"/>
              </w:rPr>
            </w:pPr>
            <w:r>
              <w:rPr>
                <w:sz w:val="18"/>
              </w:rPr>
              <w:t>10594</w:t>
            </w:r>
          </w:p>
        </w:tc>
      </w:tr>
      <w:tr w:rsidR="00A75622" w:rsidTr="009846FD">
        <w:trPr>
          <w:trHeight w:hRule="exact" w:val="208"/>
        </w:trPr>
        <w:tc>
          <w:tcPr>
            <w:tcW w:w="2305" w:type="dxa"/>
          </w:tcPr>
          <w:p w:rsidR="00A75622" w:rsidRDefault="00A75622" w:rsidP="009846FD">
            <w:pPr>
              <w:pStyle w:val="TableParagraph"/>
              <w:spacing w:line="204" w:lineRule="exact"/>
              <w:ind w:left="107"/>
              <w:jc w:val="left"/>
              <w:rPr>
                <w:sz w:val="18"/>
              </w:rPr>
            </w:pPr>
            <w:r>
              <w:rPr>
                <w:sz w:val="18"/>
              </w:rPr>
              <w:t>Population Biomass</w:t>
            </w:r>
          </w:p>
        </w:tc>
        <w:tc>
          <w:tcPr>
            <w:tcW w:w="735" w:type="dxa"/>
          </w:tcPr>
          <w:p w:rsidR="00A75622" w:rsidRDefault="00A75622" w:rsidP="009846FD">
            <w:pPr>
              <w:pStyle w:val="TableParagraph"/>
              <w:spacing w:line="204" w:lineRule="exact"/>
              <w:ind w:right="137"/>
              <w:rPr>
                <w:sz w:val="18"/>
              </w:rPr>
            </w:pPr>
            <w:r>
              <w:rPr>
                <w:sz w:val="18"/>
              </w:rPr>
              <w:t>6915</w:t>
            </w:r>
          </w:p>
        </w:tc>
        <w:tc>
          <w:tcPr>
            <w:tcW w:w="704" w:type="dxa"/>
          </w:tcPr>
          <w:p w:rsidR="00A75622" w:rsidRDefault="00A75622" w:rsidP="009846FD">
            <w:pPr>
              <w:pStyle w:val="TableParagraph"/>
              <w:spacing w:line="204" w:lineRule="exact"/>
              <w:ind w:right="140"/>
              <w:rPr>
                <w:sz w:val="18"/>
              </w:rPr>
            </w:pPr>
            <w:r>
              <w:rPr>
                <w:sz w:val="18"/>
              </w:rPr>
              <w:t>6773</w:t>
            </w:r>
          </w:p>
        </w:tc>
        <w:tc>
          <w:tcPr>
            <w:tcW w:w="706" w:type="dxa"/>
          </w:tcPr>
          <w:p w:rsidR="00A75622" w:rsidRDefault="00A75622" w:rsidP="009846FD">
            <w:pPr>
              <w:pStyle w:val="TableParagraph"/>
              <w:spacing w:line="204" w:lineRule="exact"/>
              <w:ind w:right="140"/>
              <w:rPr>
                <w:sz w:val="18"/>
              </w:rPr>
            </w:pPr>
            <w:r>
              <w:rPr>
                <w:sz w:val="18"/>
              </w:rPr>
              <w:t>6409</w:t>
            </w:r>
          </w:p>
        </w:tc>
        <w:tc>
          <w:tcPr>
            <w:tcW w:w="706" w:type="dxa"/>
          </w:tcPr>
          <w:p w:rsidR="00A75622" w:rsidRDefault="00A75622" w:rsidP="009846FD">
            <w:pPr>
              <w:pStyle w:val="TableParagraph"/>
              <w:spacing w:line="204" w:lineRule="exact"/>
              <w:ind w:left="120" w:right="58"/>
              <w:jc w:val="center"/>
              <w:rPr>
                <w:sz w:val="18"/>
              </w:rPr>
            </w:pPr>
            <w:r>
              <w:rPr>
                <w:sz w:val="18"/>
              </w:rPr>
              <w:t>5156</w:t>
            </w:r>
          </w:p>
        </w:tc>
        <w:tc>
          <w:tcPr>
            <w:tcW w:w="703" w:type="dxa"/>
          </w:tcPr>
          <w:p w:rsidR="00A75622" w:rsidRDefault="00A75622" w:rsidP="009846FD">
            <w:pPr>
              <w:pStyle w:val="TableParagraph"/>
              <w:spacing w:line="204" w:lineRule="exact"/>
              <w:ind w:right="136"/>
              <w:rPr>
                <w:sz w:val="18"/>
              </w:rPr>
            </w:pPr>
            <w:r>
              <w:rPr>
                <w:sz w:val="18"/>
              </w:rPr>
              <w:t>7823</w:t>
            </w:r>
          </w:p>
        </w:tc>
        <w:tc>
          <w:tcPr>
            <w:tcW w:w="703" w:type="dxa"/>
          </w:tcPr>
          <w:p w:rsidR="00A75622" w:rsidRDefault="00A75622" w:rsidP="009846FD">
            <w:pPr>
              <w:pStyle w:val="TableParagraph"/>
              <w:spacing w:line="204" w:lineRule="exact"/>
              <w:ind w:right="140"/>
              <w:rPr>
                <w:sz w:val="18"/>
              </w:rPr>
            </w:pPr>
            <w:r>
              <w:rPr>
                <w:sz w:val="18"/>
              </w:rPr>
              <w:t>7349</w:t>
            </w:r>
          </w:p>
        </w:tc>
        <w:tc>
          <w:tcPr>
            <w:tcW w:w="673" w:type="dxa"/>
          </w:tcPr>
          <w:p w:rsidR="00A75622" w:rsidRDefault="00A75622" w:rsidP="009846FD">
            <w:pPr>
              <w:pStyle w:val="TableParagraph"/>
              <w:spacing w:line="204" w:lineRule="exact"/>
              <w:ind w:right="106"/>
              <w:rPr>
                <w:sz w:val="18"/>
              </w:rPr>
            </w:pPr>
            <w:r>
              <w:rPr>
                <w:sz w:val="18"/>
              </w:rPr>
              <w:t>6819</w:t>
            </w:r>
          </w:p>
        </w:tc>
        <w:tc>
          <w:tcPr>
            <w:tcW w:w="743" w:type="dxa"/>
          </w:tcPr>
          <w:p w:rsidR="00A75622" w:rsidRDefault="00A75622" w:rsidP="009846FD">
            <w:pPr>
              <w:pStyle w:val="TableParagraph"/>
              <w:spacing w:line="204" w:lineRule="exact"/>
              <w:ind w:right="134"/>
              <w:rPr>
                <w:sz w:val="18"/>
              </w:rPr>
            </w:pPr>
            <w:r>
              <w:rPr>
                <w:sz w:val="18"/>
              </w:rPr>
              <w:t>12758</w:t>
            </w:r>
          </w:p>
        </w:tc>
        <w:tc>
          <w:tcPr>
            <w:tcW w:w="697" w:type="dxa"/>
          </w:tcPr>
          <w:p w:rsidR="00A75622" w:rsidRDefault="00A75622" w:rsidP="009846FD">
            <w:pPr>
              <w:pStyle w:val="TableParagraph"/>
              <w:spacing w:line="204" w:lineRule="exact"/>
              <w:ind w:right="125"/>
              <w:rPr>
                <w:sz w:val="18"/>
              </w:rPr>
            </w:pPr>
            <w:r>
              <w:rPr>
                <w:sz w:val="18"/>
              </w:rPr>
              <w:t>5156</w:t>
            </w:r>
          </w:p>
        </w:tc>
        <w:tc>
          <w:tcPr>
            <w:tcW w:w="682" w:type="dxa"/>
          </w:tcPr>
          <w:p w:rsidR="00A75622" w:rsidRDefault="00A75622" w:rsidP="009846FD">
            <w:pPr>
              <w:pStyle w:val="TableParagraph"/>
              <w:spacing w:line="204" w:lineRule="exact"/>
              <w:ind w:left="103" w:right="83"/>
              <w:jc w:val="center"/>
              <w:rPr>
                <w:sz w:val="18"/>
              </w:rPr>
            </w:pPr>
            <w:r>
              <w:rPr>
                <w:sz w:val="18"/>
              </w:rPr>
              <w:t>28440</w:t>
            </w:r>
          </w:p>
        </w:tc>
      </w:tr>
      <w:tr w:rsidR="00A75622" w:rsidTr="009846FD">
        <w:trPr>
          <w:trHeight w:hRule="exact" w:val="206"/>
        </w:trPr>
        <w:tc>
          <w:tcPr>
            <w:tcW w:w="2305" w:type="dxa"/>
          </w:tcPr>
          <w:p w:rsidR="00A75622" w:rsidRDefault="00A75622" w:rsidP="009846FD">
            <w:pPr>
              <w:pStyle w:val="TableParagraph"/>
              <w:ind w:left="107"/>
              <w:jc w:val="left"/>
              <w:rPr>
                <w:sz w:val="18"/>
              </w:rPr>
            </w:pPr>
            <w:r>
              <w:rPr>
                <w:sz w:val="18"/>
              </w:rPr>
              <w:t>Spawning Stock Biomass</w:t>
            </w:r>
          </w:p>
        </w:tc>
        <w:tc>
          <w:tcPr>
            <w:tcW w:w="735" w:type="dxa"/>
          </w:tcPr>
          <w:p w:rsidR="00A75622" w:rsidRDefault="00A75622" w:rsidP="009846FD">
            <w:pPr>
              <w:pStyle w:val="TableParagraph"/>
              <w:ind w:right="137"/>
              <w:rPr>
                <w:sz w:val="18"/>
              </w:rPr>
            </w:pPr>
            <w:r>
              <w:rPr>
                <w:sz w:val="18"/>
              </w:rPr>
              <w:t>1192</w:t>
            </w:r>
          </w:p>
        </w:tc>
        <w:tc>
          <w:tcPr>
            <w:tcW w:w="704" w:type="dxa"/>
          </w:tcPr>
          <w:p w:rsidR="00A75622" w:rsidRDefault="00A75622" w:rsidP="009846FD">
            <w:pPr>
              <w:pStyle w:val="TableParagraph"/>
              <w:ind w:right="140"/>
              <w:rPr>
                <w:sz w:val="18"/>
              </w:rPr>
            </w:pPr>
            <w:r>
              <w:rPr>
                <w:sz w:val="18"/>
              </w:rPr>
              <w:t>1171</w:t>
            </w:r>
          </w:p>
        </w:tc>
        <w:tc>
          <w:tcPr>
            <w:tcW w:w="706" w:type="dxa"/>
          </w:tcPr>
          <w:p w:rsidR="00A75622" w:rsidRDefault="00A75622" w:rsidP="009846FD">
            <w:pPr>
              <w:pStyle w:val="TableParagraph"/>
              <w:ind w:right="138"/>
              <w:rPr>
                <w:sz w:val="18"/>
              </w:rPr>
            </w:pPr>
            <w:r>
              <w:rPr>
                <w:w w:val="95"/>
                <w:sz w:val="18"/>
              </w:rPr>
              <w:t>970</w:t>
            </w:r>
          </w:p>
        </w:tc>
        <w:tc>
          <w:tcPr>
            <w:tcW w:w="706" w:type="dxa"/>
          </w:tcPr>
          <w:p w:rsidR="00A75622" w:rsidRDefault="00A75622" w:rsidP="009846FD">
            <w:pPr>
              <w:pStyle w:val="TableParagraph"/>
              <w:ind w:left="273" w:right="119"/>
              <w:jc w:val="center"/>
              <w:rPr>
                <w:sz w:val="18"/>
              </w:rPr>
            </w:pPr>
            <w:r>
              <w:rPr>
                <w:sz w:val="18"/>
              </w:rPr>
              <w:t>984</w:t>
            </w:r>
          </w:p>
        </w:tc>
        <w:tc>
          <w:tcPr>
            <w:tcW w:w="703" w:type="dxa"/>
          </w:tcPr>
          <w:p w:rsidR="00A75622" w:rsidRDefault="00A75622" w:rsidP="009846FD">
            <w:pPr>
              <w:pStyle w:val="TableParagraph"/>
              <w:ind w:right="136"/>
              <w:rPr>
                <w:sz w:val="18"/>
              </w:rPr>
            </w:pPr>
            <w:r>
              <w:rPr>
                <w:w w:val="95"/>
                <w:sz w:val="18"/>
              </w:rPr>
              <w:t>873</w:t>
            </w:r>
          </w:p>
        </w:tc>
        <w:tc>
          <w:tcPr>
            <w:tcW w:w="703" w:type="dxa"/>
          </w:tcPr>
          <w:p w:rsidR="00A75622" w:rsidRDefault="00A75622" w:rsidP="009846FD">
            <w:pPr>
              <w:pStyle w:val="TableParagraph"/>
              <w:ind w:right="140"/>
              <w:rPr>
                <w:sz w:val="18"/>
              </w:rPr>
            </w:pPr>
            <w:r>
              <w:rPr>
                <w:sz w:val="18"/>
              </w:rPr>
              <w:t>1013</w:t>
            </w:r>
          </w:p>
        </w:tc>
        <w:tc>
          <w:tcPr>
            <w:tcW w:w="673" w:type="dxa"/>
          </w:tcPr>
          <w:p w:rsidR="00A75622" w:rsidRDefault="00A75622" w:rsidP="009846FD">
            <w:pPr>
              <w:pStyle w:val="TableParagraph"/>
              <w:ind w:right="106"/>
              <w:rPr>
                <w:sz w:val="18"/>
              </w:rPr>
            </w:pPr>
            <w:r>
              <w:rPr>
                <w:sz w:val="18"/>
              </w:rPr>
              <w:t>1094</w:t>
            </w:r>
          </w:p>
        </w:tc>
        <w:tc>
          <w:tcPr>
            <w:tcW w:w="743" w:type="dxa"/>
          </w:tcPr>
          <w:p w:rsidR="00A75622" w:rsidRDefault="00A75622" w:rsidP="009846FD">
            <w:pPr>
              <w:pStyle w:val="TableParagraph"/>
              <w:ind w:right="134"/>
              <w:rPr>
                <w:sz w:val="18"/>
              </w:rPr>
            </w:pPr>
            <w:r>
              <w:rPr>
                <w:sz w:val="18"/>
              </w:rPr>
              <w:t>2025</w:t>
            </w:r>
          </w:p>
        </w:tc>
        <w:tc>
          <w:tcPr>
            <w:tcW w:w="697" w:type="dxa"/>
          </w:tcPr>
          <w:p w:rsidR="00A75622" w:rsidRDefault="00A75622" w:rsidP="009846FD">
            <w:pPr>
              <w:pStyle w:val="TableParagraph"/>
              <w:ind w:right="125"/>
              <w:rPr>
                <w:sz w:val="18"/>
              </w:rPr>
            </w:pPr>
            <w:r>
              <w:rPr>
                <w:w w:val="95"/>
                <w:sz w:val="18"/>
              </w:rPr>
              <w:t>815</w:t>
            </w:r>
          </w:p>
        </w:tc>
        <w:tc>
          <w:tcPr>
            <w:tcW w:w="682" w:type="dxa"/>
          </w:tcPr>
          <w:p w:rsidR="00A75622" w:rsidRDefault="00A75622" w:rsidP="009846FD">
            <w:pPr>
              <w:pStyle w:val="TableParagraph"/>
              <w:ind w:left="195" w:right="83"/>
              <w:jc w:val="center"/>
              <w:rPr>
                <w:sz w:val="18"/>
              </w:rPr>
            </w:pPr>
            <w:r>
              <w:rPr>
                <w:sz w:val="18"/>
              </w:rPr>
              <w:t>6946</w:t>
            </w:r>
          </w:p>
        </w:tc>
      </w:tr>
      <w:tr w:rsidR="00A75622" w:rsidTr="009846FD">
        <w:trPr>
          <w:trHeight w:hRule="exact" w:val="206"/>
        </w:trPr>
        <w:tc>
          <w:tcPr>
            <w:tcW w:w="2305" w:type="dxa"/>
          </w:tcPr>
          <w:p w:rsidR="00A75622" w:rsidRDefault="00A75622" w:rsidP="009846FD">
            <w:pPr>
              <w:pStyle w:val="TableParagraph"/>
              <w:ind w:left="107"/>
              <w:jc w:val="left"/>
              <w:rPr>
                <w:sz w:val="18"/>
              </w:rPr>
            </w:pPr>
            <w:r>
              <w:rPr>
                <w:sz w:val="18"/>
              </w:rPr>
              <w:t>Relative Spawning Biomass</w:t>
            </w:r>
          </w:p>
        </w:tc>
        <w:tc>
          <w:tcPr>
            <w:tcW w:w="735" w:type="dxa"/>
          </w:tcPr>
          <w:p w:rsidR="00A75622" w:rsidRDefault="00A75622" w:rsidP="009846FD">
            <w:pPr>
              <w:pStyle w:val="TableParagraph"/>
              <w:ind w:right="137"/>
              <w:rPr>
                <w:sz w:val="18"/>
              </w:rPr>
            </w:pPr>
            <w:r>
              <w:rPr>
                <w:w w:val="95"/>
                <w:sz w:val="18"/>
              </w:rPr>
              <w:t>0.42</w:t>
            </w:r>
          </w:p>
        </w:tc>
        <w:tc>
          <w:tcPr>
            <w:tcW w:w="704" w:type="dxa"/>
          </w:tcPr>
          <w:p w:rsidR="00A75622" w:rsidRDefault="00A75622" w:rsidP="009846FD">
            <w:pPr>
              <w:pStyle w:val="TableParagraph"/>
              <w:ind w:right="139"/>
              <w:rPr>
                <w:sz w:val="18"/>
              </w:rPr>
            </w:pPr>
            <w:r>
              <w:rPr>
                <w:w w:val="95"/>
                <w:sz w:val="18"/>
              </w:rPr>
              <w:t>0.42</w:t>
            </w:r>
          </w:p>
        </w:tc>
        <w:tc>
          <w:tcPr>
            <w:tcW w:w="706" w:type="dxa"/>
          </w:tcPr>
          <w:p w:rsidR="00A75622" w:rsidRDefault="00A75622" w:rsidP="009846FD">
            <w:pPr>
              <w:pStyle w:val="TableParagraph"/>
              <w:ind w:right="139"/>
              <w:rPr>
                <w:sz w:val="18"/>
              </w:rPr>
            </w:pPr>
            <w:r>
              <w:rPr>
                <w:w w:val="95"/>
                <w:sz w:val="18"/>
              </w:rPr>
              <w:t>0.34</w:t>
            </w:r>
          </w:p>
        </w:tc>
        <w:tc>
          <w:tcPr>
            <w:tcW w:w="706" w:type="dxa"/>
          </w:tcPr>
          <w:p w:rsidR="00A75622" w:rsidRDefault="00A75622" w:rsidP="009846FD">
            <w:pPr>
              <w:pStyle w:val="TableParagraph"/>
              <w:ind w:left="120" w:right="12"/>
              <w:jc w:val="center"/>
              <w:rPr>
                <w:sz w:val="18"/>
              </w:rPr>
            </w:pPr>
            <w:r>
              <w:rPr>
                <w:sz w:val="18"/>
              </w:rPr>
              <w:t>0.35</w:t>
            </w:r>
          </w:p>
        </w:tc>
        <w:tc>
          <w:tcPr>
            <w:tcW w:w="703" w:type="dxa"/>
          </w:tcPr>
          <w:p w:rsidR="00A75622" w:rsidRDefault="00A75622" w:rsidP="009846FD">
            <w:pPr>
              <w:pStyle w:val="TableParagraph"/>
              <w:ind w:right="136"/>
              <w:rPr>
                <w:sz w:val="18"/>
              </w:rPr>
            </w:pPr>
            <w:r>
              <w:rPr>
                <w:w w:val="95"/>
                <w:sz w:val="18"/>
              </w:rPr>
              <w:t>0.31</w:t>
            </w:r>
          </w:p>
        </w:tc>
        <w:tc>
          <w:tcPr>
            <w:tcW w:w="703" w:type="dxa"/>
          </w:tcPr>
          <w:p w:rsidR="00A75622" w:rsidRDefault="00A75622" w:rsidP="009846FD">
            <w:pPr>
              <w:pStyle w:val="TableParagraph"/>
              <w:ind w:right="139"/>
              <w:rPr>
                <w:sz w:val="18"/>
              </w:rPr>
            </w:pPr>
            <w:r>
              <w:rPr>
                <w:w w:val="95"/>
                <w:sz w:val="18"/>
              </w:rPr>
              <w:t>0.36</w:t>
            </w:r>
          </w:p>
        </w:tc>
        <w:tc>
          <w:tcPr>
            <w:tcW w:w="673" w:type="dxa"/>
          </w:tcPr>
          <w:p w:rsidR="00A75622" w:rsidRDefault="00A75622" w:rsidP="009846FD">
            <w:pPr>
              <w:pStyle w:val="TableParagraph"/>
              <w:ind w:right="106"/>
              <w:rPr>
                <w:sz w:val="18"/>
              </w:rPr>
            </w:pPr>
            <w:r>
              <w:rPr>
                <w:w w:val="95"/>
                <w:sz w:val="18"/>
              </w:rPr>
              <w:t>0.39</w:t>
            </w:r>
          </w:p>
        </w:tc>
        <w:tc>
          <w:tcPr>
            <w:tcW w:w="743" w:type="dxa"/>
          </w:tcPr>
          <w:p w:rsidR="00A75622" w:rsidRDefault="00A75622" w:rsidP="009846FD">
            <w:pPr>
              <w:pStyle w:val="TableParagraph"/>
              <w:ind w:right="134"/>
              <w:rPr>
                <w:sz w:val="18"/>
              </w:rPr>
            </w:pPr>
            <w:r>
              <w:rPr>
                <w:w w:val="95"/>
                <w:sz w:val="18"/>
              </w:rPr>
              <w:t>0.75</w:t>
            </w:r>
          </w:p>
        </w:tc>
        <w:tc>
          <w:tcPr>
            <w:tcW w:w="697" w:type="dxa"/>
          </w:tcPr>
          <w:p w:rsidR="00A75622" w:rsidRDefault="00A75622" w:rsidP="009846FD">
            <w:pPr>
              <w:pStyle w:val="TableParagraph"/>
              <w:ind w:right="125"/>
              <w:rPr>
                <w:sz w:val="18"/>
              </w:rPr>
            </w:pPr>
            <w:r>
              <w:rPr>
                <w:w w:val="95"/>
                <w:sz w:val="18"/>
              </w:rPr>
              <w:t>0.29</w:t>
            </w:r>
          </w:p>
        </w:tc>
        <w:tc>
          <w:tcPr>
            <w:tcW w:w="682" w:type="dxa"/>
          </w:tcPr>
          <w:p w:rsidR="00A75622" w:rsidRDefault="00A75622" w:rsidP="009846FD">
            <w:pPr>
              <w:pStyle w:val="TableParagraph"/>
              <w:ind w:left="197" w:right="40"/>
              <w:jc w:val="center"/>
              <w:rPr>
                <w:sz w:val="18"/>
              </w:rPr>
            </w:pPr>
            <w:r>
              <w:rPr>
                <w:sz w:val="18"/>
              </w:rPr>
              <w:t>2.46</w:t>
            </w:r>
          </w:p>
        </w:tc>
      </w:tr>
      <w:tr w:rsidR="00A75622" w:rsidTr="009846FD">
        <w:trPr>
          <w:trHeight w:hRule="exact" w:val="208"/>
        </w:trPr>
        <w:tc>
          <w:tcPr>
            <w:tcW w:w="2305" w:type="dxa"/>
          </w:tcPr>
          <w:p w:rsidR="00A75622" w:rsidRDefault="00A75622" w:rsidP="009846FD">
            <w:pPr>
              <w:pStyle w:val="TableParagraph"/>
              <w:ind w:left="107"/>
              <w:jc w:val="left"/>
              <w:rPr>
                <w:sz w:val="18"/>
              </w:rPr>
            </w:pPr>
            <w:r>
              <w:rPr>
                <w:sz w:val="18"/>
              </w:rPr>
              <w:t>Recruitment (age 0)</w:t>
            </w:r>
          </w:p>
        </w:tc>
        <w:tc>
          <w:tcPr>
            <w:tcW w:w="735" w:type="dxa"/>
          </w:tcPr>
          <w:p w:rsidR="00A75622" w:rsidRDefault="00A75622" w:rsidP="009846FD">
            <w:pPr>
              <w:pStyle w:val="TableParagraph"/>
              <w:ind w:right="137"/>
              <w:rPr>
                <w:sz w:val="18"/>
              </w:rPr>
            </w:pPr>
            <w:r>
              <w:rPr>
                <w:w w:val="95"/>
                <w:sz w:val="18"/>
              </w:rPr>
              <w:t>240</w:t>
            </w:r>
          </w:p>
        </w:tc>
        <w:tc>
          <w:tcPr>
            <w:tcW w:w="704" w:type="dxa"/>
          </w:tcPr>
          <w:p w:rsidR="00A75622" w:rsidRDefault="00A75622" w:rsidP="009846FD">
            <w:pPr>
              <w:pStyle w:val="TableParagraph"/>
              <w:ind w:right="138"/>
              <w:rPr>
                <w:sz w:val="18"/>
              </w:rPr>
            </w:pPr>
            <w:r>
              <w:rPr>
                <w:w w:val="95"/>
                <w:sz w:val="18"/>
              </w:rPr>
              <w:t>242</w:t>
            </w:r>
          </w:p>
        </w:tc>
        <w:tc>
          <w:tcPr>
            <w:tcW w:w="706" w:type="dxa"/>
          </w:tcPr>
          <w:p w:rsidR="00A75622" w:rsidRDefault="00A75622" w:rsidP="009846FD">
            <w:pPr>
              <w:pStyle w:val="TableParagraph"/>
              <w:ind w:right="138"/>
              <w:rPr>
                <w:sz w:val="18"/>
              </w:rPr>
            </w:pPr>
            <w:r>
              <w:rPr>
                <w:sz w:val="18"/>
              </w:rPr>
              <w:t>63</w:t>
            </w:r>
          </w:p>
        </w:tc>
        <w:tc>
          <w:tcPr>
            <w:tcW w:w="706" w:type="dxa"/>
          </w:tcPr>
          <w:p w:rsidR="00A75622" w:rsidRDefault="00A75622" w:rsidP="009846FD">
            <w:pPr>
              <w:pStyle w:val="TableParagraph"/>
              <w:ind w:left="273" w:right="119"/>
              <w:jc w:val="center"/>
              <w:rPr>
                <w:sz w:val="18"/>
              </w:rPr>
            </w:pPr>
            <w:r>
              <w:rPr>
                <w:sz w:val="18"/>
              </w:rPr>
              <w:t>496</w:t>
            </w:r>
          </w:p>
        </w:tc>
        <w:tc>
          <w:tcPr>
            <w:tcW w:w="703" w:type="dxa"/>
          </w:tcPr>
          <w:p w:rsidR="00A75622" w:rsidRDefault="00A75622" w:rsidP="009846FD">
            <w:pPr>
              <w:pStyle w:val="TableParagraph"/>
              <w:ind w:right="136"/>
              <w:rPr>
                <w:sz w:val="18"/>
              </w:rPr>
            </w:pPr>
            <w:r>
              <w:rPr>
                <w:w w:val="95"/>
                <w:sz w:val="18"/>
              </w:rPr>
              <w:t>155</w:t>
            </w:r>
          </w:p>
        </w:tc>
        <w:tc>
          <w:tcPr>
            <w:tcW w:w="703" w:type="dxa"/>
          </w:tcPr>
          <w:p w:rsidR="00A75622" w:rsidRDefault="00A75622" w:rsidP="009846FD">
            <w:pPr>
              <w:pStyle w:val="TableParagraph"/>
              <w:ind w:right="138"/>
              <w:rPr>
                <w:sz w:val="18"/>
              </w:rPr>
            </w:pPr>
            <w:r>
              <w:rPr>
                <w:w w:val="95"/>
                <w:sz w:val="18"/>
              </w:rPr>
              <w:t>224</w:t>
            </w:r>
          </w:p>
        </w:tc>
        <w:tc>
          <w:tcPr>
            <w:tcW w:w="673" w:type="dxa"/>
          </w:tcPr>
          <w:p w:rsidR="00A75622" w:rsidRDefault="00A75622" w:rsidP="009846FD">
            <w:pPr>
              <w:pStyle w:val="TableParagraph"/>
              <w:ind w:right="106"/>
              <w:rPr>
                <w:sz w:val="18"/>
              </w:rPr>
            </w:pPr>
            <w:r>
              <w:rPr>
                <w:w w:val="95"/>
                <w:sz w:val="18"/>
              </w:rPr>
              <w:t>352</w:t>
            </w:r>
          </w:p>
        </w:tc>
        <w:tc>
          <w:tcPr>
            <w:tcW w:w="743" w:type="dxa"/>
          </w:tcPr>
          <w:p w:rsidR="00A75622" w:rsidRDefault="00A75622" w:rsidP="009846FD">
            <w:pPr>
              <w:pStyle w:val="TableParagraph"/>
              <w:ind w:right="134"/>
              <w:rPr>
                <w:sz w:val="18"/>
              </w:rPr>
            </w:pPr>
            <w:r>
              <w:rPr>
                <w:w w:val="95"/>
                <w:sz w:val="18"/>
              </w:rPr>
              <w:t>410</w:t>
            </w:r>
          </w:p>
        </w:tc>
        <w:tc>
          <w:tcPr>
            <w:tcW w:w="697" w:type="dxa"/>
          </w:tcPr>
          <w:p w:rsidR="00A75622" w:rsidRDefault="00A75622" w:rsidP="009846FD">
            <w:pPr>
              <w:pStyle w:val="TableParagraph"/>
              <w:ind w:right="125"/>
              <w:rPr>
                <w:sz w:val="18"/>
              </w:rPr>
            </w:pPr>
            <w:r>
              <w:rPr>
                <w:sz w:val="18"/>
              </w:rPr>
              <w:t>63</w:t>
            </w:r>
          </w:p>
        </w:tc>
        <w:tc>
          <w:tcPr>
            <w:tcW w:w="682" w:type="dxa"/>
          </w:tcPr>
          <w:p w:rsidR="00A75622" w:rsidRDefault="00A75622" w:rsidP="009846FD">
            <w:pPr>
              <w:pStyle w:val="TableParagraph"/>
              <w:ind w:left="195" w:right="83"/>
              <w:jc w:val="center"/>
              <w:rPr>
                <w:sz w:val="18"/>
              </w:rPr>
            </w:pPr>
            <w:r>
              <w:rPr>
                <w:sz w:val="18"/>
              </w:rPr>
              <w:t>1369</w:t>
            </w:r>
          </w:p>
        </w:tc>
      </w:tr>
      <w:tr w:rsidR="00A75622" w:rsidTr="009846FD">
        <w:trPr>
          <w:trHeight w:hRule="exact" w:val="208"/>
        </w:trPr>
        <w:tc>
          <w:tcPr>
            <w:tcW w:w="2305" w:type="dxa"/>
          </w:tcPr>
          <w:p w:rsidR="00A75622" w:rsidRDefault="00A75622" w:rsidP="009846FD">
            <w:pPr>
              <w:pStyle w:val="TableParagraph"/>
              <w:spacing w:line="204" w:lineRule="exact"/>
              <w:ind w:left="107"/>
              <w:jc w:val="left"/>
              <w:rPr>
                <w:sz w:val="18"/>
              </w:rPr>
            </w:pPr>
            <w:r>
              <w:rPr>
                <w:sz w:val="18"/>
              </w:rPr>
              <w:t>Fishing Mortality</w:t>
            </w:r>
          </w:p>
        </w:tc>
        <w:tc>
          <w:tcPr>
            <w:tcW w:w="735" w:type="dxa"/>
          </w:tcPr>
          <w:p w:rsidR="00A75622" w:rsidRDefault="00A75622" w:rsidP="009846FD">
            <w:pPr>
              <w:pStyle w:val="TableParagraph"/>
              <w:spacing w:line="204" w:lineRule="exact"/>
              <w:ind w:right="137"/>
              <w:rPr>
                <w:sz w:val="18"/>
              </w:rPr>
            </w:pPr>
            <w:r>
              <w:rPr>
                <w:w w:val="95"/>
                <w:sz w:val="18"/>
              </w:rPr>
              <w:t>0.82</w:t>
            </w:r>
          </w:p>
        </w:tc>
        <w:tc>
          <w:tcPr>
            <w:tcW w:w="704" w:type="dxa"/>
          </w:tcPr>
          <w:p w:rsidR="00A75622" w:rsidRDefault="00A75622" w:rsidP="009846FD">
            <w:pPr>
              <w:pStyle w:val="TableParagraph"/>
              <w:spacing w:line="204" w:lineRule="exact"/>
              <w:ind w:right="139"/>
              <w:rPr>
                <w:sz w:val="18"/>
              </w:rPr>
            </w:pPr>
            <w:r>
              <w:rPr>
                <w:w w:val="95"/>
                <w:sz w:val="18"/>
              </w:rPr>
              <w:t>0.99</w:t>
            </w:r>
          </w:p>
        </w:tc>
        <w:tc>
          <w:tcPr>
            <w:tcW w:w="706" w:type="dxa"/>
          </w:tcPr>
          <w:p w:rsidR="00A75622" w:rsidRDefault="00A75622" w:rsidP="009846FD">
            <w:pPr>
              <w:pStyle w:val="TableParagraph"/>
              <w:spacing w:line="204" w:lineRule="exact"/>
              <w:ind w:right="139"/>
              <w:rPr>
                <w:sz w:val="18"/>
              </w:rPr>
            </w:pPr>
            <w:r>
              <w:rPr>
                <w:w w:val="95"/>
                <w:sz w:val="18"/>
              </w:rPr>
              <w:t>0.80</w:t>
            </w:r>
          </w:p>
        </w:tc>
        <w:tc>
          <w:tcPr>
            <w:tcW w:w="706" w:type="dxa"/>
          </w:tcPr>
          <w:p w:rsidR="00A75622" w:rsidRDefault="00A75622" w:rsidP="009846FD">
            <w:pPr>
              <w:pStyle w:val="TableParagraph"/>
              <w:spacing w:line="204" w:lineRule="exact"/>
              <w:ind w:left="120" w:right="12"/>
              <w:jc w:val="center"/>
              <w:rPr>
                <w:sz w:val="18"/>
              </w:rPr>
            </w:pPr>
            <w:r>
              <w:rPr>
                <w:sz w:val="18"/>
              </w:rPr>
              <w:t>0.96</w:t>
            </w:r>
          </w:p>
        </w:tc>
        <w:tc>
          <w:tcPr>
            <w:tcW w:w="703" w:type="dxa"/>
          </w:tcPr>
          <w:p w:rsidR="00A75622" w:rsidRDefault="00A75622" w:rsidP="009846FD">
            <w:pPr>
              <w:pStyle w:val="TableParagraph"/>
              <w:spacing w:line="204" w:lineRule="exact"/>
              <w:ind w:right="136"/>
              <w:rPr>
                <w:sz w:val="18"/>
              </w:rPr>
            </w:pPr>
            <w:r>
              <w:rPr>
                <w:w w:val="95"/>
                <w:sz w:val="18"/>
              </w:rPr>
              <w:t>0.89</w:t>
            </w:r>
          </w:p>
        </w:tc>
        <w:tc>
          <w:tcPr>
            <w:tcW w:w="703" w:type="dxa"/>
          </w:tcPr>
          <w:p w:rsidR="00A75622" w:rsidRDefault="00A75622" w:rsidP="009846FD">
            <w:pPr>
              <w:pStyle w:val="TableParagraph"/>
              <w:spacing w:line="204" w:lineRule="exact"/>
              <w:ind w:right="139"/>
              <w:rPr>
                <w:sz w:val="18"/>
              </w:rPr>
            </w:pPr>
            <w:r>
              <w:rPr>
                <w:w w:val="95"/>
                <w:sz w:val="18"/>
              </w:rPr>
              <w:t>0.97</w:t>
            </w:r>
          </w:p>
        </w:tc>
        <w:tc>
          <w:tcPr>
            <w:tcW w:w="673" w:type="dxa"/>
          </w:tcPr>
          <w:p w:rsidR="00A75622" w:rsidRDefault="00A75622" w:rsidP="009846FD">
            <w:pPr>
              <w:pStyle w:val="TableParagraph"/>
              <w:spacing w:line="204" w:lineRule="exact"/>
              <w:ind w:right="106"/>
              <w:rPr>
                <w:sz w:val="18"/>
              </w:rPr>
            </w:pPr>
            <w:r>
              <w:rPr>
                <w:w w:val="95"/>
                <w:sz w:val="18"/>
              </w:rPr>
              <w:t>0.76</w:t>
            </w:r>
          </w:p>
        </w:tc>
        <w:tc>
          <w:tcPr>
            <w:tcW w:w="743" w:type="dxa"/>
          </w:tcPr>
          <w:p w:rsidR="00A75622" w:rsidRDefault="00A75622" w:rsidP="009846FD">
            <w:pPr>
              <w:pStyle w:val="TableParagraph"/>
              <w:spacing w:line="204" w:lineRule="exact"/>
              <w:ind w:right="134"/>
              <w:rPr>
                <w:sz w:val="18"/>
              </w:rPr>
            </w:pPr>
            <w:r>
              <w:rPr>
                <w:w w:val="95"/>
                <w:sz w:val="18"/>
              </w:rPr>
              <w:t>0.95</w:t>
            </w:r>
          </w:p>
        </w:tc>
        <w:tc>
          <w:tcPr>
            <w:tcW w:w="697" w:type="dxa"/>
          </w:tcPr>
          <w:p w:rsidR="00A75622" w:rsidRDefault="00A75622" w:rsidP="009846FD">
            <w:pPr>
              <w:pStyle w:val="TableParagraph"/>
              <w:spacing w:line="204" w:lineRule="exact"/>
              <w:ind w:right="125"/>
              <w:rPr>
                <w:sz w:val="18"/>
              </w:rPr>
            </w:pPr>
            <w:r>
              <w:rPr>
                <w:w w:val="95"/>
                <w:sz w:val="18"/>
              </w:rPr>
              <w:t>0.47</w:t>
            </w:r>
          </w:p>
        </w:tc>
        <w:tc>
          <w:tcPr>
            <w:tcW w:w="682" w:type="dxa"/>
          </w:tcPr>
          <w:p w:rsidR="00A75622" w:rsidRDefault="00A75622" w:rsidP="009846FD">
            <w:pPr>
              <w:pStyle w:val="TableParagraph"/>
              <w:spacing w:line="204" w:lineRule="exact"/>
              <w:ind w:left="197" w:right="40"/>
              <w:jc w:val="center"/>
              <w:rPr>
                <w:sz w:val="18"/>
              </w:rPr>
            </w:pPr>
            <w:r>
              <w:rPr>
                <w:sz w:val="18"/>
              </w:rPr>
              <w:t>1.54</w:t>
            </w:r>
          </w:p>
        </w:tc>
      </w:tr>
      <w:tr w:rsidR="00A75622" w:rsidTr="009846FD">
        <w:trPr>
          <w:trHeight w:hRule="exact" w:val="206"/>
        </w:trPr>
        <w:tc>
          <w:tcPr>
            <w:tcW w:w="2305" w:type="dxa"/>
          </w:tcPr>
          <w:p w:rsidR="00A75622" w:rsidRDefault="00A75622" w:rsidP="009846FD">
            <w:pPr>
              <w:pStyle w:val="TableParagraph"/>
              <w:ind w:left="107"/>
              <w:jc w:val="left"/>
              <w:rPr>
                <w:sz w:val="18"/>
              </w:rPr>
            </w:pPr>
            <w:r>
              <w:rPr>
                <w:sz w:val="18"/>
              </w:rPr>
              <w:t>Relative Fishing Mortality</w:t>
            </w:r>
          </w:p>
        </w:tc>
        <w:tc>
          <w:tcPr>
            <w:tcW w:w="735" w:type="dxa"/>
          </w:tcPr>
          <w:p w:rsidR="00A75622" w:rsidRDefault="00A75622" w:rsidP="009846FD">
            <w:pPr>
              <w:pStyle w:val="TableParagraph"/>
              <w:ind w:right="137"/>
              <w:rPr>
                <w:sz w:val="18"/>
              </w:rPr>
            </w:pPr>
            <w:r>
              <w:rPr>
                <w:w w:val="95"/>
                <w:sz w:val="18"/>
              </w:rPr>
              <w:t>1.29</w:t>
            </w:r>
          </w:p>
        </w:tc>
        <w:tc>
          <w:tcPr>
            <w:tcW w:w="704" w:type="dxa"/>
          </w:tcPr>
          <w:p w:rsidR="00A75622" w:rsidRDefault="00A75622" w:rsidP="009846FD">
            <w:pPr>
              <w:pStyle w:val="TableParagraph"/>
              <w:ind w:right="139"/>
              <w:rPr>
                <w:sz w:val="18"/>
              </w:rPr>
            </w:pPr>
            <w:r>
              <w:rPr>
                <w:w w:val="95"/>
                <w:sz w:val="18"/>
              </w:rPr>
              <w:t>1.57</w:t>
            </w:r>
          </w:p>
        </w:tc>
        <w:tc>
          <w:tcPr>
            <w:tcW w:w="706" w:type="dxa"/>
          </w:tcPr>
          <w:p w:rsidR="00A75622" w:rsidRDefault="00A75622" w:rsidP="009846FD">
            <w:pPr>
              <w:pStyle w:val="TableParagraph"/>
              <w:ind w:right="139"/>
              <w:rPr>
                <w:sz w:val="18"/>
              </w:rPr>
            </w:pPr>
            <w:r>
              <w:rPr>
                <w:w w:val="95"/>
                <w:sz w:val="18"/>
              </w:rPr>
              <w:t>1.27</w:t>
            </w:r>
          </w:p>
        </w:tc>
        <w:tc>
          <w:tcPr>
            <w:tcW w:w="706" w:type="dxa"/>
          </w:tcPr>
          <w:p w:rsidR="00A75622" w:rsidRDefault="00A75622" w:rsidP="009846FD">
            <w:pPr>
              <w:pStyle w:val="TableParagraph"/>
              <w:ind w:left="120" w:right="12"/>
              <w:jc w:val="center"/>
              <w:rPr>
                <w:sz w:val="18"/>
              </w:rPr>
            </w:pPr>
            <w:r>
              <w:rPr>
                <w:sz w:val="18"/>
              </w:rPr>
              <w:t>1.51</w:t>
            </w:r>
          </w:p>
        </w:tc>
        <w:tc>
          <w:tcPr>
            <w:tcW w:w="703" w:type="dxa"/>
          </w:tcPr>
          <w:p w:rsidR="00A75622" w:rsidRDefault="00A75622" w:rsidP="009846FD">
            <w:pPr>
              <w:pStyle w:val="TableParagraph"/>
              <w:ind w:right="136"/>
              <w:rPr>
                <w:sz w:val="18"/>
              </w:rPr>
            </w:pPr>
            <w:r>
              <w:rPr>
                <w:w w:val="95"/>
                <w:sz w:val="18"/>
              </w:rPr>
              <w:t>1.41</w:t>
            </w:r>
          </w:p>
        </w:tc>
        <w:tc>
          <w:tcPr>
            <w:tcW w:w="703" w:type="dxa"/>
          </w:tcPr>
          <w:p w:rsidR="00A75622" w:rsidRDefault="00A75622" w:rsidP="009846FD">
            <w:pPr>
              <w:pStyle w:val="TableParagraph"/>
              <w:ind w:right="139"/>
              <w:rPr>
                <w:sz w:val="18"/>
              </w:rPr>
            </w:pPr>
            <w:r>
              <w:rPr>
                <w:w w:val="95"/>
                <w:sz w:val="18"/>
              </w:rPr>
              <w:t>1.53</w:t>
            </w:r>
          </w:p>
        </w:tc>
        <w:tc>
          <w:tcPr>
            <w:tcW w:w="673" w:type="dxa"/>
          </w:tcPr>
          <w:p w:rsidR="00A75622" w:rsidRDefault="00A75622" w:rsidP="009846FD">
            <w:pPr>
              <w:pStyle w:val="TableParagraph"/>
              <w:ind w:right="106"/>
              <w:rPr>
                <w:sz w:val="18"/>
              </w:rPr>
            </w:pPr>
            <w:r>
              <w:rPr>
                <w:w w:val="95"/>
                <w:sz w:val="18"/>
              </w:rPr>
              <w:t>1.20</w:t>
            </w:r>
          </w:p>
        </w:tc>
        <w:tc>
          <w:tcPr>
            <w:tcW w:w="743" w:type="dxa"/>
          </w:tcPr>
          <w:p w:rsidR="00A75622" w:rsidRDefault="00A75622" w:rsidP="009846FD">
            <w:pPr>
              <w:pStyle w:val="TableParagraph"/>
              <w:ind w:right="134"/>
              <w:rPr>
                <w:sz w:val="18"/>
              </w:rPr>
            </w:pPr>
            <w:r>
              <w:rPr>
                <w:w w:val="95"/>
                <w:sz w:val="18"/>
              </w:rPr>
              <w:t>1.50</w:t>
            </w:r>
          </w:p>
        </w:tc>
        <w:tc>
          <w:tcPr>
            <w:tcW w:w="697" w:type="dxa"/>
          </w:tcPr>
          <w:p w:rsidR="00A75622" w:rsidRDefault="00A75622" w:rsidP="009846FD">
            <w:pPr>
              <w:pStyle w:val="TableParagraph"/>
              <w:ind w:right="125"/>
              <w:rPr>
                <w:sz w:val="18"/>
              </w:rPr>
            </w:pPr>
            <w:r>
              <w:rPr>
                <w:w w:val="95"/>
                <w:sz w:val="18"/>
              </w:rPr>
              <w:t>0.74</w:t>
            </w:r>
          </w:p>
        </w:tc>
        <w:tc>
          <w:tcPr>
            <w:tcW w:w="682" w:type="dxa"/>
          </w:tcPr>
          <w:p w:rsidR="00A75622" w:rsidRDefault="00A75622" w:rsidP="009846FD">
            <w:pPr>
              <w:pStyle w:val="TableParagraph"/>
              <w:ind w:left="197" w:right="40"/>
              <w:jc w:val="center"/>
              <w:rPr>
                <w:sz w:val="18"/>
              </w:rPr>
            </w:pPr>
            <w:r>
              <w:rPr>
                <w:sz w:val="18"/>
              </w:rPr>
              <w:t>2.44</w:t>
            </w:r>
          </w:p>
        </w:tc>
      </w:tr>
      <w:tr w:rsidR="00A75622" w:rsidTr="009846FD">
        <w:trPr>
          <w:trHeight w:hRule="exact" w:val="206"/>
        </w:trPr>
        <w:tc>
          <w:tcPr>
            <w:tcW w:w="2305" w:type="dxa"/>
          </w:tcPr>
          <w:p w:rsidR="00A75622" w:rsidRDefault="00A75622" w:rsidP="009846FD">
            <w:pPr>
              <w:pStyle w:val="TableParagraph"/>
              <w:ind w:left="107"/>
              <w:jc w:val="left"/>
              <w:rPr>
                <w:sz w:val="18"/>
              </w:rPr>
            </w:pPr>
            <w:r>
              <w:rPr>
                <w:sz w:val="18"/>
              </w:rPr>
              <w:t>Exploitation Rate</w:t>
            </w:r>
          </w:p>
        </w:tc>
        <w:tc>
          <w:tcPr>
            <w:tcW w:w="735" w:type="dxa"/>
          </w:tcPr>
          <w:p w:rsidR="00A75622" w:rsidRDefault="00A75622" w:rsidP="009846FD">
            <w:pPr>
              <w:pStyle w:val="TableParagraph"/>
              <w:ind w:right="135"/>
              <w:rPr>
                <w:sz w:val="18"/>
              </w:rPr>
            </w:pPr>
            <w:r>
              <w:rPr>
                <w:sz w:val="18"/>
              </w:rPr>
              <w:t>45%</w:t>
            </w:r>
          </w:p>
        </w:tc>
        <w:tc>
          <w:tcPr>
            <w:tcW w:w="704" w:type="dxa"/>
          </w:tcPr>
          <w:p w:rsidR="00A75622" w:rsidRDefault="00A75622" w:rsidP="009846FD">
            <w:pPr>
              <w:pStyle w:val="TableParagraph"/>
              <w:ind w:right="136"/>
              <w:rPr>
                <w:sz w:val="18"/>
              </w:rPr>
            </w:pPr>
            <w:r>
              <w:rPr>
                <w:sz w:val="18"/>
              </w:rPr>
              <w:t>52%</w:t>
            </w:r>
          </w:p>
        </w:tc>
        <w:tc>
          <w:tcPr>
            <w:tcW w:w="706" w:type="dxa"/>
          </w:tcPr>
          <w:p w:rsidR="00A75622" w:rsidRDefault="00A75622" w:rsidP="009846FD">
            <w:pPr>
              <w:pStyle w:val="TableParagraph"/>
              <w:ind w:right="136"/>
              <w:rPr>
                <w:sz w:val="18"/>
              </w:rPr>
            </w:pPr>
            <w:r>
              <w:rPr>
                <w:sz w:val="18"/>
              </w:rPr>
              <w:t>39%</w:t>
            </w:r>
          </w:p>
        </w:tc>
        <w:tc>
          <w:tcPr>
            <w:tcW w:w="706" w:type="dxa"/>
          </w:tcPr>
          <w:p w:rsidR="00A75622" w:rsidRDefault="00A75622" w:rsidP="009846FD">
            <w:pPr>
              <w:pStyle w:val="TableParagraph"/>
              <w:ind w:left="120" w:right="24"/>
              <w:jc w:val="center"/>
              <w:rPr>
                <w:sz w:val="18"/>
              </w:rPr>
            </w:pPr>
            <w:r>
              <w:rPr>
                <w:sz w:val="18"/>
              </w:rPr>
              <w:t>55%</w:t>
            </w:r>
          </w:p>
        </w:tc>
        <w:tc>
          <w:tcPr>
            <w:tcW w:w="703" w:type="dxa"/>
          </w:tcPr>
          <w:p w:rsidR="00A75622" w:rsidRDefault="00A75622" w:rsidP="009846FD">
            <w:pPr>
              <w:pStyle w:val="TableParagraph"/>
              <w:ind w:right="134"/>
              <w:rPr>
                <w:sz w:val="18"/>
              </w:rPr>
            </w:pPr>
            <w:r>
              <w:rPr>
                <w:sz w:val="18"/>
              </w:rPr>
              <w:t>40%</w:t>
            </w:r>
          </w:p>
        </w:tc>
        <w:tc>
          <w:tcPr>
            <w:tcW w:w="703" w:type="dxa"/>
          </w:tcPr>
          <w:p w:rsidR="00A75622" w:rsidRDefault="00A75622" w:rsidP="009846FD">
            <w:pPr>
              <w:pStyle w:val="TableParagraph"/>
              <w:ind w:right="136"/>
              <w:rPr>
                <w:sz w:val="18"/>
              </w:rPr>
            </w:pPr>
            <w:r>
              <w:rPr>
                <w:sz w:val="18"/>
              </w:rPr>
              <w:t>48%</w:t>
            </w:r>
          </w:p>
        </w:tc>
        <w:tc>
          <w:tcPr>
            <w:tcW w:w="673" w:type="dxa"/>
          </w:tcPr>
          <w:p w:rsidR="00A75622" w:rsidRDefault="00A75622" w:rsidP="009846FD">
            <w:pPr>
              <w:pStyle w:val="TableParagraph"/>
              <w:ind w:right="104"/>
              <w:rPr>
                <w:sz w:val="18"/>
              </w:rPr>
            </w:pPr>
            <w:r>
              <w:rPr>
                <w:sz w:val="18"/>
              </w:rPr>
              <w:t>44%</w:t>
            </w:r>
          </w:p>
        </w:tc>
        <w:tc>
          <w:tcPr>
            <w:tcW w:w="743" w:type="dxa"/>
          </w:tcPr>
          <w:p w:rsidR="00A75622" w:rsidRDefault="00A75622" w:rsidP="009846FD">
            <w:pPr>
              <w:pStyle w:val="TableParagraph"/>
              <w:ind w:right="132"/>
              <w:rPr>
                <w:sz w:val="18"/>
              </w:rPr>
            </w:pPr>
            <w:r>
              <w:rPr>
                <w:sz w:val="18"/>
              </w:rPr>
              <w:t>48%</w:t>
            </w:r>
          </w:p>
        </w:tc>
        <w:tc>
          <w:tcPr>
            <w:tcW w:w="697" w:type="dxa"/>
          </w:tcPr>
          <w:p w:rsidR="00A75622" w:rsidRDefault="00A75622" w:rsidP="009846FD">
            <w:pPr>
              <w:pStyle w:val="TableParagraph"/>
              <w:ind w:right="123"/>
              <w:rPr>
                <w:sz w:val="18"/>
              </w:rPr>
            </w:pPr>
            <w:r>
              <w:rPr>
                <w:sz w:val="18"/>
              </w:rPr>
              <w:t>32%</w:t>
            </w:r>
          </w:p>
        </w:tc>
        <w:tc>
          <w:tcPr>
            <w:tcW w:w="682" w:type="dxa"/>
          </w:tcPr>
          <w:p w:rsidR="00A75622" w:rsidRDefault="00A75622" w:rsidP="009846FD">
            <w:pPr>
              <w:pStyle w:val="TableParagraph"/>
              <w:ind w:left="197" w:right="52"/>
              <w:jc w:val="center"/>
              <w:rPr>
                <w:sz w:val="18"/>
              </w:rPr>
            </w:pPr>
            <w:r>
              <w:rPr>
                <w:sz w:val="18"/>
              </w:rPr>
              <w:t>65%</w:t>
            </w:r>
          </w:p>
        </w:tc>
      </w:tr>
      <w:tr w:rsidR="00A75622" w:rsidTr="009846FD">
        <w:trPr>
          <w:trHeight w:hRule="exact" w:val="208"/>
        </w:trPr>
        <w:tc>
          <w:tcPr>
            <w:tcW w:w="2305" w:type="dxa"/>
            <w:tcBorders>
              <w:bottom w:val="single" w:sz="3" w:space="0" w:color="000000"/>
            </w:tcBorders>
          </w:tcPr>
          <w:p w:rsidR="00A75622" w:rsidRDefault="00A75622" w:rsidP="009846FD">
            <w:pPr>
              <w:pStyle w:val="TableParagraph"/>
              <w:ind w:left="107"/>
              <w:jc w:val="left"/>
              <w:rPr>
                <w:sz w:val="18"/>
              </w:rPr>
            </w:pPr>
            <w:r>
              <w:rPr>
                <w:sz w:val="18"/>
              </w:rPr>
              <w:t>Spawning Potential Ratio</w:t>
            </w:r>
          </w:p>
        </w:tc>
        <w:tc>
          <w:tcPr>
            <w:tcW w:w="735" w:type="dxa"/>
            <w:tcBorders>
              <w:bottom w:val="single" w:sz="3" w:space="0" w:color="000000"/>
            </w:tcBorders>
          </w:tcPr>
          <w:p w:rsidR="00A75622" w:rsidRDefault="00A75622" w:rsidP="009846FD">
            <w:pPr>
              <w:pStyle w:val="TableParagraph"/>
              <w:ind w:right="135"/>
              <w:rPr>
                <w:sz w:val="18"/>
              </w:rPr>
            </w:pPr>
            <w:r>
              <w:rPr>
                <w:sz w:val="18"/>
              </w:rPr>
              <w:t>15%</w:t>
            </w:r>
          </w:p>
        </w:tc>
        <w:tc>
          <w:tcPr>
            <w:tcW w:w="704" w:type="dxa"/>
            <w:tcBorders>
              <w:bottom w:val="single" w:sz="3" w:space="0" w:color="000000"/>
            </w:tcBorders>
          </w:tcPr>
          <w:p w:rsidR="00A75622" w:rsidRDefault="00A75622" w:rsidP="009846FD">
            <w:pPr>
              <w:pStyle w:val="TableParagraph"/>
              <w:ind w:right="136"/>
              <w:rPr>
                <w:sz w:val="18"/>
              </w:rPr>
            </w:pPr>
            <w:r>
              <w:rPr>
                <w:sz w:val="18"/>
              </w:rPr>
              <w:t>12%</w:t>
            </w:r>
          </w:p>
        </w:tc>
        <w:tc>
          <w:tcPr>
            <w:tcW w:w="706" w:type="dxa"/>
            <w:tcBorders>
              <w:bottom w:val="single" w:sz="3" w:space="0" w:color="000000"/>
            </w:tcBorders>
          </w:tcPr>
          <w:p w:rsidR="00A75622" w:rsidRDefault="00A75622" w:rsidP="009846FD">
            <w:pPr>
              <w:pStyle w:val="TableParagraph"/>
              <w:ind w:right="136"/>
              <w:rPr>
                <w:sz w:val="18"/>
              </w:rPr>
            </w:pPr>
            <w:r>
              <w:rPr>
                <w:sz w:val="18"/>
              </w:rPr>
              <w:t>16%</w:t>
            </w:r>
          </w:p>
        </w:tc>
        <w:tc>
          <w:tcPr>
            <w:tcW w:w="706" w:type="dxa"/>
            <w:tcBorders>
              <w:bottom w:val="single" w:sz="3" w:space="0" w:color="000000"/>
            </w:tcBorders>
          </w:tcPr>
          <w:p w:rsidR="00A75622" w:rsidRDefault="00A75622" w:rsidP="009846FD">
            <w:pPr>
              <w:pStyle w:val="TableParagraph"/>
              <w:ind w:left="120" w:right="24"/>
              <w:jc w:val="center"/>
              <w:rPr>
                <w:sz w:val="18"/>
              </w:rPr>
            </w:pPr>
            <w:r>
              <w:rPr>
                <w:sz w:val="18"/>
              </w:rPr>
              <w:t>13%</w:t>
            </w:r>
          </w:p>
        </w:tc>
        <w:tc>
          <w:tcPr>
            <w:tcW w:w="703" w:type="dxa"/>
            <w:tcBorders>
              <w:bottom w:val="single" w:sz="3" w:space="0" w:color="000000"/>
            </w:tcBorders>
          </w:tcPr>
          <w:p w:rsidR="00A75622" w:rsidRDefault="00A75622" w:rsidP="009846FD">
            <w:pPr>
              <w:pStyle w:val="TableParagraph"/>
              <w:ind w:right="134"/>
              <w:rPr>
                <w:sz w:val="18"/>
              </w:rPr>
            </w:pPr>
            <w:r>
              <w:rPr>
                <w:sz w:val="18"/>
              </w:rPr>
              <w:t>12%</w:t>
            </w:r>
          </w:p>
        </w:tc>
        <w:tc>
          <w:tcPr>
            <w:tcW w:w="703" w:type="dxa"/>
            <w:tcBorders>
              <w:bottom w:val="single" w:sz="3" w:space="0" w:color="000000"/>
            </w:tcBorders>
          </w:tcPr>
          <w:p w:rsidR="00A75622" w:rsidRDefault="00A75622" w:rsidP="009846FD">
            <w:pPr>
              <w:pStyle w:val="TableParagraph"/>
              <w:ind w:right="136"/>
              <w:rPr>
                <w:sz w:val="18"/>
              </w:rPr>
            </w:pPr>
            <w:r>
              <w:rPr>
                <w:sz w:val="18"/>
              </w:rPr>
              <w:t>12%</w:t>
            </w:r>
          </w:p>
        </w:tc>
        <w:tc>
          <w:tcPr>
            <w:tcW w:w="673" w:type="dxa"/>
            <w:tcBorders>
              <w:bottom w:val="single" w:sz="3" w:space="0" w:color="000000"/>
            </w:tcBorders>
          </w:tcPr>
          <w:p w:rsidR="00A75622" w:rsidRDefault="00A75622" w:rsidP="009846FD">
            <w:pPr>
              <w:pStyle w:val="TableParagraph"/>
              <w:ind w:right="104"/>
              <w:rPr>
                <w:sz w:val="18"/>
              </w:rPr>
            </w:pPr>
            <w:r>
              <w:rPr>
                <w:sz w:val="18"/>
              </w:rPr>
              <w:t>14%</w:t>
            </w:r>
          </w:p>
        </w:tc>
        <w:tc>
          <w:tcPr>
            <w:tcW w:w="743" w:type="dxa"/>
            <w:tcBorders>
              <w:bottom w:val="single" w:sz="3" w:space="0" w:color="000000"/>
            </w:tcBorders>
          </w:tcPr>
          <w:p w:rsidR="00A75622" w:rsidRDefault="00A75622" w:rsidP="009846FD">
            <w:pPr>
              <w:pStyle w:val="TableParagraph"/>
              <w:ind w:right="132"/>
              <w:rPr>
                <w:sz w:val="18"/>
              </w:rPr>
            </w:pPr>
            <w:r>
              <w:rPr>
                <w:sz w:val="18"/>
              </w:rPr>
              <w:t>13%</w:t>
            </w:r>
          </w:p>
        </w:tc>
        <w:tc>
          <w:tcPr>
            <w:tcW w:w="697" w:type="dxa"/>
            <w:tcBorders>
              <w:bottom w:val="single" w:sz="3" w:space="0" w:color="000000"/>
            </w:tcBorders>
          </w:tcPr>
          <w:p w:rsidR="00A75622" w:rsidRDefault="00A75622" w:rsidP="009846FD">
            <w:pPr>
              <w:pStyle w:val="TableParagraph"/>
              <w:ind w:right="123"/>
              <w:rPr>
                <w:sz w:val="18"/>
              </w:rPr>
            </w:pPr>
            <w:r>
              <w:rPr>
                <w:sz w:val="18"/>
              </w:rPr>
              <w:t>7%</w:t>
            </w:r>
          </w:p>
        </w:tc>
        <w:tc>
          <w:tcPr>
            <w:tcW w:w="682" w:type="dxa"/>
            <w:tcBorders>
              <w:bottom w:val="single" w:sz="3" w:space="0" w:color="000000"/>
            </w:tcBorders>
          </w:tcPr>
          <w:p w:rsidR="00A75622" w:rsidRDefault="00A75622" w:rsidP="009846FD">
            <w:pPr>
              <w:pStyle w:val="TableParagraph"/>
              <w:ind w:left="197" w:right="52"/>
              <w:jc w:val="center"/>
              <w:rPr>
                <w:sz w:val="18"/>
              </w:rPr>
            </w:pPr>
            <w:r>
              <w:rPr>
                <w:sz w:val="18"/>
              </w:rPr>
              <w:t>24%</w:t>
            </w:r>
          </w:p>
        </w:tc>
      </w:tr>
    </w:tbl>
    <w:p w:rsidR="00A75622" w:rsidRDefault="00A75622" w:rsidP="00A75622">
      <w:pPr>
        <w:ind w:left="120"/>
        <w:jc w:val="both"/>
        <w:rPr>
          <w:sz w:val="16"/>
        </w:rPr>
      </w:pPr>
      <w:r>
        <w:rPr>
          <w:position w:val="6"/>
          <w:sz w:val="10"/>
        </w:rPr>
        <w:t xml:space="preserve">1 </w:t>
      </w:r>
      <w:r>
        <w:rPr>
          <w:sz w:val="16"/>
        </w:rPr>
        <w:t>During 1975-2013</w:t>
      </w:r>
    </w:p>
    <w:p w:rsidR="00A75622" w:rsidRPr="004421E6" w:rsidRDefault="00A75622" w:rsidP="00A75622">
      <w:pPr>
        <w:pStyle w:val="BodyText"/>
        <w:spacing w:before="9"/>
        <w:rPr>
          <w:b w:val="0"/>
          <w:i/>
          <w:sz w:val="21"/>
        </w:rPr>
      </w:pPr>
    </w:p>
    <w:p w:rsidR="004421E6" w:rsidRPr="00660394" w:rsidRDefault="00A75622" w:rsidP="00660394">
      <w:pPr>
        <w:pStyle w:val="Heading3"/>
        <w:ind w:right="154"/>
        <w:rPr>
          <w:b w:val="0"/>
        </w:rPr>
      </w:pPr>
      <w:r w:rsidRPr="004421E6">
        <w:rPr>
          <w:b w:val="0"/>
        </w:rPr>
        <w:t xml:space="preserve">When the status of striped marlin is evaluated relative to MSY-based reference points, the 2013 </w:t>
      </w:r>
      <w:r w:rsidRPr="004421E6">
        <w:rPr>
          <w:b w:val="0"/>
        </w:rPr>
        <w:lastRenderedPageBreak/>
        <w:t>spawning stock biomass is 61% below SSB</w:t>
      </w:r>
      <w:r w:rsidRPr="00A75622">
        <w:rPr>
          <w:b w:val="0"/>
          <w:vertAlign w:val="subscript"/>
        </w:rPr>
        <w:t>MSY</w:t>
      </w:r>
      <w:r w:rsidRPr="004421E6">
        <w:rPr>
          <w:b w:val="0"/>
        </w:rPr>
        <w:t xml:space="preserve"> (2819 t) and the 2010-2012 fishing mortality exceeds F</w:t>
      </w:r>
      <w:r w:rsidRPr="00A75622">
        <w:rPr>
          <w:b w:val="0"/>
          <w:vertAlign w:val="subscript"/>
        </w:rPr>
        <w:t>MSY</w:t>
      </w:r>
      <w:r>
        <w:rPr>
          <w:b w:val="0"/>
        </w:rPr>
        <w:t xml:space="preserve"> by 49%</w:t>
      </w:r>
      <w:r w:rsidRPr="004421E6">
        <w:rPr>
          <w:b w:val="0"/>
        </w:rPr>
        <w:t>. Therefore, overfishing is occurring relative to MSY-based reference points and the WCNPO striped marlin stock is overfished.”</w:t>
      </w:r>
    </w:p>
    <w:p w:rsidR="002828C2" w:rsidRPr="002828C2" w:rsidRDefault="002828C2" w:rsidP="002828C2">
      <w:pPr>
        <w:pStyle w:val="BodyText"/>
        <w:spacing w:before="7"/>
        <w:rPr>
          <w:sz w:val="24"/>
          <w:szCs w:val="24"/>
        </w:rPr>
      </w:pPr>
    </w:p>
    <w:p w:rsidR="002828C2" w:rsidRPr="002828C2" w:rsidRDefault="00923253" w:rsidP="002828C2">
      <w:pPr>
        <w:tabs>
          <w:tab w:val="left" w:pos="820"/>
        </w:tabs>
        <w:rPr>
          <w:b/>
          <w:sz w:val="24"/>
          <w:szCs w:val="24"/>
        </w:rPr>
      </w:pPr>
      <w:r>
        <w:rPr>
          <w:b/>
          <w:sz w:val="24"/>
          <w:szCs w:val="24"/>
        </w:rPr>
        <w:t>North</w:t>
      </w:r>
      <w:r w:rsidR="007055E5">
        <w:rPr>
          <w:b/>
          <w:sz w:val="24"/>
          <w:szCs w:val="24"/>
        </w:rPr>
        <w:t xml:space="preserve"> Pacific Striped Marlin </w:t>
      </w:r>
      <w:r w:rsidR="002828C2" w:rsidRPr="002828C2">
        <w:rPr>
          <w:b/>
          <w:sz w:val="24"/>
          <w:szCs w:val="24"/>
        </w:rPr>
        <w:t xml:space="preserve">Management </w:t>
      </w:r>
      <w:r w:rsidR="002828C2">
        <w:rPr>
          <w:b/>
          <w:sz w:val="24"/>
          <w:szCs w:val="24"/>
        </w:rPr>
        <w:t>Advice</w:t>
      </w:r>
    </w:p>
    <w:p w:rsidR="002828C2" w:rsidRPr="002828C2" w:rsidRDefault="002828C2" w:rsidP="002828C2">
      <w:pPr>
        <w:pStyle w:val="BodyText"/>
        <w:spacing w:before="11"/>
        <w:rPr>
          <w:sz w:val="24"/>
          <w:szCs w:val="24"/>
        </w:rPr>
      </w:pPr>
    </w:p>
    <w:p w:rsidR="002828C2" w:rsidRDefault="002828C2" w:rsidP="002828C2">
      <w:pPr>
        <w:pStyle w:val="ListParagraph"/>
        <w:tabs>
          <w:tab w:val="left" w:pos="820"/>
        </w:tabs>
        <w:ind w:right="117"/>
        <w:rPr>
          <w:rStyle w:val="Hyperlink"/>
          <w:b/>
          <w:bCs/>
          <w:lang w:val="en-AU" w:eastAsia="ko-KR"/>
        </w:rPr>
      </w:pPr>
      <w:r>
        <w:rPr>
          <w:b/>
          <w:sz w:val="24"/>
          <w:szCs w:val="24"/>
        </w:rPr>
        <w:t>SC14</w:t>
      </w:r>
      <w:r w:rsidRPr="002828C2">
        <w:rPr>
          <w:b/>
          <w:sz w:val="24"/>
          <w:szCs w:val="24"/>
        </w:rPr>
        <w:t xml:space="preserve"> noted that no management ad</w:t>
      </w:r>
      <w:r w:rsidR="007D4594">
        <w:rPr>
          <w:b/>
          <w:sz w:val="24"/>
          <w:szCs w:val="24"/>
        </w:rPr>
        <w:t>v</w:t>
      </w:r>
      <w:r w:rsidR="00923253">
        <w:rPr>
          <w:b/>
          <w:sz w:val="24"/>
          <w:szCs w:val="24"/>
        </w:rPr>
        <w:t>ice has been provided since SC11</w:t>
      </w:r>
      <w:r w:rsidRPr="002828C2">
        <w:rPr>
          <w:b/>
          <w:sz w:val="24"/>
          <w:szCs w:val="24"/>
        </w:rPr>
        <w:t xml:space="preserve"> for </w:t>
      </w:r>
      <w:r w:rsidR="00923253">
        <w:rPr>
          <w:b/>
          <w:sz w:val="24"/>
          <w:szCs w:val="24"/>
        </w:rPr>
        <w:t>North</w:t>
      </w:r>
      <w:r w:rsidR="007055E5">
        <w:rPr>
          <w:b/>
          <w:sz w:val="24"/>
          <w:szCs w:val="24"/>
        </w:rPr>
        <w:t xml:space="preserve"> Pacific striped marlin</w:t>
      </w:r>
      <w:r w:rsidRPr="002828C2">
        <w:rPr>
          <w:b/>
          <w:sz w:val="24"/>
          <w:szCs w:val="24"/>
        </w:rPr>
        <w:t>. Therefore, previous advice should be maintained, pending a new assessment or other new information.</w:t>
      </w:r>
      <w:r>
        <w:rPr>
          <w:b/>
          <w:sz w:val="24"/>
          <w:szCs w:val="24"/>
        </w:rPr>
        <w:t xml:space="preserve"> </w:t>
      </w:r>
      <w:r w:rsidRPr="00AE7C1C">
        <w:rPr>
          <w:b/>
          <w:bCs/>
          <w:lang w:val="en-AU"/>
        </w:rPr>
        <w:t xml:space="preserve">For further information on the management </w:t>
      </w:r>
      <w:r w:rsidR="007D4594">
        <w:rPr>
          <w:b/>
          <w:bCs/>
          <w:lang w:val="en-AU"/>
        </w:rPr>
        <w:t>a</w:t>
      </w:r>
      <w:r w:rsidR="00923253">
        <w:rPr>
          <w:b/>
          <w:bCs/>
          <w:lang w:val="en-AU"/>
        </w:rPr>
        <w:t>dvice and implications from SC11</w:t>
      </w:r>
      <w:r w:rsidRPr="00AE7C1C">
        <w:rPr>
          <w:b/>
          <w:bCs/>
          <w:lang w:val="en-AU"/>
        </w:rPr>
        <w:t>, please see</w:t>
      </w:r>
      <w:r w:rsidRPr="00AE7C1C">
        <w:rPr>
          <w:rFonts w:hint="eastAsia"/>
          <w:b/>
          <w:bCs/>
          <w:lang w:val="en-AU" w:eastAsia="ko-KR"/>
        </w:rPr>
        <w:t xml:space="preserve"> </w:t>
      </w:r>
      <w:hyperlink r:id="rId7" w:history="1">
        <w:r w:rsidRPr="00AE7C1C">
          <w:rPr>
            <w:rStyle w:val="Hyperlink"/>
            <w:b/>
            <w:bCs/>
            <w:lang w:val="en-AU" w:eastAsia="ko-KR"/>
          </w:rPr>
          <w:t>https://www.wcpfc.int/node/XXXX</w:t>
        </w:r>
      </w:hyperlink>
    </w:p>
    <w:p w:rsidR="00351F55" w:rsidRDefault="00351F55" w:rsidP="002828C2">
      <w:pPr>
        <w:pStyle w:val="ListParagraph"/>
        <w:tabs>
          <w:tab w:val="left" w:pos="820"/>
        </w:tabs>
        <w:ind w:right="117"/>
        <w:rPr>
          <w:b/>
          <w:sz w:val="24"/>
          <w:szCs w:val="24"/>
        </w:rPr>
      </w:pPr>
    </w:p>
    <w:p w:rsidR="00351F55" w:rsidRDefault="00351F55" w:rsidP="002828C2">
      <w:pPr>
        <w:pStyle w:val="ListParagraph"/>
        <w:tabs>
          <w:tab w:val="left" w:pos="820"/>
        </w:tabs>
        <w:ind w:right="117"/>
        <w:rPr>
          <w:b/>
          <w:sz w:val="24"/>
          <w:szCs w:val="24"/>
        </w:rPr>
      </w:pPr>
    </w:p>
    <w:p w:rsidR="00351F55" w:rsidRDefault="00351F55" w:rsidP="003C3AF9">
      <w:pPr>
        <w:pStyle w:val="ListParagraph"/>
        <w:tabs>
          <w:tab w:val="left" w:pos="820"/>
        </w:tabs>
        <w:ind w:right="116"/>
        <w:rPr>
          <w:b/>
          <w:sz w:val="24"/>
          <w:szCs w:val="24"/>
        </w:rPr>
      </w:pPr>
      <w:r>
        <w:rPr>
          <w:b/>
          <w:sz w:val="24"/>
          <w:szCs w:val="24"/>
        </w:rPr>
        <w:t>To emphasize the importance of developing a stock rebuilding plan for North Pacific striped marlin, SC14 reiterated</w:t>
      </w:r>
      <w:r w:rsidR="003C3AF9">
        <w:rPr>
          <w:b/>
          <w:sz w:val="24"/>
          <w:szCs w:val="24"/>
        </w:rPr>
        <w:t xml:space="preserve"> the following </w:t>
      </w:r>
      <w:r>
        <w:rPr>
          <w:b/>
          <w:sz w:val="24"/>
          <w:szCs w:val="24"/>
        </w:rPr>
        <w:t>management advice and information</w:t>
      </w:r>
      <w:r w:rsidR="003C3AF9">
        <w:rPr>
          <w:b/>
          <w:sz w:val="24"/>
          <w:szCs w:val="24"/>
        </w:rPr>
        <w:t>, excerpted from SC11.</w:t>
      </w:r>
    </w:p>
    <w:p w:rsidR="003C3AF9" w:rsidRDefault="003C3AF9" w:rsidP="003C3AF9">
      <w:pPr>
        <w:pStyle w:val="ListParagraph"/>
        <w:tabs>
          <w:tab w:val="left" w:pos="820"/>
        </w:tabs>
        <w:ind w:right="116"/>
        <w:rPr>
          <w:b/>
          <w:sz w:val="24"/>
          <w:szCs w:val="24"/>
        </w:rPr>
      </w:pPr>
    </w:p>
    <w:p w:rsidR="003C3AF9" w:rsidRPr="003C3AF9" w:rsidRDefault="003C3AF9" w:rsidP="003C3AF9">
      <w:pPr>
        <w:pStyle w:val="ListParagraph"/>
        <w:ind w:right="116"/>
        <w:rPr>
          <w:b/>
          <w:bCs/>
          <w:sz w:val="24"/>
          <w:szCs w:val="24"/>
        </w:rPr>
      </w:pPr>
      <w:r>
        <w:rPr>
          <w:b/>
          <w:bCs/>
          <w:sz w:val="24"/>
          <w:szCs w:val="24"/>
        </w:rPr>
        <w:t>“</w:t>
      </w:r>
      <w:r w:rsidRPr="003C3AF9">
        <w:rPr>
          <w:b/>
          <w:bCs/>
          <w:sz w:val="24"/>
          <w:szCs w:val="24"/>
        </w:rPr>
        <w:t>SC11 noted the following conservation advice from ISC.</w:t>
      </w:r>
    </w:p>
    <w:p w:rsidR="003C3AF9" w:rsidRPr="003C3AF9" w:rsidRDefault="003C3AF9" w:rsidP="003C3AF9">
      <w:pPr>
        <w:pStyle w:val="ListParagraph"/>
        <w:tabs>
          <w:tab w:val="left" w:pos="820"/>
        </w:tabs>
        <w:ind w:right="116"/>
        <w:rPr>
          <w:b/>
          <w:sz w:val="24"/>
          <w:szCs w:val="24"/>
        </w:rPr>
      </w:pPr>
    </w:p>
    <w:p w:rsidR="00351F55" w:rsidRDefault="00351F55" w:rsidP="00351F55">
      <w:pPr>
        <w:pStyle w:val="ListParagraph"/>
        <w:tabs>
          <w:tab w:val="left" w:pos="820"/>
        </w:tabs>
        <w:ind w:right="116"/>
        <w:rPr>
          <w:b/>
          <w:sz w:val="24"/>
          <w:szCs w:val="24"/>
        </w:rPr>
      </w:pPr>
    </w:p>
    <w:p w:rsidR="003C3AF9" w:rsidRPr="003C3AF9" w:rsidRDefault="003C3AF9" w:rsidP="003C3AF9">
      <w:pPr>
        <w:pStyle w:val="Heading3"/>
        <w:ind w:left="840" w:right="221"/>
        <w:rPr>
          <w:b w:val="0"/>
        </w:rPr>
      </w:pPr>
      <w:r w:rsidRPr="003C3AF9">
        <w:rPr>
          <w:b w:val="0"/>
        </w:rPr>
        <w:t>The stock has been in an overfished condition since 1977, with the exception of 1982 and 1983, and fishing appears to be impeding rebuilding especially if recent low recruitment levels persist.</w:t>
      </w:r>
    </w:p>
    <w:p w:rsidR="003C3AF9" w:rsidRPr="003C3AF9" w:rsidRDefault="003C3AF9" w:rsidP="003C3AF9">
      <w:pPr>
        <w:sectPr w:rsidR="003C3AF9" w:rsidRPr="003C3AF9">
          <w:pgSz w:w="12240" w:h="15840"/>
          <w:pgMar w:top="1500" w:right="1320" w:bottom="1500" w:left="1320" w:header="0" w:footer="1305" w:gutter="0"/>
          <w:cols w:space="720"/>
        </w:sectPr>
      </w:pPr>
    </w:p>
    <w:p w:rsidR="003C3AF9" w:rsidRPr="003C3AF9" w:rsidRDefault="003C3AF9" w:rsidP="003C3AF9">
      <w:pPr>
        <w:pStyle w:val="Heading3"/>
        <w:spacing w:before="78"/>
        <w:ind w:right="484"/>
        <w:rPr>
          <w:b w:val="0"/>
        </w:rPr>
      </w:pPr>
      <w:r w:rsidRPr="003C3AF9">
        <w:rPr>
          <w:b w:val="0"/>
        </w:rPr>
        <w:lastRenderedPageBreak/>
        <w:t>Projection results show that fishing at FMSY could lead to median spawning biomass increases of 25%, 55%, and 95% from 2015 to 2020 under the recent recruitment, medium- term recruitment, and stock recruitment-curve scenarios.</w:t>
      </w:r>
    </w:p>
    <w:p w:rsidR="003C3AF9" w:rsidRPr="003C3AF9" w:rsidRDefault="003C3AF9" w:rsidP="003C3AF9">
      <w:pPr>
        <w:pStyle w:val="BodyText"/>
        <w:spacing w:before="11"/>
        <w:rPr>
          <w:b w:val="0"/>
          <w:i/>
          <w:sz w:val="21"/>
        </w:rPr>
      </w:pPr>
    </w:p>
    <w:p w:rsidR="003C3AF9" w:rsidRPr="003C3AF9" w:rsidRDefault="003C3AF9" w:rsidP="003C3AF9">
      <w:pPr>
        <w:pStyle w:val="Heading3"/>
        <w:ind w:right="214"/>
        <w:rPr>
          <w:b w:val="0"/>
        </w:rPr>
      </w:pPr>
      <w:r w:rsidRPr="003C3AF9">
        <w:rPr>
          <w:b w:val="0"/>
        </w:rPr>
        <w:t>Fishing at a constant catch of 2,850 t could lead to potential increases in spawning biomass of 19% to over 191% by 2020, depending upon the recruitment scenario.</w:t>
      </w:r>
    </w:p>
    <w:p w:rsidR="003C3AF9" w:rsidRPr="003C3AF9" w:rsidRDefault="003C3AF9" w:rsidP="003C3AF9">
      <w:pPr>
        <w:pStyle w:val="BodyText"/>
        <w:rPr>
          <w:b w:val="0"/>
          <w:i/>
        </w:rPr>
      </w:pPr>
    </w:p>
    <w:p w:rsidR="003C3AF9" w:rsidRPr="003C3AF9" w:rsidRDefault="003C3AF9" w:rsidP="003C3AF9">
      <w:pPr>
        <w:pStyle w:val="Heading3"/>
        <w:ind w:right="136" w:firstLine="55"/>
        <w:rPr>
          <w:b w:val="0"/>
        </w:rPr>
      </w:pPr>
      <w:r w:rsidRPr="003C3AF9">
        <w:rPr>
          <w:b w:val="0"/>
        </w:rPr>
        <w:t>In comparison, fishing at the 2010-2012 fishing mortality rate, which is 49% above FMSY, could lead to changes in spawning stock biomass of -18% to +18% by 2020, while fishing at the average 2001-2003 fishing mortality rate (F2001-2003=1.15), which is 82% above FMSY, could lead to spawning stock biomass decreases of -32% to -9% by 2020, depending upon the recruitment</w:t>
      </w:r>
      <w:r w:rsidRPr="003C3AF9">
        <w:rPr>
          <w:b w:val="0"/>
          <w:spacing w:val="-7"/>
        </w:rPr>
        <w:t xml:space="preserve"> </w:t>
      </w:r>
      <w:r w:rsidR="005C21FB">
        <w:rPr>
          <w:b w:val="0"/>
        </w:rPr>
        <w:t>scenario.</w:t>
      </w:r>
    </w:p>
    <w:p w:rsidR="00351F55" w:rsidRPr="002828C2" w:rsidRDefault="00351F55" w:rsidP="002828C2">
      <w:pPr>
        <w:pStyle w:val="ListParagraph"/>
        <w:tabs>
          <w:tab w:val="left" w:pos="820"/>
        </w:tabs>
        <w:ind w:right="117"/>
        <w:rPr>
          <w:b/>
          <w:sz w:val="24"/>
          <w:szCs w:val="24"/>
        </w:rPr>
      </w:pPr>
    </w:p>
    <w:p w:rsidR="003C3AF9" w:rsidRDefault="003C3AF9" w:rsidP="003C3AF9">
      <w:pPr>
        <w:ind w:left="100"/>
        <w:rPr>
          <w:b/>
          <w:bCs/>
        </w:rPr>
      </w:pPr>
      <w:r w:rsidRPr="003C3AF9">
        <w:rPr>
          <w:b/>
          <w:bCs/>
        </w:rPr>
        <w:t xml:space="preserve">SC11 expressed concerns about the updated stock status of WCNPO striped marlin, noting that the stock was overfished (SSB2013 at 61% below SSBMSY) and that overfishing was occurring (F2010-2012 exceeds FMSY by 49%). Although a LRP for billfish species has not been adopted by the WCPFC, SC11 noted that </w:t>
      </w:r>
      <w:proofErr w:type="spellStart"/>
      <w:r w:rsidRPr="003C3AF9">
        <w:rPr>
          <w:b/>
          <w:bCs/>
        </w:rPr>
        <w:t>SSBcurrent</w:t>
      </w:r>
      <w:proofErr w:type="spellEnd"/>
      <w:r w:rsidRPr="003C3AF9">
        <w:rPr>
          <w:b/>
          <w:bCs/>
        </w:rPr>
        <w:t>/</w:t>
      </w:r>
      <w:proofErr w:type="spellStart"/>
      <w:proofErr w:type="gramStart"/>
      <w:r w:rsidRPr="003C3AF9">
        <w:rPr>
          <w:b/>
          <w:bCs/>
        </w:rPr>
        <w:t>SSBcurrent,F</w:t>
      </w:r>
      <w:proofErr w:type="spellEnd"/>
      <w:proofErr w:type="gramEnd"/>
      <w:r w:rsidRPr="003C3AF9">
        <w:rPr>
          <w:b/>
          <w:bCs/>
        </w:rPr>
        <w:t>=0=0.12 and is below the LRP adopted for tunas. SC11 also noted that projections indicate that Prob(SSB2020&gt;SSB2015)&lt;50% for all constant catch scenarios over 2,850 mt (under the three recruitment hypotheses modelled), which means that in order to allow the spawning biomass to rebuild then catches need to be reduced to less than 2,850mt.</w:t>
      </w:r>
    </w:p>
    <w:p w:rsidR="003C3AF9" w:rsidRDefault="003C3AF9" w:rsidP="003C3AF9">
      <w:pPr>
        <w:ind w:left="100"/>
        <w:rPr>
          <w:b/>
          <w:bCs/>
        </w:rPr>
      </w:pPr>
      <w:r w:rsidRPr="003C3AF9">
        <w:rPr>
          <w:b/>
          <w:bCs/>
        </w:rPr>
        <w:t>SC11 recommends that the Commission develop a rebuilding plan for North Pacific striped marlin with subsequent revision of CMM 2010-01 in order to improve stock status.</w:t>
      </w:r>
      <w:r>
        <w:rPr>
          <w:b/>
          <w:bCs/>
        </w:rPr>
        <w:t>”</w:t>
      </w:r>
    </w:p>
    <w:p w:rsidR="00E06512" w:rsidRDefault="00E06512" w:rsidP="003C3AF9">
      <w:pPr>
        <w:ind w:left="100"/>
        <w:rPr>
          <w:b/>
          <w:bCs/>
        </w:rPr>
      </w:pPr>
    </w:p>
    <w:p w:rsidR="00423D68" w:rsidRDefault="00C50B54" w:rsidP="00423D68">
      <w:pPr>
        <w:tabs>
          <w:tab w:val="left" w:pos="820"/>
        </w:tabs>
        <w:rPr>
          <w:b/>
          <w:sz w:val="24"/>
          <w:szCs w:val="24"/>
        </w:rPr>
      </w:pPr>
      <w:r>
        <w:rPr>
          <w:b/>
          <w:sz w:val="24"/>
          <w:szCs w:val="24"/>
        </w:rPr>
        <w:t xml:space="preserve">North Pacific Striped Marlin </w:t>
      </w:r>
      <w:r w:rsidR="00423D68">
        <w:rPr>
          <w:b/>
          <w:sz w:val="24"/>
          <w:szCs w:val="24"/>
        </w:rPr>
        <w:t>Recommendations</w:t>
      </w:r>
    </w:p>
    <w:p w:rsidR="00423D68" w:rsidRDefault="00423D68" w:rsidP="00423D68">
      <w:pPr>
        <w:tabs>
          <w:tab w:val="left" w:pos="820"/>
        </w:tabs>
        <w:rPr>
          <w:b/>
          <w:sz w:val="24"/>
          <w:szCs w:val="24"/>
        </w:rPr>
      </w:pPr>
      <w:r>
        <w:rPr>
          <w:b/>
          <w:sz w:val="24"/>
          <w:szCs w:val="24"/>
        </w:rPr>
        <w:t xml:space="preserve">Regarding the issue of the designation of North Pacific </w:t>
      </w:r>
      <w:r w:rsidR="00C50B54">
        <w:rPr>
          <w:b/>
          <w:sz w:val="24"/>
          <w:szCs w:val="24"/>
        </w:rPr>
        <w:t>striped marlin</w:t>
      </w:r>
      <w:r>
        <w:rPr>
          <w:b/>
          <w:sz w:val="24"/>
          <w:szCs w:val="24"/>
        </w:rPr>
        <w:t xml:space="preserve"> as a Northern Stock (</w:t>
      </w:r>
      <w:r w:rsidRPr="0093545A">
        <w:rPr>
          <w:rFonts w:cs="Times New Roman"/>
          <w:b/>
          <w:sz w:val="24"/>
          <w:szCs w:val="24"/>
          <w:lang w:eastAsia="ko-KR"/>
        </w:rPr>
        <w:t>WCPFC14 Report, Para 378</w:t>
      </w:r>
      <w:r>
        <w:rPr>
          <w:b/>
          <w:sz w:val="24"/>
          <w:szCs w:val="24"/>
        </w:rPr>
        <w:t>), SC14 provides the following recommendations:</w:t>
      </w:r>
    </w:p>
    <w:p w:rsidR="00423D68" w:rsidRPr="0093545A" w:rsidRDefault="00423D68" w:rsidP="00423D68">
      <w:pPr>
        <w:pStyle w:val="ListParagraph"/>
        <w:numPr>
          <w:ilvl w:val="0"/>
          <w:numId w:val="4"/>
        </w:numPr>
        <w:rPr>
          <w:sz w:val="24"/>
          <w:szCs w:val="24"/>
        </w:rPr>
      </w:pPr>
      <w:r w:rsidRPr="0093545A">
        <w:rPr>
          <w:sz w:val="24"/>
          <w:szCs w:val="24"/>
        </w:rPr>
        <w:t xml:space="preserve">SC14 recommends that </w:t>
      </w:r>
      <w:r w:rsidRPr="0093545A">
        <w:rPr>
          <w:rFonts w:hint="eastAsia"/>
          <w:sz w:val="24"/>
          <w:szCs w:val="24"/>
        </w:rPr>
        <w:t xml:space="preserve">the </w:t>
      </w:r>
      <w:r w:rsidRPr="0093545A">
        <w:rPr>
          <w:sz w:val="24"/>
          <w:szCs w:val="24"/>
        </w:rPr>
        <w:t>C</w:t>
      </w:r>
      <w:r w:rsidRPr="0093545A">
        <w:rPr>
          <w:rFonts w:hint="eastAsia"/>
          <w:sz w:val="24"/>
          <w:szCs w:val="24"/>
        </w:rPr>
        <w:t xml:space="preserve">ommission </w:t>
      </w:r>
      <w:r w:rsidRPr="0093545A">
        <w:rPr>
          <w:sz w:val="24"/>
          <w:szCs w:val="24"/>
        </w:rPr>
        <w:t>clarify</w:t>
      </w:r>
      <w:r w:rsidRPr="0093545A">
        <w:rPr>
          <w:rFonts w:hint="eastAsia"/>
          <w:sz w:val="24"/>
          <w:szCs w:val="24"/>
        </w:rPr>
        <w:t xml:space="preserve"> and quantify what is meant by </w:t>
      </w:r>
      <w:r w:rsidRPr="0093545A">
        <w:rPr>
          <w:sz w:val="24"/>
          <w:szCs w:val="24"/>
        </w:rPr>
        <w:t>“</w:t>
      </w:r>
      <w:r w:rsidRPr="0093545A">
        <w:rPr>
          <w:rFonts w:hint="eastAsia"/>
          <w:i/>
          <w:sz w:val="24"/>
          <w:szCs w:val="24"/>
        </w:rPr>
        <w:t>mostly north of 20 degrees N</w:t>
      </w:r>
      <w:r w:rsidRPr="0093545A">
        <w:rPr>
          <w:sz w:val="24"/>
          <w:szCs w:val="24"/>
        </w:rPr>
        <w:t>”.</w:t>
      </w:r>
    </w:p>
    <w:p w:rsidR="00420DB4" w:rsidRPr="00420DB4" w:rsidRDefault="009033CF" w:rsidP="00420DB4">
      <w:pPr>
        <w:pStyle w:val="ListParagraph"/>
        <w:numPr>
          <w:ilvl w:val="0"/>
          <w:numId w:val="4"/>
        </w:numPr>
        <w:rPr>
          <w:sz w:val="24"/>
          <w:szCs w:val="24"/>
        </w:rPr>
      </w:pPr>
      <w:r>
        <w:rPr>
          <w:sz w:val="24"/>
          <w:szCs w:val="24"/>
        </w:rPr>
        <w:t>In relation to paragraph 1, SC14 recommends</w:t>
      </w:r>
      <w:r w:rsidR="00420DB4" w:rsidRPr="00420DB4">
        <w:rPr>
          <w:sz w:val="24"/>
          <w:szCs w:val="24"/>
        </w:rPr>
        <w:t xml:space="preserve"> that a check-list of benchmark scientific information for North Pacific striped marlin be developed to support the Commission’s deliberations in determining the designation of a northern stock. As such, the following table is forwarded for the Commission’s consideration.</w:t>
      </w:r>
    </w:p>
    <w:p w:rsidR="00C36B92" w:rsidRDefault="00C36B92" w:rsidP="00C36B92">
      <w:pPr>
        <w:pStyle w:val="ListParagraph"/>
        <w:ind w:left="720"/>
        <w:rPr>
          <w:sz w:val="24"/>
          <w:szCs w:val="24"/>
        </w:rPr>
      </w:pPr>
    </w:p>
    <w:tbl>
      <w:tblPr>
        <w:tblStyle w:val="TableGrid"/>
        <w:tblW w:w="0" w:type="auto"/>
        <w:tblLook w:val="04A0" w:firstRow="1" w:lastRow="0" w:firstColumn="1" w:lastColumn="0" w:noHBand="0" w:noVBand="1"/>
      </w:tblPr>
      <w:tblGrid>
        <w:gridCol w:w="549"/>
        <w:gridCol w:w="2910"/>
        <w:gridCol w:w="2358"/>
        <w:gridCol w:w="3533"/>
      </w:tblGrid>
      <w:tr w:rsidR="00C36B92" w:rsidRPr="00C22E9B" w:rsidTr="00420DB4">
        <w:trPr>
          <w:trHeight w:val="300"/>
        </w:trPr>
        <w:tc>
          <w:tcPr>
            <w:tcW w:w="549" w:type="dxa"/>
            <w:noWrap/>
            <w:hideMark/>
          </w:tcPr>
          <w:p w:rsidR="00C36B92" w:rsidRPr="00C22E9B" w:rsidRDefault="00C36B92" w:rsidP="005A674E">
            <w:pPr>
              <w:rPr>
                <w:rFonts w:ascii="Times New Roman" w:hAnsi="Times New Roman" w:cs="Times New Roman"/>
                <w:sz w:val="24"/>
                <w:szCs w:val="24"/>
              </w:rPr>
            </w:pPr>
            <w:r w:rsidRPr="00C22E9B">
              <w:rPr>
                <w:rFonts w:ascii="Times New Roman" w:hAnsi="Times New Roman" w:cs="Times New Roman"/>
                <w:sz w:val="24"/>
                <w:szCs w:val="24"/>
              </w:rPr>
              <w:t>No</w:t>
            </w:r>
          </w:p>
        </w:tc>
        <w:tc>
          <w:tcPr>
            <w:tcW w:w="2910" w:type="dxa"/>
            <w:noWrap/>
            <w:hideMark/>
          </w:tcPr>
          <w:p w:rsidR="00C36B92" w:rsidRPr="00C22E9B" w:rsidRDefault="00C36B92" w:rsidP="005A674E">
            <w:pPr>
              <w:rPr>
                <w:rFonts w:ascii="Times New Roman" w:hAnsi="Times New Roman" w:cs="Times New Roman"/>
                <w:sz w:val="24"/>
                <w:szCs w:val="24"/>
              </w:rPr>
            </w:pPr>
            <w:r w:rsidRPr="00C22E9B">
              <w:rPr>
                <w:rFonts w:ascii="Times New Roman" w:hAnsi="Times New Roman" w:cs="Times New Roman"/>
                <w:sz w:val="24"/>
                <w:szCs w:val="24"/>
              </w:rPr>
              <w:t>Criteria</w:t>
            </w:r>
          </w:p>
        </w:tc>
        <w:tc>
          <w:tcPr>
            <w:tcW w:w="2358" w:type="dxa"/>
            <w:noWrap/>
            <w:hideMark/>
          </w:tcPr>
          <w:p w:rsidR="00C36B92" w:rsidRPr="00C22E9B" w:rsidRDefault="00C36B92" w:rsidP="005A674E">
            <w:pPr>
              <w:rPr>
                <w:rFonts w:ascii="Times New Roman" w:hAnsi="Times New Roman" w:cs="Times New Roman"/>
                <w:sz w:val="24"/>
                <w:szCs w:val="24"/>
              </w:rPr>
            </w:pPr>
            <w:r w:rsidRPr="00C22E9B">
              <w:rPr>
                <w:rFonts w:ascii="Times New Roman" w:hAnsi="Times New Roman" w:cs="Times New Roman"/>
                <w:sz w:val="24"/>
                <w:szCs w:val="24"/>
              </w:rPr>
              <w:t>Response</w:t>
            </w:r>
          </w:p>
        </w:tc>
        <w:tc>
          <w:tcPr>
            <w:tcW w:w="3533" w:type="dxa"/>
            <w:noWrap/>
            <w:hideMark/>
          </w:tcPr>
          <w:p w:rsidR="00C36B92" w:rsidRPr="00C22E9B" w:rsidRDefault="00C36B92" w:rsidP="005A674E">
            <w:pPr>
              <w:rPr>
                <w:rFonts w:ascii="Times New Roman" w:hAnsi="Times New Roman" w:cs="Times New Roman"/>
                <w:sz w:val="24"/>
                <w:szCs w:val="24"/>
              </w:rPr>
            </w:pPr>
            <w:r w:rsidRPr="00C22E9B">
              <w:rPr>
                <w:rFonts w:ascii="Times New Roman" w:hAnsi="Times New Roman" w:cs="Times New Roman"/>
                <w:sz w:val="24"/>
                <w:szCs w:val="24"/>
              </w:rPr>
              <w:t>Comments</w:t>
            </w:r>
          </w:p>
        </w:tc>
      </w:tr>
      <w:tr w:rsidR="00420DB4" w:rsidRPr="00C22E9B" w:rsidTr="00420DB4">
        <w:trPr>
          <w:trHeight w:val="1440"/>
        </w:trPr>
        <w:tc>
          <w:tcPr>
            <w:tcW w:w="549" w:type="dxa"/>
            <w:noWrap/>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1</w:t>
            </w:r>
          </w:p>
        </w:tc>
        <w:tc>
          <w:tcPr>
            <w:tcW w:w="2910" w:type="dxa"/>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 xml:space="preserve">What proportion of the total estimated </w:t>
            </w:r>
            <w:r>
              <w:rPr>
                <w:rFonts w:ascii="Times New Roman" w:hAnsi="Times New Roman" w:cs="Times New Roman"/>
                <w:sz w:val="24"/>
                <w:szCs w:val="24"/>
              </w:rPr>
              <w:t xml:space="preserve">stock </w:t>
            </w:r>
            <w:r w:rsidRPr="00C22E9B">
              <w:rPr>
                <w:rFonts w:ascii="Times New Roman" w:hAnsi="Times New Roman" w:cs="Times New Roman"/>
                <w:sz w:val="24"/>
                <w:szCs w:val="24"/>
              </w:rPr>
              <w:t xml:space="preserve">biomass occurs </w:t>
            </w:r>
            <w:r>
              <w:rPr>
                <w:rFonts w:ascii="Times New Roman" w:hAnsi="Times New Roman" w:cs="Times New Roman"/>
                <w:sz w:val="24"/>
                <w:szCs w:val="24"/>
              </w:rPr>
              <w:t xml:space="preserve">on average </w:t>
            </w:r>
            <w:r w:rsidRPr="00C22E9B">
              <w:rPr>
                <w:rFonts w:ascii="Times New Roman" w:hAnsi="Times New Roman" w:cs="Times New Roman"/>
                <w:sz w:val="24"/>
                <w:szCs w:val="24"/>
              </w:rPr>
              <w:t>north of 20N?</w:t>
            </w:r>
          </w:p>
        </w:tc>
        <w:tc>
          <w:tcPr>
            <w:tcW w:w="2358" w:type="dxa"/>
            <w:hideMark/>
          </w:tcPr>
          <w:p w:rsidR="00420DB4" w:rsidRPr="00C22E9B" w:rsidRDefault="00420DB4" w:rsidP="00420DB4">
            <w:pPr>
              <w:rPr>
                <w:rFonts w:ascii="Times New Roman" w:hAnsi="Times New Roman" w:cs="Times New Roman"/>
                <w:sz w:val="24"/>
                <w:szCs w:val="24"/>
              </w:rPr>
            </w:pPr>
            <w:r>
              <w:rPr>
                <w:rFonts w:ascii="Times New Roman" w:hAnsi="Times New Roman" w:cs="Times New Roman"/>
                <w:sz w:val="24"/>
                <w:szCs w:val="24"/>
              </w:rPr>
              <w:t>*</w:t>
            </w:r>
            <w:r w:rsidRPr="00C22E9B">
              <w:rPr>
                <w:rFonts w:ascii="Times New Roman" w:hAnsi="Times New Roman" w:cs="Times New Roman"/>
                <w:sz w:val="24"/>
                <w:szCs w:val="24"/>
              </w:rPr>
              <w:t>Proportion of biomass above 20</w:t>
            </w:r>
            <w:r w:rsidRPr="00826D51">
              <w:rPr>
                <w:rFonts w:ascii="Times New Roman" w:hAnsi="Times New Roman" w:cs="Times New Roman"/>
                <w:sz w:val="24"/>
                <w:szCs w:val="24"/>
                <w:vertAlign w:val="superscript"/>
              </w:rPr>
              <w:t xml:space="preserve"> </w:t>
            </w:r>
            <w:proofErr w:type="spellStart"/>
            <w:r w:rsidRPr="00826D51">
              <w:rPr>
                <w:rFonts w:ascii="Times New Roman" w:hAnsi="Times New Roman" w:cs="Times New Roman"/>
                <w:sz w:val="24"/>
                <w:szCs w:val="24"/>
                <w:vertAlign w:val="superscript"/>
              </w:rPr>
              <w:t>o</w:t>
            </w:r>
            <w:r w:rsidRPr="00C22E9B">
              <w:rPr>
                <w:rFonts w:ascii="Times New Roman" w:hAnsi="Times New Roman" w:cs="Times New Roman"/>
                <w:sz w:val="24"/>
                <w:szCs w:val="24"/>
              </w:rPr>
              <w:t>N</w:t>
            </w:r>
            <w:proofErr w:type="spellEnd"/>
            <w:r w:rsidRPr="00C22E9B">
              <w:rPr>
                <w:rFonts w:ascii="Times New Roman" w:hAnsi="Times New Roman" w:cs="Times New Roman"/>
                <w:sz w:val="24"/>
                <w:szCs w:val="24"/>
              </w:rPr>
              <w:t xml:space="preserve"> is 2-4 times larger than the proportion of biomass south of </w:t>
            </w:r>
            <w:r w:rsidR="004B0A2E">
              <w:rPr>
                <w:rFonts w:ascii="Times New Roman" w:hAnsi="Times New Roman" w:cs="Times New Roman"/>
                <w:sz w:val="24"/>
                <w:szCs w:val="24"/>
              </w:rPr>
              <w:t xml:space="preserve">    </w:t>
            </w:r>
            <w:r w:rsidRPr="00C22E9B">
              <w:rPr>
                <w:rFonts w:ascii="Times New Roman" w:hAnsi="Times New Roman" w:cs="Times New Roman"/>
                <w:sz w:val="24"/>
                <w:szCs w:val="24"/>
              </w:rPr>
              <w:t>20</w:t>
            </w:r>
            <w:r w:rsidRPr="00826D51">
              <w:rPr>
                <w:rFonts w:ascii="Times New Roman" w:hAnsi="Times New Roman" w:cs="Times New Roman"/>
                <w:sz w:val="24"/>
                <w:szCs w:val="24"/>
                <w:vertAlign w:val="superscript"/>
              </w:rPr>
              <w:t xml:space="preserve"> </w:t>
            </w:r>
            <w:proofErr w:type="spellStart"/>
            <w:r w:rsidRPr="00826D51">
              <w:rPr>
                <w:rFonts w:ascii="Times New Roman" w:hAnsi="Times New Roman" w:cs="Times New Roman"/>
                <w:sz w:val="24"/>
                <w:szCs w:val="24"/>
                <w:vertAlign w:val="superscript"/>
              </w:rPr>
              <w:t>o</w:t>
            </w:r>
            <w:r w:rsidRPr="00C22E9B">
              <w:rPr>
                <w:rFonts w:ascii="Times New Roman" w:hAnsi="Times New Roman" w:cs="Times New Roman"/>
                <w:sz w:val="24"/>
                <w:szCs w:val="24"/>
              </w:rPr>
              <w:t>N</w:t>
            </w:r>
            <w:proofErr w:type="spellEnd"/>
            <w:r w:rsidRPr="00C22E9B">
              <w:rPr>
                <w:rFonts w:ascii="Times New Roman" w:hAnsi="Times New Roman" w:cs="Times New Roman"/>
                <w:sz w:val="24"/>
                <w:szCs w:val="24"/>
              </w:rPr>
              <w:t xml:space="preserve"> in the North Pacific</w:t>
            </w:r>
          </w:p>
        </w:tc>
        <w:tc>
          <w:tcPr>
            <w:tcW w:w="3533" w:type="dxa"/>
            <w:hideMark/>
          </w:tcPr>
          <w:p w:rsidR="00420DB4" w:rsidRPr="00C22E9B" w:rsidRDefault="00420DB4" w:rsidP="004B0A2E">
            <w:pPr>
              <w:rPr>
                <w:rFonts w:ascii="Times New Roman" w:hAnsi="Times New Roman" w:cs="Times New Roman"/>
                <w:sz w:val="24"/>
                <w:szCs w:val="24"/>
              </w:rPr>
            </w:pPr>
            <w:r w:rsidRPr="00C22E9B">
              <w:rPr>
                <w:rFonts w:ascii="Times New Roman" w:hAnsi="Times New Roman" w:cs="Times New Roman"/>
                <w:sz w:val="24"/>
                <w:szCs w:val="24"/>
              </w:rPr>
              <w:t>WCPFC-SC14-2018/ SA-IP-011 This value was estimated by stock assessment result in 2007</w:t>
            </w:r>
            <w:r>
              <w:rPr>
                <w:rFonts w:ascii="Times New Roman" w:hAnsi="Times New Roman" w:cs="Times New Roman"/>
                <w:sz w:val="24"/>
                <w:szCs w:val="24"/>
              </w:rPr>
              <w:t xml:space="preserve">. </w:t>
            </w:r>
          </w:p>
        </w:tc>
      </w:tr>
      <w:tr w:rsidR="00420DB4" w:rsidRPr="00C22E9B" w:rsidTr="00420DB4">
        <w:trPr>
          <w:trHeight w:val="585"/>
        </w:trPr>
        <w:tc>
          <w:tcPr>
            <w:tcW w:w="549" w:type="dxa"/>
            <w:noWrap/>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lastRenderedPageBreak/>
              <w:t>2</w:t>
            </w:r>
          </w:p>
        </w:tc>
        <w:tc>
          <w:tcPr>
            <w:tcW w:w="2910" w:type="dxa"/>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Does all of the breeding/spawning area</w:t>
            </w:r>
            <w:r>
              <w:rPr>
                <w:rFonts w:ascii="Times New Roman" w:hAnsi="Times New Roman" w:cs="Times New Roman"/>
                <w:sz w:val="24"/>
                <w:szCs w:val="24"/>
              </w:rPr>
              <w:t>(s)</w:t>
            </w:r>
            <w:r w:rsidRPr="00C22E9B">
              <w:rPr>
                <w:rFonts w:ascii="Times New Roman" w:hAnsi="Times New Roman" w:cs="Times New Roman"/>
                <w:sz w:val="24"/>
                <w:szCs w:val="24"/>
              </w:rPr>
              <w:t xml:space="preserve"> occur north of 20</w:t>
            </w:r>
            <w:r w:rsidRPr="00826D51">
              <w:rPr>
                <w:rFonts w:ascii="Times New Roman" w:hAnsi="Times New Roman" w:cs="Times New Roman"/>
                <w:sz w:val="24"/>
                <w:szCs w:val="24"/>
                <w:vertAlign w:val="superscript"/>
              </w:rPr>
              <w:t xml:space="preserve"> </w:t>
            </w:r>
            <w:proofErr w:type="spellStart"/>
            <w:r w:rsidRPr="00826D51">
              <w:rPr>
                <w:rFonts w:ascii="Times New Roman" w:hAnsi="Times New Roman" w:cs="Times New Roman"/>
                <w:sz w:val="24"/>
                <w:szCs w:val="24"/>
                <w:vertAlign w:val="superscript"/>
              </w:rPr>
              <w:t>o</w:t>
            </w:r>
            <w:r w:rsidRPr="00C22E9B">
              <w:rPr>
                <w:rFonts w:ascii="Times New Roman" w:hAnsi="Times New Roman" w:cs="Times New Roman"/>
                <w:sz w:val="24"/>
                <w:szCs w:val="24"/>
              </w:rPr>
              <w:t>N</w:t>
            </w:r>
            <w:proofErr w:type="spellEnd"/>
            <w:r w:rsidRPr="00C22E9B">
              <w:rPr>
                <w:rFonts w:ascii="Times New Roman" w:hAnsi="Times New Roman" w:cs="Times New Roman"/>
                <w:sz w:val="24"/>
                <w:szCs w:val="24"/>
              </w:rPr>
              <w:t>?</w:t>
            </w:r>
          </w:p>
        </w:tc>
        <w:tc>
          <w:tcPr>
            <w:tcW w:w="2358" w:type="dxa"/>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Unknown</w:t>
            </w:r>
          </w:p>
        </w:tc>
        <w:tc>
          <w:tcPr>
            <w:tcW w:w="3533" w:type="dxa"/>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 xml:space="preserve">　</w:t>
            </w:r>
          </w:p>
        </w:tc>
      </w:tr>
      <w:tr w:rsidR="00420DB4" w:rsidRPr="00C22E9B" w:rsidTr="00420DB4">
        <w:trPr>
          <w:trHeight w:val="585"/>
        </w:trPr>
        <w:tc>
          <w:tcPr>
            <w:tcW w:w="549" w:type="dxa"/>
            <w:noWrap/>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3</w:t>
            </w:r>
          </w:p>
        </w:tc>
        <w:tc>
          <w:tcPr>
            <w:tcW w:w="2910" w:type="dxa"/>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Does all of the nursery area</w:t>
            </w:r>
            <w:r>
              <w:rPr>
                <w:rFonts w:ascii="Times New Roman" w:hAnsi="Times New Roman" w:cs="Times New Roman"/>
                <w:sz w:val="24"/>
                <w:szCs w:val="24"/>
              </w:rPr>
              <w:t>(s)</w:t>
            </w:r>
            <w:r w:rsidRPr="00C22E9B">
              <w:rPr>
                <w:rFonts w:ascii="Times New Roman" w:hAnsi="Times New Roman" w:cs="Times New Roman"/>
                <w:sz w:val="24"/>
                <w:szCs w:val="24"/>
              </w:rPr>
              <w:t xml:space="preserve"> occur north of 20</w:t>
            </w:r>
            <w:r w:rsidRPr="00826D51">
              <w:rPr>
                <w:rFonts w:ascii="Times New Roman" w:hAnsi="Times New Roman" w:cs="Times New Roman"/>
                <w:sz w:val="24"/>
                <w:szCs w:val="24"/>
                <w:vertAlign w:val="superscript"/>
              </w:rPr>
              <w:t xml:space="preserve"> </w:t>
            </w:r>
            <w:proofErr w:type="spellStart"/>
            <w:r w:rsidRPr="00826D51">
              <w:rPr>
                <w:rFonts w:ascii="Times New Roman" w:hAnsi="Times New Roman" w:cs="Times New Roman"/>
                <w:sz w:val="24"/>
                <w:szCs w:val="24"/>
                <w:vertAlign w:val="superscript"/>
              </w:rPr>
              <w:t>o</w:t>
            </w:r>
            <w:r w:rsidRPr="00C22E9B">
              <w:rPr>
                <w:rFonts w:ascii="Times New Roman" w:hAnsi="Times New Roman" w:cs="Times New Roman"/>
                <w:sz w:val="24"/>
                <w:szCs w:val="24"/>
              </w:rPr>
              <w:t>N</w:t>
            </w:r>
            <w:proofErr w:type="spellEnd"/>
          </w:p>
        </w:tc>
        <w:tc>
          <w:tcPr>
            <w:tcW w:w="2358" w:type="dxa"/>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Unknown</w:t>
            </w:r>
          </w:p>
        </w:tc>
        <w:tc>
          <w:tcPr>
            <w:tcW w:w="3533" w:type="dxa"/>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 xml:space="preserve">　</w:t>
            </w:r>
          </w:p>
        </w:tc>
      </w:tr>
      <w:tr w:rsidR="00420DB4" w:rsidRPr="00C22E9B" w:rsidTr="00420DB4">
        <w:trPr>
          <w:trHeight w:val="585"/>
        </w:trPr>
        <w:tc>
          <w:tcPr>
            <w:tcW w:w="549" w:type="dxa"/>
            <w:noWrap/>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4</w:t>
            </w:r>
          </w:p>
        </w:tc>
        <w:tc>
          <w:tcPr>
            <w:tcW w:w="2910" w:type="dxa"/>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Do any other important life history stages occur south of 20N?</w:t>
            </w:r>
          </w:p>
        </w:tc>
        <w:tc>
          <w:tcPr>
            <w:tcW w:w="2358" w:type="dxa"/>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Unknown</w:t>
            </w:r>
          </w:p>
        </w:tc>
        <w:tc>
          <w:tcPr>
            <w:tcW w:w="3533" w:type="dxa"/>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 xml:space="preserve">　</w:t>
            </w:r>
          </w:p>
        </w:tc>
      </w:tr>
      <w:tr w:rsidR="00420DB4" w:rsidRPr="00C22E9B" w:rsidTr="00420DB4">
        <w:trPr>
          <w:trHeight w:val="1440"/>
        </w:trPr>
        <w:tc>
          <w:tcPr>
            <w:tcW w:w="549" w:type="dxa"/>
            <w:noWrap/>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5</w:t>
            </w:r>
          </w:p>
        </w:tc>
        <w:tc>
          <w:tcPr>
            <w:tcW w:w="2910" w:type="dxa"/>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What proportion of the total estimated catch occurs north of 20</w:t>
            </w:r>
            <w:r w:rsidRPr="00826D51">
              <w:rPr>
                <w:rFonts w:ascii="Times New Roman" w:hAnsi="Times New Roman" w:cs="Times New Roman"/>
                <w:sz w:val="24"/>
                <w:szCs w:val="24"/>
                <w:vertAlign w:val="superscript"/>
              </w:rPr>
              <w:t xml:space="preserve"> </w:t>
            </w:r>
            <w:proofErr w:type="spellStart"/>
            <w:r w:rsidRPr="00826D51">
              <w:rPr>
                <w:rFonts w:ascii="Times New Roman" w:hAnsi="Times New Roman" w:cs="Times New Roman"/>
                <w:sz w:val="24"/>
                <w:szCs w:val="24"/>
                <w:vertAlign w:val="superscript"/>
              </w:rPr>
              <w:t>o</w:t>
            </w:r>
            <w:r w:rsidRPr="00C22E9B">
              <w:rPr>
                <w:rFonts w:ascii="Times New Roman" w:hAnsi="Times New Roman" w:cs="Times New Roman"/>
                <w:sz w:val="24"/>
                <w:szCs w:val="24"/>
              </w:rPr>
              <w:t>N</w:t>
            </w:r>
            <w:proofErr w:type="spellEnd"/>
            <w:r w:rsidRPr="00C22E9B">
              <w:rPr>
                <w:rFonts w:ascii="Times New Roman" w:hAnsi="Times New Roman" w:cs="Times New Roman"/>
                <w:sz w:val="24"/>
                <w:szCs w:val="24"/>
              </w:rPr>
              <w:t>?</w:t>
            </w:r>
          </w:p>
        </w:tc>
        <w:tc>
          <w:tcPr>
            <w:tcW w:w="2358" w:type="dxa"/>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w:t>
            </w:r>
            <w:r>
              <w:rPr>
                <w:rFonts w:ascii="Times New Roman" w:hAnsi="Times New Roman" w:cs="Times New Roman"/>
                <w:sz w:val="24"/>
                <w:szCs w:val="24"/>
              </w:rPr>
              <w:t>*</w:t>
            </w:r>
            <w:r w:rsidRPr="00C22E9B">
              <w:rPr>
                <w:rFonts w:ascii="Times New Roman" w:hAnsi="Times New Roman" w:cs="Times New Roman"/>
                <w:sz w:val="24"/>
                <w:szCs w:val="24"/>
              </w:rPr>
              <w:t xml:space="preserve">Range of </w:t>
            </w:r>
            <w:r w:rsidR="003B7840">
              <w:rPr>
                <w:rFonts w:ascii="Times New Roman" w:hAnsi="Times New Roman" w:cs="Times New Roman"/>
                <w:sz w:val="24"/>
                <w:szCs w:val="24"/>
              </w:rPr>
              <w:t xml:space="preserve">annual </w:t>
            </w:r>
            <w:r w:rsidRPr="00C22E9B">
              <w:rPr>
                <w:rFonts w:ascii="Times New Roman" w:hAnsi="Times New Roman" w:cs="Times New Roman"/>
                <w:sz w:val="24"/>
                <w:szCs w:val="24"/>
              </w:rPr>
              <w:t>percentages of 66%-96% above 20</w:t>
            </w:r>
            <w:r w:rsidRPr="00826D51">
              <w:rPr>
                <w:rFonts w:ascii="Times New Roman" w:hAnsi="Times New Roman" w:cs="Times New Roman"/>
                <w:sz w:val="24"/>
                <w:szCs w:val="24"/>
                <w:vertAlign w:val="superscript"/>
              </w:rPr>
              <w:t xml:space="preserve"> </w:t>
            </w:r>
            <w:proofErr w:type="spellStart"/>
            <w:r w:rsidRPr="00826D51">
              <w:rPr>
                <w:rFonts w:ascii="Times New Roman" w:hAnsi="Times New Roman" w:cs="Times New Roman"/>
                <w:sz w:val="24"/>
                <w:szCs w:val="24"/>
                <w:vertAlign w:val="superscript"/>
              </w:rPr>
              <w:t>o</w:t>
            </w:r>
            <w:r w:rsidRPr="00C22E9B">
              <w:rPr>
                <w:rFonts w:ascii="Times New Roman" w:hAnsi="Times New Roman" w:cs="Times New Roman"/>
                <w:sz w:val="24"/>
                <w:szCs w:val="24"/>
              </w:rPr>
              <w:t>N</w:t>
            </w:r>
            <w:proofErr w:type="spellEnd"/>
            <w:r w:rsidRPr="00C22E9B">
              <w:rPr>
                <w:rFonts w:ascii="Times New Roman" w:hAnsi="Times New Roman" w:cs="Times New Roman"/>
                <w:sz w:val="24"/>
                <w:szCs w:val="24"/>
              </w:rPr>
              <w:t>. During the 2000s the average percentage was 73% above 20</w:t>
            </w:r>
            <w:r w:rsidRPr="00826D51">
              <w:rPr>
                <w:rFonts w:ascii="Times New Roman" w:hAnsi="Times New Roman" w:cs="Times New Roman"/>
                <w:sz w:val="24"/>
                <w:szCs w:val="24"/>
                <w:vertAlign w:val="superscript"/>
              </w:rPr>
              <w:t xml:space="preserve"> </w:t>
            </w:r>
            <w:proofErr w:type="spellStart"/>
            <w:r w:rsidRPr="00826D51">
              <w:rPr>
                <w:rFonts w:ascii="Times New Roman" w:hAnsi="Times New Roman" w:cs="Times New Roman"/>
                <w:sz w:val="24"/>
                <w:szCs w:val="24"/>
                <w:vertAlign w:val="superscript"/>
              </w:rPr>
              <w:t>o</w:t>
            </w:r>
            <w:r w:rsidRPr="00C22E9B">
              <w:rPr>
                <w:rFonts w:ascii="Times New Roman" w:hAnsi="Times New Roman" w:cs="Times New Roman"/>
                <w:sz w:val="24"/>
                <w:szCs w:val="24"/>
              </w:rPr>
              <w:t>N</w:t>
            </w:r>
            <w:proofErr w:type="spellEnd"/>
          </w:p>
        </w:tc>
        <w:tc>
          <w:tcPr>
            <w:tcW w:w="3533" w:type="dxa"/>
            <w:hideMark/>
          </w:tcPr>
          <w:p w:rsidR="00420DB4" w:rsidRPr="00C22E9B" w:rsidRDefault="00812F6C" w:rsidP="00812F6C">
            <w:pPr>
              <w:rPr>
                <w:rFonts w:ascii="Times New Roman" w:hAnsi="Times New Roman" w:cs="Times New Roman"/>
                <w:sz w:val="24"/>
                <w:szCs w:val="24"/>
              </w:rPr>
            </w:pPr>
            <w:r>
              <w:rPr>
                <w:rFonts w:ascii="Times New Roman" w:hAnsi="Times New Roman" w:cs="Times New Roman"/>
                <w:sz w:val="24"/>
                <w:szCs w:val="24"/>
              </w:rPr>
              <w:t>WCPFC-SC14-2018/ SA-IP-011 These</w:t>
            </w:r>
            <w:r w:rsidR="00420DB4" w:rsidRPr="00C22E9B">
              <w:rPr>
                <w:rFonts w:ascii="Times New Roman" w:hAnsi="Times New Roman" w:cs="Times New Roman"/>
                <w:sz w:val="24"/>
                <w:szCs w:val="24"/>
              </w:rPr>
              <w:t xml:space="preserve"> value</w:t>
            </w:r>
            <w:r>
              <w:rPr>
                <w:rFonts w:ascii="Times New Roman" w:hAnsi="Times New Roman" w:cs="Times New Roman"/>
                <w:sz w:val="24"/>
                <w:szCs w:val="24"/>
              </w:rPr>
              <w:t>s</w:t>
            </w:r>
            <w:r w:rsidR="00420DB4" w:rsidRPr="00C22E9B">
              <w:rPr>
                <w:rFonts w:ascii="Times New Roman" w:hAnsi="Times New Roman" w:cs="Times New Roman"/>
                <w:sz w:val="24"/>
                <w:szCs w:val="24"/>
              </w:rPr>
              <w:t xml:space="preserve"> w</w:t>
            </w:r>
            <w:r>
              <w:rPr>
                <w:rFonts w:ascii="Times New Roman" w:hAnsi="Times New Roman" w:cs="Times New Roman"/>
                <w:sz w:val="24"/>
                <w:szCs w:val="24"/>
              </w:rPr>
              <w:t>ere</w:t>
            </w:r>
            <w:r w:rsidR="00420DB4" w:rsidRPr="00C22E9B">
              <w:rPr>
                <w:rFonts w:ascii="Times New Roman" w:hAnsi="Times New Roman" w:cs="Times New Roman"/>
                <w:sz w:val="24"/>
                <w:szCs w:val="24"/>
              </w:rPr>
              <w:t xml:space="preserve"> estimated </w:t>
            </w:r>
            <w:r>
              <w:rPr>
                <w:rFonts w:ascii="Times New Roman" w:hAnsi="Times New Roman" w:cs="Times New Roman"/>
                <w:sz w:val="24"/>
                <w:szCs w:val="24"/>
              </w:rPr>
              <w:t>from</w:t>
            </w:r>
            <w:r w:rsidR="00420DB4" w:rsidRPr="00C22E9B">
              <w:rPr>
                <w:rFonts w:ascii="Times New Roman" w:hAnsi="Times New Roman" w:cs="Times New Roman"/>
                <w:sz w:val="24"/>
                <w:szCs w:val="24"/>
              </w:rPr>
              <w:t xml:space="preserve"> stock assessment result</w:t>
            </w:r>
            <w:r>
              <w:rPr>
                <w:rFonts w:ascii="Times New Roman" w:hAnsi="Times New Roman" w:cs="Times New Roman"/>
                <w:sz w:val="24"/>
                <w:szCs w:val="24"/>
              </w:rPr>
              <w:t>s</w:t>
            </w:r>
            <w:r w:rsidR="00420DB4" w:rsidRPr="00C22E9B">
              <w:rPr>
                <w:rFonts w:ascii="Times New Roman" w:hAnsi="Times New Roman" w:cs="Times New Roman"/>
                <w:sz w:val="24"/>
                <w:szCs w:val="24"/>
              </w:rPr>
              <w:t xml:space="preserve"> in 2007</w:t>
            </w:r>
            <w:r w:rsidR="00420DB4">
              <w:rPr>
                <w:rFonts w:ascii="Times New Roman" w:hAnsi="Times New Roman" w:cs="Times New Roman"/>
                <w:sz w:val="24"/>
                <w:szCs w:val="24"/>
              </w:rPr>
              <w:t xml:space="preserve">, </w:t>
            </w:r>
            <w:r w:rsidR="005C3B2A">
              <w:rPr>
                <w:rFonts w:ascii="Times New Roman" w:hAnsi="Times New Roman" w:cs="Times New Roman"/>
                <w:sz w:val="24"/>
                <w:szCs w:val="24"/>
              </w:rPr>
              <w:t>but w</w:t>
            </w:r>
            <w:r>
              <w:rPr>
                <w:rFonts w:ascii="Times New Roman" w:hAnsi="Times New Roman" w:cs="Times New Roman"/>
                <w:sz w:val="24"/>
                <w:szCs w:val="24"/>
              </w:rPr>
              <w:t>ere</w:t>
            </w:r>
            <w:r w:rsidR="005C3B2A">
              <w:rPr>
                <w:rFonts w:ascii="Times New Roman" w:hAnsi="Times New Roman" w:cs="Times New Roman"/>
                <w:sz w:val="24"/>
                <w:szCs w:val="24"/>
              </w:rPr>
              <w:t xml:space="preserve"> not endorsed by</w:t>
            </w:r>
            <w:r w:rsidR="00420DB4">
              <w:rPr>
                <w:rFonts w:ascii="Times New Roman" w:hAnsi="Times New Roman" w:cs="Times New Roman"/>
                <w:sz w:val="24"/>
                <w:szCs w:val="24"/>
              </w:rPr>
              <w:t xml:space="preserve"> SC</w:t>
            </w:r>
            <w:r w:rsidR="005C3B2A">
              <w:rPr>
                <w:rFonts w:ascii="Times New Roman" w:hAnsi="Times New Roman" w:cs="Times New Roman"/>
                <w:sz w:val="24"/>
                <w:szCs w:val="24"/>
              </w:rPr>
              <w:t>3</w:t>
            </w:r>
            <w:r w:rsidR="00420DB4">
              <w:rPr>
                <w:rFonts w:ascii="Times New Roman" w:hAnsi="Times New Roman" w:cs="Times New Roman"/>
                <w:sz w:val="24"/>
                <w:szCs w:val="24"/>
              </w:rPr>
              <w:t xml:space="preserve">. </w:t>
            </w:r>
          </w:p>
        </w:tc>
      </w:tr>
      <w:tr w:rsidR="00420DB4" w:rsidRPr="00C22E9B" w:rsidTr="00420DB4">
        <w:trPr>
          <w:trHeight w:val="870"/>
        </w:trPr>
        <w:tc>
          <w:tcPr>
            <w:tcW w:w="549" w:type="dxa"/>
            <w:noWrap/>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6</w:t>
            </w:r>
          </w:p>
        </w:tc>
        <w:tc>
          <w:tcPr>
            <w:tcW w:w="2910" w:type="dxa"/>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Is fishery catch-per-unit-effort demonstrably higher north of 20</w:t>
            </w:r>
            <w:r w:rsidRPr="00826D51">
              <w:rPr>
                <w:rFonts w:ascii="Times New Roman" w:hAnsi="Times New Roman" w:cs="Times New Roman"/>
                <w:sz w:val="24"/>
                <w:szCs w:val="24"/>
                <w:vertAlign w:val="superscript"/>
              </w:rPr>
              <w:t xml:space="preserve"> </w:t>
            </w:r>
            <w:proofErr w:type="spellStart"/>
            <w:r w:rsidRPr="00826D51">
              <w:rPr>
                <w:rFonts w:ascii="Times New Roman" w:hAnsi="Times New Roman" w:cs="Times New Roman"/>
                <w:sz w:val="24"/>
                <w:szCs w:val="24"/>
                <w:vertAlign w:val="superscript"/>
              </w:rPr>
              <w:t>o</w:t>
            </w:r>
            <w:r w:rsidRPr="00C22E9B">
              <w:rPr>
                <w:rFonts w:ascii="Times New Roman" w:hAnsi="Times New Roman" w:cs="Times New Roman"/>
                <w:sz w:val="24"/>
                <w:szCs w:val="24"/>
              </w:rPr>
              <w:t>N</w:t>
            </w:r>
            <w:proofErr w:type="spellEnd"/>
            <w:r w:rsidRPr="00C22E9B">
              <w:rPr>
                <w:rFonts w:ascii="Times New Roman" w:hAnsi="Times New Roman" w:cs="Times New Roman"/>
                <w:sz w:val="24"/>
                <w:szCs w:val="24"/>
              </w:rPr>
              <w:t xml:space="preserve"> for comparable fisheries?</w:t>
            </w:r>
          </w:p>
        </w:tc>
        <w:tc>
          <w:tcPr>
            <w:tcW w:w="2358" w:type="dxa"/>
            <w:hideMark/>
          </w:tcPr>
          <w:p w:rsidR="00420DB4" w:rsidRPr="00C22E9B" w:rsidRDefault="00420DB4" w:rsidP="00420DB4">
            <w:pPr>
              <w:rPr>
                <w:rFonts w:ascii="Times New Roman" w:hAnsi="Times New Roman" w:cs="Times New Roman"/>
                <w:sz w:val="24"/>
                <w:szCs w:val="24"/>
              </w:rPr>
            </w:pPr>
            <w:r>
              <w:rPr>
                <w:rFonts w:ascii="Times New Roman" w:hAnsi="Times New Roman" w:cs="Times New Roman"/>
                <w:sz w:val="24"/>
                <w:szCs w:val="24"/>
              </w:rPr>
              <w:t>Unknown</w:t>
            </w:r>
          </w:p>
        </w:tc>
        <w:tc>
          <w:tcPr>
            <w:tcW w:w="3533" w:type="dxa"/>
            <w:noWrap/>
            <w:hideMark/>
          </w:tcPr>
          <w:p w:rsidR="00420DB4" w:rsidRPr="00C22E9B" w:rsidRDefault="00420DB4" w:rsidP="00420DB4">
            <w:pPr>
              <w:rPr>
                <w:rFonts w:ascii="Times New Roman" w:hAnsi="Times New Roman" w:cs="Times New Roman"/>
                <w:sz w:val="24"/>
                <w:szCs w:val="24"/>
              </w:rPr>
            </w:pPr>
            <w:r w:rsidRPr="00C22E9B">
              <w:rPr>
                <w:rFonts w:ascii="Times New Roman" w:hAnsi="Times New Roman" w:cs="Times New Roman"/>
                <w:sz w:val="24"/>
                <w:szCs w:val="24"/>
              </w:rPr>
              <w:t xml:space="preserve">　</w:t>
            </w:r>
          </w:p>
        </w:tc>
      </w:tr>
      <w:tr w:rsidR="00420DB4" w:rsidRPr="00C22E9B" w:rsidTr="00420DB4">
        <w:trPr>
          <w:trHeight w:val="870"/>
        </w:trPr>
        <w:tc>
          <w:tcPr>
            <w:tcW w:w="549" w:type="dxa"/>
            <w:noWrap/>
          </w:tcPr>
          <w:p w:rsidR="00420DB4" w:rsidRPr="00C22E9B" w:rsidRDefault="00420DB4" w:rsidP="00420DB4">
            <w:pPr>
              <w:rPr>
                <w:rFonts w:ascii="Times New Roman" w:hAnsi="Times New Roman" w:cs="Times New Roman"/>
                <w:sz w:val="24"/>
                <w:szCs w:val="24"/>
              </w:rPr>
            </w:pPr>
            <w:r>
              <w:rPr>
                <w:rFonts w:ascii="Times New Roman" w:hAnsi="Times New Roman" w:cs="Times New Roman" w:hint="eastAsia"/>
                <w:sz w:val="24"/>
                <w:szCs w:val="24"/>
              </w:rPr>
              <w:t>7</w:t>
            </w:r>
          </w:p>
        </w:tc>
        <w:tc>
          <w:tcPr>
            <w:tcW w:w="2910" w:type="dxa"/>
          </w:tcPr>
          <w:p w:rsidR="00420DB4" w:rsidRPr="00C22E9B" w:rsidRDefault="00420DB4" w:rsidP="00420DB4">
            <w:pPr>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s there sufficient information about fish movement between north and south of 20</w:t>
            </w:r>
            <w:r w:rsidRPr="00826D51">
              <w:rPr>
                <w:rFonts w:ascii="Times New Roman" w:hAnsi="Times New Roman" w:cs="Times New Roman"/>
                <w:sz w:val="24"/>
                <w:szCs w:val="24"/>
                <w:vertAlign w:val="superscript"/>
              </w:rPr>
              <w:t xml:space="preserve"> </w:t>
            </w:r>
            <w:proofErr w:type="spellStart"/>
            <w:r w:rsidRPr="00826D51">
              <w:rPr>
                <w:rFonts w:ascii="Times New Roman" w:hAnsi="Times New Roman" w:cs="Times New Roman"/>
                <w:sz w:val="24"/>
                <w:szCs w:val="24"/>
                <w:vertAlign w:val="superscript"/>
              </w:rPr>
              <w:t>o</w:t>
            </w:r>
            <w:r w:rsidRPr="00C22E9B">
              <w:rPr>
                <w:rFonts w:ascii="Times New Roman" w:hAnsi="Times New Roman" w:cs="Times New Roman"/>
                <w:sz w:val="24"/>
                <w:szCs w:val="24"/>
              </w:rPr>
              <w:t>N</w:t>
            </w:r>
            <w:proofErr w:type="spellEnd"/>
            <w:r>
              <w:rPr>
                <w:rFonts w:ascii="Times New Roman" w:hAnsi="Times New Roman" w:cs="Times New Roman"/>
                <w:sz w:val="24"/>
                <w:szCs w:val="24"/>
              </w:rPr>
              <w:t>?</w:t>
            </w:r>
          </w:p>
        </w:tc>
        <w:tc>
          <w:tcPr>
            <w:tcW w:w="2358" w:type="dxa"/>
          </w:tcPr>
          <w:p w:rsidR="00420DB4" w:rsidRPr="00C22E9B" w:rsidRDefault="00420DB4" w:rsidP="00420DB4">
            <w:pPr>
              <w:rPr>
                <w:rFonts w:ascii="Times New Roman" w:hAnsi="Times New Roman" w:cs="Times New Roman"/>
                <w:sz w:val="24"/>
                <w:szCs w:val="24"/>
              </w:rPr>
            </w:pPr>
            <w:r>
              <w:rPr>
                <w:rFonts w:ascii="Times New Roman" w:hAnsi="Times New Roman" w:cs="Times New Roman"/>
                <w:sz w:val="24"/>
                <w:szCs w:val="24"/>
              </w:rPr>
              <w:t>N</w:t>
            </w:r>
            <w:r w:rsidR="004B0A2E">
              <w:rPr>
                <w:rFonts w:ascii="Times New Roman" w:hAnsi="Times New Roman" w:cs="Times New Roman"/>
                <w:sz w:val="24"/>
                <w:szCs w:val="24"/>
              </w:rPr>
              <w:t>o</w:t>
            </w:r>
          </w:p>
        </w:tc>
        <w:tc>
          <w:tcPr>
            <w:tcW w:w="3533" w:type="dxa"/>
            <w:noWrap/>
          </w:tcPr>
          <w:p w:rsidR="00420DB4" w:rsidRPr="00C22E9B" w:rsidRDefault="00420DB4" w:rsidP="00420DB4">
            <w:pPr>
              <w:rPr>
                <w:rFonts w:ascii="Times New Roman" w:hAnsi="Times New Roman" w:cs="Times New Roman"/>
                <w:sz w:val="24"/>
                <w:szCs w:val="24"/>
              </w:rPr>
            </w:pPr>
          </w:p>
        </w:tc>
      </w:tr>
    </w:tbl>
    <w:tbl>
      <w:tblPr>
        <w:tblW w:w="10481" w:type="dxa"/>
        <w:tblInd w:w="99" w:type="dxa"/>
        <w:tblCellMar>
          <w:left w:w="99" w:type="dxa"/>
          <w:right w:w="99" w:type="dxa"/>
        </w:tblCellMar>
        <w:tblLook w:val="04A0" w:firstRow="1" w:lastRow="0" w:firstColumn="1" w:lastColumn="0" w:noHBand="0" w:noVBand="1"/>
      </w:tblPr>
      <w:tblGrid>
        <w:gridCol w:w="10481"/>
      </w:tblGrid>
      <w:tr w:rsidR="00420DB4" w:rsidRPr="00C22E9B" w:rsidTr="00261A73">
        <w:trPr>
          <w:trHeight w:val="252"/>
        </w:trPr>
        <w:tc>
          <w:tcPr>
            <w:tcW w:w="10481" w:type="dxa"/>
            <w:tcBorders>
              <w:top w:val="nil"/>
              <w:left w:val="nil"/>
              <w:bottom w:val="nil"/>
              <w:right w:val="nil"/>
            </w:tcBorders>
            <w:shd w:val="clear" w:color="auto" w:fill="auto"/>
            <w:noWrap/>
            <w:vAlign w:val="center"/>
            <w:hideMark/>
          </w:tcPr>
          <w:p w:rsidR="00420DB4" w:rsidRPr="007C4CE1" w:rsidRDefault="00420DB4" w:rsidP="00420DB4">
            <w:pPr>
              <w:spacing w:after="120" w:line="240" w:lineRule="auto"/>
              <w:rPr>
                <w:rFonts w:ascii="Arial" w:eastAsia="MS PGothic" w:hAnsi="Arial" w:cs="Arial"/>
                <w:color w:val="000000"/>
                <w:sz w:val="20"/>
                <w:szCs w:val="20"/>
              </w:rPr>
            </w:pPr>
            <w:r>
              <w:rPr>
                <w:rFonts w:ascii="Arial" w:eastAsia="MS PGothic" w:hAnsi="Arial" w:cs="Arial"/>
                <w:color w:val="000000"/>
                <w:sz w:val="20"/>
                <w:szCs w:val="20"/>
              </w:rPr>
              <w:t>*</w:t>
            </w:r>
            <w:r w:rsidRPr="007C4CE1">
              <w:rPr>
                <w:rFonts w:ascii="Arial" w:eastAsia="MS PGothic" w:hAnsi="Arial" w:cs="Arial"/>
                <w:color w:val="000000"/>
                <w:sz w:val="20"/>
                <w:szCs w:val="20"/>
              </w:rPr>
              <w:t>Proportion of biomass was calculated in 1964 and 1969 that is near the initial condition.</w:t>
            </w:r>
          </w:p>
        </w:tc>
      </w:tr>
    </w:tbl>
    <w:p w:rsidR="00420DB4" w:rsidRPr="00C22E9B" w:rsidRDefault="00420DB4" w:rsidP="00420DB4">
      <w:pPr>
        <w:spacing w:after="120" w:line="240" w:lineRule="auto"/>
        <w:ind w:firstLineChars="50" w:firstLine="100"/>
      </w:pPr>
      <w:r w:rsidRPr="007C4CE1">
        <w:rPr>
          <w:rFonts w:ascii="Arial" w:eastAsia="MS PGothic" w:hAnsi="Arial" w:cs="Arial"/>
          <w:color w:val="000000"/>
          <w:sz w:val="20"/>
          <w:szCs w:val="20"/>
        </w:rPr>
        <w:t>*</w:t>
      </w:r>
      <w:r>
        <w:rPr>
          <w:rFonts w:ascii="Arial" w:eastAsia="MS PGothic" w:hAnsi="Arial" w:cs="Arial"/>
          <w:color w:val="000000"/>
          <w:sz w:val="20"/>
          <w:szCs w:val="20"/>
        </w:rPr>
        <w:t>*</w:t>
      </w:r>
      <w:r w:rsidRPr="007C4CE1">
        <w:rPr>
          <w:rFonts w:ascii="Arial" w:eastAsia="MS PGothic" w:hAnsi="Arial" w:cs="Arial"/>
          <w:color w:val="000000"/>
          <w:sz w:val="20"/>
          <w:szCs w:val="20"/>
        </w:rPr>
        <w:t>The average proportion of the total catch in numbers were calculated by decade (1950's-2000's).</w:t>
      </w:r>
    </w:p>
    <w:p w:rsidR="00C36B92" w:rsidRPr="00420DB4" w:rsidRDefault="00C36B92" w:rsidP="00420DB4">
      <w:pPr>
        <w:rPr>
          <w:sz w:val="24"/>
          <w:szCs w:val="24"/>
        </w:rPr>
      </w:pPr>
    </w:p>
    <w:p w:rsidR="00F219A3" w:rsidRDefault="00F219A3"/>
    <w:sectPr w:rsidR="00F219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3C8" w:rsidRDefault="004D53C8" w:rsidP="00D01B8B">
      <w:pPr>
        <w:spacing w:after="0" w:line="240" w:lineRule="auto"/>
      </w:pPr>
      <w:r>
        <w:separator/>
      </w:r>
    </w:p>
  </w:endnote>
  <w:endnote w:type="continuationSeparator" w:id="0">
    <w:p w:rsidR="004D53C8" w:rsidRDefault="004D53C8" w:rsidP="00D0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3C8" w:rsidRDefault="004D53C8" w:rsidP="00D01B8B">
      <w:pPr>
        <w:spacing w:after="0" w:line="240" w:lineRule="auto"/>
      </w:pPr>
      <w:r>
        <w:separator/>
      </w:r>
    </w:p>
  </w:footnote>
  <w:footnote w:type="continuationSeparator" w:id="0">
    <w:p w:rsidR="004D53C8" w:rsidRDefault="004D53C8" w:rsidP="00D01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44118"/>
    <w:multiLevelType w:val="hybridMultilevel"/>
    <w:tmpl w:val="92FA228A"/>
    <w:lvl w:ilvl="0" w:tplc="6A5E046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94D59"/>
    <w:multiLevelType w:val="hybridMultilevel"/>
    <w:tmpl w:val="4B72AD28"/>
    <w:lvl w:ilvl="0" w:tplc="464E731A">
      <w:start w:val="1"/>
      <w:numFmt w:val="lowerLetter"/>
      <w:lvlText w:val="%1."/>
      <w:lvlJc w:val="left"/>
      <w:pPr>
        <w:ind w:left="820" w:hanging="720"/>
      </w:pPr>
      <w:rPr>
        <w:rFonts w:ascii="Times New Roman" w:eastAsia="Times New Roman" w:hAnsi="Times New Roman" w:cs="Times New Roman" w:hint="default"/>
        <w:b/>
        <w:bCs/>
        <w:w w:val="100"/>
        <w:sz w:val="22"/>
        <w:szCs w:val="22"/>
      </w:rPr>
    </w:lvl>
    <w:lvl w:ilvl="1" w:tplc="2026B3AA">
      <w:numFmt w:val="bullet"/>
      <w:lvlText w:val="•"/>
      <w:lvlJc w:val="left"/>
      <w:pPr>
        <w:ind w:left="1696" w:hanging="720"/>
      </w:pPr>
      <w:rPr>
        <w:rFonts w:hint="default"/>
      </w:rPr>
    </w:lvl>
    <w:lvl w:ilvl="2" w:tplc="0F7ED34E">
      <w:numFmt w:val="bullet"/>
      <w:lvlText w:val="•"/>
      <w:lvlJc w:val="left"/>
      <w:pPr>
        <w:ind w:left="2572" w:hanging="720"/>
      </w:pPr>
      <w:rPr>
        <w:rFonts w:hint="default"/>
      </w:rPr>
    </w:lvl>
    <w:lvl w:ilvl="3" w:tplc="F2703684">
      <w:numFmt w:val="bullet"/>
      <w:lvlText w:val="•"/>
      <w:lvlJc w:val="left"/>
      <w:pPr>
        <w:ind w:left="3448" w:hanging="720"/>
      </w:pPr>
      <w:rPr>
        <w:rFonts w:hint="default"/>
      </w:rPr>
    </w:lvl>
    <w:lvl w:ilvl="4" w:tplc="D18219AE">
      <w:numFmt w:val="bullet"/>
      <w:lvlText w:val="•"/>
      <w:lvlJc w:val="left"/>
      <w:pPr>
        <w:ind w:left="4324" w:hanging="720"/>
      </w:pPr>
      <w:rPr>
        <w:rFonts w:hint="default"/>
      </w:rPr>
    </w:lvl>
    <w:lvl w:ilvl="5" w:tplc="9DD4694C">
      <w:numFmt w:val="bullet"/>
      <w:lvlText w:val="•"/>
      <w:lvlJc w:val="left"/>
      <w:pPr>
        <w:ind w:left="5200" w:hanging="720"/>
      </w:pPr>
      <w:rPr>
        <w:rFonts w:hint="default"/>
      </w:rPr>
    </w:lvl>
    <w:lvl w:ilvl="6" w:tplc="0B0873F2">
      <w:numFmt w:val="bullet"/>
      <w:lvlText w:val="•"/>
      <w:lvlJc w:val="left"/>
      <w:pPr>
        <w:ind w:left="6076" w:hanging="720"/>
      </w:pPr>
      <w:rPr>
        <w:rFonts w:hint="default"/>
      </w:rPr>
    </w:lvl>
    <w:lvl w:ilvl="7" w:tplc="81EA80B4">
      <w:numFmt w:val="bullet"/>
      <w:lvlText w:val="•"/>
      <w:lvlJc w:val="left"/>
      <w:pPr>
        <w:ind w:left="6952" w:hanging="720"/>
      </w:pPr>
      <w:rPr>
        <w:rFonts w:hint="default"/>
      </w:rPr>
    </w:lvl>
    <w:lvl w:ilvl="8" w:tplc="0A8A950E">
      <w:numFmt w:val="bullet"/>
      <w:lvlText w:val="•"/>
      <w:lvlJc w:val="left"/>
      <w:pPr>
        <w:ind w:left="7828" w:hanging="720"/>
      </w:pPr>
      <w:rPr>
        <w:rFonts w:hint="default"/>
      </w:rPr>
    </w:lvl>
  </w:abstractNum>
  <w:abstractNum w:abstractNumId="2" w15:restartNumberingAfterBreak="0">
    <w:nsid w:val="29DB7ABD"/>
    <w:multiLevelType w:val="hybridMultilevel"/>
    <w:tmpl w:val="E1F28E9A"/>
    <w:lvl w:ilvl="0" w:tplc="52666866">
      <w:start w:val="359"/>
      <w:numFmt w:val="decimal"/>
      <w:lvlText w:val="%1."/>
      <w:lvlJc w:val="left"/>
      <w:pPr>
        <w:ind w:left="100" w:hanging="720"/>
      </w:pPr>
      <w:rPr>
        <w:rFonts w:ascii="Times New Roman" w:eastAsia="Times New Roman" w:hAnsi="Times New Roman" w:cs="Times New Roman" w:hint="default"/>
        <w:w w:val="100"/>
        <w:sz w:val="22"/>
        <w:szCs w:val="22"/>
      </w:rPr>
    </w:lvl>
    <w:lvl w:ilvl="1" w:tplc="6EC87876">
      <w:start w:val="1"/>
      <w:numFmt w:val="lowerLetter"/>
      <w:lvlText w:val="%2."/>
      <w:lvlJc w:val="left"/>
      <w:pPr>
        <w:ind w:left="820" w:hanging="720"/>
      </w:pPr>
      <w:rPr>
        <w:rFonts w:ascii="Times New Roman" w:eastAsia="Times New Roman" w:hAnsi="Times New Roman" w:cs="Times New Roman" w:hint="default"/>
        <w:b/>
        <w:bCs/>
        <w:w w:val="100"/>
        <w:sz w:val="22"/>
        <w:szCs w:val="22"/>
      </w:rPr>
    </w:lvl>
    <w:lvl w:ilvl="2" w:tplc="DB725152">
      <w:numFmt w:val="bullet"/>
      <w:lvlText w:val="•"/>
      <w:lvlJc w:val="left"/>
      <w:pPr>
        <w:ind w:left="1793" w:hanging="720"/>
      </w:pPr>
      <w:rPr>
        <w:rFonts w:hint="default"/>
      </w:rPr>
    </w:lvl>
    <w:lvl w:ilvl="3" w:tplc="37FC34EA">
      <w:numFmt w:val="bullet"/>
      <w:lvlText w:val="•"/>
      <w:lvlJc w:val="left"/>
      <w:pPr>
        <w:ind w:left="2766" w:hanging="720"/>
      </w:pPr>
      <w:rPr>
        <w:rFonts w:hint="default"/>
      </w:rPr>
    </w:lvl>
    <w:lvl w:ilvl="4" w:tplc="835620C8">
      <w:numFmt w:val="bullet"/>
      <w:lvlText w:val="•"/>
      <w:lvlJc w:val="left"/>
      <w:pPr>
        <w:ind w:left="3740" w:hanging="720"/>
      </w:pPr>
      <w:rPr>
        <w:rFonts w:hint="default"/>
      </w:rPr>
    </w:lvl>
    <w:lvl w:ilvl="5" w:tplc="EEDAA356">
      <w:numFmt w:val="bullet"/>
      <w:lvlText w:val="•"/>
      <w:lvlJc w:val="left"/>
      <w:pPr>
        <w:ind w:left="4713" w:hanging="720"/>
      </w:pPr>
      <w:rPr>
        <w:rFonts w:hint="default"/>
      </w:rPr>
    </w:lvl>
    <w:lvl w:ilvl="6" w:tplc="B14635D8">
      <w:numFmt w:val="bullet"/>
      <w:lvlText w:val="•"/>
      <w:lvlJc w:val="left"/>
      <w:pPr>
        <w:ind w:left="5686" w:hanging="720"/>
      </w:pPr>
      <w:rPr>
        <w:rFonts w:hint="default"/>
      </w:rPr>
    </w:lvl>
    <w:lvl w:ilvl="7" w:tplc="FB20B336">
      <w:numFmt w:val="bullet"/>
      <w:lvlText w:val="•"/>
      <w:lvlJc w:val="left"/>
      <w:pPr>
        <w:ind w:left="6660" w:hanging="720"/>
      </w:pPr>
      <w:rPr>
        <w:rFonts w:hint="default"/>
      </w:rPr>
    </w:lvl>
    <w:lvl w:ilvl="8" w:tplc="A6A6B690">
      <w:numFmt w:val="bullet"/>
      <w:lvlText w:val="•"/>
      <w:lvlJc w:val="left"/>
      <w:pPr>
        <w:ind w:left="7633" w:hanging="720"/>
      </w:pPr>
      <w:rPr>
        <w:rFonts w:hint="default"/>
      </w:rPr>
    </w:lvl>
  </w:abstractNum>
  <w:abstractNum w:abstractNumId="3" w15:restartNumberingAfterBreak="0">
    <w:nsid w:val="380D0264"/>
    <w:multiLevelType w:val="hybridMultilevel"/>
    <w:tmpl w:val="DF5ED42A"/>
    <w:lvl w:ilvl="0" w:tplc="0032D73A">
      <w:start w:val="363"/>
      <w:numFmt w:val="decimal"/>
      <w:lvlText w:val="%1."/>
      <w:lvlJc w:val="left"/>
      <w:pPr>
        <w:ind w:left="100" w:hanging="720"/>
      </w:pPr>
      <w:rPr>
        <w:rFonts w:hint="default"/>
        <w:w w:val="100"/>
      </w:rPr>
    </w:lvl>
    <w:lvl w:ilvl="1" w:tplc="8892D63E">
      <w:numFmt w:val="bullet"/>
      <w:lvlText w:val="•"/>
      <w:lvlJc w:val="left"/>
      <w:pPr>
        <w:ind w:left="1048" w:hanging="720"/>
      </w:pPr>
      <w:rPr>
        <w:rFonts w:hint="default"/>
      </w:rPr>
    </w:lvl>
    <w:lvl w:ilvl="2" w:tplc="8466CD04">
      <w:numFmt w:val="bullet"/>
      <w:lvlText w:val="•"/>
      <w:lvlJc w:val="left"/>
      <w:pPr>
        <w:ind w:left="1996" w:hanging="720"/>
      </w:pPr>
      <w:rPr>
        <w:rFonts w:hint="default"/>
      </w:rPr>
    </w:lvl>
    <w:lvl w:ilvl="3" w:tplc="C3762B32">
      <w:numFmt w:val="bullet"/>
      <w:lvlText w:val="•"/>
      <w:lvlJc w:val="left"/>
      <w:pPr>
        <w:ind w:left="2944" w:hanging="720"/>
      </w:pPr>
      <w:rPr>
        <w:rFonts w:hint="default"/>
      </w:rPr>
    </w:lvl>
    <w:lvl w:ilvl="4" w:tplc="70388162">
      <w:numFmt w:val="bullet"/>
      <w:lvlText w:val="•"/>
      <w:lvlJc w:val="left"/>
      <w:pPr>
        <w:ind w:left="3892" w:hanging="720"/>
      </w:pPr>
      <w:rPr>
        <w:rFonts w:hint="default"/>
      </w:rPr>
    </w:lvl>
    <w:lvl w:ilvl="5" w:tplc="1FC8B0A8">
      <w:numFmt w:val="bullet"/>
      <w:lvlText w:val="•"/>
      <w:lvlJc w:val="left"/>
      <w:pPr>
        <w:ind w:left="4840" w:hanging="720"/>
      </w:pPr>
      <w:rPr>
        <w:rFonts w:hint="default"/>
      </w:rPr>
    </w:lvl>
    <w:lvl w:ilvl="6" w:tplc="91A04DE6">
      <w:numFmt w:val="bullet"/>
      <w:lvlText w:val="•"/>
      <w:lvlJc w:val="left"/>
      <w:pPr>
        <w:ind w:left="5788" w:hanging="720"/>
      </w:pPr>
      <w:rPr>
        <w:rFonts w:hint="default"/>
      </w:rPr>
    </w:lvl>
    <w:lvl w:ilvl="7" w:tplc="DDA2182A">
      <w:numFmt w:val="bullet"/>
      <w:lvlText w:val="•"/>
      <w:lvlJc w:val="left"/>
      <w:pPr>
        <w:ind w:left="6736" w:hanging="720"/>
      </w:pPr>
      <w:rPr>
        <w:rFonts w:hint="default"/>
      </w:rPr>
    </w:lvl>
    <w:lvl w:ilvl="8" w:tplc="644640FE">
      <w:numFmt w:val="bullet"/>
      <w:lvlText w:val="•"/>
      <w:lvlJc w:val="left"/>
      <w:pPr>
        <w:ind w:left="7684" w:hanging="72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C2"/>
    <w:rsid w:val="000A5B9B"/>
    <w:rsid w:val="000B6448"/>
    <w:rsid w:val="00196A9B"/>
    <w:rsid w:val="002828C2"/>
    <w:rsid w:val="00351F55"/>
    <w:rsid w:val="003B7840"/>
    <w:rsid w:val="003C3AF9"/>
    <w:rsid w:val="00420DB4"/>
    <w:rsid w:val="00423D68"/>
    <w:rsid w:val="004421E6"/>
    <w:rsid w:val="004B0A2E"/>
    <w:rsid w:val="004D53C8"/>
    <w:rsid w:val="004E5B55"/>
    <w:rsid w:val="00542CF8"/>
    <w:rsid w:val="005831C5"/>
    <w:rsid w:val="00595704"/>
    <w:rsid w:val="005C21FB"/>
    <w:rsid w:val="005C3B2A"/>
    <w:rsid w:val="00660394"/>
    <w:rsid w:val="007055E5"/>
    <w:rsid w:val="007D4594"/>
    <w:rsid w:val="00812F6C"/>
    <w:rsid w:val="00855283"/>
    <w:rsid w:val="009033CF"/>
    <w:rsid w:val="00923253"/>
    <w:rsid w:val="0092336E"/>
    <w:rsid w:val="00A75622"/>
    <w:rsid w:val="00A81AFE"/>
    <w:rsid w:val="00B3017D"/>
    <w:rsid w:val="00B54ECF"/>
    <w:rsid w:val="00B849A1"/>
    <w:rsid w:val="00C36B92"/>
    <w:rsid w:val="00C50B54"/>
    <w:rsid w:val="00C857AB"/>
    <w:rsid w:val="00CC0007"/>
    <w:rsid w:val="00D01B8B"/>
    <w:rsid w:val="00DE33E6"/>
    <w:rsid w:val="00DE4955"/>
    <w:rsid w:val="00E06512"/>
    <w:rsid w:val="00E901F7"/>
    <w:rsid w:val="00F01662"/>
    <w:rsid w:val="00F10D39"/>
    <w:rsid w:val="00F21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DD5DD5A-FDCC-4E97-85C2-FF25FB3F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CF8"/>
  </w:style>
  <w:style w:type="paragraph" w:styleId="Heading2">
    <w:name w:val="heading 2"/>
    <w:basedOn w:val="Normal"/>
    <w:next w:val="Normal"/>
    <w:link w:val="Heading2Char"/>
    <w:uiPriority w:val="9"/>
    <w:semiHidden/>
    <w:unhideWhenUsed/>
    <w:qFormat/>
    <w:rsid w:val="003C3A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4421E6"/>
    <w:pPr>
      <w:widowControl w:val="0"/>
      <w:autoSpaceDE w:val="0"/>
      <w:autoSpaceDN w:val="0"/>
      <w:spacing w:after="0" w:line="240" w:lineRule="auto"/>
      <w:ind w:left="820" w:right="179"/>
      <w:outlineLvl w:val="2"/>
    </w:pPr>
    <w:rPr>
      <w:rFonts w:ascii="Times New Roman" w:eastAsia="Times New Roman" w:hAnsi="Times New Roman" w:cs="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828C2"/>
    <w:pPr>
      <w:widowControl w:val="0"/>
      <w:autoSpaceDE w:val="0"/>
      <w:autoSpaceDN w:val="0"/>
      <w:spacing w:after="0" w:line="240" w:lineRule="auto"/>
    </w:pPr>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2828C2"/>
    <w:rPr>
      <w:rFonts w:ascii="Times New Roman" w:eastAsia="Times New Roman" w:hAnsi="Times New Roman" w:cs="Times New Roman"/>
      <w:b/>
      <w:bCs/>
    </w:rPr>
  </w:style>
  <w:style w:type="paragraph" w:styleId="ListParagraph">
    <w:name w:val="List Paragraph"/>
    <w:basedOn w:val="Normal"/>
    <w:uiPriority w:val="1"/>
    <w:qFormat/>
    <w:rsid w:val="002828C2"/>
    <w:pPr>
      <w:widowControl w:val="0"/>
      <w:autoSpaceDE w:val="0"/>
      <w:autoSpaceDN w:val="0"/>
      <w:spacing w:after="0" w:line="240" w:lineRule="auto"/>
      <w:ind w:left="100"/>
      <w:jc w:val="both"/>
    </w:pPr>
    <w:rPr>
      <w:rFonts w:ascii="Times New Roman" w:eastAsia="Times New Roman" w:hAnsi="Times New Roman" w:cs="Times New Roman"/>
    </w:rPr>
  </w:style>
  <w:style w:type="character" w:styleId="Hyperlink">
    <w:name w:val="Hyperlink"/>
    <w:basedOn w:val="DefaultParagraphFont"/>
    <w:uiPriority w:val="99"/>
    <w:unhideWhenUsed/>
    <w:rsid w:val="002828C2"/>
    <w:rPr>
      <w:color w:val="0000FF" w:themeColor="hyperlink"/>
      <w:u w:val="single"/>
    </w:rPr>
  </w:style>
  <w:style w:type="character" w:customStyle="1" w:styleId="Heading3Char">
    <w:name w:val="Heading 3 Char"/>
    <w:basedOn w:val="DefaultParagraphFont"/>
    <w:link w:val="Heading3"/>
    <w:uiPriority w:val="1"/>
    <w:rsid w:val="004421E6"/>
    <w:rPr>
      <w:rFonts w:ascii="Times New Roman" w:eastAsia="Times New Roman" w:hAnsi="Times New Roman" w:cs="Times New Roman"/>
      <w:b/>
      <w:bCs/>
      <w:i/>
    </w:rPr>
  </w:style>
  <w:style w:type="paragraph" w:customStyle="1" w:styleId="TableParagraph">
    <w:name w:val="Table Paragraph"/>
    <w:basedOn w:val="Normal"/>
    <w:uiPriority w:val="1"/>
    <w:qFormat/>
    <w:rsid w:val="00A75622"/>
    <w:pPr>
      <w:widowControl w:val="0"/>
      <w:autoSpaceDE w:val="0"/>
      <w:autoSpaceDN w:val="0"/>
      <w:spacing w:after="0" w:line="203" w:lineRule="exact"/>
      <w:jc w:val="right"/>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3C3AF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36B92"/>
    <w:pPr>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1B8B"/>
    <w:pPr>
      <w:tabs>
        <w:tab w:val="center" w:pos="4252"/>
        <w:tab w:val="right" w:pos="8504"/>
      </w:tabs>
      <w:snapToGrid w:val="0"/>
    </w:pPr>
  </w:style>
  <w:style w:type="character" w:customStyle="1" w:styleId="HeaderChar">
    <w:name w:val="Header Char"/>
    <w:basedOn w:val="DefaultParagraphFont"/>
    <w:link w:val="Header"/>
    <w:uiPriority w:val="99"/>
    <w:rsid w:val="00D01B8B"/>
  </w:style>
  <w:style w:type="paragraph" w:styleId="Footer">
    <w:name w:val="footer"/>
    <w:basedOn w:val="Normal"/>
    <w:link w:val="FooterChar"/>
    <w:uiPriority w:val="99"/>
    <w:unhideWhenUsed/>
    <w:rsid w:val="00D01B8B"/>
    <w:pPr>
      <w:tabs>
        <w:tab w:val="center" w:pos="4252"/>
        <w:tab w:val="right" w:pos="8504"/>
      </w:tabs>
      <w:snapToGrid w:val="0"/>
    </w:pPr>
  </w:style>
  <w:style w:type="character" w:customStyle="1" w:styleId="FooterChar">
    <w:name w:val="Footer Char"/>
    <w:basedOn w:val="DefaultParagraphFont"/>
    <w:link w:val="Footer"/>
    <w:uiPriority w:val="99"/>
    <w:rsid w:val="00D01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cpfc.int/node/XX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6704</Characters>
  <Application>Microsoft Office Word</Application>
  <DocSecurity>0</DocSecurity>
  <Lines>55</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National Marine Fisheries Svc</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Brodziak</dc:creator>
  <cp:lastModifiedBy>Anthony J. Beeching</cp:lastModifiedBy>
  <cp:revision>2</cp:revision>
  <dcterms:created xsi:type="dcterms:W3CDTF">2018-08-16T02:57:00Z</dcterms:created>
  <dcterms:modified xsi:type="dcterms:W3CDTF">2018-08-16T02:57:00Z</dcterms:modified>
</cp:coreProperties>
</file>