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AE111" w14:textId="77777777" w:rsidR="002B1FB7" w:rsidRPr="001140C2" w:rsidRDefault="002B1FB7" w:rsidP="002B1FB7">
      <w:pPr>
        <w:tabs>
          <w:tab w:val="left" w:pos="819"/>
          <w:tab w:val="left" w:pos="820"/>
        </w:tabs>
        <w:rPr>
          <w:b/>
        </w:rPr>
      </w:pPr>
      <w:bookmarkStart w:id="0" w:name="_GoBack"/>
      <w:bookmarkEnd w:id="0"/>
      <w:r>
        <w:rPr>
          <w:b/>
        </w:rPr>
        <w:t>SPALB Stock Status</w:t>
      </w:r>
    </w:p>
    <w:p w14:paraId="02AC9F9F" w14:textId="77777777" w:rsidR="00FD7A47" w:rsidRPr="00F026FA" w:rsidRDefault="00FD7A47" w:rsidP="00FD7A47">
      <w:pPr>
        <w:pStyle w:val="ListParagraph"/>
        <w:tabs>
          <w:tab w:val="left" w:pos="840"/>
        </w:tabs>
        <w:ind w:left="480" w:right="114"/>
        <w:rPr>
          <w:b/>
        </w:rPr>
      </w:pPr>
    </w:p>
    <w:p w14:paraId="33744E23" w14:textId="729029CE" w:rsidR="00FD7A47" w:rsidRPr="00F16574" w:rsidRDefault="00FD7A47" w:rsidP="00FD7A47">
      <w:pPr>
        <w:pStyle w:val="ListParagraph"/>
        <w:tabs>
          <w:tab w:val="left" w:pos="840"/>
        </w:tabs>
        <w:ind w:left="120" w:right="114"/>
      </w:pPr>
      <w:r w:rsidRPr="00F16574">
        <w:t>The median</w:t>
      </w:r>
      <w:r w:rsidR="0054408F">
        <w:t>, 10 percentile and 90 percentile</w:t>
      </w:r>
      <w:r w:rsidRPr="00F16574">
        <w:t xml:space="preserve"> valu</w:t>
      </w:r>
      <w:r>
        <w:t>es of recent (2013-2016</w:t>
      </w:r>
      <w:r w:rsidRPr="00F16574">
        <w:t>) spawning biomass</w:t>
      </w:r>
      <w:r w:rsidR="0054408F">
        <w:t xml:space="preserve"> ratio</w:t>
      </w:r>
      <w:r w:rsidRPr="00F16574">
        <w:t xml:space="preserve"> (SB</w:t>
      </w:r>
      <w:r w:rsidRPr="00FA2E6C">
        <w:rPr>
          <w:vertAlign w:val="subscript"/>
        </w:rPr>
        <w:t>recent</w:t>
      </w:r>
      <w:r w:rsidRPr="00F16574">
        <w:t>/ SB</w:t>
      </w:r>
      <w:r w:rsidRPr="00FA2E6C">
        <w:rPr>
          <w:vertAlign w:val="subscript"/>
        </w:rPr>
        <w:t>F=0</w:t>
      </w:r>
      <w:r w:rsidRPr="00F16574">
        <w:t>) and recent</w:t>
      </w:r>
      <w:r w:rsidRPr="00F16574">
        <w:rPr>
          <w:spacing w:val="-9"/>
        </w:rPr>
        <w:t xml:space="preserve"> </w:t>
      </w:r>
      <w:r w:rsidRPr="00F16574">
        <w:t>fishing</w:t>
      </w:r>
      <w:r w:rsidRPr="00F16574">
        <w:rPr>
          <w:spacing w:val="-9"/>
        </w:rPr>
        <w:t xml:space="preserve"> </w:t>
      </w:r>
      <w:r w:rsidRPr="00F16574">
        <w:t>mortality</w:t>
      </w:r>
      <w:r w:rsidR="0054408F">
        <w:t xml:space="preserve"> in relation to F</w:t>
      </w:r>
      <w:r w:rsidR="0054408F" w:rsidRPr="00FA2E6C">
        <w:rPr>
          <w:vertAlign w:val="subscript"/>
        </w:rPr>
        <w:t>MSY</w:t>
      </w:r>
      <w:r w:rsidRPr="00F16574">
        <w:rPr>
          <w:spacing w:val="-7"/>
        </w:rPr>
        <w:t xml:space="preserve"> </w:t>
      </w:r>
      <w:r w:rsidRPr="00F16574">
        <w:t>(F</w:t>
      </w:r>
      <w:r w:rsidRPr="00FA2E6C">
        <w:rPr>
          <w:vertAlign w:val="subscript"/>
        </w:rPr>
        <w:t>recent</w:t>
      </w:r>
      <w:r w:rsidRPr="00F16574">
        <w:t>/F</w:t>
      </w:r>
      <w:r w:rsidRPr="00FA2E6C">
        <w:rPr>
          <w:vertAlign w:val="subscript"/>
        </w:rPr>
        <w:t>MSY</w:t>
      </w:r>
      <w:r w:rsidRPr="00F16574">
        <w:t>)</w:t>
      </w:r>
      <w:r w:rsidRPr="00F16574">
        <w:rPr>
          <w:spacing w:val="-7"/>
        </w:rPr>
        <w:t xml:space="preserve"> </w:t>
      </w:r>
      <w:r w:rsidRPr="00F16574">
        <w:t>over</w:t>
      </w:r>
      <w:r w:rsidRPr="00F16574">
        <w:rPr>
          <w:spacing w:val="-7"/>
        </w:rPr>
        <w:t xml:space="preserve"> </w:t>
      </w:r>
      <w:r w:rsidRPr="00F16574">
        <w:t>the</w:t>
      </w:r>
      <w:r w:rsidR="00496959">
        <w:t xml:space="preserve"> structural</w:t>
      </w:r>
      <w:r w:rsidRPr="00F16574">
        <w:rPr>
          <w:spacing w:val="-7"/>
        </w:rPr>
        <w:t xml:space="preserve"> </w:t>
      </w:r>
      <w:r w:rsidRPr="00F16574">
        <w:t>uncertainty</w:t>
      </w:r>
      <w:r w:rsidRPr="00F16574">
        <w:rPr>
          <w:spacing w:val="-7"/>
        </w:rPr>
        <w:t xml:space="preserve"> </w:t>
      </w:r>
      <w:r w:rsidRPr="00F16574">
        <w:t>grid</w:t>
      </w:r>
      <w:r w:rsidRPr="00F16574">
        <w:rPr>
          <w:spacing w:val="-9"/>
        </w:rPr>
        <w:t xml:space="preserve"> </w:t>
      </w:r>
      <w:r w:rsidRPr="00F16574">
        <w:t>were</w:t>
      </w:r>
      <w:r w:rsidRPr="00F16574">
        <w:rPr>
          <w:spacing w:val="-7"/>
        </w:rPr>
        <w:t xml:space="preserve"> </w:t>
      </w:r>
      <w:r w:rsidRPr="00F16574">
        <w:t>used</w:t>
      </w:r>
      <w:r w:rsidRPr="00F16574">
        <w:rPr>
          <w:spacing w:val="-9"/>
        </w:rPr>
        <w:t xml:space="preserve"> </w:t>
      </w:r>
      <w:r w:rsidRPr="00F16574">
        <w:t>to</w:t>
      </w:r>
      <w:r w:rsidRPr="00F16574">
        <w:rPr>
          <w:spacing w:val="-7"/>
        </w:rPr>
        <w:t xml:space="preserve"> </w:t>
      </w:r>
      <w:r w:rsidRPr="00F16574">
        <w:t xml:space="preserve">characterize </w:t>
      </w:r>
      <w:r w:rsidR="00BB2200">
        <w:t xml:space="preserve">uncertainty and describe </w:t>
      </w:r>
      <w:r w:rsidRPr="00F16574">
        <w:t>the stock</w:t>
      </w:r>
      <w:r w:rsidRPr="00F16574">
        <w:rPr>
          <w:spacing w:val="-23"/>
        </w:rPr>
        <w:t xml:space="preserve"> </w:t>
      </w:r>
      <w:r w:rsidRPr="00F16574">
        <w:t>status.</w:t>
      </w:r>
    </w:p>
    <w:p w14:paraId="0FE6511D" w14:textId="320F6561" w:rsidR="00FD7A47" w:rsidRDefault="00FD7A47" w:rsidP="00FD7A47">
      <w:pPr>
        <w:pStyle w:val="BodyText"/>
        <w:spacing w:before="6"/>
        <w:rPr>
          <w:b w:val="0"/>
          <w:sz w:val="20"/>
        </w:rPr>
      </w:pPr>
    </w:p>
    <w:p w14:paraId="13B118BA" w14:textId="1FA0AC10" w:rsidR="00737997" w:rsidRPr="00FA2E6C" w:rsidRDefault="00737997" w:rsidP="00FA2E6C">
      <w:pPr>
        <w:pStyle w:val="ListParagraph"/>
        <w:tabs>
          <w:tab w:val="left" w:pos="840"/>
        </w:tabs>
        <w:ind w:left="120" w:right="114"/>
        <w:rPr>
          <w:b/>
        </w:rPr>
      </w:pPr>
      <w:r w:rsidRPr="00FA2E6C">
        <w:t xml:space="preserve">A description of the structural sensitivity grid used to characterize uncertainty in the assessment </w:t>
      </w:r>
      <w:r>
        <w:t>i</w:t>
      </w:r>
      <w:r w:rsidRPr="00FA2E6C">
        <w:t xml:space="preserve">s set out in Table </w:t>
      </w:r>
      <w:r>
        <w:t>SPA</w:t>
      </w:r>
      <w:r w:rsidRPr="00FA2E6C">
        <w:t xml:space="preserve">-1. </w:t>
      </w:r>
      <w:r>
        <w:t>The regional structure used within the assessment is presented in Figure SPA-1, and the t</w:t>
      </w:r>
      <w:r w:rsidRPr="00FA2E6C">
        <w:t xml:space="preserve">ime series of total annual catch by fishing gear for the diagnostic case model over the full assessment period is shown in Figure </w:t>
      </w:r>
      <w:r>
        <w:t>SPA-2 for the total assessment region, and Figure SPA-3 by model region</w:t>
      </w:r>
      <w:r w:rsidRPr="00FA2E6C">
        <w:t xml:space="preserve">. Estimated annual average recruitment, spawning potential, juvenile and adult fishing mortality and fishing depletion for the diagnostic case model are shown in Figures </w:t>
      </w:r>
      <w:r>
        <w:t>SPA-3</w:t>
      </w:r>
      <w:r w:rsidRPr="00FA2E6C">
        <w:t xml:space="preserve"> – </w:t>
      </w:r>
      <w:r>
        <w:t>SPA</w:t>
      </w:r>
      <w:r w:rsidRPr="00FA2E6C">
        <w:t>-</w:t>
      </w:r>
      <w:r w:rsidR="00071157">
        <w:t>7</w:t>
      </w:r>
      <w:r w:rsidRPr="00FA2E6C">
        <w:t xml:space="preserve">.  Figure </w:t>
      </w:r>
      <w:r w:rsidR="00071157">
        <w:t>SPA-8</w:t>
      </w:r>
      <w:r w:rsidRPr="00FA2E6C">
        <w:t xml:space="preserve"> display</w:t>
      </w:r>
      <w:r w:rsidR="00071157">
        <w:t>s</w:t>
      </w:r>
      <w:r w:rsidRPr="00FA2E6C">
        <w:t xml:space="preserve"> Majuro plots summarising the results for each of the models in the structural uncertainty grid</w:t>
      </w:r>
      <w:r w:rsidR="00071157">
        <w:t xml:space="preserve">, while </w:t>
      </w:r>
      <w:r w:rsidR="00071157" w:rsidRPr="00C61303">
        <w:t>Figure SPA-9</w:t>
      </w:r>
      <w:r w:rsidRPr="00FA2E6C">
        <w:t xml:space="preserve"> show</w:t>
      </w:r>
      <w:r w:rsidR="00071157">
        <w:t>s</w:t>
      </w:r>
      <w:r w:rsidRPr="00FA2E6C">
        <w:t xml:space="preserve"> </w:t>
      </w:r>
      <w:r w:rsidR="00071157">
        <w:t xml:space="preserve">equivalent </w:t>
      </w:r>
      <w:r w:rsidRPr="00FA2E6C">
        <w:t xml:space="preserve">Kobe plots </w:t>
      </w:r>
      <w:r w:rsidR="00071157">
        <w:t xml:space="preserve">for </w:t>
      </w:r>
      <w:proofErr w:type="spellStart"/>
      <w:r w:rsidR="00071157">
        <w:t>SB</w:t>
      </w:r>
      <w:r w:rsidR="00071157" w:rsidRPr="00FA2E6C">
        <w:rPr>
          <w:vertAlign w:val="subscript"/>
        </w:rPr>
        <w:t>recent</w:t>
      </w:r>
      <w:proofErr w:type="spellEnd"/>
      <w:r w:rsidR="00071157">
        <w:t xml:space="preserve"> and </w:t>
      </w:r>
      <w:proofErr w:type="spellStart"/>
      <w:r w:rsidR="00071157">
        <w:t>SB</w:t>
      </w:r>
      <w:r w:rsidR="00071157" w:rsidRPr="00FA2E6C">
        <w:rPr>
          <w:vertAlign w:val="subscript"/>
        </w:rPr>
        <w:t>latest</w:t>
      </w:r>
      <w:proofErr w:type="spellEnd"/>
      <w:r w:rsidR="00071157">
        <w:t xml:space="preserve"> across the </w:t>
      </w:r>
      <w:r w:rsidRPr="00FA2E6C">
        <w:t xml:space="preserve">structural uncertainty grid.  Figure </w:t>
      </w:r>
      <w:r w:rsidR="00071157">
        <w:t xml:space="preserve">SPA-10 </w:t>
      </w:r>
      <w:r w:rsidRPr="00FA2E6C">
        <w:t xml:space="preserve">provides estimates of reduction in spawning potential due to fishing by region, and over all regions attributed to various fishery groups (gear-types) for the diagnostic case model. Table </w:t>
      </w:r>
      <w:r w:rsidR="00C2491F">
        <w:t>SPA</w:t>
      </w:r>
      <w:r w:rsidRPr="00FA2E6C">
        <w:t>-2 provides a summary of reference points over the 72 models in the structural uncertainty grid.</w:t>
      </w:r>
      <w:r w:rsidR="00071157">
        <w:t xml:space="preserve"> Figure SPA-11 presents the h</w:t>
      </w:r>
      <w:r w:rsidR="00071157" w:rsidRPr="00071157">
        <w:t>istory of the annual estimates of MSY for the diagnostic case model</w:t>
      </w:r>
      <w:r w:rsidR="00071157">
        <w:t>,</w:t>
      </w:r>
      <w:r w:rsidR="00071157" w:rsidRPr="00071157">
        <w:t xml:space="preserve"> compared with annual catch by the main gear types</w:t>
      </w:r>
      <w:r w:rsidR="00071157">
        <w:t xml:space="preserve">. Finally, Figure SPA-12 presents </w:t>
      </w:r>
      <w:r w:rsidR="00C2491F">
        <w:t>the e</w:t>
      </w:r>
      <w:r w:rsidR="00C2491F" w:rsidRPr="00C2491F">
        <w:t>stimated time-series (or ‘dynamic’) Kobe plots for four example models from the assessment (one from each of the combinations of growth types, and natural mortality M set to 0.3 or 0.4).</w:t>
      </w:r>
    </w:p>
    <w:p w14:paraId="0A21E211" w14:textId="77777777" w:rsidR="00C2491F" w:rsidRDefault="00C2491F" w:rsidP="006405C4">
      <w:pPr>
        <w:pStyle w:val="ListParagraph"/>
        <w:tabs>
          <w:tab w:val="left" w:pos="840"/>
        </w:tabs>
        <w:ind w:left="120" w:right="115"/>
      </w:pPr>
    </w:p>
    <w:p w14:paraId="2E5FC11A" w14:textId="18C160FB" w:rsidR="006405C4" w:rsidRPr="00F16574" w:rsidRDefault="006405C4" w:rsidP="009D118E">
      <w:pPr>
        <w:pStyle w:val="ListParagraph"/>
        <w:tabs>
          <w:tab w:val="left" w:pos="840"/>
        </w:tabs>
        <w:ind w:left="120" w:right="117"/>
      </w:pPr>
      <w:r>
        <w:t>SC14</w:t>
      </w:r>
      <w:r w:rsidRPr="00F16574">
        <w:t xml:space="preserve"> noted that the </w:t>
      </w:r>
      <w:r w:rsidR="00BB2200">
        <w:t>median level of spawn</w:t>
      </w:r>
      <w:r w:rsidR="0054408F">
        <w:t>ing</w:t>
      </w:r>
      <w:r w:rsidR="00BB2200">
        <w:t xml:space="preserve"> biomass depletion </w:t>
      </w:r>
      <w:r w:rsidR="000C4A19">
        <w:t>from</w:t>
      </w:r>
      <w:r w:rsidR="00BB2200">
        <w:t xml:space="preserve"> the </w:t>
      </w:r>
      <w:r>
        <w:t>uncertainty grid</w:t>
      </w:r>
      <w:r w:rsidRPr="00F16574">
        <w:rPr>
          <w:position w:val="2"/>
        </w:rPr>
        <w:t xml:space="preserve"> was SB</w:t>
      </w:r>
      <w:r w:rsidRPr="00F16574">
        <w:rPr>
          <w:sz w:val="14"/>
        </w:rPr>
        <w:t>recent</w:t>
      </w:r>
      <w:r w:rsidRPr="00F16574">
        <w:rPr>
          <w:position w:val="2"/>
        </w:rPr>
        <w:t>/SB</w:t>
      </w:r>
      <w:r w:rsidRPr="00F16574">
        <w:rPr>
          <w:sz w:val="14"/>
        </w:rPr>
        <w:t>F=0</w:t>
      </w:r>
      <w:r>
        <w:rPr>
          <w:position w:val="2"/>
        </w:rPr>
        <w:t xml:space="preserve"> = 0.</w:t>
      </w:r>
      <w:r w:rsidR="00737997">
        <w:rPr>
          <w:position w:val="2"/>
        </w:rPr>
        <w:t>52</w:t>
      </w:r>
      <w:r w:rsidR="00737997" w:rsidRPr="00F16574">
        <w:rPr>
          <w:position w:val="2"/>
        </w:rPr>
        <w:t xml:space="preserve"> </w:t>
      </w:r>
      <w:r w:rsidRPr="00F16574">
        <w:rPr>
          <w:position w:val="2"/>
        </w:rPr>
        <w:t xml:space="preserve">with a probable </w:t>
      </w:r>
      <w:r w:rsidRPr="00F16574">
        <w:t>range</w:t>
      </w:r>
      <w:r w:rsidRPr="00F16574">
        <w:rPr>
          <w:spacing w:val="-10"/>
        </w:rPr>
        <w:t xml:space="preserve"> </w:t>
      </w:r>
      <w:r w:rsidRPr="00F16574">
        <w:t>of</w:t>
      </w:r>
      <w:r w:rsidRPr="00F16574">
        <w:rPr>
          <w:spacing w:val="-8"/>
        </w:rPr>
        <w:t xml:space="preserve"> </w:t>
      </w:r>
      <w:r w:rsidRPr="00921D34">
        <w:t>0.</w:t>
      </w:r>
      <w:r w:rsidR="00737997" w:rsidRPr="00921D34">
        <w:t>37</w:t>
      </w:r>
      <w:r w:rsidRPr="00921D34">
        <w:rPr>
          <w:spacing w:val="-11"/>
        </w:rPr>
        <w:t xml:space="preserve"> </w:t>
      </w:r>
      <w:r w:rsidRPr="00921D34">
        <w:t>to</w:t>
      </w:r>
      <w:r w:rsidRPr="00921D34">
        <w:rPr>
          <w:spacing w:val="-11"/>
        </w:rPr>
        <w:t xml:space="preserve"> </w:t>
      </w:r>
      <w:r w:rsidRPr="00921D34">
        <w:t>0.</w:t>
      </w:r>
      <w:r w:rsidR="00737997" w:rsidRPr="00921D34">
        <w:t>63</w:t>
      </w:r>
      <w:r w:rsidRPr="00921D34">
        <w:rPr>
          <w:spacing w:val="-11"/>
        </w:rPr>
        <w:t xml:space="preserve"> </w:t>
      </w:r>
      <w:r w:rsidRPr="00921D34">
        <w:t>(</w:t>
      </w:r>
      <w:r w:rsidRPr="00F16574">
        <w:t>80%</w:t>
      </w:r>
      <w:r w:rsidRPr="00F16574">
        <w:rPr>
          <w:spacing w:val="-13"/>
        </w:rPr>
        <w:t xml:space="preserve"> </w:t>
      </w:r>
      <w:r w:rsidRPr="00F16574">
        <w:t>probability</w:t>
      </w:r>
      <w:r w:rsidRPr="00F16574">
        <w:rPr>
          <w:spacing w:val="-11"/>
        </w:rPr>
        <w:t xml:space="preserve"> </w:t>
      </w:r>
      <w:r w:rsidRPr="00F16574">
        <w:t>interval</w:t>
      </w:r>
      <w:r w:rsidR="00903AD2">
        <w:t>).</w:t>
      </w:r>
      <w:r>
        <w:rPr>
          <w:spacing w:val="-7"/>
        </w:rPr>
        <w:t xml:space="preserve"> </w:t>
      </w:r>
      <w:r>
        <w:t>T</w:t>
      </w:r>
      <w:r w:rsidRPr="00F16574">
        <w:t>here</w:t>
      </w:r>
      <w:r w:rsidRPr="00F16574">
        <w:rPr>
          <w:spacing w:val="-9"/>
        </w:rPr>
        <w:t xml:space="preserve"> </w:t>
      </w:r>
      <w:r>
        <w:rPr>
          <w:spacing w:val="-9"/>
        </w:rPr>
        <w:t xml:space="preserve">were no individual models </w:t>
      </w:r>
      <w:r w:rsidR="00BB2200">
        <w:rPr>
          <w:spacing w:val="-9"/>
        </w:rPr>
        <w:t>where</w:t>
      </w:r>
      <w:r>
        <w:rPr>
          <w:spacing w:val="-9"/>
        </w:rPr>
        <w:t xml:space="preserve"> </w:t>
      </w:r>
      <w:r w:rsidRPr="00F16574">
        <w:rPr>
          <w:position w:val="2"/>
        </w:rPr>
        <w:t>(SB</w:t>
      </w:r>
      <w:r w:rsidRPr="00F16574">
        <w:rPr>
          <w:sz w:val="14"/>
        </w:rPr>
        <w:t>recent</w:t>
      </w:r>
      <w:r w:rsidRPr="00F16574">
        <w:rPr>
          <w:position w:val="2"/>
        </w:rPr>
        <w:t>/SB</w:t>
      </w:r>
      <w:r w:rsidRPr="00F16574">
        <w:rPr>
          <w:sz w:val="14"/>
        </w:rPr>
        <w:t>F=0</w:t>
      </w:r>
      <w:r>
        <w:rPr>
          <w:position w:val="2"/>
        </w:rPr>
        <w:t xml:space="preserve">) &lt; 0.2 </w:t>
      </w:r>
      <w:r>
        <w:t>which indicated that the</w:t>
      </w:r>
      <w:r w:rsidRPr="00F16574">
        <w:rPr>
          <w:spacing w:val="-9"/>
        </w:rPr>
        <w:t xml:space="preserve"> </w:t>
      </w:r>
      <w:r w:rsidRPr="00F16574">
        <w:t>probability</w:t>
      </w:r>
      <w:r w:rsidRPr="00F16574">
        <w:rPr>
          <w:spacing w:val="-7"/>
        </w:rPr>
        <w:t xml:space="preserve"> </w:t>
      </w:r>
      <w:r w:rsidRPr="00F16574">
        <w:t>that</w:t>
      </w:r>
      <w:r w:rsidRPr="00F16574">
        <w:rPr>
          <w:spacing w:val="-6"/>
        </w:rPr>
        <w:t xml:space="preserve"> </w:t>
      </w:r>
      <w:r w:rsidRPr="00F16574">
        <w:t>recent</w:t>
      </w:r>
      <w:r w:rsidRPr="00F16574">
        <w:rPr>
          <w:spacing w:val="-6"/>
        </w:rPr>
        <w:t xml:space="preserve"> </w:t>
      </w:r>
      <w:r w:rsidRPr="00F16574">
        <w:t>spawning biomass was below the</w:t>
      </w:r>
      <w:r w:rsidRPr="00F16574">
        <w:rPr>
          <w:spacing w:val="-5"/>
        </w:rPr>
        <w:t xml:space="preserve"> </w:t>
      </w:r>
      <w:r>
        <w:t xml:space="preserve">LRP was </w:t>
      </w:r>
      <w:r w:rsidR="000C4A19">
        <w:t>zero</w:t>
      </w:r>
      <w:r>
        <w:t>.SC14</w:t>
      </w:r>
      <w:r w:rsidRPr="00F16574">
        <w:t xml:space="preserve"> noted that the </w:t>
      </w:r>
      <w:r w:rsidR="00BB2200">
        <w:t xml:space="preserve">grid </w:t>
      </w:r>
      <w:r w:rsidRPr="00F16574">
        <w:rPr>
          <w:position w:val="2"/>
        </w:rPr>
        <w:t>median</w:t>
      </w:r>
      <w:r w:rsidR="00BB2200">
        <w:rPr>
          <w:position w:val="2"/>
        </w:rPr>
        <w:t xml:space="preserve"> </w:t>
      </w:r>
      <w:r w:rsidRPr="00F16574">
        <w:rPr>
          <w:position w:val="2"/>
        </w:rPr>
        <w:t>F</w:t>
      </w:r>
      <w:r w:rsidRPr="00F16574">
        <w:rPr>
          <w:sz w:val="14"/>
        </w:rPr>
        <w:t>recent</w:t>
      </w:r>
      <w:r w:rsidRPr="00F16574">
        <w:rPr>
          <w:position w:val="2"/>
        </w:rPr>
        <w:t>/F</w:t>
      </w:r>
      <w:r w:rsidRPr="00F16574">
        <w:rPr>
          <w:sz w:val="14"/>
        </w:rPr>
        <w:t>MSY</w:t>
      </w:r>
      <w:r w:rsidRPr="00F16574">
        <w:rPr>
          <w:spacing w:val="-6"/>
          <w:position w:val="2"/>
        </w:rPr>
        <w:t xml:space="preserve"> </w:t>
      </w:r>
      <w:r w:rsidR="00BB2200">
        <w:rPr>
          <w:position w:val="2"/>
        </w:rPr>
        <w:t>was</w:t>
      </w:r>
      <w:r w:rsidR="00BB2200" w:rsidRPr="00F16574">
        <w:rPr>
          <w:spacing w:val="-9"/>
          <w:position w:val="2"/>
        </w:rPr>
        <w:t xml:space="preserve"> </w:t>
      </w:r>
      <w:r>
        <w:rPr>
          <w:position w:val="2"/>
        </w:rPr>
        <w:t>0.</w:t>
      </w:r>
      <w:r w:rsidR="00737997">
        <w:rPr>
          <w:position w:val="2"/>
        </w:rPr>
        <w:t>20, with a range of 0.08 to 0.41 (80% probability interval)</w:t>
      </w:r>
      <w:r w:rsidRPr="00F16574">
        <w:rPr>
          <w:spacing w:val="-8"/>
          <w:position w:val="2"/>
        </w:rPr>
        <w:t xml:space="preserve"> </w:t>
      </w:r>
      <w:r w:rsidR="000C4A19">
        <w:rPr>
          <w:position w:val="2"/>
        </w:rPr>
        <w:t xml:space="preserve">and that no </w:t>
      </w:r>
      <w:r w:rsidR="00FA2E6C">
        <w:rPr>
          <w:position w:val="2"/>
        </w:rPr>
        <w:t xml:space="preserve">values of </w:t>
      </w:r>
      <w:r w:rsidR="00FA2E6C" w:rsidRPr="00F16574">
        <w:rPr>
          <w:position w:val="2"/>
        </w:rPr>
        <w:t>F</w:t>
      </w:r>
      <w:r w:rsidR="00FA2E6C" w:rsidRPr="00F16574">
        <w:rPr>
          <w:sz w:val="14"/>
        </w:rPr>
        <w:t>recent</w:t>
      </w:r>
      <w:r w:rsidR="00FA2E6C" w:rsidRPr="00F16574">
        <w:rPr>
          <w:position w:val="2"/>
        </w:rPr>
        <w:t>/F</w:t>
      </w:r>
      <w:r w:rsidR="00FA2E6C" w:rsidRPr="00F16574">
        <w:rPr>
          <w:sz w:val="14"/>
        </w:rPr>
        <w:t>MSY</w:t>
      </w:r>
      <w:r w:rsidR="000C4A19">
        <w:rPr>
          <w:position w:val="2"/>
        </w:rPr>
        <w:t xml:space="preserve"> in the grid exceeded 1. </w:t>
      </w:r>
    </w:p>
    <w:p w14:paraId="2A7FDB9D" w14:textId="6EB6FB82" w:rsidR="006405C4" w:rsidRDefault="006405C4" w:rsidP="006405C4">
      <w:pPr>
        <w:pStyle w:val="BodyText"/>
        <w:spacing w:before="10"/>
        <w:rPr>
          <w:b w:val="0"/>
          <w:sz w:val="21"/>
        </w:rPr>
      </w:pPr>
    </w:p>
    <w:p w14:paraId="7CDB978B" w14:textId="4B6E4D9F" w:rsidR="00C2491F" w:rsidRPr="00FA2E6C" w:rsidRDefault="00C2491F" w:rsidP="00FA2E6C">
      <w:pPr>
        <w:pStyle w:val="ListParagraph"/>
        <w:tabs>
          <w:tab w:val="left" w:pos="840"/>
        </w:tabs>
        <w:spacing w:line="237" w:lineRule="auto"/>
        <w:ind w:left="120"/>
        <w:rPr>
          <w:b/>
          <w:position w:val="2"/>
        </w:rPr>
      </w:pPr>
      <w:r w:rsidRPr="00FA2E6C">
        <w:rPr>
          <w:position w:val="2"/>
        </w:rPr>
        <w:t xml:space="preserve">SC14 also noted that there was a 0% probability (0 out of 72 models) that the recent fishing mortality had exceeded FMSY. </w:t>
      </w:r>
    </w:p>
    <w:p w14:paraId="43A14BE8" w14:textId="77777777" w:rsidR="00612B59" w:rsidRDefault="00612B59" w:rsidP="00FA2E6C">
      <w:pPr>
        <w:pStyle w:val="BodyText"/>
        <w:spacing w:before="22" w:line="252" w:lineRule="exact"/>
        <w:ind w:right="116"/>
        <w:jc w:val="both"/>
      </w:pPr>
    </w:p>
    <w:p w14:paraId="594D20BE" w14:textId="721BCE03" w:rsidR="00612B59" w:rsidRPr="00FA2E6C" w:rsidRDefault="00612B59" w:rsidP="00FA2E6C">
      <w:pPr>
        <w:pStyle w:val="ListParagraph"/>
        <w:tabs>
          <w:tab w:val="left" w:pos="840"/>
        </w:tabs>
        <w:spacing w:line="237" w:lineRule="auto"/>
        <w:ind w:left="120"/>
        <w:rPr>
          <w:position w:val="2"/>
        </w:rPr>
      </w:pPr>
      <w:r w:rsidRPr="00C61303">
        <w:rPr>
          <w:position w:val="2"/>
        </w:rPr>
        <w:t>SC14</w:t>
      </w:r>
      <w:r w:rsidRPr="00FA2E6C">
        <w:rPr>
          <w:position w:val="2"/>
        </w:rPr>
        <w:t xml:space="preserve"> noted that the </w:t>
      </w:r>
      <w:r>
        <w:rPr>
          <w:position w:val="2"/>
        </w:rPr>
        <w:t>structural uncertainty grid for the south Pacific albacore had changed since the 2015 assessment, with the 2018 assessment examining additional axes of uncertainty including assumptions on growth and CPUE standardization approach</w:t>
      </w:r>
      <w:r w:rsidRPr="00FA2E6C">
        <w:rPr>
          <w:position w:val="2"/>
        </w:rPr>
        <w:t>.</w:t>
      </w:r>
      <w:r w:rsidR="00921D34">
        <w:rPr>
          <w:position w:val="2"/>
        </w:rPr>
        <w:t xml:space="preserve"> As a consequence, the uncertainty identified is higher than in previous assessments.</w:t>
      </w:r>
      <w:r w:rsidRPr="00FA2E6C">
        <w:rPr>
          <w:position w:val="2"/>
        </w:rPr>
        <w:t xml:space="preserve"> </w:t>
      </w:r>
    </w:p>
    <w:p w14:paraId="0E50F2FB" w14:textId="77777777" w:rsidR="006405C4" w:rsidRDefault="006405C4" w:rsidP="00FA2E6C">
      <w:pPr>
        <w:pStyle w:val="BodyText"/>
        <w:spacing w:before="22" w:line="252" w:lineRule="exact"/>
        <w:ind w:right="116"/>
        <w:jc w:val="both"/>
        <w:rPr>
          <w:b w:val="0"/>
        </w:rPr>
      </w:pPr>
      <w:bookmarkStart w:id="1" w:name="Structural_uncertainty"/>
      <w:bookmarkStart w:id="2" w:name="bookmark0"/>
      <w:bookmarkEnd w:id="1"/>
      <w:bookmarkEnd w:id="2"/>
    </w:p>
    <w:p w14:paraId="528631F8" w14:textId="05D38C84" w:rsidR="006405C4" w:rsidRPr="0086183F" w:rsidRDefault="006405C4" w:rsidP="006405C4">
      <w:pPr>
        <w:pStyle w:val="BodyText"/>
        <w:spacing w:before="22" w:line="252" w:lineRule="exact"/>
        <w:ind w:left="120" w:right="116"/>
        <w:jc w:val="both"/>
        <w:rPr>
          <w:b w:val="0"/>
        </w:rPr>
      </w:pPr>
      <w:r>
        <w:rPr>
          <w:b w:val="0"/>
        </w:rPr>
        <w:t>SC14</w:t>
      </w:r>
      <w:r w:rsidRPr="0086183F">
        <w:rPr>
          <w:b w:val="0"/>
          <w:spacing w:val="-12"/>
        </w:rPr>
        <w:t xml:space="preserve"> </w:t>
      </w:r>
      <w:r w:rsidRPr="0086183F">
        <w:rPr>
          <w:b w:val="0"/>
        </w:rPr>
        <w:t>also</w:t>
      </w:r>
      <w:r w:rsidRPr="0086183F">
        <w:rPr>
          <w:b w:val="0"/>
          <w:spacing w:val="-12"/>
        </w:rPr>
        <w:t xml:space="preserve"> </w:t>
      </w:r>
      <w:r w:rsidRPr="0086183F">
        <w:rPr>
          <w:b w:val="0"/>
        </w:rPr>
        <w:t>noted</w:t>
      </w:r>
      <w:r w:rsidRPr="0086183F">
        <w:rPr>
          <w:b w:val="0"/>
          <w:spacing w:val="-12"/>
        </w:rPr>
        <w:t xml:space="preserve"> </w:t>
      </w:r>
      <w:r w:rsidRPr="0086183F">
        <w:rPr>
          <w:b w:val="0"/>
        </w:rPr>
        <w:t>that</w:t>
      </w:r>
      <w:r w:rsidRPr="0086183F">
        <w:rPr>
          <w:b w:val="0"/>
          <w:spacing w:val="-12"/>
        </w:rPr>
        <w:t xml:space="preserve"> </w:t>
      </w:r>
      <w:r w:rsidRPr="0086183F">
        <w:rPr>
          <w:b w:val="0"/>
        </w:rPr>
        <w:t>the</w:t>
      </w:r>
      <w:r w:rsidRPr="0086183F">
        <w:rPr>
          <w:b w:val="0"/>
          <w:spacing w:val="-11"/>
        </w:rPr>
        <w:t xml:space="preserve"> </w:t>
      </w:r>
      <w:r w:rsidRPr="0086183F">
        <w:rPr>
          <w:b w:val="0"/>
        </w:rPr>
        <w:t>assessment</w:t>
      </w:r>
      <w:r w:rsidRPr="0086183F">
        <w:rPr>
          <w:b w:val="0"/>
          <w:spacing w:val="-11"/>
        </w:rPr>
        <w:t xml:space="preserve"> </w:t>
      </w:r>
      <w:r w:rsidRPr="0086183F">
        <w:rPr>
          <w:b w:val="0"/>
        </w:rPr>
        <w:t>results</w:t>
      </w:r>
      <w:r w:rsidRPr="0086183F">
        <w:rPr>
          <w:b w:val="0"/>
          <w:spacing w:val="-11"/>
        </w:rPr>
        <w:t xml:space="preserve"> </w:t>
      </w:r>
      <w:r w:rsidRPr="0086183F">
        <w:rPr>
          <w:b w:val="0"/>
        </w:rPr>
        <w:t>show that</w:t>
      </w:r>
      <w:r w:rsidRPr="0086183F">
        <w:rPr>
          <w:b w:val="0"/>
          <w:spacing w:val="-3"/>
        </w:rPr>
        <w:t xml:space="preserve"> </w:t>
      </w:r>
      <w:r w:rsidR="000C4A19">
        <w:rPr>
          <w:b w:val="0"/>
          <w:spacing w:val="-3"/>
        </w:rPr>
        <w:t xml:space="preserve">while </w:t>
      </w:r>
      <w:r w:rsidRPr="0086183F">
        <w:rPr>
          <w:b w:val="0"/>
        </w:rPr>
        <w:t>the</w:t>
      </w:r>
      <w:r w:rsidRPr="0086183F">
        <w:rPr>
          <w:b w:val="0"/>
          <w:spacing w:val="-3"/>
        </w:rPr>
        <w:t xml:space="preserve"> </w:t>
      </w:r>
      <w:r w:rsidRPr="0086183F">
        <w:rPr>
          <w:b w:val="0"/>
        </w:rPr>
        <w:t>stock</w:t>
      </w:r>
      <w:r w:rsidR="00953F45">
        <w:rPr>
          <w:b w:val="0"/>
        </w:rPr>
        <w:t xml:space="preserve"> depletion (SB/SBF=0)</w:t>
      </w:r>
      <w:r w:rsidRPr="0086183F">
        <w:rPr>
          <w:b w:val="0"/>
          <w:spacing w:val="-1"/>
        </w:rPr>
        <w:t xml:space="preserve"> </w:t>
      </w:r>
      <w:r w:rsidR="000C4A19">
        <w:rPr>
          <w:b w:val="0"/>
          <w:spacing w:val="-1"/>
        </w:rPr>
        <w:t xml:space="preserve">has </w:t>
      </w:r>
      <w:r>
        <w:rPr>
          <w:b w:val="0"/>
        </w:rPr>
        <w:t>exhibited a long</w:t>
      </w:r>
      <w:r w:rsidR="00BB2200">
        <w:rPr>
          <w:b w:val="0"/>
        </w:rPr>
        <w:t>-</w:t>
      </w:r>
      <w:r>
        <w:rPr>
          <w:b w:val="0"/>
        </w:rPr>
        <w:t>term decline</w:t>
      </w:r>
      <w:r w:rsidR="00953F45">
        <w:rPr>
          <w:b w:val="0"/>
        </w:rPr>
        <w:t xml:space="preserve"> (Figure SPA-7)</w:t>
      </w:r>
      <w:r>
        <w:rPr>
          <w:b w:val="0"/>
        </w:rPr>
        <w:t xml:space="preserve"> </w:t>
      </w:r>
      <w:r w:rsidR="000C4A19">
        <w:rPr>
          <w:b w:val="0"/>
        </w:rPr>
        <w:t xml:space="preserve">the stock is not in an overfished state and overfishing is not taking place. </w:t>
      </w:r>
    </w:p>
    <w:p w14:paraId="0137C613" w14:textId="77777777" w:rsidR="002B1FB7" w:rsidRDefault="002B1FB7" w:rsidP="001140C2">
      <w:pPr>
        <w:tabs>
          <w:tab w:val="left" w:pos="819"/>
          <w:tab w:val="left" w:pos="820"/>
        </w:tabs>
        <w:rPr>
          <w:b/>
        </w:rPr>
      </w:pPr>
    </w:p>
    <w:p w14:paraId="51A5261F" w14:textId="77777777" w:rsidR="00FA2E6C" w:rsidRDefault="00FA2E6C" w:rsidP="001140C2">
      <w:pPr>
        <w:tabs>
          <w:tab w:val="left" w:pos="819"/>
          <w:tab w:val="left" w:pos="820"/>
        </w:tabs>
        <w:rPr>
          <w:b/>
        </w:rPr>
      </w:pPr>
    </w:p>
    <w:p w14:paraId="2E4032E7" w14:textId="77777777" w:rsidR="007F7A19" w:rsidRDefault="007F7A19" w:rsidP="001140C2">
      <w:pPr>
        <w:tabs>
          <w:tab w:val="left" w:pos="819"/>
          <w:tab w:val="left" w:pos="820"/>
        </w:tabs>
        <w:rPr>
          <w:b/>
        </w:rPr>
      </w:pPr>
    </w:p>
    <w:p w14:paraId="6FED862E" w14:textId="77777777" w:rsidR="007F7A19" w:rsidRDefault="007F7A19" w:rsidP="001140C2">
      <w:pPr>
        <w:tabs>
          <w:tab w:val="left" w:pos="819"/>
          <w:tab w:val="left" w:pos="820"/>
        </w:tabs>
        <w:rPr>
          <w:b/>
        </w:rPr>
      </w:pPr>
    </w:p>
    <w:p w14:paraId="53B6653F" w14:textId="77777777" w:rsidR="001140C2" w:rsidRPr="001140C2" w:rsidRDefault="00C220D8" w:rsidP="001140C2">
      <w:pPr>
        <w:tabs>
          <w:tab w:val="left" w:pos="819"/>
          <w:tab w:val="left" w:pos="820"/>
        </w:tabs>
        <w:rPr>
          <w:b/>
        </w:rPr>
      </w:pPr>
      <w:r>
        <w:rPr>
          <w:b/>
        </w:rPr>
        <w:t xml:space="preserve">SPALB </w:t>
      </w:r>
      <w:r w:rsidR="002B1FB7">
        <w:rPr>
          <w:b/>
        </w:rPr>
        <w:t>Management A</w:t>
      </w:r>
      <w:r w:rsidR="001140C2" w:rsidRPr="001140C2">
        <w:rPr>
          <w:b/>
        </w:rPr>
        <w:t>dvice</w:t>
      </w:r>
    </w:p>
    <w:p w14:paraId="17571162" w14:textId="77777777" w:rsidR="001140C2" w:rsidRDefault="001140C2" w:rsidP="001140C2">
      <w:pPr>
        <w:pStyle w:val="BodyText"/>
        <w:spacing w:before="12"/>
        <w:rPr>
          <w:sz w:val="21"/>
        </w:rPr>
      </w:pPr>
    </w:p>
    <w:p w14:paraId="51F3DA87" w14:textId="77777777" w:rsidR="001140C2" w:rsidRPr="002B1FB7" w:rsidRDefault="001140C2" w:rsidP="001140C2">
      <w:pPr>
        <w:pStyle w:val="BodyText"/>
        <w:spacing w:before="12"/>
        <w:rPr>
          <w:b w:val="0"/>
          <w:sz w:val="21"/>
        </w:rPr>
      </w:pPr>
    </w:p>
    <w:p w14:paraId="13134A1C" w14:textId="4F5CBB27" w:rsidR="001140C2" w:rsidRPr="002B1FB7" w:rsidRDefault="00612B59" w:rsidP="00305E7C">
      <w:pPr>
        <w:pStyle w:val="ListParagraph"/>
        <w:tabs>
          <w:tab w:val="left" w:pos="820"/>
        </w:tabs>
        <w:ind w:right="336"/>
        <w:jc w:val="both"/>
      </w:pPr>
      <w:r w:rsidRPr="002B1FB7">
        <w:t>SC1</w:t>
      </w:r>
      <w:r>
        <w:t>4</w:t>
      </w:r>
      <w:r w:rsidRPr="002B1FB7">
        <w:rPr>
          <w:spacing w:val="-2"/>
        </w:rPr>
        <w:t xml:space="preserve"> </w:t>
      </w:r>
      <w:r w:rsidR="001140C2" w:rsidRPr="002B1FB7">
        <w:t>noted</w:t>
      </w:r>
      <w:r w:rsidR="001140C2" w:rsidRPr="002B1FB7">
        <w:rPr>
          <w:spacing w:val="-4"/>
        </w:rPr>
        <w:t xml:space="preserve"> </w:t>
      </w:r>
      <w:r w:rsidR="001140C2" w:rsidRPr="002B1FB7">
        <w:t>that</w:t>
      </w:r>
      <w:r w:rsidR="001140C2" w:rsidRPr="002B1FB7">
        <w:rPr>
          <w:spacing w:val="-5"/>
        </w:rPr>
        <w:t xml:space="preserve"> </w:t>
      </w:r>
      <w:r w:rsidR="001140C2" w:rsidRPr="002B1FB7">
        <w:t>the</w:t>
      </w:r>
      <w:r w:rsidR="001140C2" w:rsidRPr="002B1FB7">
        <w:rPr>
          <w:spacing w:val="-3"/>
        </w:rPr>
        <w:t xml:space="preserve"> </w:t>
      </w:r>
      <w:r w:rsidR="001140C2" w:rsidRPr="002B1FB7">
        <w:t>preliminary</w:t>
      </w:r>
      <w:r w:rsidR="001140C2" w:rsidRPr="002B1FB7">
        <w:rPr>
          <w:spacing w:val="-4"/>
        </w:rPr>
        <w:t xml:space="preserve"> </w:t>
      </w:r>
      <w:r w:rsidR="001140C2" w:rsidRPr="002B1FB7">
        <w:t>estimate</w:t>
      </w:r>
      <w:r w:rsidR="001140C2" w:rsidRPr="002B1FB7">
        <w:rPr>
          <w:spacing w:val="-3"/>
        </w:rPr>
        <w:t xml:space="preserve"> </w:t>
      </w:r>
      <w:r w:rsidR="001140C2" w:rsidRPr="002B1FB7">
        <w:t>of</w:t>
      </w:r>
      <w:r w:rsidR="001140C2" w:rsidRPr="002B1FB7">
        <w:rPr>
          <w:spacing w:val="-3"/>
        </w:rPr>
        <w:t xml:space="preserve"> </w:t>
      </w:r>
      <w:r w:rsidR="001140C2" w:rsidRPr="002B1FB7">
        <w:t>total</w:t>
      </w:r>
      <w:r w:rsidR="001140C2" w:rsidRPr="002B1FB7">
        <w:rPr>
          <w:spacing w:val="-4"/>
        </w:rPr>
        <w:t xml:space="preserve"> </w:t>
      </w:r>
      <w:r w:rsidR="001140C2" w:rsidRPr="002B1FB7">
        <w:t>catch</w:t>
      </w:r>
      <w:r w:rsidR="001140C2" w:rsidRPr="002B1FB7">
        <w:rPr>
          <w:spacing w:val="-4"/>
        </w:rPr>
        <w:t xml:space="preserve"> </w:t>
      </w:r>
      <w:r w:rsidR="001140C2" w:rsidRPr="002B1FB7">
        <w:t>of</w:t>
      </w:r>
      <w:r w:rsidR="001140C2" w:rsidRPr="002B1FB7">
        <w:rPr>
          <w:spacing w:val="-3"/>
        </w:rPr>
        <w:t xml:space="preserve"> </w:t>
      </w:r>
      <w:r w:rsidR="001140C2" w:rsidRPr="002B1FB7">
        <w:t>south</w:t>
      </w:r>
      <w:r w:rsidR="001140C2" w:rsidRPr="002B1FB7">
        <w:rPr>
          <w:spacing w:val="-4"/>
        </w:rPr>
        <w:t xml:space="preserve"> </w:t>
      </w:r>
      <w:r w:rsidR="001140C2" w:rsidRPr="002B1FB7">
        <w:t>Pacific</w:t>
      </w:r>
      <w:r w:rsidR="001140C2" w:rsidRPr="002B1FB7">
        <w:rPr>
          <w:spacing w:val="-2"/>
        </w:rPr>
        <w:t xml:space="preserve"> </w:t>
      </w:r>
      <w:r w:rsidR="001140C2" w:rsidRPr="002B1FB7">
        <w:t>albacore</w:t>
      </w:r>
      <w:r w:rsidR="001140C2" w:rsidRPr="002B1FB7">
        <w:rPr>
          <w:spacing w:val="-3"/>
        </w:rPr>
        <w:t xml:space="preserve"> </w:t>
      </w:r>
      <w:r w:rsidR="001140C2" w:rsidRPr="002B1FB7">
        <w:t>(within</w:t>
      </w:r>
      <w:r w:rsidR="001140C2" w:rsidRPr="002B1FB7">
        <w:rPr>
          <w:spacing w:val="-6"/>
        </w:rPr>
        <w:t xml:space="preserve"> </w:t>
      </w:r>
      <w:r w:rsidR="001140C2" w:rsidRPr="002B1FB7">
        <w:t>the WCPF</w:t>
      </w:r>
      <w:r w:rsidR="0054408F">
        <w:t>C</w:t>
      </w:r>
      <w:r w:rsidR="001140C2" w:rsidRPr="002B1FB7">
        <w:t xml:space="preserve"> Convention Are</w:t>
      </w:r>
      <w:r w:rsidR="00E66F8C">
        <w:t>a south of the equator) for 2017</w:t>
      </w:r>
      <w:r w:rsidR="001140C2" w:rsidRPr="002B1FB7">
        <w:t xml:space="preserve"> was </w:t>
      </w:r>
      <w:r>
        <w:t>75,707</w:t>
      </w:r>
      <w:r w:rsidR="00E23A0C">
        <w:t>m</w:t>
      </w:r>
      <w:r w:rsidRPr="00612B59">
        <w:t>t</w:t>
      </w:r>
      <w:r>
        <w:t xml:space="preserve">, </w:t>
      </w:r>
      <w:r w:rsidR="00E66F8C">
        <w:t>which was a</w:t>
      </w:r>
      <w:r>
        <w:t xml:space="preserve"> 33</w:t>
      </w:r>
      <w:r w:rsidR="00E66F8C">
        <w:t xml:space="preserve">% </w:t>
      </w:r>
      <w:r>
        <w:t>in</w:t>
      </w:r>
      <w:r w:rsidR="00E66F8C">
        <w:t xml:space="preserve">crease from 2016 and a </w:t>
      </w:r>
      <w:r>
        <w:t>13</w:t>
      </w:r>
      <w:r w:rsidR="00E66F8C">
        <w:t xml:space="preserve">% </w:t>
      </w:r>
      <w:r>
        <w:t>in</w:t>
      </w:r>
      <w:r w:rsidR="00E66F8C">
        <w:t>crease over 2012-2016</w:t>
      </w:r>
      <w:r w:rsidR="001140C2" w:rsidRPr="002B1FB7">
        <w:t>. (</w:t>
      </w:r>
      <w:proofErr w:type="gramStart"/>
      <w:r w:rsidR="001140C2" w:rsidRPr="002B1FB7">
        <w:t>see</w:t>
      </w:r>
      <w:r w:rsidR="007F7A19">
        <w:t xml:space="preserve"> </w:t>
      </w:r>
      <w:r w:rsidR="001140C2" w:rsidRPr="002B1FB7">
        <w:rPr>
          <w:spacing w:val="-29"/>
        </w:rPr>
        <w:t xml:space="preserve"> </w:t>
      </w:r>
      <w:r w:rsidR="00E66F8C">
        <w:t>SC</w:t>
      </w:r>
      <w:proofErr w:type="gramEnd"/>
      <w:r w:rsidR="00E66F8C">
        <w:t>14-WCPFC-2018</w:t>
      </w:r>
      <w:r w:rsidR="001140C2" w:rsidRPr="002B1FB7">
        <w:t>/SA-WP-02).</w:t>
      </w:r>
      <w:r w:rsidR="0038670E">
        <w:t xml:space="preserve"> [adopted]</w:t>
      </w:r>
    </w:p>
    <w:p w14:paraId="660ECF37" w14:textId="77777777" w:rsidR="001140C2" w:rsidRPr="002B1FB7" w:rsidRDefault="001140C2" w:rsidP="001140C2">
      <w:pPr>
        <w:pStyle w:val="BodyText"/>
        <w:rPr>
          <w:b w:val="0"/>
        </w:rPr>
      </w:pPr>
    </w:p>
    <w:p w14:paraId="61304FEA" w14:textId="0B1EB14A" w:rsidR="001140C2" w:rsidRPr="002B1FB7" w:rsidRDefault="001140C2" w:rsidP="00305E7C">
      <w:pPr>
        <w:pStyle w:val="ListParagraph"/>
        <w:tabs>
          <w:tab w:val="left" w:pos="819"/>
          <w:tab w:val="left" w:pos="820"/>
        </w:tabs>
        <w:ind w:right="114"/>
      </w:pPr>
      <w:r w:rsidRPr="002B1FB7">
        <w:t>Preliminary catch</w:t>
      </w:r>
      <w:r w:rsidR="00496959">
        <w:t xml:space="preserve"> for longliners</w:t>
      </w:r>
      <w:r w:rsidRPr="002B1FB7">
        <w:t xml:space="preserve"> in 201</w:t>
      </w:r>
      <w:r w:rsidR="00976A4E">
        <w:t>7 (</w:t>
      </w:r>
      <w:r w:rsidR="00612B59">
        <w:t>72</w:t>
      </w:r>
      <w:r w:rsidR="00612B59" w:rsidRPr="00612B59">
        <w:t>,</w:t>
      </w:r>
      <w:r w:rsidR="00612B59">
        <w:t>785</w:t>
      </w:r>
      <w:r w:rsidR="00E23A0C">
        <w:t>m</w:t>
      </w:r>
      <w:r w:rsidR="00976A4E">
        <w:t xml:space="preserve">t) was </w:t>
      </w:r>
      <w:r w:rsidR="00612B59">
        <w:t>34</w:t>
      </w:r>
      <w:r w:rsidRPr="002B1FB7">
        <w:t xml:space="preserve">% </w:t>
      </w:r>
      <w:r w:rsidR="00976A4E">
        <w:t xml:space="preserve">higher compared with 2016 and a </w:t>
      </w:r>
      <w:r w:rsidR="00612B59">
        <w:t>14</w:t>
      </w:r>
      <w:r w:rsidRPr="002B1FB7">
        <w:t xml:space="preserve">% </w:t>
      </w:r>
      <w:r w:rsidR="00C6573C">
        <w:t>increase</w:t>
      </w:r>
      <w:r w:rsidR="00C6573C" w:rsidRPr="002B1FB7">
        <w:t xml:space="preserve"> </w:t>
      </w:r>
      <w:r w:rsidRPr="002B1FB7">
        <w:t>over 201</w:t>
      </w:r>
      <w:r w:rsidR="00976A4E">
        <w:t>2-2016</w:t>
      </w:r>
      <w:r w:rsidRPr="002B1FB7">
        <w:t>. Prelim</w:t>
      </w:r>
      <w:r w:rsidR="00976A4E">
        <w:t xml:space="preserve">inary </w:t>
      </w:r>
      <w:r w:rsidR="00612B59">
        <w:t xml:space="preserve">other gear (primarily </w:t>
      </w:r>
      <w:r w:rsidR="00976A4E">
        <w:t>troll</w:t>
      </w:r>
      <w:r w:rsidR="00612B59">
        <w:t>)</w:t>
      </w:r>
      <w:r w:rsidR="00976A4E">
        <w:t xml:space="preserve"> catch in </w:t>
      </w:r>
      <w:r w:rsidR="00612B59">
        <w:t xml:space="preserve">2017 </w:t>
      </w:r>
      <w:r w:rsidR="00976A4E">
        <w:t>(</w:t>
      </w:r>
      <w:r w:rsidR="00612B59">
        <w:t>2,896</w:t>
      </w:r>
      <w:r w:rsidRPr="002B1FB7">
        <w:t xml:space="preserve">t) </w:t>
      </w:r>
      <w:r w:rsidR="00976A4E">
        <w:t xml:space="preserve">was </w:t>
      </w:r>
      <w:r w:rsidR="00612B59">
        <w:t>17</w:t>
      </w:r>
      <w:r w:rsidR="00976A4E">
        <w:t>% higher</w:t>
      </w:r>
      <w:r w:rsidR="00612B59">
        <w:t xml:space="preserve"> </w:t>
      </w:r>
      <w:r w:rsidR="00976A4E">
        <w:t xml:space="preserve">compared with </w:t>
      </w:r>
      <w:r w:rsidR="00612B59">
        <w:t>2016</w:t>
      </w:r>
      <w:r w:rsidR="00612B59" w:rsidRPr="002B1FB7">
        <w:t xml:space="preserve"> </w:t>
      </w:r>
      <w:r w:rsidR="00612B59">
        <w:t>but</w:t>
      </w:r>
      <w:r w:rsidRPr="002B1FB7">
        <w:t xml:space="preserve"> </w:t>
      </w:r>
      <w:r w:rsidR="00976A4E">
        <w:t xml:space="preserve">a </w:t>
      </w:r>
      <w:r w:rsidR="00612B59">
        <w:t>1</w:t>
      </w:r>
      <w:r w:rsidR="00976A4E">
        <w:t>% decrease over 2012-2016</w:t>
      </w:r>
      <w:r w:rsidR="00976A4E" w:rsidRPr="002B1FB7">
        <w:t>. (</w:t>
      </w:r>
      <w:proofErr w:type="gramStart"/>
      <w:r w:rsidR="00976A4E" w:rsidRPr="002B1FB7">
        <w:t>see</w:t>
      </w:r>
      <w:r w:rsidR="007F7A19">
        <w:t xml:space="preserve"> </w:t>
      </w:r>
      <w:r w:rsidR="00976A4E" w:rsidRPr="002B1FB7">
        <w:rPr>
          <w:spacing w:val="-29"/>
        </w:rPr>
        <w:t xml:space="preserve"> </w:t>
      </w:r>
      <w:r w:rsidR="00976A4E">
        <w:t>SC</w:t>
      </w:r>
      <w:proofErr w:type="gramEnd"/>
      <w:r w:rsidR="00976A4E">
        <w:t>14-WCPFC-2018</w:t>
      </w:r>
      <w:r w:rsidR="00976A4E" w:rsidRPr="002B1FB7">
        <w:t>/SA-WP-02).</w:t>
      </w:r>
      <w:r w:rsidR="0038670E">
        <w:t xml:space="preserve"> [adopted]</w:t>
      </w:r>
    </w:p>
    <w:p w14:paraId="1576A32B" w14:textId="77777777" w:rsidR="00305E7C" w:rsidRPr="002B1FB7" w:rsidRDefault="00305E7C" w:rsidP="00305E7C">
      <w:pPr>
        <w:pStyle w:val="ListParagraph"/>
        <w:tabs>
          <w:tab w:val="left" w:pos="819"/>
          <w:tab w:val="left" w:pos="820"/>
        </w:tabs>
        <w:ind w:right="114"/>
      </w:pPr>
    </w:p>
    <w:p w14:paraId="035E7653" w14:textId="6119F599" w:rsidR="00305E7C" w:rsidRPr="002B1FB7" w:rsidRDefault="00305E7C" w:rsidP="00305E7C">
      <w:pPr>
        <w:pStyle w:val="ListParagraph"/>
        <w:tabs>
          <w:tab w:val="left" w:pos="820"/>
        </w:tabs>
        <w:ind w:right="114"/>
      </w:pPr>
      <w:r w:rsidRPr="002B1FB7">
        <w:t>Based</w:t>
      </w:r>
      <w:r w:rsidRPr="002B1FB7">
        <w:rPr>
          <w:spacing w:val="-4"/>
        </w:rPr>
        <w:t xml:space="preserve"> </w:t>
      </w:r>
      <w:r w:rsidRPr="002B1FB7">
        <w:t>on</w:t>
      </w:r>
      <w:r w:rsidRPr="002B1FB7">
        <w:rPr>
          <w:spacing w:val="-6"/>
        </w:rPr>
        <w:t xml:space="preserve"> </w:t>
      </w:r>
      <w:r w:rsidRPr="002B1FB7">
        <w:t>the</w:t>
      </w:r>
      <w:r w:rsidRPr="002B1FB7">
        <w:rPr>
          <w:spacing w:val="-5"/>
        </w:rPr>
        <w:t xml:space="preserve"> </w:t>
      </w:r>
      <w:r w:rsidRPr="002B1FB7">
        <w:t>uncertainty</w:t>
      </w:r>
      <w:r w:rsidRPr="002B1FB7">
        <w:rPr>
          <w:spacing w:val="-6"/>
        </w:rPr>
        <w:t xml:space="preserve"> </w:t>
      </w:r>
      <w:r w:rsidRPr="002B1FB7">
        <w:t>grid</w:t>
      </w:r>
      <w:r w:rsidRPr="002B1FB7">
        <w:rPr>
          <w:spacing w:val="-6"/>
        </w:rPr>
        <w:t xml:space="preserve"> </w:t>
      </w:r>
      <w:r w:rsidRPr="002B1FB7">
        <w:t>adopted</w:t>
      </w:r>
      <w:r w:rsidRPr="002B1FB7">
        <w:rPr>
          <w:spacing w:val="-4"/>
        </w:rPr>
        <w:t xml:space="preserve"> </w:t>
      </w:r>
      <w:r w:rsidRPr="002B1FB7">
        <w:t>by</w:t>
      </w:r>
      <w:r w:rsidRPr="002B1FB7">
        <w:rPr>
          <w:spacing w:val="-6"/>
        </w:rPr>
        <w:t xml:space="preserve"> </w:t>
      </w:r>
      <w:r w:rsidRPr="002B1FB7">
        <w:t>SC14,</w:t>
      </w:r>
      <w:r w:rsidRPr="002B1FB7">
        <w:rPr>
          <w:spacing w:val="-6"/>
        </w:rPr>
        <w:t xml:space="preserve"> </w:t>
      </w:r>
      <w:r w:rsidRPr="002B1FB7">
        <w:t>the</w:t>
      </w:r>
      <w:r w:rsidRPr="002B1FB7">
        <w:rPr>
          <w:spacing w:val="-5"/>
        </w:rPr>
        <w:t xml:space="preserve"> </w:t>
      </w:r>
      <w:r w:rsidRPr="002B1FB7">
        <w:t>WCPO</w:t>
      </w:r>
      <w:r w:rsidRPr="002B1FB7">
        <w:rPr>
          <w:spacing w:val="-4"/>
        </w:rPr>
        <w:t xml:space="preserve"> </w:t>
      </w:r>
      <w:r w:rsidR="00C6573C">
        <w:t>albacore</w:t>
      </w:r>
      <w:r w:rsidR="00C6573C" w:rsidRPr="002B1FB7">
        <w:rPr>
          <w:spacing w:val="-5"/>
        </w:rPr>
        <w:t xml:space="preserve"> </w:t>
      </w:r>
      <w:r w:rsidRPr="002B1FB7">
        <w:t>tuna</w:t>
      </w:r>
      <w:r w:rsidRPr="002B1FB7">
        <w:rPr>
          <w:spacing w:val="-6"/>
        </w:rPr>
        <w:t xml:space="preserve"> </w:t>
      </w:r>
      <w:r w:rsidRPr="002B1FB7">
        <w:t>spawning</w:t>
      </w:r>
      <w:r w:rsidRPr="002B1FB7">
        <w:rPr>
          <w:spacing w:val="-4"/>
        </w:rPr>
        <w:t xml:space="preserve"> </w:t>
      </w:r>
      <w:r w:rsidRPr="002B1FB7">
        <w:t>biomass</w:t>
      </w:r>
      <w:r w:rsidRPr="002B1FB7">
        <w:rPr>
          <w:spacing w:val="-5"/>
        </w:rPr>
        <w:t xml:space="preserve"> </w:t>
      </w:r>
      <w:r w:rsidRPr="002B1FB7">
        <w:t xml:space="preserve">is very </w:t>
      </w:r>
      <w:r w:rsidRPr="002B1FB7">
        <w:rPr>
          <w:position w:val="2"/>
        </w:rPr>
        <w:t xml:space="preserve">likely </w:t>
      </w:r>
      <w:r w:rsidR="00C6573C">
        <w:rPr>
          <w:position w:val="2"/>
        </w:rPr>
        <w:t xml:space="preserve">to be </w:t>
      </w:r>
      <w:r w:rsidRPr="002B1FB7">
        <w:rPr>
          <w:position w:val="2"/>
        </w:rPr>
        <w:t>above the biomass LRP and recent F is very likely below F</w:t>
      </w:r>
      <w:r w:rsidRPr="002B1FB7">
        <w:rPr>
          <w:sz w:val="14"/>
        </w:rPr>
        <w:t>MSY</w:t>
      </w:r>
      <w:r w:rsidRPr="002B1FB7">
        <w:rPr>
          <w:position w:val="2"/>
        </w:rPr>
        <w:t xml:space="preserve">, and therefore </w:t>
      </w:r>
      <w:r w:rsidRPr="002B1FB7">
        <w:t>the</w:t>
      </w:r>
      <w:r w:rsidRPr="002B1FB7">
        <w:rPr>
          <w:spacing w:val="-10"/>
        </w:rPr>
        <w:t xml:space="preserve"> </w:t>
      </w:r>
      <w:r w:rsidRPr="002B1FB7">
        <w:t>stock</w:t>
      </w:r>
      <w:r w:rsidRPr="002B1FB7">
        <w:rPr>
          <w:spacing w:val="-8"/>
        </w:rPr>
        <w:t xml:space="preserve"> </w:t>
      </w:r>
      <w:r w:rsidRPr="002B1FB7">
        <w:t>is</w:t>
      </w:r>
      <w:r w:rsidRPr="002B1FB7">
        <w:rPr>
          <w:spacing w:val="-8"/>
        </w:rPr>
        <w:t xml:space="preserve"> </w:t>
      </w:r>
      <w:r w:rsidRPr="002B1FB7">
        <w:t>not</w:t>
      </w:r>
      <w:r w:rsidRPr="002B1FB7">
        <w:rPr>
          <w:spacing w:val="-10"/>
        </w:rPr>
        <w:t xml:space="preserve"> </w:t>
      </w:r>
      <w:r w:rsidRPr="002B1FB7">
        <w:t>experiencing</w:t>
      </w:r>
      <w:r w:rsidRPr="002B1FB7">
        <w:rPr>
          <w:spacing w:val="-11"/>
        </w:rPr>
        <w:t xml:space="preserve"> </w:t>
      </w:r>
      <w:r w:rsidRPr="002B1FB7">
        <w:t>overfishing</w:t>
      </w:r>
      <w:r w:rsidRPr="002B1FB7">
        <w:rPr>
          <w:spacing w:val="-11"/>
        </w:rPr>
        <w:t xml:space="preserve"> </w:t>
      </w:r>
      <w:r w:rsidR="0038670E" w:rsidRPr="002B1FB7">
        <w:t>(</w:t>
      </w:r>
      <w:r w:rsidR="0038670E">
        <w:t>100</w:t>
      </w:r>
      <w:r w:rsidR="0038670E" w:rsidRPr="002B1FB7">
        <w:t>%</w:t>
      </w:r>
      <w:r w:rsidR="0038670E" w:rsidRPr="002B1FB7">
        <w:rPr>
          <w:spacing w:val="-26"/>
        </w:rPr>
        <w:t xml:space="preserve"> </w:t>
      </w:r>
      <w:r w:rsidR="0038670E" w:rsidRPr="002B1FB7">
        <w:t>probability</w:t>
      </w:r>
      <w:r w:rsidR="0038670E">
        <w:t xml:space="preserve"> F &lt; F</w:t>
      </w:r>
      <w:r w:rsidR="0038670E" w:rsidRPr="00FA2E6C">
        <w:rPr>
          <w:vertAlign w:val="subscript"/>
        </w:rPr>
        <w:t>MSY</w:t>
      </w:r>
      <w:r w:rsidR="0038670E" w:rsidRPr="002B1FB7">
        <w:t>)</w:t>
      </w:r>
      <w:r w:rsidR="0038670E" w:rsidRPr="0038670E">
        <w:t xml:space="preserve"> </w:t>
      </w:r>
      <w:r w:rsidRPr="002B1FB7">
        <w:t xml:space="preserve">and is not in an overfished condition </w:t>
      </w:r>
      <w:r w:rsidR="0038670E" w:rsidRPr="002B1FB7">
        <w:t>(</w:t>
      </w:r>
      <w:r w:rsidR="0038670E">
        <w:t>100</w:t>
      </w:r>
      <w:r w:rsidR="0038670E" w:rsidRPr="002B1FB7">
        <w:t>% probability</w:t>
      </w:r>
      <w:r w:rsidR="0038670E">
        <w:t xml:space="preserve"> SB</w:t>
      </w:r>
      <w:r w:rsidR="0038670E" w:rsidRPr="00FA2E6C">
        <w:rPr>
          <w:vertAlign w:val="subscript"/>
        </w:rPr>
        <w:t>recent</w:t>
      </w:r>
      <w:r w:rsidR="0038670E">
        <w:t xml:space="preserve"> &gt; LRP</w:t>
      </w:r>
      <w:r w:rsidR="0038670E" w:rsidRPr="002B1FB7">
        <w:t>)</w:t>
      </w:r>
      <w:r w:rsidRPr="002B1FB7">
        <w:t>.</w:t>
      </w:r>
      <w:r w:rsidR="0038670E">
        <w:t xml:space="preserve"> [adopted]</w:t>
      </w:r>
    </w:p>
    <w:p w14:paraId="59EE0F7D" w14:textId="77777777" w:rsidR="00305E7C" w:rsidRPr="002B1FB7" w:rsidRDefault="00305E7C" w:rsidP="00305E7C">
      <w:pPr>
        <w:pStyle w:val="BodyText"/>
        <w:rPr>
          <w:b w:val="0"/>
        </w:rPr>
      </w:pPr>
    </w:p>
    <w:p w14:paraId="363A0CBF" w14:textId="10474E5A" w:rsidR="001140C2" w:rsidRPr="002B1FB7" w:rsidRDefault="0059776B" w:rsidP="00305E7C">
      <w:pPr>
        <w:pStyle w:val="ListParagraph"/>
        <w:tabs>
          <w:tab w:val="left" w:pos="819"/>
          <w:tab w:val="left" w:pos="820"/>
        </w:tabs>
        <w:ind w:right="108"/>
      </w:pPr>
      <w:r w:rsidRPr="002B1FB7">
        <w:t>SC14</w:t>
      </w:r>
      <w:r w:rsidR="001140C2" w:rsidRPr="002B1FB7">
        <w:t xml:space="preserve"> recall</w:t>
      </w:r>
      <w:r w:rsidR="009E1771">
        <w:t>ed</w:t>
      </w:r>
      <w:r w:rsidR="001140C2" w:rsidRPr="002B1FB7">
        <w:t xml:space="preserve"> its previous advice from SC11</w:t>
      </w:r>
      <w:r w:rsidR="0038670E">
        <w:t>,</w:t>
      </w:r>
      <w:r w:rsidR="001140C2" w:rsidRPr="002B1FB7">
        <w:t xml:space="preserve"> SC12</w:t>
      </w:r>
      <w:r w:rsidR="0038670E">
        <w:t>, and SC13</w:t>
      </w:r>
      <w:r w:rsidR="001140C2" w:rsidRPr="002B1FB7">
        <w:t xml:space="preserve"> that longline fishing mortality and longline catch be reduced to avoid decline in the vulnerable biomass so that economically viable catch rates can be maintained, especially for longline catch of adult</w:t>
      </w:r>
      <w:r w:rsidR="001140C2" w:rsidRPr="002B1FB7">
        <w:rPr>
          <w:spacing w:val="-3"/>
        </w:rPr>
        <w:t xml:space="preserve"> </w:t>
      </w:r>
      <w:r w:rsidR="001140C2" w:rsidRPr="002B1FB7">
        <w:t>albacore.</w:t>
      </w:r>
      <w:r w:rsidR="001140C2" w:rsidRPr="002B1FB7">
        <w:rPr>
          <w:spacing w:val="-4"/>
        </w:rPr>
        <w:t xml:space="preserve"> </w:t>
      </w:r>
      <w:r w:rsidRPr="002B1FB7">
        <w:t>SC14</w:t>
      </w:r>
      <w:r w:rsidR="001140C2" w:rsidRPr="002B1FB7">
        <w:rPr>
          <w:spacing w:val="-2"/>
        </w:rPr>
        <w:t xml:space="preserve"> </w:t>
      </w:r>
      <w:r w:rsidR="001140C2" w:rsidRPr="002B1FB7">
        <w:t>recommends</w:t>
      </w:r>
      <w:r w:rsidR="001140C2" w:rsidRPr="002B1FB7">
        <w:rPr>
          <w:spacing w:val="-2"/>
        </w:rPr>
        <w:t xml:space="preserve"> </w:t>
      </w:r>
      <w:r w:rsidR="001140C2" w:rsidRPr="002B1FB7">
        <w:t>that</w:t>
      </w:r>
      <w:r w:rsidR="001140C2" w:rsidRPr="002B1FB7">
        <w:rPr>
          <w:spacing w:val="-3"/>
        </w:rPr>
        <w:t xml:space="preserve"> </w:t>
      </w:r>
      <w:r w:rsidR="001140C2" w:rsidRPr="002B1FB7">
        <w:t>this</w:t>
      </w:r>
      <w:r w:rsidR="001140C2" w:rsidRPr="002B1FB7">
        <w:rPr>
          <w:spacing w:val="-2"/>
        </w:rPr>
        <w:t xml:space="preserve"> </w:t>
      </w:r>
      <w:r w:rsidR="001140C2" w:rsidRPr="002B1FB7">
        <w:t>advice</w:t>
      </w:r>
      <w:r w:rsidR="001140C2" w:rsidRPr="002B1FB7">
        <w:rPr>
          <w:spacing w:val="-3"/>
        </w:rPr>
        <w:t xml:space="preserve"> </w:t>
      </w:r>
      <w:r w:rsidR="001140C2" w:rsidRPr="002B1FB7">
        <w:t>be</w:t>
      </w:r>
      <w:r w:rsidR="001140C2" w:rsidRPr="002B1FB7">
        <w:rPr>
          <w:spacing w:val="-3"/>
        </w:rPr>
        <w:t xml:space="preserve"> </w:t>
      </w:r>
      <w:r w:rsidR="001140C2" w:rsidRPr="002B1FB7">
        <w:t>taken</w:t>
      </w:r>
      <w:r w:rsidR="001140C2" w:rsidRPr="002B1FB7">
        <w:rPr>
          <w:spacing w:val="-4"/>
        </w:rPr>
        <w:t xml:space="preserve"> </w:t>
      </w:r>
      <w:r w:rsidR="001140C2" w:rsidRPr="002B1FB7">
        <w:t>into</w:t>
      </w:r>
      <w:r w:rsidR="001140C2" w:rsidRPr="002B1FB7">
        <w:rPr>
          <w:spacing w:val="-4"/>
        </w:rPr>
        <w:t xml:space="preserve"> </w:t>
      </w:r>
      <w:r w:rsidR="001140C2" w:rsidRPr="002B1FB7">
        <w:t>consideration</w:t>
      </w:r>
      <w:r w:rsidR="001140C2" w:rsidRPr="002B1FB7">
        <w:rPr>
          <w:spacing w:val="-6"/>
        </w:rPr>
        <w:t xml:space="preserve"> </w:t>
      </w:r>
      <w:r w:rsidR="001140C2" w:rsidRPr="002B1FB7">
        <w:t>when</w:t>
      </w:r>
      <w:r w:rsidR="001140C2" w:rsidRPr="002B1FB7">
        <w:rPr>
          <w:spacing w:val="-4"/>
        </w:rPr>
        <w:t xml:space="preserve"> </w:t>
      </w:r>
      <w:r w:rsidR="001140C2" w:rsidRPr="002B1FB7">
        <w:t>the</w:t>
      </w:r>
      <w:r w:rsidR="001140C2" w:rsidRPr="002B1FB7">
        <w:rPr>
          <w:spacing w:val="-3"/>
        </w:rPr>
        <w:t xml:space="preserve"> </w:t>
      </w:r>
      <w:r w:rsidR="001140C2" w:rsidRPr="002B1FB7">
        <w:t>TRP</w:t>
      </w:r>
      <w:r w:rsidR="001140C2" w:rsidRPr="002B1FB7">
        <w:rPr>
          <w:spacing w:val="-3"/>
        </w:rPr>
        <w:t xml:space="preserve"> </w:t>
      </w:r>
      <w:r w:rsidR="001140C2" w:rsidRPr="002B1FB7">
        <w:t>for</w:t>
      </w:r>
      <w:r w:rsidR="001140C2" w:rsidRPr="002B1FB7">
        <w:rPr>
          <w:spacing w:val="-2"/>
        </w:rPr>
        <w:t xml:space="preserve"> </w:t>
      </w:r>
      <w:r w:rsidR="001140C2" w:rsidRPr="002B1FB7">
        <w:t>South Pacific albacore is discussed at</w:t>
      </w:r>
      <w:r w:rsidR="001140C2" w:rsidRPr="002B1FB7">
        <w:rPr>
          <w:spacing w:val="-24"/>
        </w:rPr>
        <w:t xml:space="preserve"> </w:t>
      </w:r>
      <w:r w:rsidRPr="002B1FB7">
        <w:t>WCPFC15</w:t>
      </w:r>
      <w:r w:rsidR="001140C2" w:rsidRPr="002B1FB7">
        <w:t>.</w:t>
      </w:r>
      <w:r w:rsidR="0038670E">
        <w:t xml:space="preserve"> [adopted]</w:t>
      </w:r>
    </w:p>
    <w:p w14:paraId="6C07DD8A" w14:textId="417F478B" w:rsidR="00F219A3" w:rsidRDefault="00F219A3"/>
    <w:p w14:paraId="4AE88387" w14:textId="550AAF54" w:rsidR="00C2491F" w:rsidRDefault="00C2491F"/>
    <w:p w14:paraId="30A79058" w14:textId="43B9B8A5" w:rsidR="00C2491F" w:rsidRDefault="00C2491F">
      <w:r>
        <w:t>Table SPA-1. Description of the structural sensitivity grid used to characterize uncertainty in the 2018 south Pacific albacore assessment. Levels used within the diagnostic case are starred.</w:t>
      </w:r>
      <w:r w:rsidR="00F64A7D" w:rsidDel="00F64A7D">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560"/>
        <w:gridCol w:w="4955"/>
      </w:tblGrid>
      <w:tr w:rsidR="00F64A7D" w:rsidRPr="00F64A7D" w14:paraId="53396218" w14:textId="77777777" w:rsidTr="00FA2E6C">
        <w:tc>
          <w:tcPr>
            <w:tcW w:w="2835" w:type="dxa"/>
            <w:tcBorders>
              <w:top w:val="single" w:sz="4" w:space="0" w:color="auto"/>
              <w:bottom w:val="single" w:sz="4" w:space="0" w:color="auto"/>
            </w:tcBorders>
          </w:tcPr>
          <w:p w14:paraId="0412DF14" w14:textId="0F808B1D" w:rsidR="00F64A7D" w:rsidRPr="00FA2E6C" w:rsidRDefault="00F64A7D">
            <w:pPr>
              <w:rPr>
                <w:sz w:val="24"/>
              </w:rPr>
            </w:pPr>
            <w:r w:rsidRPr="00FA2E6C">
              <w:rPr>
                <w:sz w:val="24"/>
              </w:rPr>
              <w:t>Axis</w:t>
            </w:r>
          </w:p>
        </w:tc>
        <w:tc>
          <w:tcPr>
            <w:tcW w:w="1560" w:type="dxa"/>
            <w:tcBorders>
              <w:top w:val="single" w:sz="4" w:space="0" w:color="auto"/>
              <w:bottom w:val="single" w:sz="4" w:space="0" w:color="auto"/>
            </w:tcBorders>
          </w:tcPr>
          <w:p w14:paraId="6304C579" w14:textId="20F9314B" w:rsidR="00F64A7D" w:rsidRPr="00FA2E6C" w:rsidRDefault="00F64A7D" w:rsidP="00FA2E6C">
            <w:pPr>
              <w:jc w:val="center"/>
              <w:rPr>
                <w:sz w:val="24"/>
              </w:rPr>
            </w:pPr>
            <w:r w:rsidRPr="00FA2E6C">
              <w:rPr>
                <w:sz w:val="24"/>
              </w:rPr>
              <w:t>Levels</w:t>
            </w:r>
          </w:p>
        </w:tc>
        <w:tc>
          <w:tcPr>
            <w:tcW w:w="4955" w:type="dxa"/>
            <w:tcBorders>
              <w:top w:val="single" w:sz="4" w:space="0" w:color="auto"/>
              <w:bottom w:val="single" w:sz="4" w:space="0" w:color="auto"/>
            </w:tcBorders>
          </w:tcPr>
          <w:p w14:paraId="4918B089" w14:textId="3A0FB56D" w:rsidR="00F64A7D" w:rsidRPr="00FA2E6C" w:rsidRDefault="00F64A7D">
            <w:pPr>
              <w:rPr>
                <w:sz w:val="24"/>
              </w:rPr>
            </w:pPr>
            <w:r w:rsidRPr="00FA2E6C">
              <w:rPr>
                <w:sz w:val="24"/>
              </w:rPr>
              <w:t>Option</w:t>
            </w:r>
          </w:p>
        </w:tc>
      </w:tr>
      <w:tr w:rsidR="00F64A7D" w:rsidRPr="00F64A7D" w14:paraId="75AEC83C" w14:textId="77777777" w:rsidTr="00FA2E6C">
        <w:tc>
          <w:tcPr>
            <w:tcW w:w="2835" w:type="dxa"/>
            <w:tcBorders>
              <w:top w:val="single" w:sz="4" w:space="0" w:color="auto"/>
            </w:tcBorders>
          </w:tcPr>
          <w:p w14:paraId="5B7502E4" w14:textId="2843AAE6" w:rsidR="00F64A7D" w:rsidRPr="00FA2E6C" w:rsidRDefault="00F64A7D">
            <w:pPr>
              <w:rPr>
                <w:sz w:val="24"/>
              </w:rPr>
            </w:pPr>
            <w:r w:rsidRPr="00FA2E6C">
              <w:rPr>
                <w:sz w:val="24"/>
              </w:rPr>
              <w:t>Steepness</w:t>
            </w:r>
          </w:p>
        </w:tc>
        <w:tc>
          <w:tcPr>
            <w:tcW w:w="1560" w:type="dxa"/>
            <w:tcBorders>
              <w:top w:val="single" w:sz="4" w:space="0" w:color="auto"/>
            </w:tcBorders>
          </w:tcPr>
          <w:p w14:paraId="32FCCC4E" w14:textId="46FFFE7D" w:rsidR="00F64A7D" w:rsidRPr="00FA2E6C" w:rsidRDefault="00F64A7D" w:rsidP="00FA2E6C">
            <w:pPr>
              <w:jc w:val="center"/>
              <w:rPr>
                <w:sz w:val="24"/>
              </w:rPr>
            </w:pPr>
            <w:r w:rsidRPr="00FA2E6C">
              <w:rPr>
                <w:sz w:val="24"/>
              </w:rPr>
              <w:t>3</w:t>
            </w:r>
          </w:p>
        </w:tc>
        <w:tc>
          <w:tcPr>
            <w:tcW w:w="4955" w:type="dxa"/>
            <w:tcBorders>
              <w:top w:val="single" w:sz="4" w:space="0" w:color="auto"/>
            </w:tcBorders>
          </w:tcPr>
          <w:p w14:paraId="2736A042" w14:textId="53D5D6A8" w:rsidR="00F64A7D" w:rsidRPr="00FA2E6C" w:rsidRDefault="00F64A7D">
            <w:pPr>
              <w:rPr>
                <w:sz w:val="24"/>
              </w:rPr>
            </w:pPr>
            <w:r w:rsidRPr="00FA2E6C">
              <w:rPr>
                <w:sz w:val="24"/>
              </w:rPr>
              <w:t>0.65, 0.80*, 0.95</w:t>
            </w:r>
          </w:p>
        </w:tc>
      </w:tr>
      <w:tr w:rsidR="00F64A7D" w:rsidRPr="00F64A7D" w14:paraId="319106D7" w14:textId="77777777" w:rsidTr="00FA2E6C">
        <w:tc>
          <w:tcPr>
            <w:tcW w:w="2835" w:type="dxa"/>
          </w:tcPr>
          <w:p w14:paraId="4D4491D8" w14:textId="33D2C784" w:rsidR="00F64A7D" w:rsidRPr="00FA2E6C" w:rsidRDefault="00F64A7D">
            <w:pPr>
              <w:rPr>
                <w:sz w:val="24"/>
              </w:rPr>
            </w:pPr>
            <w:r w:rsidRPr="00FA2E6C">
              <w:rPr>
                <w:sz w:val="24"/>
              </w:rPr>
              <w:t>Natural mortality</w:t>
            </w:r>
          </w:p>
        </w:tc>
        <w:tc>
          <w:tcPr>
            <w:tcW w:w="1560" w:type="dxa"/>
          </w:tcPr>
          <w:p w14:paraId="5A9BE29C" w14:textId="383CEA18" w:rsidR="00F64A7D" w:rsidRPr="00FA2E6C" w:rsidRDefault="00F64A7D" w:rsidP="00FA2E6C">
            <w:pPr>
              <w:jc w:val="center"/>
              <w:rPr>
                <w:sz w:val="24"/>
              </w:rPr>
            </w:pPr>
            <w:r w:rsidRPr="00FA2E6C">
              <w:rPr>
                <w:sz w:val="24"/>
              </w:rPr>
              <w:t>2</w:t>
            </w:r>
          </w:p>
        </w:tc>
        <w:tc>
          <w:tcPr>
            <w:tcW w:w="4955" w:type="dxa"/>
          </w:tcPr>
          <w:p w14:paraId="29515E07" w14:textId="55ADD5A3" w:rsidR="00F64A7D" w:rsidRPr="00FA2E6C" w:rsidRDefault="00F64A7D">
            <w:pPr>
              <w:rPr>
                <w:sz w:val="24"/>
              </w:rPr>
            </w:pPr>
            <w:r w:rsidRPr="00FA2E6C">
              <w:rPr>
                <w:sz w:val="24"/>
              </w:rPr>
              <w:t>0.3*, 0.4</w:t>
            </w:r>
          </w:p>
        </w:tc>
      </w:tr>
      <w:tr w:rsidR="00F64A7D" w:rsidRPr="00F64A7D" w14:paraId="767C9766" w14:textId="77777777" w:rsidTr="00FA2E6C">
        <w:tc>
          <w:tcPr>
            <w:tcW w:w="2835" w:type="dxa"/>
          </w:tcPr>
          <w:p w14:paraId="23C026D8" w14:textId="688605EE" w:rsidR="00F64A7D" w:rsidRPr="00FA2E6C" w:rsidRDefault="00F64A7D">
            <w:pPr>
              <w:rPr>
                <w:sz w:val="24"/>
              </w:rPr>
            </w:pPr>
            <w:r w:rsidRPr="00FA2E6C">
              <w:rPr>
                <w:sz w:val="24"/>
              </w:rPr>
              <w:t>Growth</w:t>
            </w:r>
          </w:p>
        </w:tc>
        <w:tc>
          <w:tcPr>
            <w:tcW w:w="1560" w:type="dxa"/>
          </w:tcPr>
          <w:p w14:paraId="1D9F03EA" w14:textId="789E68C7" w:rsidR="00F64A7D" w:rsidRPr="00FA2E6C" w:rsidRDefault="00F64A7D" w:rsidP="00FA2E6C">
            <w:pPr>
              <w:jc w:val="center"/>
              <w:rPr>
                <w:sz w:val="24"/>
              </w:rPr>
            </w:pPr>
            <w:r w:rsidRPr="00FA2E6C">
              <w:rPr>
                <w:sz w:val="24"/>
              </w:rPr>
              <w:t>2</w:t>
            </w:r>
          </w:p>
        </w:tc>
        <w:tc>
          <w:tcPr>
            <w:tcW w:w="4955" w:type="dxa"/>
          </w:tcPr>
          <w:p w14:paraId="7865DA82" w14:textId="417503AA" w:rsidR="00F64A7D" w:rsidRPr="00FA2E6C" w:rsidRDefault="00F64A7D">
            <w:pPr>
              <w:rPr>
                <w:sz w:val="24"/>
              </w:rPr>
            </w:pPr>
            <w:r>
              <w:rPr>
                <w:sz w:val="24"/>
              </w:rPr>
              <w:t>Estimated</w:t>
            </w:r>
            <w:r w:rsidRPr="00FA2E6C">
              <w:rPr>
                <w:sz w:val="24"/>
              </w:rPr>
              <w:t>* (K, L</w:t>
            </w:r>
            <w:r w:rsidRPr="00FA2E6C">
              <w:rPr>
                <w:rFonts w:cstheme="minorHAnsi"/>
                <w:sz w:val="24"/>
                <w:vertAlign w:val="subscript"/>
              </w:rPr>
              <w:t>∞</w:t>
            </w:r>
            <w:r w:rsidRPr="00FA2E6C">
              <w:rPr>
                <w:sz w:val="24"/>
              </w:rPr>
              <w:t>) or fixed (Chen-Wells)</w:t>
            </w:r>
          </w:p>
        </w:tc>
      </w:tr>
      <w:tr w:rsidR="00F64A7D" w:rsidRPr="00F64A7D" w14:paraId="2720E25B" w14:textId="77777777" w:rsidTr="00FA2E6C">
        <w:tc>
          <w:tcPr>
            <w:tcW w:w="2835" w:type="dxa"/>
          </w:tcPr>
          <w:p w14:paraId="61862E8D" w14:textId="0161BA9D" w:rsidR="00F64A7D" w:rsidRPr="00FA2E6C" w:rsidRDefault="00F64A7D">
            <w:pPr>
              <w:rPr>
                <w:sz w:val="24"/>
              </w:rPr>
            </w:pPr>
            <w:r w:rsidRPr="00FA2E6C">
              <w:rPr>
                <w:sz w:val="24"/>
              </w:rPr>
              <w:t>Size frequency weighting</w:t>
            </w:r>
          </w:p>
        </w:tc>
        <w:tc>
          <w:tcPr>
            <w:tcW w:w="1560" w:type="dxa"/>
          </w:tcPr>
          <w:p w14:paraId="73B4C9C9" w14:textId="1D40D79A" w:rsidR="00F64A7D" w:rsidRPr="00FA2E6C" w:rsidRDefault="00F64A7D" w:rsidP="00FA2E6C">
            <w:pPr>
              <w:jc w:val="center"/>
              <w:rPr>
                <w:sz w:val="24"/>
              </w:rPr>
            </w:pPr>
            <w:r w:rsidRPr="00FA2E6C">
              <w:rPr>
                <w:sz w:val="24"/>
              </w:rPr>
              <w:t>3</w:t>
            </w:r>
          </w:p>
        </w:tc>
        <w:tc>
          <w:tcPr>
            <w:tcW w:w="4955" w:type="dxa"/>
          </w:tcPr>
          <w:p w14:paraId="79AE19CE" w14:textId="2C5E8DEE" w:rsidR="00F64A7D" w:rsidRPr="00FA2E6C" w:rsidRDefault="00F64A7D">
            <w:pPr>
              <w:rPr>
                <w:sz w:val="24"/>
              </w:rPr>
            </w:pPr>
            <w:r w:rsidRPr="00FA2E6C">
              <w:rPr>
                <w:sz w:val="24"/>
              </w:rPr>
              <w:t>Sample</w:t>
            </w:r>
            <w:r>
              <w:rPr>
                <w:sz w:val="24"/>
              </w:rPr>
              <w:t xml:space="preserve"> sizes divided by 20, 50* or 80</w:t>
            </w:r>
          </w:p>
        </w:tc>
      </w:tr>
      <w:tr w:rsidR="00F64A7D" w:rsidRPr="00F64A7D" w14:paraId="0EDDFB2B" w14:textId="77777777" w:rsidTr="00FA2E6C">
        <w:tc>
          <w:tcPr>
            <w:tcW w:w="2835" w:type="dxa"/>
            <w:tcBorders>
              <w:bottom w:val="single" w:sz="4" w:space="0" w:color="auto"/>
            </w:tcBorders>
          </w:tcPr>
          <w:p w14:paraId="696EA932" w14:textId="7A8D584B" w:rsidR="00F64A7D" w:rsidRPr="00FA2E6C" w:rsidRDefault="00F64A7D">
            <w:pPr>
              <w:rPr>
                <w:sz w:val="24"/>
              </w:rPr>
            </w:pPr>
            <w:r w:rsidRPr="00FA2E6C">
              <w:rPr>
                <w:sz w:val="24"/>
              </w:rPr>
              <w:t>CPUE</w:t>
            </w:r>
          </w:p>
        </w:tc>
        <w:tc>
          <w:tcPr>
            <w:tcW w:w="1560" w:type="dxa"/>
            <w:tcBorders>
              <w:bottom w:val="single" w:sz="4" w:space="0" w:color="auto"/>
            </w:tcBorders>
          </w:tcPr>
          <w:p w14:paraId="555DE517" w14:textId="4927386A" w:rsidR="00F64A7D" w:rsidRPr="00FA2E6C" w:rsidRDefault="00F64A7D" w:rsidP="00FA2E6C">
            <w:pPr>
              <w:jc w:val="center"/>
              <w:rPr>
                <w:sz w:val="24"/>
              </w:rPr>
            </w:pPr>
            <w:r w:rsidRPr="00FA2E6C">
              <w:rPr>
                <w:sz w:val="24"/>
              </w:rPr>
              <w:t>2</w:t>
            </w:r>
          </w:p>
        </w:tc>
        <w:tc>
          <w:tcPr>
            <w:tcW w:w="4955" w:type="dxa"/>
            <w:tcBorders>
              <w:bottom w:val="single" w:sz="4" w:space="0" w:color="auto"/>
            </w:tcBorders>
          </w:tcPr>
          <w:p w14:paraId="0E2A7BD9" w14:textId="67361DBE" w:rsidR="00F64A7D" w:rsidRPr="00FA2E6C" w:rsidRDefault="00F64A7D">
            <w:pPr>
              <w:rPr>
                <w:sz w:val="24"/>
              </w:rPr>
            </w:pPr>
            <w:r w:rsidRPr="00FA2E6C">
              <w:rPr>
                <w:sz w:val="24"/>
              </w:rPr>
              <w:t>Geostatistical*, Traditional</w:t>
            </w:r>
          </w:p>
        </w:tc>
      </w:tr>
    </w:tbl>
    <w:p w14:paraId="471A6644" w14:textId="77777777" w:rsidR="00F64A7D" w:rsidRDefault="00F64A7D"/>
    <w:p w14:paraId="7A153400" w14:textId="77777777" w:rsidR="00C2491F" w:rsidRDefault="00C2491F">
      <w:r>
        <w:br w:type="page"/>
      </w:r>
    </w:p>
    <w:p w14:paraId="6274624F" w14:textId="410826BC" w:rsidR="00E93917" w:rsidRDefault="00C2491F">
      <w:r>
        <w:lastRenderedPageBreak/>
        <w:t>Table SPA-2. Summary of reference points over all the 72 individual models in the structural uncertainty grid.</w:t>
      </w:r>
    </w:p>
    <w:tbl>
      <w:tblPr>
        <w:tblW w:w="9072" w:type="dxa"/>
        <w:tblLayout w:type="fixed"/>
        <w:tblLook w:val="04A0" w:firstRow="1" w:lastRow="0" w:firstColumn="1" w:lastColumn="0" w:noHBand="0" w:noVBand="1"/>
      </w:tblPr>
      <w:tblGrid>
        <w:gridCol w:w="1701"/>
        <w:gridCol w:w="1134"/>
        <w:gridCol w:w="1053"/>
        <w:gridCol w:w="1296"/>
        <w:gridCol w:w="1296"/>
        <w:gridCol w:w="1296"/>
        <w:gridCol w:w="1296"/>
      </w:tblGrid>
      <w:tr w:rsidR="00F64A7D" w:rsidRPr="0066571A" w14:paraId="07CE27EC" w14:textId="77777777" w:rsidTr="00FA2E6C">
        <w:trPr>
          <w:trHeight w:val="300"/>
        </w:trPr>
        <w:tc>
          <w:tcPr>
            <w:tcW w:w="1701" w:type="dxa"/>
            <w:tcBorders>
              <w:top w:val="single" w:sz="4" w:space="0" w:color="auto"/>
              <w:left w:val="nil"/>
              <w:bottom w:val="single" w:sz="4" w:space="0" w:color="auto"/>
              <w:right w:val="nil"/>
            </w:tcBorders>
            <w:shd w:val="clear" w:color="auto" w:fill="auto"/>
            <w:noWrap/>
            <w:vAlign w:val="bottom"/>
            <w:hideMark/>
          </w:tcPr>
          <w:p w14:paraId="4F6CCB7F" w14:textId="77777777" w:rsidR="0066571A" w:rsidRPr="00FA2E6C" w:rsidRDefault="0066571A" w:rsidP="0066571A">
            <w:pPr>
              <w:spacing w:after="0" w:line="240" w:lineRule="auto"/>
              <w:rPr>
                <w:rFonts w:eastAsia="Times New Roman" w:cstheme="minorHAnsi"/>
                <w:sz w:val="24"/>
                <w:szCs w:val="24"/>
                <w:lang w:val="en-AU" w:eastAsia="en-AU"/>
              </w:rPr>
            </w:pPr>
          </w:p>
        </w:tc>
        <w:tc>
          <w:tcPr>
            <w:tcW w:w="1134" w:type="dxa"/>
            <w:tcBorders>
              <w:top w:val="single" w:sz="4" w:space="0" w:color="auto"/>
              <w:left w:val="nil"/>
              <w:bottom w:val="single" w:sz="4" w:space="0" w:color="auto"/>
              <w:right w:val="nil"/>
            </w:tcBorders>
            <w:shd w:val="clear" w:color="auto" w:fill="auto"/>
            <w:noWrap/>
            <w:vAlign w:val="bottom"/>
            <w:hideMark/>
          </w:tcPr>
          <w:p w14:paraId="1BC7A480"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Mean</w:t>
            </w:r>
          </w:p>
        </w:tc>
        <w:tc>
          <w:tcPr>
            <w:tcW w:w="1053" w:type="dxa"/>
            <w:tcBorders>
              <w:top w:val="single" w:sz="4" w:space="0" w:color="auto"/>
              <w:left w:val="nil"/>
              <w:bottom w:val="single" w:sz="4" w:space="0" w:color="auto"/>
              <w:right w:val="nil"/>
            </w:tcBorders>
            <w:shd w:val="clear" w:color="auto" w:fill="auto"/>
            <w:noWrap/>
            <w:vAlign w:val="bottom"/>
            <w:hideMark/>
          </w:tcPr>
          <w:p w14:paraId="54FE826A"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Median</w:t>
            </w:r>
          </w:p>
        </w:tc>
        <w:tc>
          <w:tcPr>
            <w:tcW w:w="1296" w:type="dxa"/>
            <w:tcBorders>
              <w:top w:val="single" w:sz="4" w:space="0" w:color="auto"/>
              <w:left w:val="nil"/>
              <w:bottom w:val="single" w:sz="4" w:space="0" w:color="auto"/>
              <w:right w:val="nil"/>
            </w:tcBorders>
            <w:shd w:val="clear" w:color="auto" w:fill="auto"/>
            <w:noWrap/>
            <w:vAlign w:val="bottom"/>
            <w:hideMark/>
          </w:tcPr>
          <w:p w14:paraId="42DDF406"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Min</w:t>
            </w:r>
          </w:p>
        </w:tc>
        <w:tc>
          <w:tcPr>
            <w:tcW w:w="1296" w:type="dxa"/>
            <w:tcBorders>
              <w:top w:val="single" w:sz="4" w:space="0" w:color="auto"/>
              <w:left w:val="nil"/>
              <w:bottom w:val="single" w:sz="4" w:space="0" w:color="auto"/>
              <w:right w:val="nil"/>
            </w:tcBorders>
            <w:shd w:val="clear" w:color="auto" w:fill="auto"/>
            <w:noWrap/>
            <w:vAlign w:val="bottom"/>
            <w:hideMark/>
          </w:tcPr>
          <w:p w14:paraId="57E76A03" w14:textId="6FA2F832"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10%</w:t>
            </w:r>
          </w:p>
        </w:tc>
        <w:tc>
          <w:tcPr>
            <w:tcW w:w="1296" w:type="dxa"/>
            <w:tcBorders>
              <w:top w:val="single" w:sz="4" w:space="0" w:color="auto"/>
              <w:left w:val="nil"/>
              <w:bottom w:val="single" w:sz="4" w:space="0" w:color="auto"/>
              <w:right w:val="nil"/>
            </w:tcBorders>
            <w:shd w:val="clear" w:color="auto" w:fill="auto"/>
            <w:noWrap/>
            <w:vAlign w:val="bottom"/>
            <w:hideMark/>
          </w:tcPr>
          <w:p w14:paraId="63DADB24" w14:textId="7D10DD19"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90%</w:t>
            </w:r>
          </w:p>
        </w:tc>
        <w:tc>
          <w:tcPr>
            <w:tcW w:w="1296" w:type="dxa"/>
            <w:tcBorders>
              <w:top w:val="single" w:sz="4" w:space="0" w:color="auto"/>
              <w:left w:val="nil"/>
              <w:bottom w:val="single" w:sz="4" w:space="0" w:color="auto"/>
              <w:right w:val="nil"/>
            </w:tcBorders>
            <w:shd w:val="clear" w:color="auto" w:fill="auto"/>
            <w:noWrap/>
            <w:vAlign w:val="bottom"/>
            <w:hideMark/>
          </w:tcPr>
          <w:p w14:paraId="5E15DD0D"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Max</w:t>
            </w:r>
          </w:p>
        </w:tc>
      </w:tr>
      <w:tr w:rsidR="00F64A7D" w:rsidRPr="0066571A" w14:paraId="78D58031" w14:textId="77777777" w:rsidTr="00FA2E6C">
        <w:trPr>
          <w:trHeight w:val="300"/>
        </w:trPr>
        <w:tc>
          <w:tcPr>
            <w:tcW w:w="1701" w:type="dxa"/>
            <w:tcBorders>
              <w:top w:val="single" w:sz="4" w:space="0" w:color="auto"/>
              <w:left w:val="nil"/>
              <w:bottom w:val="nil"/>
              <w:right w:val="nil"/>
            </w:tcBorders>
            <w:shd w:val="clear" w:color="auto" w:fill="auto"/>
            <w:noWrap/>
            <w:vAlign w:val="bottom"/>
            <w:hideMark/>
          </w:tcPr>
          <w:p w14:paraId="0ADE474E" w14:textId="77777777" w:rsidR="0066571A" w:rsidRPr="00FA2E6C" w:rsidRDefault="0066571A" w:rsidP="0066571A">
            <w:pPr>
              <w:spacing w:after="0" w:line="240" w:lineRule="auto"/>
              <w:rPr>
                <w:rFonts w:eastAsia="Times New Roman" w:cstheme="minorHAnsi"/>
                <w:color w:val="000000"/>
                <w:sz w:val="24"/>
                <w:szCs w:val="24"/>
                <w:lang w:val="en-AU" w:eastAsia="en-AU"/>
              </w:rPr>
            </w:pPr>
            <w:proofErr w:type="spellStart"/>
            <w:r w:rsidRPr="00FA2E6C">
              <w:rPr>
                <w:rFonts w:eastAsia="Times New Roman" w:cstheme="minorHAnsi"/>
                <w:color w:val="000000"/>
                <w:sz w:val="24"/>
                <w:szCs w:val="24"/>
                <w:lang w:val="en-AU" w:eastAsia="en-AU"/>
              </w:rPr>
              <w:t>C</w:t>
            </w:r>
            <w:r w:rsidRPr="00FA2E6C">
              <w:rPr>
                <w:rFonts w:eastAsia="Times New Roman" w:cstheme="minorHAnsi"/>
                <w:color w:val="000000"/>
                <w:sz w:val="24"/>
                <w:szCs w:val="24"/>
                <w:vertAlign w:val="subscript"/>
                <w:lang w:val="en-AU" w:eastAsia="en-AU"/>
              </w:rPr>
              <w:t>latest</w:t>
            </w:r>
            <w:proofErr w:type="spellEnd"/>
          </w:p>
        </w:tc>
        <w:tc>
          <w:tcPr>
            <w:tcW w:w="1134" w:type="dxa"/>
            <w:tcBorders>
              <w:top w:val="single" w:sz="4" w:space="0" w:color="auto"/>
              <w:left w:val="nil"/>
              <w:bottom w:val="nil"/>
              <w:right w:val="nil"/>
            </w:tcBorders>
            <w:shd w:val="clear" w:color="auto" w:fill="auto"/>
            <w:noWrap/>
            <w:vAlign w:val="bottom"/>
            <w:hideMark/>
          </w:tcPr>
          <w:p w14:paraId="0C622227"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61719</w:t>
            </w:r>
          </w:p>
        </w:tc>
        <w:tc>
          <w:tcPr>
            <w:tcW w:w="1053" w:type="dxa"/>
            <w:tcBorders>
              <w:top w:val="single" w:sz="4" w:space="0" w:color="auto"/>
              <w:left w:val="nil"/>
              <w:bottom w:val="nil"/>
              <w:right w:val="nil"/>
            </w:tcBorders>
            <w:shd w:val="clear" w:color="auto" w:fill="auto"/>
            <w:noWrap/>
            <w:vAlign w:val="bottom"/>
            <w:hideMark/>
          </w:tcPr>
          <w:p w14:paraId="2BC4E918"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61635</w:t>
            </w:r>
          </w:p>
        </w:tc>
        <w:tc>
          <w:tcPr>
            <w:tcW w:w="1296" w:type="dxa"/>
            <w:tcBorders>
              <w:top w:val="single" w:sz="4" w:space="0" w:color="auto"/>
              <w:left w:val="nil"/>
              <w:bottom w:val="nil"/>
              <w:right w:val="nil"/>
            </w:tcBorders>
            <w:shd w:val="clear" w:color="auto" w:fill="auto"/>
            <w:noWrap/>
            <w:vAlign w:val="bottom"/>
            <w:hideMark/>
          </w:tcPr>
          <w:p w14:paraId="3C2EF6AA"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60669</w:t>
            </w:r>
          </w:p>
        </w:tc>
        <w:tc>
          <w:tcPr>
            <w:tcW w:w="1296" w:type="dxa"/>
            <w:tcBorders>
              <w:top w:val="single" w:sz="4" w:space="0" w:color="auto"/>
              <w:left w:val="nil"/>
              <w:bottom w:val="nil"/>
              <w:right w:val="nil"/>
            </w:tcBorders>
            <w:shd w:val="clear" w:color="auto" w:fill="auto"/>
            <w:noWrap/>
            <w:vAlign w:val="bottom"/>
            <w:hideMark/>
          </w:tcPr>
          <w:p w14:paraId="70B9B364"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60833</w:t>
            </w:r>
          </w:p>
        </w:tc>
        <w:tc>
          <w:tcPr>
            <w:tcW w:w="1296" w:type="dxa"/>
            <w:tcBorders>
              <w:top w:val="single" w:sz="4" w:space="0" w:color="auto"/>
              <w:left w:val="nil"/>
              <w:bottom w:val="nil"/>
              <w:right w:val="nil"/>
            </w:tcBorders>
            <w:shd w:val="clear" w:color="auto" w:fill="auto"/>
            <w:noWrap/>
            <w:vAlign w:val="bottom"/>
            <w:hideMark/>
          </w:tcPr>
          <w:p w14:paraId="1F240927"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62704</w:t>
            </w:r>
          </w:p>
        </w:tc>
        <w:tc>
          <w:tcPr>
            <w:tcW w:w="1296" w:type="dxa"/>
            <w:tcBorders>
              <w:top w:val="single" w:sz="4" w:space="0" w:color="auto"/>
              <w:left w:val="nil"/>
              <w:bottom w:val="nil"/>
              <w:right w:val="nil"/>
            </w:tcBorders>
            <w:shd w:val="clear" w:color="auto" w:fill="auto"/>
            <w:noWrap/>
            <w:vAlign w:val="bottom"/>
            <w:hideMark/>
          </w:tcPr>
          <w:p w14:paraId="447FE087"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63180</w:t>
            </w:r>
          </w:p>
        </w:tc>
      </w:tr>
      <w:tr w:rsidR="00F64A7D" w:rsidRPr="0066571A" w14:paraId="615A422F" w14:textId="77777777" w:rsidTr="00FA2E6C">
        <w:trPr>
          <w:trHeight w:val="300"/>
        </w:trPr>
        <w:tc>
          <w:tcPr>
            <w:tcW w:w="1701" w:type="dxa"/>
            <w:tcBorders>
              <w:top w:val="nil"/>
              <w:left w:val="nil"/>
              <w:bottom w:val="nil"/>
              <w:right w:val="nil"/>
            </w:tcBorders>
            <w:shd w:val="clear" w:color="auto" w:fill="auto"/>
            <w:noWrap/>
            <w:vAlign w:val="bottom"/>
            <w:hideMark/>
          </w:tcPr>
          <w:p w14:paraId="31A3E03F" w14:textId="77777777" w:rsidR="0066571A" w:rsidRPr="00FA2E6C" w:rsidRDefault="0066571A" w:rsidP="0066571A">
            <w:pPr>
              <w:spacing w:after="0" w:line="240" w:lineRule="auto"/>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MSY</w:t>
            </w:r>
          </w:p>
        </w:tc>
        <w:tc>
          <w:tcPr>
            <w:tcW w:w="1134" w:type="dxa"/>
            <w:tcBorders>
              <w:top w:val="nil"/>
              <w:left w:val="nil"/>
              <w:bottom w:val="nil"/>
              <w:right w:val="nil"/>
            </w:tcBorders>
            <w:shd w:val="clear" w:color="auto" w:fill="auto"/>
            <w:noWrap/>
            <w:vAlign w:val="bottom"/>
            <w:hideMark/>
          </w:tcPr>
          <w:p w14:paraId="76DEA1E2"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100074</w:t>
            </w:r>
          </w:p>
        </w:tc>
        <w:tc>
          <w:tcPr>
            <w:tcW w:w="1053" w:type="dxa"/>
            <w:tcBorders>
              <w:top w:val="nil"/>
              <w:left w:val="nil"/>
              <w:bottom w:val="nil"/>
              <w:right w:val="nil"/>
            </w:tcBorders>
            <w:shd w:val="clear" w:color="auto" w:fill="auto"/>
            <w:noWrap/>
            <w:vAlign w:val="bottom"/>
            <w:hideMark/>
          </w:tcPr>
          <w:p w14:paraId="55F54280"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98080</w:t>
            </w:r>
          </w:p>
        </w:tc>
        <w:tc>
          <w:tcPr>
            <w:tcW w:w="1296" w:type="dxa"/>
            <w:tcBorders>
              <w:top w:val="nil"/>
              <w:left w:val="nil"/>
              <w:bottom w:val="nil"/>
              <w:right w:val="nil"/>
            </w:tcBorders>
            <w:shd w:val="clear" w:color="auto" w:fill="auto"/>
            <w:noWrap/>
            <w:vAlign w:val="bottom"/>
            <w:hideMark/>
          </w:tcPr>
          <w:p w14:paraId="3D051BD1"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65040</w:t>
            </w:r>
          </w:p>
        </w:tc>
        <w:tc>
          <w:tcPr>
            <w:tcW w:w="1296" w:type="dxa"/>
            <w:tcBorders>
              <w:top w:val="nil"/>
              <w:left w:val="nil"/>
              <w:bottom w:val="nil"/>
              <w:right w:val="nil"/>
            </w:tcBorders>
            <w:shd w:val="clear" w:color="auto" w:fill="auto"/>
            <w:noWrap/>
            <w:vAlign w:val="bottom"/>
            <w:hideMark/>
          </w:tcPr>
          <w:p w14:paraId="0808E94F"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70856</w:t>
            </w:r>
          </w:p>
        </w:tc>
        <w:tc>
          <w:tcPr>
            <w:tcW w:w="1296" w:type="dxa"/>
            <w:tcBorders>
              <w:top w:val="nil"/>
              <w:left w:val="nil"/>
              <w:bottom w:val="nil"/>
              <w:right w:val="nil"/>
            </w:tcBorders>
            <w:shd w:val="clear" w:color="auto" w:fill="auto"/>
            <w:noWrap/>
            <w:vAlign w:val="bottom"/>
            <w:hideMark/>
          </w:tcPr>
          <w:p w14:paraId="58EB4102"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130220</w:t>
            </w:r>
          </w:p>
        </w:tc>
        <w:tc>
          <w:tcPr>
            <w:tcW w:w="1296" w:type="dxa"/>
            <w:tcBorders>
              <w:top w:val="nil"/>
              <w:left w:val="nil"/>
              <w:bottom w:val="nil"/>
              <w:right w:val="nil"/>
            </w:tcBorders>
            <w:shd w:val="clear" w:color="auto" w:fill="auto"/>
            <w:noWrap/>
            <w:vAlign w:val="bottom"/>
            <w:hideMark/>
          </w:tcPr>
          <w:p w14:paraId="5429C43D"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162000</w:t>
            </w:r>
          </w:p>
        </w:tc>
      </w:tr>
      <w:tr w:rsidR="00F64A7D" w:rsidRPr="0066571A" w14:paraId="32561AC2" w14:textId="77777777" w:rsidTr="00FA2E6C">
        <w:trPr>
          <w:trHeight w:val="300"/>
        </w:trPr>
        <w:tc>
          <w:tcPr>
            <w:tcW w:w="1701" w:type="dxa"/>
            <w:tcBorders>
              <w:top w:val="nil"/>
              <w:left w:val="nil"/>
              <w:bottom w:val="nil"/>
              <w:right w:val="nil"/>
            </w:tcBorders>
            <w:shd w:val="clear" w:color="auto" w:fill="auto"/>
            <w:noWrap/>
            <w:vAlign w:val="bottom"/>
            <w:hideMark/>
          </w:tcPr>
          <w:p w14:paraId="5EA9DFBC" w14:textId="209C5815" w:rsidR="0066571A" w:rsidRPr="00FA2E6C" w:rsidRDefault="0066571A" w:rsidP="0066571A">
            <w:pPr>
              <w:spacing w:after="0" w:line="240" w:lineRule="auto"/>
              <w:rPr>
                <w:rFonts w:eastAsia="Times New Roman" w:cstheme="minorHAnsi"/>
                <w:color w:val="000000"/>
                <w:sz w:val="24"/>
                <w:szCs w:val="24"/>
                <w:lang w:val="en-AU" w:eastAsia="en-AU"/>
              </w:rPr>
            </w:pPr>
            <w:proofErr w:type="spellStart"/>
            <w:r w:rsidRPr="00FA2E6C">
              <w:rPr>
                <w:rFonts w:eastAsia="Times New Roman" w:cstheme="minorHAnsi"/>
                <w:color w:val="000000"/>
                <w:sz w:val="24"/>
                <w:szCs w:val="24"/>
                <w:lang w:val="en-AU" w:eastAsia="en-AU"/>
              </w:rPr>
              <w:t>YF</w:t>
            </w:r>
            <w:r>
              <w:rPr>
                <w:rFonts w:eastAsia="Times New Roman" w:cstheme="minorHAnsi"/>
                <w:color w:val="000000"/>
                <w:sz w:val="24"/>
                <w:szCs w:val="24"/>
                <w:vertAlign w:val="subscript"/>
                <w:lang w:val="en-AU" w:eastAsia="en-AU"/>
              </w:rPr>
              <w:t>recentt</w:t>
            </w:r>
            <w:proofErr w:type="spellEnd"/>
          </w:p>
        </w:tc>
        <w:tc>
          <w:tcPr>
            <w:tcW w:w="1134" w:type="dxa"/>
            <w:tcBorders>
              <w:top w:val="nil"/>
              <w:left w:val="nil"/>
              <w:bottom w:val="nil"/>
              <w:right w:val="nil"/>
            </w:tcBorders>
            <w:shd w:val="clear" w:color="auto" w:fill="auto"/>
            <w:noWrap/>
            <w:vAlign w:val="bottom"/>
            <w:hideMark/>
          </w:tcPr>
          <w:p w14:paraId="35F92742"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71579</w:t>
            </w:r>
          </w:p>
        </w:tc>
        <w:tc>
          <w:tcPr>
            <w:tcW w:w="1053" w:type="dxa"/>
            <w:tcBorders>
              <w:top w:val="nil"/>
              <w:left w:val="nil"/>
              <w:bottom w:val="nil"/>
              <w:right w:val="nil"/>
            </w:tcBorders>
            <w:shd w:val="clear" w:color="auto" w:fill="auto"/>
            <w:noWrap/>
            <w:vAlign w:val="bottom"/>
            <w:hideMark/>
          </w:tcPr>
          <w:p w14:paraId="3263E166"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71780</w:t>
            </w:r>
          </w:p>
        </w:tc>
        <w:tc>
          <w:tcPr>
            <w:tcW w:w="1296" w:type="dxa"/>
            <w:tcBorders>
              <w:top w:val="nil"/>
              <w:left w:val="nil"/>
              <w:bottom w:val="nil"/>
              <w:right w:val="nil"/>
            </w:tcBorders>
            <w:shd w:val="clear" w:color="auto" w:fill="auto"/>
            <w:noWrap/>
            <w:vAlign w:val="bottom"/>
            <w:hideMark/>
          </w:tcPr>
          <w:p w14:paraId="3CCAD867"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56680</w:t>
            </w:r>
          </w:p>
        </w:tc>
        <w:tc>
          <w:tcPr>
            <w:tcW w:w="1296" w:type="dxa"/>
            <w:tcBorders>
              <w:top w:val="nil"/>
              <w:left w:val="nil"/>
              <w:bottom w:val="nil"/>
              <w:right w:val="nil"/>
            </w:tcBorders>
            <w:shd w:val="clear" w:color="auto" w:fill="auto"/>
            <w:noWrap/>
            <w:vAlign w:val="bottom"/>
            <w:hideMark/>
          </w:tcPr>
          <w:p w14:paraId="4CDCB2CC"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62480</w:t>
            </w:r>
          </w:p>
        </w:tc>
        <w:tc>
          <w:tcPr>
            <w:tcW w:w="1296" w:type="dxa"/>
            <w:tcBorders>
              <w:top w:val="nil"/>
              <w:left w:val="nil"/>
              <w:bottom w:val="nil"/>
              <w:right w:val="nil"/>
            </w:tcBorders>
            <w:shd w:val="clear" w:color="auto" w:fill="auto"/>
            <w:noWrap/>
            <w:vAlign w:val="bottom"/>
            <w:hideMark/>
          </w:tcPr>
          <w:p w14:paraId="49C40B9C"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80432</w:t>
            </w:r>
          </w:p>
        </w:tc>
        <w:tc>
          <w:tcPr>
            <w:tcW w:w="1296" w:type="dxa"/>
            <w:tcBorders>
              <w:top w:val="nil"/>
              <w:left w:val="nil"/>
              <w:bottom w:val="nil"/>
              <w:right w:val="nil"/>
            </w:tcBorders>
            <w:shd w:val="clear" w:color="auto" w:fill="auto"/>
            <w:noWrap/>
            <w:vAlign w:val="bottom"/>
            <w:hideMark/>
          </w:tcPr>
          <w:p w14:paraId="00FE2ECD"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89000</w:t>
            </w:r>
          </w:p>
        </w:tc>
      </w:tr>
      <w:tr w:rsidR="00F64A7D" w:rsidRPr="0066571A" w14:paraId="6C89D1C3" w14:textId="77777777" w:rsidTr="00FA2E6C">
        <w:trPr>
          <w:trHeight w:val="300"/>
        </w:trPr>
        <w:tc>
          <w:tcPr>
            <w:tcW w:w="1701" w:type="dxa"/>
            <w:tcBorders>
              <w:top w:val="nil"/>
              <w:left w:val="nil"/>
              <w:bottom w:val="nil"/>
              <w:right w:val="nil"/>
            </w:tcBorders>
            <w:shd w:val="clear" w:color="auto" w:fill="auto"/>
            <w:noWrap/>
            <w:vAlign w:val="bottom"/>
            <w:hideMark/>
          </w:tcPr>
          <w:p w14:paraId="2C4D455E" w14:textId="7A3CAD52" w:rsidR="0066571A" w:rsidRPr="00FA2E6C" w:rsidRDefault="0066571A" w:rsidP="0066571A">
            <w:pPr>
              <w:spacing w:after="0" w:line="240" w:lineRule="auto"/>
              <w:rPr>
                <w:rFonts w:eastAsia="Times New Roman" w:cstheme="minorHAnsi"/>
                <w:i/>
                <w:color w:val="000000"/>
                <w:sz w:val="24"/>
                <w:szCs w:val="24"/>
                <w:lang w:val="en-AU" w:eastAsia="en-AU"/>
              </w:rPr>
            </w:pPr>
            <w:proofErr w:type="spellStart"/>
            <w:r>
              <w:rPr>
                <w:rFonts w:eastAsia="Times New Roman" w:cstheme="minorHAnsi"/>
                <w:i/>
                <w:color w:val="000000"/>
                <w:sz w:val="24"/>
                <w:szCs w:val="24"/>
                <w:lang w:val="en-AU" w:eastAsia="en-AU"/>
              </w:rPr>
              <w:t>fmult</w:t>
            </w:r>
            <w:proofErr w:type="spellEnd"/>
          </w:p>
        </w:tc>
        <w:tc>
          <w:tcPr>
            <w:tcW w:w="1134" w:type="dxa"/>
            <w:tcBorders>
              <w:top w:val="nil"/>
              <w:left w:val="nil"/>
              <w:bottom w:val="nil"/>
              <w:right w:val="nil"/>
            </w:tcBorders>
            <w:shd w:val="clear" w:color="auto" w:fill="auto"/>
            <w:noWrap/>
            <w:vAlign w:val="bottom"/>
            <w:hideMark/>
          </w:tcPr>
          <w:p w14:paraId="2B6AF1AB"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6.2</w:t>
            </w:r>
          </w:p>
        </w:tc>
        <w:tc>
          <w:tcPr>
            <w:tcW w:w="1053" w:type="dxa"/>
            <w:tcBorders>
              <w:top w:val="nil"/>
              <w:left w:val="nil"/>
              <w:bottom w:val="nil"/>
              <w:right w:val="nil"/>
            </w:tcBorders>
            <w:shd w:val="clear" w:color="auto" w:fill="auto"/>
            <w:noWrap/>
            <w:vAlign w:val="bottom"/>
            <w:hideMark/>
          </w:tcPr>
          <w:p w14:paraId="40C5E608"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4.96</w:t>
            </w:r>
          </w:p>
        </w:tc>
        <w:tc>
          <w:tcPr>
            <w:tcW w:w="1296" w:type="dxa"/>
            <w:tcBorders>
              <w:top w:val="nil"/>
              <w:left w:val="nil"/>
              <w:bottom w:val="nil"/>
              <w:right w:val="nil"/>
            </w:tcBorders>
            <w:shd w:val="clear" w:color="auto" w:fill="auto"/>
            <w:noWrap/>
            <w:vAlign w:val="bottom"/>
            <w:hideMark/>
          </w:tcPr>
          <w:p w14:paraId="031685E2"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1.89</w:t>
            </w:r>
          </w:p>
        </w:tc>
        <w:tc>
          <w:tcPr>
            <w:tcW w:w="1296" w:type="dxa"/>
            <w:tcBorders>
              <w:top w:val="nil"/>
              <w:left w:val="nil"/>
              <w:bottom w:val="nil"/>
              <w:right w:val="nil"/>
            </w:tcBorders>
            <w:shd w:val="clear" w:color="auto" w:fill="auto"/>
            <w:noWrap/>
            <w:vAlign w:val="bottom"/>
            <w:hideMark/>
          </w:tcPr>
          <w:p w14:paraId="121AD71E"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2.44</w:t>
            </w:r>
          </w:p>
        </w:tc>
        <w:tc>
          <w:tcPr>
            <w:tcW w:w="1296" w:type="dxa"/>
            <w:tcBorders>
              <w:top w:val="nil"/>
              <w:left w:val="nil"/>
              <w:bottom w:val="nil"/>
              <w:right w:val="nil"/>
            </w:tcBorders>
            <w:shd w:val="clear" w:color="auto" w:fill="auto"/>
            <w:noWrap/>
            <w:vAlign w:val="bottom"/>
            <w:hideMark/>
          </w:tcPr>
          <w:p w14:paraId="2ABB4D3A"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12.05</w:t>
            </w:r>
          </w:p>
        </w:tc>
        <w:tc>
          <w:tcPr>
            <w:tcW w:w="1296" w:type="dxa"/>
            <w:tcBorders>
              <w:top w:val="nil"/>
              <w:left w:val="nil"/>
              <w:bottom w:val="nil"/>
              <w:right w:val="nil"/>
            </w:tcBorders>
            <w:shd w:val="clear" w:color="auto" w:fill="auto"/>
            <w:noWrap/>
            <w:vAlign w:val="bottom"/>
            <w:hideMark/>
          </w:tcPr>
          <w:p w14:paraId="6E8E84CE"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17.18</w:t>
            </w:r>
          </w:p>
        </w:tc>
      </w:tr>
      <w:tr w:rsidR="00F64A7D" w:rsidRPr="0066571A" w14:paraId="4AB2080F" w14:textId="77777777" w:rsidTr="00FA2E6C">
        <w:trPr>
          <w:trHeight w:val="300"/>
        </w:trPr>
        <w:tc>
          <w:tcPr>
            <w:tcW w:w="1701" w:type="dxa"/>
            <w:tcBorders>
              <w:top w:val="nil"/>
              <w:left w:val="nil"/>
              <w:bottom w:val="nil"/>
              <w:right w:val="nil"/>
            </w:tcBorders>
            <w:shd w:val="clear" w:color="auto" w:fill="auto"/>
            <w:noWrap/>
            <w:vAlign w:val="bottom"/>
            <w:hideMark/>
          </w:tcPr>
          <w:p w14:paraId="7E411AA6" w14:textId="30CD35A9" w:rsidR="0066571A" w:rsidRPr="00FA2E6C" w:rsidRDefault="0066571A" w:rsidP="0066571A">
            <w:pPr>
              <w:spacing w:after="0" w:line="240" w:lineRule="auto"/>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F</w:t>
            </w:r>
            <w:r w:rsidRPr="00FA2E6C">
              <w:rPr>
                <w:rFonts w:eastAsia="Times New Roman" w:cstheme="minorHAnsi"/>
                <w:color w:val="000000"/>
                <w:sz w:val="24"/>
                <w:szCs w:val="24"/>
                <w:vertAlign w:val="subscript"/>
                <w:lang w:val="en-AU" w:eastAsia="en-AU"/>
              </w:rPr>
              <w:t>MSY</w:t>
            </w:r>
          </w:p>
        </w:tc>
        <w:tc>
          <w:tcPr>
            <w:tcW w:w="1134" w:type="dxa"/>
            <w:tcBorders>
              <w:top w:val="nil"/>
              <w:left w:val="nil"/>
              <w:bottom w:val="nil"/>
              <w:right w:val="nil"/>
            </w:tcBorders>
            <w:shd w:val="clear" w:color="auto" w:fill="auto"/>
            <w:noWrap/>
            <w:vAlign w:val="bottom"/>
            <w:hideMark/>
          </w:tcPr>
          <w:p w14:paraId="22A85967"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0.07</w:t>
            </w:r>
          </w:p>
        </w:tc>
        <w:tc>
          <w:tcPr>
            <w:tcW w:w="1053" w:type="dxa"/>
            <w:tcBorders>
              <w:top w:val="nil"/>
              <w:left w:val="nil"/>
              <w:bottom w:val="nil"/>
              <w:right w:val="nil"/>
            </w:tcBorders>
            <w:shd w:val="clear" w:color="auto" w:fill="auto"/>
            <w:noWrap/>
            <w:vAlign w:val="bottom"/>
            <w:hideMark/>
          </w:tcPr>
          <w:p w14:paraId="2F7A8B14"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0.07</w:t>
            </w:r>
          </w:p>
        </w:tc>
        <w:tc>
          <w:tcPr>
            <w:tcW w:w="1296" w:type="dxa"/>
            <w:tcBorders>
              <w:top w:val="nil"/>
              <w:left w:val="nil"/>
              <w:bottom w:val="nil"/>
              <w:right w:val="nil"/>
            </w:tcBorders>
            <w:shd w:val="clear" w:color="auto" w:fill="auto"/>
            <w:noWrap/>
            <w:vAlign w:val="bottom"/>
            <w:hideMark/>
          </w:tcPr>
          <w:p w14:paraId="0B363CC2"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0.05</w:t>
            </w:r>
          </w:p>
        </w:tc>
        <w:tc>
          <w:tcPr>
            <w:tcW w:w="1296" w:type="dxa"/>
            <w:tcBorders>
              <w:top w:val="nil"/>
              <w:left w:val="nil"/>
              <w:bottom w:val="nil"/>
              <w:right w:val="nil"/>
            </w:tcBorders>
            <w:shd w:val="clear" w:color="auto" w:fill="auto"/>
            <w:noWrap/>
            <w:vAlign w:val="bottom"/>
            <w:hideMark/>
          </w:tcPr>
          <w:p w14:paraId="3AC5A4AF"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0.05</w:t>
            </w:r>
          </w:p>
        </w:tc>
        <w:tc>
          <w:tcPr>
            <w:tcW w:w="1296" w:type="dxa"/>
            <w:tcBorders>
              <w:top w:val="nil"/>
              <w:left w:val="nil"/>
              <w:bottom w:val="nil"/>
              <w:right w:val="nil"/>
            </w:tcBorders>
            <w:shd w:val="clear" w:color="auto" w:fill="auto"/>
            <w:noWrap/>
            <w:vAlign w:val="bottom"/>
            <w:hideMark/>
          </w:tcPr>
          <w:p w14:paraId="4B4BAEFB"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0.09</w:t>
            </w:r>
          </w:p>
        </w:tc>
        <w:tc>
          <w:tcPr>
            <w:tcW w:w="1296" w:type="dxa"/>
            <w:tcBorders>
              <w:top w:val="nil"/>
              <w:left w:val="nil"/>
              <w:bottom w:val="nil"/>
              <w:right w:val="nil"/>
            </w:tcBorders>
            <w:shd w:val="clear" w:color="auto" w:fill="auto"/>
            <w:noWrap/>
            <w:vAlign w:val="bottom"/>
            <w:hideMark/>
          </w:tcPr>
          <w:p w14:paraId="3184B21E"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0.1</w:t>
            </w:r>
          </w:p>
        </w:tc>
      </w:tr>
      <w:tr w:rsidR="00F64A7D" w:rsidRPr="0066571A" w14:paraId="210D1AD4" w14:textId="77777777" w:rsidTr="00FA2E6C">
        <w:trPr>
          <w:trHeight w:val="300"/>
        </w:trPr>
        <w:tc>
          <w:tcPr>
            <w:tcW w:w="1701" w:type="dxa"/>
            <w:tcBorders>
              <w:top w:val="nil"/>
              <w:left w:val="nil"/>
              <w:bottom w:val="nil"/>
              <w:right w:val="nil"/>
            </w:tcBorders>
            <w:shd w:val="clear" w:color="auto" w:fill="auto"/>
            <w:noWrap/>
            <w:vAlign w:val="bottom"/>
            <w:hideMark/>
          </w:tcPr>
          <w:p w14:paraId="2AEBF527" w14:textId="0D757A49" w:rsidR="0066571A" w:rsidRPr="00FA2E6C" w:rsidRDefault="0066571A" w:rsidP="0066571A">
            <w:pPr>
              <w:spacing w:after="0" w:line="240" w:lineRule="auto"/>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F</w:t>
            </w:r>
            <w:r w:rsidRPr="00FA2E6C">
              <w:rPr>
                <w:rFonts w:eastAsia="Times New Roman" w:cstheme="minorHAnsi"/>
                <w:color w:val="000000"/>
                <w:sz w:val="24"/>
                <w:szCs w:val="24"/>
                <w:vertAlign w:val="subscript"/>
                <w:lang w:val="en-AU" w:eastAsia="en-AU"/>
              </w:rPr>
              <w:t>recent</w:t>
            </w:r>
            <w:r>
              <w:rPr>
                <w:rFonts w:eastAsia="Times New Roman" w:cstheme="minorHAnsi"/>
                <w:color w:val="000000"/>
                <w:sz w:val="24"/>
                <w:szCs w:val="24"/>
                <w:lang w:val="en-AU" w:eastAsia="en-AU"/>
              </w:rPr>
              <w:t>/F</w:t>
            </w:r>
            <w:r w:rsidRPr="00FA2E6C">
              <w:rPr>
                <w:rFonts w:eastAsia="Times New Roman" w:cstheme="minorHAnsi"/>
                <w:color w:val="000000"/>
                <w:sz w:val="24"/>
                <w:szCs w:val="24"/>
                <w:vertAlign w:val="subscript"/>
                <w:lang w:val="en-AU" w:eastAsia="en-AU"/>
              </w:rPr>
              <w:t>MSY</w:t>
            </w:r>
          </w:p>
        </w:tc>
        <w:tc>
          <w:tcPr>
            <w:tcW w:w="1134" w:type="dxa"/>
            <w:tcBorders>
              <w:top w:val="nil"/>
              <w:left w:val="nil"/>
              <w:bottom w:val="nil"/>
              <w:right w:val="nil"/>
            </w:tcBorders>
            <w:shd w:val="clear" w:color="auto" w:fill="auto"/>
            <w:noWrap/>
            <w:vAlign w:val="bottom"/>
            <w:hideMark/>
          </w:tcPr>
          <w:p w14:paraId="39289A82"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0.23</w:t>
            </w:r>
          </w:p>
        </w:tc>
        <w:tc>
          <w:tcPr>
            <w:tcW w:w="1053" w:type="dxa"/>
            <w:tcBorders>
              <w:top w:val="nil"/>
              <w:left w:val="nil"/>
              <w:bottom w:val="nil"/>
              <w:right w:val="nil"/>
            </w:tcBorders>
            <w:shd w:val="clear" w:color="auto" w:fill="auto"/>
            <w:noWrap/>
            <w:vAlign w:val="bottom"/>
            <w:hideMark/>
          </w:tcPr>
          <w:p w14:paraId="65BC2FB0"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0.2</w:t>
            </w:r>
          </w:p>
        </w:tc>
        <w:tc>
          <w:tcPr>
            <w:tcW w:w="1296" w:type="dxa"/>
            <w:tcBorders>
              <w:top w:val="nil"/>
              <w:left w:val="nil"/>
              <w:bottom w:val="nil"/>
              <w:right w:val="nil"/>
            </w:tcBorders>
            <w:shd w:val="clear" w:color="auto" w:fill="auto"/>
            <w:noWrap/>
            <w:vAlign w:val="bottom"/>
            <w:hideMark/>
          </w:tcPr>
          <w:p w14:paraId="7F7E5132"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0.06</w:t>
            </w:r>
          </w:p>
        </w:tc>
        <w:tc>
          <w:tcPr>
            <w:tcW w:w="1296" w:type="dxa"/>
            <w:tcBorders>
              <w:top w:val="nil"/>
              <w:left w:val="nil"/>
              <w:bottom w:val="nil"/>
              <w:right w:val="nil"/>
            </w:tcBorders>
            <w:shd w:val="clear" w:color="auto" w:fill="auto"/>
            <w:noWrap/>
            <w:vAlign w:val="bottom"/>
            <w:hideMark/>
          </w:tcPr>
          <w:p w14:paraId="2BFDD856"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0.08</w:t>
            </w:r>
          </w:p>
        </w:tc>
        <w:tc>
          <w:tcPr>
            <w:tcW w:w="1296" w:type="dxa"/>
            <w:tcBorders>
              <w:top w:val="nil"/>
              <w:left w:val="nil"/>
              <w:bottom w:val="nil"/>
              <w:right w:val="nil"/>
            </w:tcBorders>
            <w:shd w:val="clear" w:color="auto" w:fill="auto"/>
            <w:noWrap/>
            <w:vAlign w:val="bottom"/>
            <w:hideMark/>
          </w:tcPr>
          <w:p w14:paraId="446127BE"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0.41</w:t>
            </w:r>
          </w:p>
        </w:tc>
        <w:tc>
          <w:tcPr>
            <w:tcW w:w="1296" w:type="dxa"/>
            <w:tcBorders>
              <w:top w:val="nil"/>
              <w:left w:val="nil"/>
              <w:bottom w:val="nil"/>
              <w:right w:val="nil"/>
            </w:tcBorders>
            <w:shd w:val="clear" w:color="auto" w:fill="auto"/>
            <w:noWrap/>
            <w:vAlign w:val="bottom"/>
            <w:hideMark/>
          </w:tcPr>
          <w:p w14:paraId="5E3E8F52"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0.53</w:t>
            </w:r>
          </w:p>
        </w:tc>
      </w:tr>
      <w:tr w:rsidR="00F64A7D" w:rsidRPr="0066571A" w14:paraId="73A91C5B" w14:textId="77777777" w:rsidTr="00FA2E6C">
        <w:trPr>
          <w:trHeight w:val="300"/>
        </w:trPr>
        <w:tc>
          <w:tcPr>
            <w:tcW w:w="1701" w:type="dxa"/>
            <w:tcBorders>
              <w:top w:val="nil"/>
              <w:left w:val="nil"/>
              <w:bottom w:val="nil"/>
              <w:right w:val="nil"/>
            </w:tcBorders>
            <w:shd w:val="clear" w:color="auto" w:fill="auto"/>
            <w:noWrap/>
            <w:vAlign w:val="bottom"/>
            <w:hideMark/>
          </w:tcPr>
          <w:p w14:paraId="0ECAE8EC" w14:textId="412EFE14" w:rsidR="0066571A" w:rsidRPr="00FA2E6C" w:rsidRDefault="0066571A" w:rsidP="0066571A">
            <w:pPr>
              <w:spacing w:after="0" w:line="240" w:lineRule="auto"/>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SB</w:t>
            </w:r>
            <w:r w:rsidRPr="00FA2E6C">
              <w:rPr>
                <w:rFonts w:eastAsia="Times New Roman" w:cstheme="minorHAnsi"/>
                <w:color w:val="000000"/>
                <w:sz w:val="24"/>
                <w:szCs w:val="24"/>
                <w:vertAlign w:val="subscript"/>
                <w:lang w:val="en-AU" w:eastAsia="en-AU"/>
              </w:rPr>
              <w:t>MSY</w:t>
            </w:r>
          </w:p>
        </w:tc>
        <w:tc>
          <w:tcPr>
            <w:tcW w:w="1134" w:type="dxa"/>
            <w:tcBorders>
              <w:top w:val="nil"/>
              <w:left w:val="nil"/>
              <w:bottom w:val="nil"/>
              <w:right w:val="nil"/>
            </w:tcBorders>
            <w:shd w:val="clear" w:color="auto" w:fill="auto"/>
            <w:noWrap/>
            <w:vAlign w:val="bottom"/>
            <w:hideMark/>
          </w:tcPr>
          <w:p w14:paraId="1956582A"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71407</w:t>
            </w:r>
          </w:p>
        </w:tc>
        <w:tc>
          <w:tcPr>
            <w:tcW w:w="1053" w:type="dxa"/>
            <w:tcBorders>
              <w:top w:val="nil"/>
              <w:left w:val="nil"/>
              <w:bottom w:val="nil"/>
              <w:right w:val="nil"/>
            </w:tcBorders>
            <w:shd w:val="clear" w:color="auto" w:fill="auto"/>
            <w:noWrap/>
            <w:vAlign w:val="bottom"/>
            <w:hideMark/>
          </w:tcPr>
          <w:p w14:paraId="2081001A"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68650</w:t>
            </w:r>
          </w:p>
        </w:tc>
        <w:tc>
          <w:tcPr>
            <w:tcW w:w="1296" w:type="dxa"/>
            <w:tcBorders>
              <w:top w:val="nil"/>
              <w:left w:val="nil"/>
              <w:bottom w:val="nil"/>
              <w:right w:val="nil"/>
            </w:tcBorders>
            <w:shd w:val="clear" w:color="auto" w:fill="auto"/>
            <w:noWrap/>
            <w:vAlign w:val="bottom"/>
            <w:hideMark/>
          </w:tcPr>
          <w:p w14:paraId="0FEDABCE"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26760</w:t>
            </w:r>
          </w:p>
        </w:tc>
        <w:tc>
          <w:tcPr>
            <w:tcW w:w="1296" w:type="dxa"/>
            <w:tcBorders>
              <w:top w:val="nil"/>
              <w:left w:val="nil"/>
              <w:bottom w:val="nil"/>
              <w:right w:val="nil"/>
            </w:tcBorders>
            <w:shd w:val="clear" w:color="auto" w:fill="auto"/>
            <w:noWrap/>
            <w:vAlign w:val="bottom"/>
            <w:hideMark/>
          </w:tcPr>
          <w:p w14:paraId="2BE4C6D1"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39872</w:t>
            </w:r>
          </w:p>
        </w:tc>
        <w:tc>
          <w:tcPr>
            <w:tcW w:w="1296" w:type="dxa"/>
            <w:tcBorders>
              <w:top w:val="nil"/>
              <w:left w:val="nil"/>
              <w:bottom w:val="nil"/>
              <w:right w:val="nil"/>
            </w:tcBorders>
            <w:shd w:val="clear" w:color="auto" w:fill="auto"/>
            <w:noWrap/>
            <w:vAlign w:val="bottom"/>
            <w:hideMark/>
          </w:tcPr>
          <w:p w14:paraId="02AC169F"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100773</w:t>
            </w:r>
          </w:p>
        </w:tc>
        <w:tc>
          <w:tcPr>
            <w:tcW w:w="1296" w:type="dxa"/>
            <w:tcBorders>
              <w:top w:val="nil"/>
              <w:left w:val="nil"/>
              <w:bottom w:val="nil"/>
              <w:right w:val="nil"/>
            </w:tcBorders>
            <w:shd w:val="clear" w:color="auto" w:fill="auto"/>
            <w:noWrap/>
            <w:vAlign w:val="bottom"/>
            <w:hideMark/>
          </w:tcPr>
          <w:p w14:paraId="1EEC8B4F"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134000</w:t>
            </w:r>
          </w:p>
        </w:tc>
      </w:tr>
      <w:tr w:rsidR="00F64A7D" w:rsidRPr="0066571A" w14:paraId="4A836D84" w14:textId="77777777" w:rsidTr="00FA2E6C">
        <w:trPr>
          <w:trHeight w:val="300"/>
        </w:trPr>
        <w:tc>
          <w:tcPr>
            <w:tcW w:w="1701" w:type="dxa"/>
            <w:tcBorders>
              <w:top w:val="nil"/>
              <w:left w:val="nil"/>
              <w:bottom w:val="nil"/>
              <w:right w:val="nil"/>
            </w:tcBorders>
            <w:shd w:val="clear" w:color="auto" w:fill="auto"/>
            <w:noWrap/>
            <w:vAlign w:val="bottom"/>
            <w:hideMark/>
          </w:tcPr>
          <w:p w14:paraId="39B1CAEA" w14:textId="77777777" w:rsidR="0066571A" w:rsidRPr="00FA2E6C" w:rsidRDefault="0066571A" w:rsidP="0066571A">
            <w:pPr>
              <w:spacing w:after="0" w:line="240" w:lineRule="auto"/>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SB</w:t>
            </w:r>
            <w:r w:rsidRPr="00FA2E6C">
              <w:rPr>
                <w:rFonts w:eastAsia="Times New Roman" w:cstheme="minorHAnsi"/>
                <w:color w:val="000000"/>
                <w:sz w:val="24"/>
                <w:szCs w:val="24"/>
                <w:vertAlign w:val="subscript"/>
                <w:lang w:val="en-AU" w:eastAsia="en-AU"/>
              </w:rPr>
              <w:t>0</w:t>
            </w:r>
          </w:p>
        </w:tc>
        <w:tc>
          <w:tcPr>
            <w:tcW w:w="1134" w:type="dxa"/>
            <w:tcBorders>
              <w:top w:val="nil"/>
              <w:left w:val="nil"/>
              <w:bottom w:val="nil"/>
              <w:right w:val="nil"/>
            </w:tcBorders>
            <w:shd w:val="clear" w:color="auto" w:fill="auto"/>
            <w:noWrap/>
            <w:vAlign w:val="bottom"/>
            <w:hideMark/>
          </w:tcPr>
          <w:p w14:paraId="74C25696"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443794</w:t>
            </w:r>
          </w:p>
        </w:tc>
        <w:tc>
          <w:tcPr>
            <w:tcW w:w="1053" w:type="dxa"/>
            <w:tcBorders>
              <w:top w:val="nil"/>
              <w:left w:val="nil"/>
              <w:bottom w:val="nil"/>
              <w:right w:val="nil"/>
            </w:tcBorders>
            <w:shd w:val="clear" w:color="auto" w:fill="auto"/>
            <w:noWrap/>
            <w:vAlign w:val="bottom"/>
            <w:hideMark/>
          </w:tcPr>
          <w:p w14:paraId="5E80A1B1"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439800</w:t>
            </w:r>
          </w:p>
        </w:tc>
        <w:tc>
          <w:tcPr>
            <w:tcW w:w="1296" w:type="dxa"/>
            <w:tcBorders>
              <w:top w:val="nil"/>
              <w:left w:val="nil"/>
              <w:bottom w:val="nil"/>
              <w:right w:val="nil"/>
            </w:tcBorders>
            <w:shd w:val="clear" w:color="auto" w:fill="auto"/>
            <w:noWrap/>
            <w:vAlign w:val="bottom"/>
            <w:hideMark/>
          </w:tcPr>
          <w:p w14:paraId="07C7DE0B"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308800</w:t>
            </w:r>
          </w:p>
        </w:tc>
        <w:tc>
          <w:tcPr>
            <w:tcW w:w="1296" w:type="dxa"/>
            <w:tcBorders>
              <w:top w:val="nil"/>
              <w:left w:val="nil"/>
              <w:bottom w:val="nil"/>
              <w:right w:val="nil"/>
            </w:tcBorders>
            <w:shd w:val="clear" w:color="auto" w:fill="auto"/>
            <w:noWrap/>
            <w:vAlign w:val="bottom"/>
            <w:hideMark/>
          </w:tcPr>
          <w:p w14:paraId="199DFE33"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353870</w:t>
            </w:r>
          </w:p>
        </w:tc>
        <w:tc>
          <w:tcPr>
            <w:tcW w:w="1296" w:type="dxa"/>
            <w:tcBorders>
              <w:top w:val="nil"/>
              <w:left w:val="nil"/>
              <w:bottom w:val="nil"/>
              <w:right w:val="nil"/>
            </w:tcBorders>
            <w:shd w:val="clear" w:color="auto" w:fill="auto"/>
            <w:noWrap/>
            <w:vAlign w:val="bottom"/>
            <w:hideMark/>
          </w:tcPr>
          <w:p w14:paraId="5D2DB8D3"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510530</w:t>
            </w:r>
          </w:p>
        </w:tc>
        <w:tc>
          <w:tcPr>
            <w:tcW w:w="1296" w:type="dxa"/>
            <w:tcBorders>
              <w:top w:val="nil"/>
              <w:left w:val="nil"/>
              <w:bottom w:val="nil"/>
              <w:right w:val="nil"/>
            </w:tcBorders>
            <w:shd w:val="clear" w:color="auto" w:fill="auto"/>
            <w:noWrap/>
            <w:vAlign w:val="bottom"/>
            <w:hideMark/>
          </w:tcPr>
          <w:p w14:paraId="3E186FBD"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696200</w:t>
            </w:r>
          </w:p>
        </w:tc>
      </w:tr>
      <w:tr w:rsidR="00F64A7D" w:rsidRPr="0066571A" w14:paraId="3ABA8472" w14:textId="77777777" w:rsidTr="00FA2E6C">
        <w:trPr>
          <w:trHeight w:val="300"/>
        </w:trPr>
        <w:tc>
          <w:tcPr>
            <w:tcW w:w="1701" w:type="dxa"/>
            <w:tcBorders>
              <w:top w:val="nil"/>
              <w:left w:val="nil"/>
              <w:bottom w:val="nil"/>
              <w:right w:val="nil"/>
            </w:tcBorders>
            <w:shd w:val="clear" w:color="auto" w:fill="auto"/>
            <w:noWrap/>
            <w:vAlign w:val="bottom"/>
            <w:hideMark/>
          </w:tcPr>
          <w:p w14:paraId="2F0D4236" w14:textId="480CE215" w:rsidR="0066571A" w:rsidRPr="00FA2E6C" w:rsidRDefault="0066571A" w:rsidP="0066571A">
            <w:pPr>
              <w:spacing w:after="0" w:line="240" w:lineRule="auto"/>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SB</w:t>
            </w:r>
            <w:r w:rsidRPr="00FA2E6C">
              <w:rPr>
                <w:rFonts w:eastAsia="Times New Roman" w:cstheme="minorHAnsi"/>
                <w:color w:val="000000"/>
                <w:sz w:val="24"/>
                <w:szCs w:val="24"/>
                <w:vertAlign w:val="subscript"/>
                <w:lang w:val="en-AU" w:eastAsia="en-AU"/>
              </w:rPr>
              <w:t>MSY</w:t>
            </w:r>
            <w:r>
              <w:rPr>
                <w:rFonts w:eastAsia="Times New Roman" w:cstheme="minorHAnsi"/>
                <w:color w:val="000000"/>
                <w:sz w:val="24"/>
                <w:szCs w:val="24"/>
                <w:lang w:val="en-AU" w:eastAsia="en-AU"/>
              </w:rPr>
              <w:t>/</w:t>
            </w:r>
            <w:r w:rsidRPr="00FA2E6C">
              <w:rPr>
                <w:rFonts w:eastAsia="Times New Roman" w:cstheme="minorHAnsi"/>
                <w:color w:val="000000"/>
                <w:sz w:val="24"/>
                <w:szCs w:val="24"/>
                <w:lang w:val="en-AU" w:eastAsia="en-AU"/>
              </w:rPr>
              <w:t>SB</w:t>
            </w:r>
            <w:r w:rsidRPr="00FA2E6C">
              <w:rPr>
                <w:rFonts w:eastAsia="Times New Roman" w:cstheme="minorHAnsi"/>
                <w:color w:val="000000"/>
                <w:sz w:val="24"/>
                <w:szCs w:val="24"/>
                <w:vertAlign w:val="subscript"/>
                <w:lang w:val="en-AU" w:eastAsia="en-AU"/>
              </w:rPr>
              <w:t>0</w:t>
            </w:r>
          </w:p>
        </w:tc>
        <w:tc>
          <w:tcPr>
            <w:tcW w:w="1134" w:type="dxa"/>
            <w:tcBorders>
              <w:top w:val="nil"/>
              <w:left w:val="nil"/>
              <w:bottom w:val="nil"/>
              <w:right w:val="nil"/>
            </w:tcBorders>
            <w:shd w:val="clear" w:color="auto" w:fill="auto"/>
            <w:noWrap/>
            <w:vAlign w:val="bottom"/>
            <w:hideMark/>
          </w:tcPr>
          <w:p w14:paraId="2AB1E29E"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0.16</w:t>
            </w:r>
          </w:p>
        </w:tc>
        <w:tc>
          <w:tcPr>
            <w:tcW w:w="1053" w:type="dxa"/>
            <w:tcBorders>
              <w:top w:val="nil"/>
              <w:left w:val="nil"/>
              <w:bottom w:val="nil"/>
              <w:right w:val="nil"/>
            </w:tcBorders>
            <w:shd w:val="clear" w:color="auto" w:fill="auto"/>
            <w:noWrap/>
            <w:vAlign w:val="bottom"/>
            <w:hideMark/>
          </w:tcPr>
          <w:p w14:paraId="054F8871"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0.17</w:t>
            </w:r>
          </w:p>
        </w:tc>
        <w:tc>
          <w:tcPr>
            <w:tcW w:w="1296" w:type="dxa"/>
            <w:tcBorders>
              <w:top w:val="nil"/>
              <w:left w:val="nil"/>
              <w:bottom w:val="nil"/>
              <w:right w:val="nil"/>
            </w:tcBorders>
            <w:shd w:val="clear" w:color="auto" w:fill="auto"/>
            <w:noWrap/>
            <w:vAlign w:val="bottom"/>
            <w:hideMark/>
          </w:tcPr>
          <w:p w14:paraId="5731FDA3"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0.07</w:t>
            </w:r>
          </w:p>
        </w:tc>
        <w:tc>
          <w:tcPr>
            <w:tcW w:w="1296" w:type="dxa"/>
            <w:tcBorders>
              <w:top w:val="nil"/>
              <w:left w:val="nil"/>
              <w:bottom w:val="nil"/>
              <w:right w:val="nil"/>
            </w:tcBorders>
            <w:shd w:val="clear" w:color="auto" w:fill="auto"/>
            <w:noWrap/>
            <w:vAlign w:val="bottom"/>
            <w:hideMark/>
          </w:tcPr>
          <w:p w14:paraId="33DC44F6"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0.1</w:t>
            </w:r>
          </w:p>
        </w:tc>
        <w:tc>
          <w:tcPr>
            <w:tcW w:w="1296" w:type="dxa"/>
            <w:tcBorders>
              <w:top w:val="nil"/>
              <w:left w:val="nil"/>
              <w:bottom w:val="nil"/>
              <w:right w:val="nil"/>
            </w:tcBorders>
            <w:shd w:val="clear" w:color="auto" w:fill="auto"/>
            <w:noWrap/>
            <w:vAlign w:val="bottom"/>
            <w:hideMark/>
          </w:tcPr>
          <w:p w14:paraId="244E56AE"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0.21</w:t>
            </w:r>
          </w:p>
        </w:tc>
        <w:tc>
          <w:tcPr>
            <w:tcW w:w="1296" w:type="dxa"/>
            <w:tcBorders>
              <w:top w:val="nil"/>
              <w:left w:val="nil"/>
              <w:bottom w:val="nil"/>
              <w:right w:val="nil"/>
            </w:tcBorders>
            <w:shd w:val="clear" w:color="auto" w:fill="auto"/>
            <w:noWrap/>
            <w:vAlign w:val="bottom"/>
            <w:hideMark/>
          </w:tcPr>
          <w:p w14:paraId="6C60055C"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0.23</w:t>
            </w:r>
          </w:p>
        </w:tc>
      </w:tr>
      <w:tr w:rsidR="00F64A7D" w:rsidRPr="0066571A" w14:paraId="1122FBD1" w14:textId="77777777" w:rsidTr="00FA2E6C">
        <w:trPr>
          <w:trHeight w:val="300"/>
        </w:trPr>
        <w:tc>
          <w:tcPr>
            <w:tcW w:w="1701" w:type="dxa"/>
            <w:tcBorders>
              <w:top w:val="nil"/>
              <w:left w:val="nil"/>
              <w:bottom w:val="nil"/>
              <w:right w:val="nil"/>
            </w:tcBorders>
            <w:shd w:val="clear" w:color="auto" w:fill="auto"/>
            <w:noWrap/>
            <w:vAlign w:val="bottom"/>
            <w:hideMark/>
          </w:tcPr>
          <w:p w14:paraId="2077E428" w14:textId="4D161C4D" w:rsidR="0066571A" w:rsidRPr="00FA2E6C" w:rsidRDefault="0066571A" w:rsidP="0066571A">
            <w:pPr>
              <w:spacing w:after="0" w:line="240" w:lineRule="auto"/>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SB</w:t>
            </w:r>
            <w:r w:rsidRPr="00FA2E6C">
              <w:rPr>
                <w:rFonts w:eastAsia="Times New Roman" w:cstheme="minorHAnsi"/>
                <w:color w:val="000000"/>
                <w:sz w:val="24"/>
                <w:szCs w:val="24"/>
                <w:vertAlign w:val="subscript"/>
                <w:lang w:val="en-AU" w:eastAsia="en-AU"/>
              </w:rPr>
              <w:t>F</w:t>
            </w:r>
            <w:r w:rsidR="00F64A7D" w:rsidRPr="00FA2E6C">
              <w:rPr>
                <w:rFonts w:eastAsia="Times New Roman" w:cstheme="minorHAnsi"/>
                <w:color w:val="000000"/>
                <w:sz w:val="24"/>
                <w:szCs w:val="24"/>
                <w:vertAlign w:val="subscript"/>
                <w:lang w:val="en-AU" w:eastAsia="en-AU"/>
              </w:rPr>
              <w:t>=</w:t>
            </w:r>
            <w:r w:rsidRPr="00FA2E6C">
              <w:rPr>
                <w:rFonts w:eastAsia="Times New Roman" w:cstheme="minorHAnsi"/>
                <w:color w:val="000000"/>
                <w:sz w:val="24"/>
                <w:szCs w:val="24"/>
                <w:vertAlign w:val="subscript"/>
                <w:lang w:val="en-AU" w:eastAsia="en-AU"/>
              </w:rPr>
              <w:t>0</w:t>
            </w:r>
          </w:p>
        </w:tc>
        <w:tc>
          <w:tcPr>
            <w:tcW w:w="1134" w:type="dxa"/>
            <w:tcBorders>
              <w:top w:val="nil"/>
              <w:left w:val="nil"/>
              <w:bottom w:val="nil"/>
              <w:right w:val="nil"/>
            </w:tcBorders>
            <w:shd w:val="clear" w:color="auto" w:fill="auto"/>
            <w:noWrap/>
            <w:vAlign w:val="bottom"/>
            <w:hideMark/>
          </w:tcPr>
          <w:p w14:paraId="327884BC"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469004</w:t>
            </w:r>
          </w:p>
        </w:tc>
        <w:tc>
          <w:tcPr>
            <w:tcW w:w="1053" w:type="dxa"/>
            <w:tcBorders>
              <w:top w:val="nil"/>
              <w:left w:val="nil"/>
              <w:bottom w:val="nil"/>
              <w:right w:val="nil"/>
            </w:tcBorders>
            <w:shd w:val="clear" w:color="auto" w:fill="auto"/>
            <w:noWrap/>
            <w:vAlign w:val="bottom"/>
            <w:hideMark/>
          </w:tcPr>
          <w:p w14:paraId="5488EE99"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462633</w:t>
            </w:r>
          </w:p>
        </w:tc>
        <w:tc>
          <w:tcPr>
            <w:tcW w:w="1296" w:type="dxa"/>
            <w:tcBorders>
              <w:top w:val="nil"/>
              <w:left w:val="nil"/>
              <w:bottom w:val="nil"/>
              <w:right w:val="nil"/>
            </w:tcBorders>
            <w:shd w:val="clear" w:color="auto" w:fill="auto"/>
            <w:noWrap/>
            <w:vAlign w:val="bottom"/>
            <w:hideMark/>
          </w:tcPr>
          <w:p w14:paraId="2436364E"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380092</w:t>
            </w:r>
          </w:p>
        </w:tc>
        <w:tc>
          <w:tcPr>
            <w:tcW w:w="1296" w:type="dxa"/>
            <w:tcBorders>
              <w:top w:val="nil"/>
              <w:left w:val="nil"/>
              <w:bottom w:val="nil"/>
              <w:right w:val="nil"/>
            </w:tcBorders>
            <w:shd w:val="clear" w:color="auto" w:fill="auto"/>
            <w:noWrap/>
            <w:vAlign w:val="bottom"/>
            <w:hideMark/>
          </w:tcPr>
          <w:p w14:paraId="4ECE1631"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407792</w:t>
            </w:r>
          </w:p>
        </w:tc>
        <w:tc>
          <w:tcPr>
            <w:tcW w:w="1296" w:type="dxa"/>
            <w:tcBorders>
              <w:top w:val="nil"/>
              <w:left w:val="nil"/>
              <w:bottom w:val="nil"/>
              <w:right w:val="nil"/>
            </w:tcBorders>
            <w:shd w:val="clear" w:color="auto" w:fill="auto"/>
            <w:noWrap/>
            <w:vAlign w:val="bottom"/>
            <w:hideMark/>
          </w:tcPr>
          <w:p w14:paraId="5336370F"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534040</w:t>
            </w:r>
          </w:p>
        </w:tc>
        <w:tc>
          <w:tcPr>
            <w:tcW w:w="1296" w:type="dxa"/>
            <w:tcBorders>
              <w:top w:val="nil"/>
              <w:left w:val="nil"/>
              <w:bottom w:val="nil"/>
              <w:right w:val="nil"/>
            </w:tcBorders>
            <w:shd w:val="clear" w:color="auto" w:fill="auto"/>
            <w:noWrap/>
            <w:vAlign w:val="bottom"/>
            <w:hideMark/>
          </w:tcPr>
          <w:p w14:paraId="61EB0B72"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620000</w:t>
            </w:r>
          </w:p>
        </w:tc>
      </w:tr>
      <w:tr w:rsidR="00F64A7D" w:rsidRPr="0066571A" w14:paraId="1B5103B7" w14:textId="77777777" w:rsidTr="00FA2E6C">
        <w:trPr>
          <w:trHeight w:val="300"/>
        </w:trPr>
        <w:tc>
          <w:tcPr>
            <w:tcW w:w="1701" w:type="dxa"/>
            <w:tcBorders>
              <w:top w:val="nil"/>
              <w:left w:val="nil"/>
              <w:bottom w:val="nil"/>
              <w:right w:val="nil"/>
            </w:tcBorders>
            <w:shd w:val="clear" w:color="auto" w:fill="auto"/>
            <w:noWrap/>
            <w:vAlign w:val="bottom"/>
            <w:hideMark/>
          </w:tcPr>
          <w:p w14:paraId="06234DE2" w14:textId="1AD8CBAD" w:rsidR="0066571A" w:rsidRPr="00FA2E6C" w:rsidRDefault="00F64A7D" w:rsidP="00F64A7D">
            <w:pPr>
              <w:spacing w:after="0" w:line="240" w:lineRule="auto"/>
              <w:rPr>
                <w:rFonts w:eastAsia="Times New Roman" w:cstheme="minorHAnsi"/>
                <w:color w:val="000000"/>
                <w:sz w:val="24"/>
                <w:szCs w:val="24"/>
                <w:lang w:val="en-AU" w:eastAsia="en-AU"/>
              </w:rPr>
            </w:pPr>
            <w:r>
              <w:rPr>
                <w:rFonts w:eastAsia="Times New Roman" w:cstheme="minorHAnsi"/>
                <w:color w:val="000000"/>
                <w:sz w:val="24"/>
                <w:szCs w:val="24"/>
                <w:lang w:val="en-AU" w:eastAsia="en-AU"/>
              </w:rPr>
              <w:t>SB</w:t>
            </w:r>
            <w:r w:rsidRPr="00FA2E6C">
              <w:rPr>
                <w:rFonts w:eastAsia="Times New Roman" w:cstheme="minorHAnsi"/>
                <w:color w:val="000000"/>
                <w:sz w:val="24"/>
                <w:szCs w:val="24"/>
                <w:vertAlign w:val="subscript"/>
                <w:lang w:val="en-AU" w:eastAsia="en-AU"/>
              </w:rPr>
              <w:t>MSY</w:t>
            </w:r>
            <w:r>
              <w:rPr>
                <w:rFonts w:eastAsia="Times New Roman" w:cstheme="minorHAnsi"/>
                <w:color w:val="000000"/>
                <w:sz w:val="24"/>
                <w:szCs w:val="24"/>
                <w:lang w:val="en-AU" w:eastAsia="en-AU"/>
              </w:rPr>
              <w:t>/</w:t>
            </w:r>
            <w:r w:rsidR="0066571A" w:rsidRPr="00FA2E6C">
              <w:rPr>
                <w:rFonts w:eastAsia="Times New Roman" w:cstheme="minorHAnsi"/>
                <w:color w:val="000000"/>
                <w:sz w:val="24"/>
                <w:szCs w:val="24"/>
                <w:lang w:val="en-AU" w:eastAsia="en-AU"/>
              </w:rPr>
              <w:t>SB</w:t>
            </w:r>
            <w:r w:rsidR="0066571A" w:rsidRPr="00FA2E6C">
              <w:rPr>
                <w:rFonts w:eastAsia="Times New Roman" w:cstheme="minorHAnsi"/>
                <w:color w:val="000000"/>
                <w:sz w:val="24"/>
                <w:szCs w:val="24"/>
                <w:vertAlign w:val="subscript"/>
                <w:lang w:val="en-AU" w:eastAsia="en-AU"/>
              </w:rPr>
              <w:t>F</w:t>
            </w:r>
            <w:r w:rsidRPr="00FA2E6C">
              <w:rPr>
                <w:rFonts w:eastAsia="Times New Roman" w:cstheme="minorHAnsi"/>
                <w:color w:val="000000"/>
                <w:sz w:val="24"/>
                <w:szCs w:val="24"/>
                <w:vertAlign w:val="subscript"/>
                <w:lang w:val="en-AU" w:eastAsia="en-AU"/>
              </w:rPr>
              <w:t>=</w:t>
            </w:r>
            <w:r w:rsidR="0066571A" w:rsidRPr="00FA2E6C">
              <w:rPr>
                <w:rFonts w:eastAsia="Times New Roman" w:cstheme="minorHAnsi"/>
                <w:color w:val="000000"/>
                <w:sz w:val="24"/>
                <w:szCs w:val="24"/>
                <w:vertAlign w:val="subscript"/>
                <w:lang w:val="en-AU" w:eastAsia="en-AU"/>
              </w:rPr>
              <w:t>0</w:t>
            </w:r>
          </w:p>
        </w:tc>
        <w:tc>
          <w:tcPr>
            <w:tcW w:w="1134" w:type="dxa"/>
            <w:tcBorders>
              <w:top w:val="nil"/>
              <w:left w:val="nil"/>
              <w:bottom w:val="nil"/>
              <w:right w:val="nil"/>
            </w:tcBorders>
            <w:shd w:val="clear" w:color="auto" w:fill="auto"/>
            <w:noWrap/>
            <w:vAlign w:val="bottom"/>
            <w:hideMark/>
          </w:tcPr>
          <w:p w14:paraId="136F791F"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0.15</w:t>
            </w:r>
          </w:p>
        </w:tc>
        <w:tc>
          <w:tcPr>
            <w:tcW w:w="1053" w:type="dxa"/>
            <w:tcBorders>
              <w:top w:val="nil"/>
              <w:left w:val="nil"/>
              <w:bottom w:val="nil"/>
              <w:right w:val="nil"/>
            </w:tcBorders>
            <w:shd w:val="clear" w:color="auto" w:fill="auto"/>
            <w:noWrap/>
            <w:vAlign w:val="bottom"/>
            <w:hideMark/>
          </w:tcPr>
          <w:p w14:paraId="36865F92"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0.15</w:t>
            </w:r>
          </w:p>
        </w:tc>
        <w:tc>
          <w:tcPr>
            <w:tcW w:w="1296" w:type="dxa"/>
            <w:tcBorders>
              <w:top w:val="nil"/>
              <w:left w:val="nil"/>
              <w:bottom w:val="nil"/>
              <w:right w:val="nil"/>
            </w:tcBorders>
            <w:shd w:val="clear" w:color="auto" w:fill="auto"/>
            <w:noWrap/>
            <w:vAlign w:val="bottom"/>
            <w:hideMark/>
          </w:tcPr>
          <w:p w14:paraId="5C0D3E8D"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0.06</w:t>
            </w:r>
          </w:p>
        </w:tc>
        <w:tc>
          <w:tcPr>
            <w:tcW w:w="1296" w:type="dxa"/>
            <w:tcBorders>
              <w:top w:val="nil"/>
              <w:left w:val="nil"/>
              <w:bottom w:val="nil"/>
              <w:right w:val="nil"/>
            </w:tcBorders>
            <w:shd w:val="clear" w:color="auto" w:fill="auto"/>
            <w:noWrap/>
            <w:vAlign w:val="bottom"/>
            <w:hideMark/>
          </w:tcPr>
          <w:p w14:paraId="03259140"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0.09</w:t>
            </w:r>
          </w:p>
        </w:tc>
        <w:tc>
          <w:tcPr>
            <w:tcW w:w="1296" w:type="dxa"/>
            <w:tcBorders>
              <w:top w:val="nil"/>
              <w:left w:val="nil"/>
              <w:bottom w:val="nil"/>
              <w:right w:val="nil"/>
            </w:tcBorders>
            <w:shd w:val="clear" w:color="auto" w:fill="auto"/>
            <w:noWrap/>
            <w:vAlign w:val="bottom"/>
            <w:hideMark/>
          </w:tcPr>
          <w:p w14:paraId="5341F88D"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0.2</w:t>
            </w:r>
          </w:p>
        </w:tc>
        <w:tc>
          <w:tcPr>
            <w:tcW w:w="1296" w:type="dxa"/>
            <w:tcBorders>
              <w:top w:val="nil"/>
              <w:left w:val="nil"/>
              <w:bottom w:val="nil"/>
              <w:right w:val="nil"/>
            </w:tcBorders>
            <w:shd w:val="clear" w:color="auto" w:fill="auto"/>
            <w:noWrap/>
            <w:vAlign w:val="bottom"/>
            <w:hideMark/>
          </w:tcPr>
          <w:p w14:paraId="24E90AD3"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0.22</w:t>
            </w:r>
          </w:p>
        </w:tc>
      </w:tr>
      <w:tr w:rsidR="00F64A7D" w:rsidRPr="0066571A" w14:paraId="13E3DB21" w14:textId="77777777" w:rsidTr="00FA2E6C">
        <w:trPr>
          <w:trHeight w:val="300"/>
        </w:trPr>
        <w:tc>
          <w:tcPr>
            <w:tcW w:w="1701" w:type="dxa"/>
            <w:tcBorders>
              <w:top w:val="nil"/>
              <w:left w:val="nil"/>
              <w:bottom w:val="nil"/>
              <w:right w:val="nil"/>
            </w:tcBorders>
            <w:shd w:val="clear" w:color="auto" w:fill="auto"/>
            <w:noWrap/>
            <w:vAlign w:val="bottom"/>
            <w:hideMark/>
          </w:tcPr>
          <w:p w14:paraId="0E084CC4" w14:textId="2B96E87E" w:rsidR="0066571A" w:rsidRPr="00FA2E6C" w:rsidRDefault="00F64A7D" w:rsidP="0066571A">
            <w:pPr>
              <w:spacing w:after="0" w:line="240" w:lineRule="auto"/>
              <w:rPr>
                <w:rFonts w:eastAsia="Times New Roman" w:cstheme="minorHAnsi"/>
                <w:color w:val="000000"/>
                <w:sz w:val="24"/>
                <w:szCs w:val="24"/>
                <w:lang w:val="en-AU" w:eastAsia="en-AU"/>
              </w:rPr>
            </w:pPr>
            <w:proofErr w:type="spellStart"/>
            <w:r w:rsidRPr="00F64A7D">
              <w:rPr>
                <w:rFonts w:eastAsia="Times New Roman" w:cstheme="minorHAnsi"/>
                <w:color w:val="000000"/>
                <w:sz w:val="24"/>
                <w:szCs w:val="24"/>
                <w:lang w:val="en-AU" w:eastAsia="en-AU"/>
              </w:rPr>
              <w:t>SB</w:t>
            </w:r>
            <w:r w:rsidRPr="00FA2E6C">
              <w:rPr>
                <w:rFonts w:eastAsia="Times New Roman" w:cstheme="minorHAnsi"/>
                <w:color w:val="000000"/>
                <w:sz w:val="24"/>
                <w:szCs w:val="24"/>
                <w:vertAlign w:val="subscript"/>
                <w:lang w:val="en-AU" w:eastAsia="en-AU"/>
              </w:rPr>
              <w:t>latest</w:t>
            </w:r>
            <w:proofErr w:type="spellEnd"/>
            <w:r w:rsidRPr="00F64A7D">
              <w:rPr>
                <w:rFonts w:eastAsia="Times New Roman" w:cstheme="minorHAnsi"/>
                <w:color w:val="000000"/>
                <w:sz w:val="24"/>
                <w:szCs w:val="24"/>
                <w:lang w:val="en-AU" w:eastAsia="en-AU"/>
              </w:rPr>
              <w:t>/</w:t>
            </w:r>
            <w:r w:rsidR="0066571A" w:rsidRPr="00FA2E6C">
              <w:rPr>
                <w:rFonts w:eastAsia="Times New Roman" w:cstheme="minorHAnsi"/>
                <w:color w:val="000000"/>
                <w:sz w:val="24"/>
                <w:szCs w:val="24"/>
                <w:lang w:val="en-AU" w:eastAsia="en-AU"/>
              </w:rPr>
              <w:t>SB</w:t>
            </w:r>
            <w:r w:rsidR="0066571A" w:rsidRPr="00FA2E6C">
              <w:rPr>
                <w:rFonts w:eastAsia="Times New Roman" w:cstheme="minorHAnsi"/>
                <w:color w:val="000000"/>
                <w:sz w:val="24"/>
                <w:szCs w:val="24"/>
                <w:vertAlign w:val="subscript"/>
                <w:lang w:val="en-AU" w:eastAsia="en-AU"/>
              </w:rPr>
              <w:t>0</w:t>
            </w:r>
          </w:p>
        </w:tc>
        <w:tc>
          <w:tcPr>
            <w:tcW w:w="1134" w:type="dxa"/>
            <w:tcBorders>
              <w:top w:val="nil"/>
              <w:left w:val="nil"/>
              <w:bottom w:val="nil"/>
              <w:right w:val="nil"/>
            </w:tcBorders>
            <w:shd w:val="clear" w:color="auto" w:fill="auto"/>
            <w:noWrap/>
            <w:vAlign w:val="bottom"/>
            <w:hideMark/>
          </w:tcPr>
          <w:p w14:paraId="6F75A10A"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0.55</w:t>
            </w:r>
          </w:p>
        </w:tc>
        <w:tc>
          <w:tcPr>
            <w:tcW w:w="1053" w:type="dxa"/>
            <w:tcBorders>
              <w:top w:val="nil"/>
              <w:left w:val="nil"/>
              <w:bottom w:val="nil"/>
              <w:right w:val="nil"/>
            </w:tcBorders>
            <w:shd w:val="clear" w:color="auto" w:fill="auto"/>
            <w:noWrap/>
            <w:vAlign w:val="bottom"/>
            <w:hideMark/>
          </w:tcPr>
          <w:p w14:paraId="0EAFF26C"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0.56</w:t>
            </w:r>
          </w:p>
        </w:tc>
        <w:tc>
          <w:tcPr>
            <w:tcW w:w="1296" w:type="dxa"/>
            <w:tcBorders>
              <w:top w:val="nil"/>
              <w:left w:val="nil"/>
              <w:bottom w:val="nil"/>
              <w:right w:val="nil"/>
            </w:tcBorders>
            <w:shd w:val="clear" w:color="auto" w:fill="auto"/>
            <w:noWrap/>
            <w:vAlign w:val="bottom"/>
            <w:hideMark/>
          </w:tcPr>
          <w:p w14:paraId="0EF3E165"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0.33</w:t>
            </w:r>
          </w:p>
        </w:tc>
        <w:tc>
          <w:tcPr>
            <w:tcW w:w="1296" w:type="dxa"/>
            <w:tcBorders>
              <w:top w:val="nil"/>
              <w:left w:val="nil"/>
              <w:bottom w:val="nil"/>
              <w:right w:val="nil"/>
            </w:tcBorders>
            <w:shd w:val="clear" w:color="auto" w:fill="auto"/>
            <w:noWrap/>
            <w:vAlign w:val="bottom"/>
            <w:hideMark/>
          </w:tcPr>
          <w:p w14:paraId="3D1A9018"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0.42</w:t>
            </w:r>
          </w:p>
        </w:tc>
        <w:tc>
          <w:tcPr>
            <w:tcW w:w="1296" w:type="dxa"/>
            <w:tcBorders>
              <w:top w:val="nil"/>
              <w:left w:val="nil"/>
              <w:bottom w:val="nil"/>
              <w:right w:val="nil"/>
            </w:tcBorders>
            <w:shd w:val="clear" w:color="auto" w:fill="auto"/>
            <w:noWrap/>
            <w:vAlign w:val="bottom"/>
            <w:hideMark/>
          </w:tcPr>
          <w:p w14:paraId="3F16CF98"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0.69</w:t>
            </w:r>
          </w:p>
        </w:tc>
        <w:tc>
          <w:tcPr>
            <w:tcW w:w="1296" w:type="dxa"/>
            <w:tcBorders>
              <w:top w:val="nil"/>
              <w:left w:val="nil"/>
              <w:bottom w:val="nil"/>
              <w:right w:val="nil"/>
            </w:tcBorders>
            <w:shd w:val="clear" w:color="auto" w:fill="auto"/>
            <w:noWrap/>
            <w:vAlign w:val="bottom"/>
            <w:hideMark/>
          </w:tcPr>
          <w:p w14:paraId="6926E31E"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0.74</w:t>
            </w:r>
          </w:p>
        </w:tc>
      </w:tr>
      <w:tr w:rsidR="00F64A7D" w:rsidRPr="0066571A" w14:paraId="3A75538F" w14:textId="77777777" w:rsidTr="00FA2E6C">
        <w:trPr>
          <w:trHeight w:val="300"/>
        </w:trPr>
        <w:tc>
          <w:tcPr>
            <w:tcW w:w="1701" w:type="dxa"/>
            <w:tcBorders>
              <w:top w:val="nil"/>
              <w:left w:val="nil"/>
              <w:bottom w:val="nil"/>
              <w:right w:val="nil"/>
            </w:tcBorders>
            <w:shd w:val="clear" w:color="auto" w:fill="auto"/>
            <w:noWrap/>
            <w:vAlign w:val="bottom"/>
            <w:hideMark/>
          </w:tcPr>
          <w:p w14:paraId="275A43AD" w14:textId="66D5EE46" w:rsidR="0066571A" w:rsidRPr="00FA2E6C" w:rsidRDefault="00F64A7D" w:rsidP="0066571A">
            <w:pPr>
              <w:spacing w:after="0" w:line="240" w:lineRule="auto"/>
              <w:rPr>
                <w:rFonts w:eastAsia="Times New Roman" w:cstheme="minorHAnsi"/>
                <w:color w:val="000000"/>
                <w:sz w:val="24"/>
                <w:szCs w:val="24"/>
                <w:lang w:val="en-AU" w:eastAsia="en-AU"/>
              </w:rPr>
            </w:pPr>
            <w:proofErr w:type="spellStart"/>
            <w:r w:rsidRPr="00F64A7D">
              <w:rPr>
                <w:rFonts w:eastAsia="Times New Roman" w:cstheme="minorHAnsi"/>
                <w:color w:val="000000"/>
                <w:sz w:val="24"/>
                <w:szCs w:val="24"/>
                <w:lang w:val="en-AU" w:eastAsia="en-AU"/>
              </w:rPr>
              <w:t>SB</w:t>
            </w:r>
            <w:r w:rsidRPr="00FA2E6C">
              <w:rPr>
                <w:rFonts w:eastAsia="Times New Roman" w:cstheme="minorHAnsi"/>
                <w:color w:val="000000"/>
                <w:sz w:val="24"/>
                <w:szCs w:val="24"/>
                <w:vertAlign w:val="subscript"/>
                <w:lang w:val="en-AU" w:eastAsia="en-AU"/>
              </w:rPr>
              <w:t>latest</w:t>
            </w:r>
            <w:proofErr w:type="spellEnd"/>
            <w:r w:rsidRPr="00F64A7D">
              <w:rPr>
                <w:rFonts w:eastAsia="Times New Roman" w:cstheme="minorHAnsi"/>
                <w:color w:val="000000"/>
                <w:sz w:val="24"/>
                <w:szCs w:val="24"/>
                <w:lang w:val="en-AU" w:eastAsia="en-AU"/>
              </w:rPr>
              <w:t>/</w:t>
            </w:r>
            <w:r w:rsidR="0066571A" w:rsidRPr="00FA2E6C">
              <w:rPr>
                <w:rFonts w:eastAsia="Times New Roman" w:cstheme="minorHAnsi"/>
                <w:color w:val="000000"/>
                <w:sz w:val="24"/>
                <w:szCs w:val="24"/>
                <w:lang w:val="en-AU" w:eastAsia="en-AU"/>
              </w:rPr>
              <w:t>SB</w:t>
            </w:r>
            <w:r w:rsidR="0066571A" w:rsidRPr="00FA2E6C">
              <w:rPr>
                <w:rFonts w:eastAsia="Times New Roman" w:cstheme="minorHAnsi"/>
                <w:color w:val="000000"/>
                <w:sz w:val="24"/>
                <w:szCs w:val="24"/>
                <w:vertAlign w:val="subscript"/>
                <w:lang w:val="en-AU" w:eastAsia="en-AU"/>
              </w:rPr>
              <w:t>F</w:t>
            </w:r>
            <w:r w:rsidRPr="00FA2E6C">
              <w:rPr>
                <w:rFonts w:eastAsia="Times New Roman" w:cstheme="minorHAnsi"/>
                <w:color w:val="000000"/>
                <w:sz w:val="24"/>
                <w:szCs w:val="24"/>
                <w:vertAlign w:val="subscript"/>
                <w:lang w:val="en-AU" w:eastAsia="en-AU"/>
              </w:rPr>
              <w:t>=</w:t>
            </w:r>
            <w:r w:rsidR="0066571A" w:rsidRPr="00FA2E6C">
              <w:rPr>
                <w:rFonts w:eastAsia="Times New Roman" w:cstheme="minorHAnsi"/>
                <w:color w:val="000000"/>
                <w:sz w:val="24"/>
                <w:szCs w:val="24"/>
                <w:vertAlign w:val="subscript"/>
                <w:lang w:val="en-AU" w:eastAsia="en-AU"/>
              </w:rPr>
              <w:t>0</w:t>
            </w:r>
          </w:p>
        </w:tc>
        <w:tc>
          <w:tcPr>
            <w:tcW w:w="1134" w:type="dxa"/>
            <w:tcBorders>
              <w:top w:val="nil"/>
              <w:left w:val="nil"/>
              <w:bottom w:val="nil"/>
              <w:right w:val="nil"/>
            </w:tcBorders>
            <w:shd w:val="clear" w:color="auto" w:fill="auto"/>
            <w:noWrap/>
            <w:vAlign w:val="bottom"/>
            <w:hideMark/>
          </w:tcPr>
          <w:p w14:paraId="4CE310A6"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0.53</w:t>
            </w:r>
          </w:p>
        </w:tc>
        <w:tc>
          <w:tcPr>
            <w:tcW w:w="1053" w:type="dxa"/>
            <w:tcBorders>
              <w:top w:val="nil"/>
              <w:left w:val="nil"/>
              <w:bottom w:val="nil"/>
              <w:right w:val="nil"/>
            </w:tcBorders>
            <w:shd w:val="clear" w:color="auto" w:fill="auto"/>
            <w:noWrap/>
            <w:vAlign w:val="bottom"/>
            <w:hideMark/>
          </w:tcPr>
          <w:p w14:paraId="3E02911D"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0.52</w:t>
            </w:r>
          </w:p>
        </w:tc>
        <w:tc>
          <w:tcPr>
            <w:tcW w:w="1296" w:type="dxa"/>
            <w:tcBorders>
              <w:top w:val="nil"/>
              <w:left w:val="nil"/>
              <w:bottom w:val="nil"/>
              <w:right w:val="nil"/>
            </w:tcBorders>
            <w:shd w:val="clear" w:color="auto" w:fill="auto"/>
            <w:noWrap/>
            <w:vAlign w:val="bottom"/>
            <w:hideMark/>
          </w:tcPr>
          <w:p w14:paraId="0385D317"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0.3</w:t>
            </w:r>
          </w:p>
        </w:tc>
        <w:tc>
          <w:tcPr>
            <w:tcW w:w="1296" w:type="dxa"/>
            <w:tcBorders>
              <w:top w:val="nil"/>
              <w:left w:val="nil"/>
              <w:bottom w:val="nil"/>
              <w:right w:val="nil"/>
            </w:tcBorders>
            <w:shd w:val="clear" w:color="auto" w:fill="auto"/>
            <w:noWrap/>
            <w:vAlign w:val="bottom"/>
            <w:hideMark/>
          </w:tcPr>
          <w:p w14:paraId="3FFFCCC2"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0.37</w:t>
            </w:r>
          </w:p>
        </w:tc>
        <w:tc>
          <w:tcPr>
            <w:tcW w:w="1296" w:type="dxa"/>
            <w:tcBorders>
              <w:top w:val="nil"/>
              <w:left w:val="nil"/>
              <w:bottom w:val="nil"/>
              <w:right w:val="nil"/>
            </w:tcBorders>
            <w:shd w:val="clear" w:color="auto" w:fill="auto"/>
            <w:noWrap/>
            <w:vAlign w:val="bottom"/>
            <w:hideMark/>
          </w:tcPr>
          <w:p w14:paraId="535EF92E"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0.69</w:t>
            </w:r>
          </w:p>
        </w:tc>
        <w:tc>
          <w:tcPr>
            <w:tcW w:w="1296" w:type="dxa"/>
            <w:tcBorders>
              <w:top w:val="nil"/>
              <w:left w:val="nil"/>
              <w:bottom w:val="nil"/>
              <w:right w:val="nil"/>
            </w:tcBorders>
            <w:shd w:val="clear" w:color="auto" w:fill="auto"/>
            <w:noWrap/>
            <w:vAlign w:val="bottom"/>
            <w:hideMark/>
          </w:tcPr>
          <w:p w14:paraId="7D8A3738"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0.77</w:t>
            </w:r>
          </w:p>
        </w:tc>
      </w:tr>
      <w:tr w:rsidR="00F64A7D" w:rsidRPr="0066571A" w14:paraId="7DC9BFFA" w14:textId="77777777" w:rsidTr="00FA2E6C">
        <w:trPr>
          <w:trHeight w:val="300"/>
        </w:trPr>
        <w:tc>
          <w:tcPr>
            <w:tcW w:w="1701" w:type="dxa"/>
            <w:tcBorders>
              <w:top w:val="nil"/>
              <w:left w:val="nil"/>
              <w:bottom w:val="nil"/>
              <w:right w:val="nil"/>
            </w:tcBorders>
            <w:shd w:val="clear" w:color="auto" w:fill="auto"/>
            <w:noWrap/>
            <w:vAlign w:val="bottom"/>
            <w:hideMark/>
          </w:tcPr>
          <w:p w14:paraId="4213644C" w14:textId="65F90750" w:rsidR="0066571A" w:rsidRPr="00FA2E6C" w:rsidRDefault="00F64A7D" w:rsidP="0066571A">
            <w:pPr>
              <w:spacing w:after="0" w:line="240" w:lineRule="auto"/>
              <w:rPr>
                <w:rFonts w:eastAsia="Times New Roman" w:cstheme="minorHAnsi"/>
                <w:color w:val="000000"/>
                <w:sz w:val="24"/>
                <w:szCs w:val="24"/>
                <w:lang w:val="en-AU" w:eastAsia="en-AU"/>
              </w:rPr>
            </w:pPr>
            <w:proofErr w:type="spellStart"/>
            <w:r w:rsidRPr="00F64A7D">
              <w:rPr>
                <w:rFonts w:eastAsia="Times New Roman" w:cstheme="minorHAnsi"/>
                <w:color w:val="000000"/>
                <w:sz w:val="24"/>
                <w:szCs w:val="24"/>
                <w:lang w:val="en-AU" w:eastAsia="en-AU"/>
              </w:rPr>
              <w:t>SB</w:t>
            </w:r>
            <w:r w:rsidRPr="00FA2E6C">
              <w:rPr>
                <w:rFonts w:eastAsia="Times New Roman" w:cstheme="minorHAnsi"/>
                <w:color w:val="000000"/>
                <w:sz w:val="24"/>
                <w:szCs w:val="24"/>
                <w:vertAlign w:val="subscript"/>
                <w:lang w:val="en-AU" w:eastAsia="en-AU"/>
              </w:rPr>
              <w:t>latest</w:t>
            </w:r>
            <w:proofErr w:type="spellEnd"/>
            <w:r w:rsidRPr="00F64A7D">
              <w:rPr>
                <w:rFonts w:eastAsia="Times New Roman" w:cstheme="minorHAnsi"/>
                <w:color w:val="000000"/>
                <w:sz w:val="24"/>
                <w:szCs w:val="24"/>
                <w:lang w:val="en-AU" w:eastAsia="en-AU"/>
              </w:rPr>
              <w:t>/SB</w:t>
            </w:r>
            <w:r w:rsidRPr="00FA2E6C">
              <w:rPr>
                <w:rFonts w:eastAsia="Times New Roman" w:cstheme="minorHAnsi"/>
                <w:color w:val="000000"/>
                <w:sz w:val="24"/>
                <w:szCs w:val="24"/>
                <w:vertAlign w:val="subscript"/>
                <w:lang w:val="en-AU" w:eastAsia="en-AU"/>
              </w:rPr>
              <w:t>MSY</w:t>
            </w:r>
          </w:p>
        </w:tc>
        <w:tc>
          <w:tcPr>
            <w:tcW w:w="1134" w:type="dxa"/>
            <w:tcBorders>
              <w:top w:val="nil"/>
              <w:left w:val="nil"/>
              <w:bottom w:val="nil"/>
              <w:right w:val="nil"/>
            </w:tcBorders>
            <w:shd w:val="clear" w:color="auto" w:fill="auto"/>
            <w:noWrap/>
            <w:vAlign w:val="bottom"/>
            <w:hideMark/>
          </w:tcPr>
          <w:p w14:paraId="7CFB9F28"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4</w:t>
            </w:r>
          </w:p>
        </w:tc>
        <w:tc>
          <w:tcPr>
            <w:tcW w:w="1053" w:type="dxa"/>
            <w:tcBorders>
              <w:top w:val="nil"/>
              <w:left w:val="nil"/>
              <w:bottom w:val="nil"/>
              <w:right w:val="nil"/>
            </w:tcBorders>
            <w:shd w:val="clear" w:color="auto" w:fill="auto"/>
            <w:noWrap/>
            <w:vAlign w:val="bottom"/>
            <w:hideMark/>
          </w:tcPr>
          <w:p w14:paraId="5C15C2C8"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3.42</w:t>
            </w:r>
          </w:p>
        </w:tc>
        <w:tc>
          <w:tcPr>
            <w:tcW w:w="1296" w:type="dxa"/>
            <w:tcBorders>
              <w:top w:val="nil"/>
              <w:left w:val="nil"/>
              <w:bottom w:val="nil"/>
              <w:right w:val="nil"/>
            </w:tcBorders>
            <w:shd w:val="clear" w:color="auto" w:fill="auto"/>
            <w:noWrap/>
            <w:vAlign w:val="bottom"/>
            <w:hideMark/>
          </w:tcPr>
          <w:p w14:paraId="49DE593C"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1.45</w:t>
            </w:r>
          </w:p>
        </w:tc>
        <w:tc>
          <w:tcPr>
            <w:tcW w:w="1296" w:type="dxa"/>
            <w:tcBorders>
              <w:top w:val="nil"/>
              <w:left w:val="nil"/>
              <w:bottom w:val="nil"/>
              <w:right w:val="nil"/>
            </w:tcBorders>
            <w:shd w:val="clear" w:color="auto" w:fill="auto"/>
            <w:noWrap/>
            <w:vAlign w:val="bottom"/>
            <w:hideMark/>
          </w:tcPr>
          <w:p w14:paraId="72121FD2"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1.96</w:t>
            </w:r>
          </w:p>
        </w:tc>
        <w:tc>
          <w:tcPr>
            <w:tcW w:w="1296" w:type="dxa"/>
            <w:tcBorders>
              <w:top w:val="nil"/>
              <w:left w:val="nil"/>
              <w:bottom w:val="nil"/>
              <w:right w:val="nil"/>
            </w:tcBorders>
            <w:shd w:val="clear" w:color="auto" w:fill="auto"/>
            <w:noWrap/>
            <w:vAlign w:val="bottom"/>
            <w:hideMark/>
          </w:tcPr>
          <w:p w14:paraId="3C5BB101"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7.07</w:t>
            </w:r>
          </w:p>
        </w:tc>
        <w:tc>
          <w:tcPr>
            <w:tcW w:w="1296" w:type="dxa"/>
            <w:tcBorders>
              <w:top w:val="nil"/>
              <w:left w:val="nil"/>
              <w:bottom w:val="nil"/>
              <w:right w:val="nil"/>
            </w:tcBorders>
            <w:shd w:val="clear" w:color="auto" w:fill="auto"/>
            <w:noWrap/>
            <w:vAlign w:val="bottom"/>
            <w:hideMark/>
          </w:tcPr>
          <w:p w14:paraId="24A234A1"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10.74</w:t>
            </w:r>
          </w:p>
        </w:tc>
      </w:tr>
      <w:tr w:rsidR="00F64A7D" w:rsidRPr="0066571A" w14:paraId="4839BB3B" w14:textId="77777777" w:rsidTr="00FA2E6C">
        <w:trPr>
          <w:trHeight w:val="300"/>
        </w:trPr>
        <w:tc>
          <w:tcPr>
            <w:tcW w:w="1701" w:type="dxa"/>
            <w:tcBorders>
              <w:top w:val="nil"/>
              <w:left w:val="nil"/>
              <w:right w:val="nil"/>
            </w:tcBorders>
            <w:shd w:val="clear" w:color="auto" w:fill="auto"/>
            <w:noWrap/>
            <w:vAlign w:val="bottom"/>
            <w:hideMark/>
          </w:tcPr>
          <w:p w14:paraId="3FD6E291" w14:textId="0BAD92AB" w:rsidR="0066571A" w:rsidRPr="00FA2E6C" w:rsidRDefault="00F64A7D" w:rsidP="0066571A">
            <w:pPr>
              <w:spacing w:after="0" w:line="240" w:lineRule="auto"/>
              <w:rPr>
                <w:rFonts w:eastAsia="Times New Roman" w:cstheme="minorHAnsi"/>
                <w:color w:val="000000"/>
                <w:sz w:val="24"/>
                <w:szCs w:val="24"/>
                <w:lang w:val="en-AU" w:eastAsia="en-AU"/>
              </w:rPr>
            </w:pPr>
            <w:r>
              <w:rPr>
                <w:rFonts w:eastAsia="Times New Roman" w:cstheme="minorHAnsi"/>
                <w:color w:val="000000"/>
                <w:sz w:val="24"/>
                <w:szCs w:val="24"/>
                <w:lang w:val="en-AU" w:eastAsia="en-AU"/>
              </w:rPr>
              <w:t>SB</w:t>
            </w:r>
            <w:r w:rsidRPr="00FA2E6C">
              <w:rPr>
                <w:rFonts w:eastAsia="Times New Roman" w:cstheme="minorHAnsi"/>
                <w:color w:val="000000"/>
                <w:sz w:val="24"/>
                <w:szCs w:val="24"/>
                <w:vertAlign w:val="subscript"/>
                <w:lang w:val="en-AU" w:eastAsia="en-AU"/>
              </w:rPr>
              <w:t>recent</w:t>
            </w:r>
            <w:r w:rsidRPr="00F64A7D">
              <w:rPr>
                <w:rFonts w:eastAsia="Times New Roman" w:cstheme="minorHAnsi"/>
                <w:color w:val="000000"/>
                <w:sz w:val="24"/>
                <w:szCs w:val="24"/>
                <w:lang w:val="en-AU" w:eastAsia="en-AU"/>
              </w:rPr>
              <w:t>/</w:t>
            </w:r>
            <w:r w:rsidR="0066571A" w:rsidRPr="00FA2E6C">
              <w:rPr>
                <w:rFonts w:eastAsia="Times New Roman" w:cstheme="minorHAnsi"/>
                <w:color w:val="000000"/>
                <w:sz w:val="24"/>
                <w:szCs w:val="24"/>
                <w:lang w:val="en-AU" w:eastAsia="en-AU"/>
              </w:rPr>
              <w:t>SB</w:t>
            </w:r>
            <w:r w:rsidR="0066571A" w:rsidRPr="00FA2E6C">
              <w:rPr>
                <w:rFonts w:eastAsia="Times New Roman" w:cstheme="minorHAnsi"/>
                <w:color w:val="000000"/>
                <w:sz w:val="24"/>
                <w:szCs w:val="24"/>
                <w:vertAlign w:val="subscript"/>
                <w:lang w:val="en-AU" w:eastAsia="en-AU"/>
              </w:rPr>
              <w:t>F</w:t>
            </w:r>
            <w:r w:rsidRPr="00FA2E6C">
              <w:rPr>
                <w:rFonts w:eastAsia="Times New Roman" w:cstheme="minorHAnsi"/>
                <w:color w:val="000000"/>
                <w:sz w:val="24"/>
                <w:szCs w:val="24"/>
                <w:vertAlign w:val="subscript"/>
                <w:lang w:val="en-AU" w:eastAsia="en-AU"/>
              </w:rPr>
              <w:t>=</w:t>
            </w:r>
            <w:r w:rsidR="0066571A" w:rsidRPr="00FA2E6C">
              <w:rPr>
                <w:rFonts w:eastAsia="Times New Roman" w:cstheme="minorHAnsi"/>
                <w:color w:val="000000"/>
                <w:sz w:val="24"/>
                <w:szCs w:val="24"/>
                <w:vertAlign w:val="subscript"/>
                <w:lang w:val="en-AU" w:eastAsia="en-AU"/>
              </w:rPr>
              <w:t>0</w:t>
            </w:r>
          </w:p>
        </w:tc>
        <w:tc>
          <w:tcPr>
            <w:tcW w:w="1134" w:type="dxa"/>
            <w:tcBorders>
              <w:top w:val="nil"/>
              <w:left w:val="nil"/>
              <w:right w:val="nil"/>
            </w:tcBorders>
            <w:shd w:val="clear" w:color="auto" w:fill="auto"/>
            <w:noWrap/>
            <w:vAlign w:val="bottom"/>
            <w:hideMark/>
          </w:tcPr>
          <w:p w14:paraId="31BE9B2F"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0.51</w:t>
            </w:r>
          </w:p>
        </w:tc>
        <w:tc>
          <w:tcPr>
            <w:tcW w:w="1053" w:type="dxa"/>
            <w:tcBorders>
              <w:top w:val="nil"/>
              <w:left w:val="nil"/>
              <w:right w:val="nil"/>
            </w:tcBorders>
            <w:shd w:val="clear" w:color="auto" w:fill="auto"/>
            <w:noWrap/>
            <w:vAlign w:val="bottom"/>
            <w:hideMark/>
          </w:tcPr>
          <w:p w14:paraId="785430FD"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0.52</w:t>
            </w:r>
          </w:p>
        </w:tc>
        <w:tc>
          <w:tcPr>
            <w:tcW w:w="1296" w:type="dxa"/>
            <w:tcBorders>
              <w:top w:val="nil"/>
              <w:left w:val="nil"/>
              <w:right w:val="nil"/>
            </w:tcBorders>
            <w:shd w:val="clear" w:color="auto" w:fill="auto"/>
            <w:noWrap/>
            <w:vAlign w:val="bottom"/>
            <w:hideMark/>
          </w:tcPr>
          <w:p w14:paraId="50E84EB9"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0.32</w:t>
            </w:r>
          </w:p>
        </w:tc>
        <w:tc>
          <w:tcPr>
            <w:tcW w:w="1296" w:type="dxa"/>
            <w:tcBorders>
              <w:top w:val="nil"/>
              <w:left w:val="nil"/>
              <w:right w:val="nil"/>
            </w:tcBorders>
            <w:shd w:val="clear" w:color="auto" w:fill="auto"/>
            <w:noWrap/>
            <w:vAlign w:val="bottom"/>
            <w:hideMark/>
          </w:tcPr>
          <w:p w14:paraId="7B20EFF0"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0.37</w:t>
            </w:r>
          </w:p>
        </w:tc>
        <w:tc>
          <w:tcPr>
            <w:tcW w:w="1296" w:type="dxa"/>
            <w:tcBorders>
              <w:top w:val="nil"/>
              <w:left w:val="nil"/>
              <w:right w:val="nil"/>
            </w:tcBorders>
            <w:shd w:val="clear" w:color="auto" w:fill="auto"/>
            <w:noWrap/>
            <w:vAlign w:val="bottom"/>
            <w:hideMark/>
          </w:tcPr>
          <w:p w14:paraId="39A1B722"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0.63</w:t>
            </w:r>
          </w:p>
        </w:tc>
        <w:tc>
          <w:tcPr>
            <w:tcW w:w="1296" w:type="dxa"/>
            <w:tcBorders>
              <w:top w:val="nil"/>
              <w:left w:val="nil"/>
              <w:right w:val="nil"/>
            </w:tcBorders>
            <w:shd w:val="clear" w:color="auto" w:fill="auto"/>
            <w:noWrap/>
            <w:vAlign w:val="bottom"/>
            <w:hideMark/>
          </w:tcPr>
          <w:p w14:paraId="0BFB7164"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0.72</w:t>
            </w:r>
          </w:p>
        </w:tc>
      </w:tr>
      <w:tr w:rsidR="00F64A7D" w:rsidRPr="0066571A" w14:paraId="27A7783A" w14:textId="77777777" w:rsidTr="00FA2E6C">
        <w:trPr>
          <w:trHeight w:val="300"/>
        </w:trPr>
        <w:tc>
          <w:tcPr>
            <w:tcW w:w="1701" w:type="dxa"/>
            <w:tcBorders>
              <w:top w:val="nil"/>
              <w:left w:val="nil"/>
              <w:bottom w:val="single" w:sz="4" w:space="0" w:color="auto"/>
              <w:right w:val="nil"/>
            </w:tcBorders>
            <w:shd w:val="clear" w:color="auto" w:fill="auto"/>
            <w:noWrap/>
            <w:vAlign w:val="bottom"/>
            <w:hideMark/>
          </w:tcPr>
          <w:p w14:paraId="69D09F39" w14:textId="6B5F9260" w:rsidR="0066571A" w:rsidRPr="00FA2E6C" w:rsidRDefault="00F64A7D" w:rsidP="00F64A7D">
            <w:pPr>
              <w:spacing w:after="0" w:line="240" w:lineRule="auto"/>
              <w:rPr>
                <w:rFonts w:eastAsia="Times New Roman" w:cstheme="minorHAnsi"/>
                <w:color w:val="000000"/>
                <w:sz w:val="24"/>
                <w:szCs w:val="24"/>
                <w:lang w:val="en-AU" w:eastAsia="en-AU"/>
              </w:rPr>
            </w:pPr>
            <w:r w:rsidRPr="00F64A7D">
              <w:rPr>
                <w:rFonts w:eastAsia="Times New Roman" w:cstheme="minorHAnsi"/>
                <w:color w:val="000000"/>
                <w:sz w:val="24"/>
                <w:szCs w:val="24"/>
                <w:lang w:val="en-AU" w:eastAsia="en-AU"/>
              </w:rPr>
              <w:t>SB</w:t>
            </w:r>
            <w:r w:rsidRPr="00FA2E6C">
              <w:rPr>
                <w:rFonts w:eastAsia="Times New Roman" w:cstheme="minorHAnsi"/>
                <w:color w:val="000000"/>
                <w:sz w:val="24"/>
                <w:szCs w:val="24"/>
                <w:vertAlign w:val="subscript"/>
                <w:lang w:val="en-AU" w:eastAsia="en-AU"/>
              </w:rPr>
              <w:t>recent</w:t>
            </w:r>
            <w:r w:rsidRPr="00F64A7D">
              <w:rPr>
                <w:rFonts w:eastAsia="Times New Roman" w:cstheme="minorHAnsi"/>
                <w:color w:val="000000"/>
                <w:sz w:val="24"/>
                <w:szCs w:val="24"/>
                <w:lang w:val="en-AU" w:eastAsia="en-AU"/>
              </w:rPr>
              <w:t>/SB</w:t>
            </w:r>
            <w:r w:rsidRPr="00FA2E6C">
              <w:rPr>
                <w:rFonts w:eastAsia="Times New Roman" w:cstheme="minorHAnsi"/>
                <w:color w:val="000000"/>
                <w:sz w:val="24"/>
                <w:szCs w:val="24"/>
                <w:vertAlign w:val="subscript"/>
                <w:lang w:val="en-AU" w:eastAsia="en-AU"/>
              </w:rPr>
              <w:t>MSY</w:t>
            </w:r>
          </w:p>
        </w:tc>
        <w:tc>
          <w:tcPr>
            <w:tcW w:w="1134" w:type="dxa"/>
            <w:tcBorders>
              <w:top w:val="nil"/>
              <w:left w:val="nil"/>
              <w:bottom w:val="single" w:sz="4" w:space="0" w:color="auto"/>
              <w:right w:val="nil"/>
            </w:tcBorders>
            <w:shd w:val="clear" w:color="auto" w:fill="auto"/>
            <w:noWrap/>
            <w:vAlign w:val="bottom"/>
            <w:hideMark/>
          </w:tcPr>
          <w:p w14:paraId="037930EB"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3.88</w:t>
            </w:r>
          </w:p>
        </w:tc>
        <w:tc>
          <w:tcPr>
            <w:tcW w:w="1053" w:type="dxa"/>
            <w:tcBorders>
              <w:top w:val="nil"/>
              <w:left w:val="nil"/>
              <w:bottom w:val="single" w:sz="4" w:space="0" w:color="auto"/>
              <w:right w:val="nil"/>
            </w:tcBorders>
            <w:shd w:val="clear" w:color="auto" w:fill="auto"/>
            <w:noWrap/>
            <w:vAlign w:val="bottom"/>
            <w:hideMark/>
          </w:tcPr>
          <w:p w14:paraId="5B56475D"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3.3</w:t>
            </w:r>
          </w:p>
        </w:tc>
        <w:tc>
          <w:tcPr>
            <w:tcW w:w="1296" w:type="dxa"/>
            <w:tcBorders>
              <w:top w:val="nil"/>
              <w:left w:val="nil"/>
              <w:bottom w:val="single" w:sz="4" w:space="0" w:color="auto"/>
              <w:right w:val="nil"/>
            </w:tcBorders>
            <w:shd w:val="clear" w:color="auto" w:fill="auto"/>
            <w:noWrap/>
            <w:vAlign w:val="bottom"/>
            <w:hideMark/>
          </w:tcPr>
          <w:p w14:paraId="17FCAA22"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1.58</w:t>
            </w:r>
          </w:p>
        </w:tc>
        <w:tc>
          <w:tcPr>
            <w:tcW w:w="1296" w:type="dxa"/>
            <w:tcBorders>
              <w:top w:val="nil"/>
              <w:left w:val="nil"/>
              <w:bottom w:val="single" w:sz="4" w:space="0" w:color="auto"/>
              <w:right w:val="nil"/>
            </w:tcBorders>
            <w:shd w:val="clear" w:color="auto" w:fill="auto"/>
            <w:noWrap/>
            <w:vAlign w:val="bottom"/>
            <w:hideMark/>
          </w:tcPr>
          <w:p w14:paraId="53178AAE"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1.96</w:t>
            </w:r>
          </w:p>
        </w:tc>
        <w:tc>
          <w:tcPr>
            <w:tcW w:w="1296" w:type="dxa"/>
            <w:tcBorders>
              <w:top w:val="nil"/>
              <w:left w:val="nil"/>
              <w:bottom w:val="single" w:sz="4" w:space="0" w:color="auto"/>
              <w:right w:val="nil"/>
            </w:tcBorders>
            <w:shd w:val="clear" w:color="auto" w:fill="auto"/>
            <w:noWrap/>
            <w:vAlign w:val="bottom"/>
            <w:hideMark/>
          </w:tcPr>
          <w:p w14:paraId="4930151E"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6.56</w:t>
            </w:r>
          </w:p>
        </w:tc>
        <w:tc>
          <w:tcPr>
            <w:tcW w:w="1296" w:type="dxa"/>
            <w:tcBorders>
              <w:top w:val="nil"/>
              <w:left w:val="nil"/>
              <w:bottom w:val="single" w:sz="4" w:space="0" w:color="auto"/>
              <w:right w:val="nil"/>
            </w:tcBorders>
            <w:shd w:val="clear" w:color="auto" w:fill="auto"/>
            <w:noWrap/>
            <w:vAlign w:val="bottom"/>
            <w:hideMark/>
          </w:tcPr>
          <w:p w14:paraId="54A70CEB" w14:textId="77777777" w:rsidR="0066571A" w:rsidRPr="00FA2E6C" w:rsidRDefault="0066571A" w:rsidP="00FA2E6C">
            <w:pPr>
              <w:spacing w:after="0" w:line="240" w:lineRule="auto"/>
              <w:jc w:val="center"/>
              <w:rPr>
                <w:rFonts w:eastAsia="Times New Roman" w:cstheme="minorHAnsi"/>
                <w:color w:val="000000"/>
                <w:sz w:val="24"/>
                <w:szCs w:val="24"/>
                <w:lang w:val="en-AU" w:eastAsia="en-AU"/>
              </w:rPr>
            </w:pPr>
            <w:r w:rsidRPr="00FA2E6C">
              <w:rPr>
                <w:rFonts w:eastAsia="Times New Roman" w:cstheme="minorHAnsi"/>
                <w:color w:val="000000"/>
                <w:sz w:val="24"/>
                <w:szCs w:val="24"/>
                <w:lang w:val="en-AU" w:eastAsia="en-AU"/>
              </w:rPr>
              <w:t>9.67</w:t>
            </w:r>
          </w:p>
        </w:tc>
      </w:tr>
    </w:tbl>
    <w:p w14:paraId="70C2E345" w14:textId="77777777" w:rsidR="0066571A" w:rsidRDefault="0066571A"/>
    <w:p w14:paraId="294771EB" w14:textId="12470D07" w:rsidR="00C2491F" w:rsidRDefault="00C2491F"/>
    <w:p w14:paraId="79B1799D" w14:textId="28936A42" w:rsidR="00E93917" w:rsidRDefault="00E93917"/>
    <w:p w14:paraId="3A6020F2" w14:textId="14DCBBE2" w:rsidR="00E93917" w:rsidRDefault="00E93917"/>
    <w:p w14:paraId="73208A04" w14:textId="425BAF25" w:rsidR="00E93917" w:rsidRDefault="00E93917"/>
    <w:p w14:paraId="525AE34D" w14:textId="03CED80B" w:rsidR="00E93917" w:rsidRDefault="00E93917"/>
    <w:p w14:paraId="3142D405" w14:textId="6BCC9C3B" w:rsidR="00E93917" w:rsidRDefault="00E93917"/>
    <w:p w14:paraId="23926A2A" w14:textId="42FF81EF" w:rsidR="00E93917" w:rsidRDefault="00E93917"/>
    <w:p w14:paraId="5F287BE6" w14:textId="2F260ABC" w:rsidR="00E93917" w:rsidRDefault="00E93917"/>
    <w:p w14:paraId="028EF5FB" w14:textId="77777777" w:rsidR="00C2491F" w:rsidRDefault="00C2491F">
      <w:r>
        <w:br w:type="page"/>
      </w:r>
    </w:p>
    <w:p w14:paraId="695A2CC0" w14:textId="10DBEC7C" w:rsidR="00E93917" w:rsidRDefault="00F070B0" w:rsidP="00E93917">
      <w:pPr>
        <w:keepNext/>
      </w:pPr>
      <w:r>
        <w:rPr>
          <w:noProof/>
        </w:rPr>
        <w:lastRenderedPageBreak/>
        <w:drawing>
          <wp:inline distT="0" distB="0" distL="0" distR="0" wp14:anchorId="55A466BB" wp14:editId="7120C2BE">
            <wp:extent cx="5937885" cy="4283710"/>
            <wp:effectExtent l="0" t="0" r="5715" b="2540"/>
            <wp:docPr id="12" name="Picture 1" descr="ALB-region-map-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B-region-map-20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7885" cy="4283710"/>
                    </a:xfrm>
                    <a:prstGeom prst="rect">
                      <a:avLst/>
                    </a:prstGeom>
                    <a:noFill/>
                    <a:ln>
                      <a:noFill/>
                    </a:ln>
                  </pic:spPr>
                </pic:pic>
              </a:graphicData>
            </a:graphic>
          </wp:inline>
        </w:drawing>
      </w:r>
    </w:p>
    <w:p w14:paraId="4373C0C1" w14:textId="46ED5AEC" w:rsidR="00E93917" w:rsidRDefault="00E93917" w:rsidP="00E93917">
      <w:pPr>
        <w:pStyle w:val="Caption"/>
      </w:pPr>
      <w:r>
        <w:t>Figure</w:t>
      </w:r>
      <w:r w:rsidR="00737997">
        <w:t xml:space="preserve"> SPA-</w:t>
      </w:r>
      <w:r>
        <w:t xml:space="preserve"> </w:t>
      </w:r>
      <w:r w:rsidR="00F070B0">
        <w:rPr>
          <w:noProof/>
        </w:rPr>
        <w:fldChar w:fldCharType="begin"/>
      </w:r>
      <w:r w:rsidR="00F070B0">
        <w:rPr>
          <w:noProof/>
        </w:rPr>
        <w:instrText xml:space="preserve"> SEQ Figure \* ARABIC </w:instrText>
      </w:r>
      <w:r w:rsidR="00F070B0">
        <w:rPr>
          <w:noProof/>
        </w:rPr>
        <w:fldChar w:fldCharType="separate"/>
      </w:r>
      <w:r w:rsidR="00317A8B">
        <w:rPr>
          <w:noProof/>
        </w:rPr>
        <w:t>1</w:t>
      </w:r>
      <w:r w:rsidR="00F070B0">
        <w:rPr>
          <w:noProof/>
        </w:rPr>
        <w:fldChar w:fldCharType="end"/>
      </w:r>
      <w:r>
        <w:t xml:space="preserve"> </w:t>
      </w:r>
      <w:r>
        <w:rPr>
          <w:rStyle w:val="fontstyle01"/>
        </w:rPr>
        <w:t>The geographical area covered by the stock assessment and the boundaries for the 5</w:t>
      </w:r>
      <w:r w:rsidR="003C39F4">
        <w:rPr>
          <w:rStyle w:val="fontstyle01"/>
        </w:rPr>
        <w:t xml:space="preserve"> </w:t>
      </w:r>
      <w:r>
        <w:rPr>
          <w:rStyle w:val="fontstyle01"/>
        </w:rPr>
        <w:t>regions under the updated \2018 regional structure".</w:t>
      </w:r>
    </w:p>
    <w:p w14:paraId="6B53F964" w14:textId="53AE1FDC" w:rsidR="00E93917" w:rsidRDefault="00F070B0" w:rsidP="00FA2E6C">
      <w:pPr>
        <w:keepNext/>
      </w:pPr>
      <w:r>
        <w:rPr>
          <w:noProof/>
        </w:rPr>
        <w:lastRenderedPageBreak/>
        <w:drawing>
          <wp:inline distT="0" distB="0" distL="0" distR="0" wp14:anchorId="5C9A8F99" wp14:editId="33D37EA4">
            <wp:extent cx="5937885" cy="4577715"/>
            <wp:effectExtent l="0" t="0" r="5715" b="0"/>
            <wp:docPr id="11" name="Picture 2" descr="plot_timeseries_catch_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ot_timeseries_catch_FUL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7885" cy="4577715"/>
                    </a:xfrm>
                    <a:prstGeom prst="rect">
                      <a:avLst/>
                    </a:prstGeom>
                    <a:noFill/>
                    <a:ln>
                      <a:noFill/>
                    </a:ln>
                  </pic:spPr>
                </pic:pic>
              </a:graphicData>
            </a:graphic>
          </wp:inline>
        </w:drawing>
      </w:r>
    </w:p>
    <w:p w14:paraId="6176A284" w14:textId="6DAE7745" w:rsidR="00E93917" w:rsidRDefault="00E93917" w:rsidP="00FA2E6C">
      <w:pPr>
        <w:pStyle w:val="Caption"/>
      </w:pPr>
      <w:r>
        <w:t>Figure</w:t>
      </w:r>
      <w:r w:rsidR="00737997">
        <w:t xml:space="preserve"> SPA-</w:t>
      </w:r>
      <w:r>
        <w:t xml:space="preserve"> </w:t>
      </w:r>
      <w:r w:rsidR="00F070B0">
        <w:rPr>
          <w:noProof/>
        </w:rPr>
        <w:fldChar w:fldCharType="begin"/>
      </w:r>
      <w:r w:rsidR="00F070B0">
        <w:rPr>
          <w:noProof/>
        </w:rPr>
        <w:instrText xml:space="preserve"> SEQ Figure \* ARABIC </w:instrText>
      </w:r>
      <w:r w:rsidR="00F070B0">
        <w:rPr>
          <w:noProof/>
        </w:rPr>
        <w:fldChar w:fldCharType="separate"/>
      </w:r>
      <w:r w:rsidR="00317A8B">
        <w:rPr>
          <w:noProof/>
        </w:rPr>
        <w:t>2</w:t>
      </w:r>
      <w:r w:rsidR="00F070B0">
        <w:rPr>
          <w:noProof/>
        </w:rPr>
        <w:fldChar w:fldCharType="end"/>
      </w:r>
      <w:r>
        <w:t xml:space="preserve"> </w:t>
      </w:r>
      <w:r>
        <w:rPr>
          <w:rStyle w:val="fontstyle01"/>
        </w:rPr>
        <w:t>Time series of total annual catch (1000’s mt) by fishing gear for the diagnostic case</w:t>
      </w:r>
      <w:r w:rsidR="003C39F4">
        <w:rPr>
          <w:rStyle w:val="fontstyle01"/>
        </w:rPr>
        <w:t xml:space="preserve"> </w:t>
      </w:r>
      <w:r>
        <w:rPr>
          <w:rStyle w:val="fontstyle01"/>
        </w:rPr>
        <w:t>model over the full assessment period. The different colours refer to longline (green),</w:t>
      </w:r>
      <w:r w:rsidR="003C39F4">
        <w:rPr>
          <w:rStyle w:val="fontstyle01"/>
        </w:rPr>
        <w:t xml:space="preserve"> </w:t>
      </w:r>
      <w:r>
        <w:rPr>
          <w:rStyle w:val="fontstyle01"/>
        </w:rPr>
        <w:t>troll (yellow) and driftnet (turquoise). Note that the catch by longline gear has been</w:t>
      </w:r>
      <w:r w:rsidR="003C39F4">
        <w:rPr>
          <w:rStyle w:val="fontstyle01"/>
        </w:rPr>
        <w:t xml:space="preserve"> </w:t>
      </w:r>
      <w:r>
        <w:rPr>
          <w:rStyle w:val="fontstyle01"/>
        </w:rPr>
        <w:t>converted into catch-in-weight from catch-in-numbers.</w:t>
      </w:r>
    </w:p>
    <w:p w14:paraId="633F5406" w14:textId="77777777" w:rsidR="00E93917" w:rsidRDefault="00E93917" w:rsidP="00FA2E6C">
      <w:pPr>
        <w:keepNext/>
      </w:pPr>
      <w:r w:rsidRPr="00E93917">
        <w:rPr>
          <w:noProof/>
        </w:rPr>
        <w:lastRenderedPageBreak/>
        <w:drawing>
          <wp:inline distT="0" distB="0" distL="0" distR="0" wp14:anchorId="2D3C245A" wp14:editId="607E6002">
            <wp:extent cx="5943600" cy="4592011"/>
            <wp:effectExtent l="0" t="0" r="0" b="0"/>
            <wp:docPr id="1" name="Picture 1" descr="C:\Projects\penguin-alb-2018\Write-up\stock-assessment\Figures\DiagnosticCase\plot_timeseries_catch_REGIO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jects\penguin-alb-2018\Write-up\stock-assessment\Figures\DiagnosticCase\plot_timeseries_catch_REGIONAL.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592011"/>
                    </a:xfrm>
                    <a:prstGeom prst="rect">
                      <a:avLst/>
                    </a:prstGeom>
                    <a:noFill/>
                    <a:ln>
                      <a:noFill/>
                    </a:ln>
                  </pic:spPr>
                </pic:pic>
              </a:graphicData>
            </a:graphic>
          </wp:inline>
        </w:drawing>
      </w:r>
    </w:p>
    <w:p w14:paraId="5A6C8864" w14:textId="1B7813AA" w:rsidR="00E93917" w:rsidRDefault="00E93917" w:rsidP="00FA2E6C">
      <w:pPr>
        <w:pStyle w:val="Caption"/>
        <w:rPr>
          <w:rStyle w:val="fontstyle01"/>
        </w:rPr>
      </w:pPr>
      <w:r>
        <w:t xml:space="preserve">Figure </w:t>
      </w:r>
      <w:r w:rsidR="00737997">
        <w:t>SPA-</w:t>
      </w:r>
      <w:r w:rsidR="00F070B0">
        <w:rPr>
          <w:noProof/>
        </w:rPr>
        <w:fldChar w:fldCharType="begin"/>
      </w:r>
      <w:r w:rsidR="00F070B0">
        <w:rPr>
          <w:noProof/>
        </w:rPr>
        <w:instrText xml:space="preserve"> SEQ Figure \* ARABIC </w:instrText>
      </w:r>
      <w:r w:rsidR="00F070B0">
        <w:rPr>
          <w:noProof/>
        </w:rPr>
        <w:fldChar w:fldCharType="separate"/>
      </w:r>
      <w:r w:rsidR="00317A8B">
        <w:rPr>
          <w:noProof/>
        </w:rPr>
        <w:t>3</w:t>
      </w:r>
      <w:r w:rsidR="00F070B0">
        <w:rPr>
          <w:noProof/>
        </w:rPr>
        <w:fldChar w:fldCharType="end"/>
      </w:r>
      <w:r>
        <w:t xml:space="preserve"> </w:t>
      </w:r>
      <w:r>
        <w:rPr>
          <w:rStyle w:val="fontstyle01"/>
        </w:rPr>
        <w:t>Time series of total annual catch (1000’s mt) by fishing gear and assessment region</w:t>
      </w:r>
      <w:r w:rsidR="003C39F4">
        <w:rPr>
          <w:rStyle w:val="fontstyle01"/>
        </w:rPr>
        <w:t xml:space="preserve"> </w:t>
      </w:r>
      <w:r>
        <w:rPr>
          <w:rStyle w:val="fontstyle01"/>
        </w:rPr>
        <w:t>from the diagnostic case model over the full assessment period. The different colours</w:t>
      </w:r>
      <w:r w:rsidR="003C39F4">
        <w:rPr>
          <w:rStyle w:val="fontstyle01"/>
        </w:rPr>
        <w:t xml:space="preserve"> </w:t>
      </w:r>
      <w:r>
        <w:rPr>
          <w:rStyle w:val="fontstyle01"/>
        </w:rPr>
        <w:t>denote longline (green), driftnet (turquoise) and troll (yellow).</w:t>
      </w:r>
    </w:p>
    <w:p w14:paraId="0C3D9CAD" w14:textId="32B04223" w:rsidR="00E93917" w:rsidRDefault="00E93917"/>
    <w:p w14:paraId="2EE60668" w14:textId="3006A756" w:rsidR="00E93917" w:rsidRDefault="00E93917"/>
    <w:p w14:paraId="0A4E4E3C" w14:textId="791C0BEA" w:rsidR="002C186D" w:rsidRDefault="002C186D"/>
    <w:p w14:paraId="44021215" w14:textId="1E7C960F" w:rsidR="002C186D" w:rsidRDefault="002C186D"/>
    <w:p w14:paraId="2C957C8A" w14:textId="7DD791B8" w:rsidR="002C186D" w:rsidRDefault="002C186D"/>
    <w:p w14:paraId="51FE4D02" w14:textId="23DD27A9" w:rsidR="002C186D" w:rsidRDefault="002C186D"/>
    <w:p w14:paraId="76474161" w14:textId="26A40EEA" w:rsidR="002C186D" w:rsidRDefault="002C186D"/>
    <w:p w14:paraId="7EDCF767" w14:textId="7E0C26CC" w:rsidR="002C186D" w:rsidRDefault="002C186D"/>
    <w:p w14:paraId="33394E08" w14:textId="38734E5E" w:rsidR="002C186D" w:rsidRDefault="002C186D"/>
    <w:p w14:paraId="14C8AFD2" w14:textId="4853AE4F" w:rsidR="002C186D" w:rsidRDefault="00F070B0" w:rsidP="00FA2E6C">
      <w:pPr>
        <w:keepNext/>
      </w:pPr>
      <w:r>
        <w:rPr>
          <w:noProof/>
        </w:rPr>
        <w:lastRenderedPageBreak/>
        <w:drawing>
          <wp:inline distT="0" distB="0" distL="0" distR="0" wp14:anchorId="0CDD8D5B" wp14:editId="67732B5E">
            <wp:extent cx="5937885" cy="6052185"/>
            <wp:effectExtent l="0" t="0" r="5715" b="5715"/>
            <wp:docPr id="3" name="Picture 3" descr="stacked-biomass-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cked-biomass-pan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6052185"/>
                    </a:xfrm>
                    <a:prstGeom prst="rect">
                      <a:avLst/>
                    </a:prstGeom>
                    <a:noFill/>
                    <a:ln>
                      <a:noFill/>
                    </a:ln>
                  </pic:spPr>
                </pic:pic>
              </a:graphicData>
            </a:graphic>
          </wp:inline>
        </w:drawing>
      </w:r>
    </w:p>
    <w:p w14:paraId="3A922E3C" w14:textId="689725B1" w:rsidR="002C186D" w:rsidRDefault="002C186D" w:rsidP="00FA2E6C">
      <w:pPr>
        <w:pStyle w:val="Caption"/>
        <w:rPr>
          <w:rStyle w:val="fontstyle01"/>
        </w:rPr>
      </w:pPr>
      <w:r>
        <w:t xml:space="preserve">Figure </w:t>
      </w:r>
      <w:r w:rsidR="00737997">
        <w:t>SPA-</w:t>
      </w:r>
      <w:r w:rsidR="00F070B0">
        <w:rPr>
          <w:noProof/>
        </w:rPr>
        <w:fldChar w:fldCharType="begin"/>
      </w:r>
      <w:r w:rsidR="00F070B0">
        <w:rPr>
          <w:noProof/>
        </w:rPr>
        <w:instrText xml:space="preserve"> SEQ Figure \* ARABIC </w:instrText>
      </w:r>
      <w:r w:rsidR="00F070B0">
        <w:rPr>
          <w:noProof/>
        </w:rPr>
        <w:fldChar w:fldCharType="separate"/>
      </w:r>
      <w:r w:rsidR="00317A8B">
        <w:rPr>
          <w:noProof/>
        </w:rPr>
        <w:t>4</w:t>
      </w:r>
      <w:r w:rsidR="00F070B0">
        <w:rPr>
          <w:noProof/>
        </w:rPr>
        <w:fldChar w:fldCharType="end"/>
      </w:r>
      <w:r>
        <w:t xml:space="preserve"> </w:t>
      </w:r>
      <w:r>
        <w:rPr>
          <w:rStyle w:val="fontstyle01"/>
        </w:rPr>
        <w:t>Estimated annual average recruitment, spawning potential and total biomass by</w:t>
      </w:r>
      <w:r w:rsidR="003C39F4">
        <w:rPr>
          <w:rStyle w:val="fontstyle01"/>
        </w:rPr>
        <w:t xml:space="preserve"> </w:t>
      </w:r>
      <w:r>
        <w:rPr>
          <w:rStyle w:val="fontstyle01"/>
        </w:rPr>
        <w:t>model region for the diagnostic case model, showing the relative sizes among regions.</w:t>
      </w:r>
    </w:p>
    <w:p w14:paraId="0DE1EF0B" w14:textId="2F9C3AB6" w:rsidR="002C186D" w:rsidRDefault="002C186D"/>
    <w:p w14:paraId="44268632" w14:textId="41D4160D" w:rsidR="002C186D" w:rsidRDefault="00F070B0" w:rsidP="00FA2E6C">
      <w:pPr>
        <w:keepNext/>
      </w:pPr>
      <w:r>
        <w:rPr>
          <w:noProof/>
        </w:rPr>
        <w:lastRenderedPageBreak/>
        <w:drawing>
          <wp:inline distT="0" distB="0" distL="0" distR="0" wp14:anchorId="50BDA53F" wp14:editId="06212D50">
            <wp:extent cx="5943600" cy="5111115"/>
            <wp:effectExtent l="0" t="0" r="0" b="0"/>
            <wp:docPr id="4" name="Picture 4" descr="plot_temporal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ot_temporal_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111115"/>
                    </a:xfrm>
                    <a:prstGeom prst="rect">
                      <a:avLst/>
                    </a:prstGeom>
                    <a:noFill/>
                    <a:ln>
                      <a:noFill/>
                    </a:ln>
                  </pic:spPr>
                </pic:pic>
              </a:graphicData>
            </a:graphic>
          </wp:inline>
        </w:drawing>
      </w:r>
    </w:p>
    <w:p w14:paraId="1785170F" w14:textId="098DD557" w:rsidR="002C186D" w:rsidRDefault="002C186D" w:rsidP="00FA2E6C">
      <w:pPr>
        <w:pStyle w:val="Caption"/>
        <w:rPr>
          <w:rStyle w:val="fontstyle01"/>
        </w:rPr>
      </w:pPr>
      <w:r>
        <w:t xml:space="preserve">Figure </w:t>
      </w:r>
      <w:r w:rsidR="00737997">
        <w:t>SPA-</w:t>
      </w:r>
      <w:r w:rsidR="00F070B0">
        <w:rPr>
          <w:noProof/>
        </w:rPr>
        <w:fldChar w:fldCharType="begin"/>
      </w:r>
      <w:r w:rsidR="00F070B0">
        <w:rPr>
          <w:noProof/>
        </w:rPr>
        <w:instrText xml:space="preserve"> SEQ Figure \* ARABIC </w:instrText>
      </w:r>
      <w:r w:rsidR="00F070B0">
        <w:rPr>
          <w:noProof/>
        </w:rPr>
        <w:fldChar w:fldCharType="separate"/>
      </w:r>
      <w:r w:rsidR="00317A8B">
        <w:rPr>
          <w:noProof/>
        </w:rPr>
        <w:t>5</w:t>
      </w:r>
      <w:r w:rsidR="00F070B0">
        <w:rPr>
          <w:noProof/>
        </w:rPr>
        <w:fldChar w:fldCharType="end"/>
      </w:r>
      <w:r>
        <w:t xml:space="preserve"> </w:t>
      </w:r>
      <w:r>
        <w:rPr>
          <w:rStyle w:val="fontstyle01"/>
        </w:rPr>
        <w:t>Estimated annual average juvenile and adult fishing mortality for the diagnostic case</w:t>
      </w:r>
      <w:r w:rsidR="003C39F4">
        <w:rPr>
          <w:rStyle w:val="fontstyle01"/>
        </w:rPr>
        <w:t xml:space="preserve"> </w:t>
      </w:r>
      <w:r>
        <w:rPr>
          <w:rStyle w:val="fontstyle01"/>
        </w:rPr>
        <w:t>model.</w:t>
      </w:r>
    </w:p>
    <w:p w14:paraId="4D634822" w14:textId="1DE584C6" w:rsidR="002C186D" w:rsidRDefault="002C186D"/>
    <w:p w14:paraId="67FF11F2" w14:textId="77777777" w:rsidR="00A908AD" w:rsidRDefault="00A908AD" w:rsidP="00FA2E6C">
      <w:pPr>
        <w:keepNext/>
      </w:pPr>
      <w:r>
        <w:rPr>
          <w:noProof/>
        </w:rPr>
        <w:lastRenderedPageBreak/>
        <w:drawing>
          <wp:inline distT="0" distB="0" distL="0" distR="0" wp14:anchorId="2C29841C" wp14:editId="6F8EB9C1">
            <wp:extent cx="5934075" cy="5762625"/>
            <wp:effectExtent l="0" t="0" r="9525" b="9525"/>
            <wp:docPr id="2" name="Picture 2" descr="C:\Users\lauratb\AppData\Local\Microsoft\Windows\INetCache\Content.Word\quantile-grid-depletion-figure_fu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lauratb\AppData\Local\Microsoft\Windows\INetCache\Content.Word\quantile-grid-depletion-figure_full.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4075" cy="5762625"/>
                    </a:xfrm>
                    <a:prstGeom prst="rect">
                      <a:avLst/>
                    </a:prstGeom>
                    <a:noFill/>
                    <a:ln>
                      <a:noFill/>
                    </a:ln>
                  </pic:spPr>
                </pic:pic>
              </a:graphicData>
            </a:graphic>
          </wp:inline>
        </w:drawing>
      </w:r>
    </w:p>
    <w:p w14:paraId="09235967" w14:textId="66D88004" w:rsidR="00A908AD" w:rsidRDefault="00A908AD" w:rsidP="00FA2E6C">
      <w:pPr>
        <w:pStyle w:val="Caption"/>
      </w:pPr>
      <w:r>
        <w:t xml:space="preserve">Figure </w:t>
      </w:r>
      <w:r w:rsidR="00737997">
        <w:t>SPA-</w:t>
      </w:r>
      <w:r w:rsidR="00F070B0">
        <w:rPr>
          <w:noProof/>
        </w:rPr>
        <w:fldChar w:fldCharType="begin"/>
      </w:r>
      <w:r w:rsidR="00F070B0">
        <w:rPr>
          <w:noProof/>
        </w:rPr>
        <w:instrText xml:space="preserve"> SEQ Figure \* ARABIC </w:instrText>
      </w:r>
      <w:r w:rsidR="00F070B0">
        <w:rPr>
          <w:noProof/>
        </w:rPr>
        <w:fldChar w:fldCharType="separate"/>
      </w:r>
      <w:r w:rsidR="00317A8B">
        <w:rPr>
          <w:noProof/>
        </w:rPr>
        <w:t>6</w:t>
      </w:r>
      <w:r w:rsidR="00F070B0">
        <w:rPr>
          <w:noProof/>
        </w:rPr>
        <w:fldChar w:fldCharType="end"/>
      </w:r>
      <w:r>
        <w:t xml:space="preserve"> </w:t>
      </w:r>
      <w:r>
        <w:rPr>
          <w:rStyle w:val="fontstyle01"/>
        </w:rPr>
        <w:t>Distribution of time series depletion estimates across the structural uncertainty grid.</w:t>
      </w:r>
      <w:r w:rsidR="003C39F4">
        <w:rPr>
          <w:rStyle w:val="fontstyle01"/>
        </w:rPr>
        <w:t xml:space="preserve"> </w:t>
      </w:r>
      <w:r>
        <w:rPr>
          <w:rStyle w:val="fontstyle01"/>
        </w:rPr>
        <w:t>Black line represents the grid median trajectory, dark grey region represents the</w:t>
      </w:r>
      <w:r w:rsidR="003C39F4">
        <w:rPr>
          <w:rStyle w:val="fontstyle01"/>
        </w:rPr>
        <w:t xml:space="preserve"> </w:t>
      </w:r>
      <w:r>
        <w:rPr>
          <w:rStyle w:val="fontstyle01"/>
        </w:rPr>
        <w:t>50%ile range, light grey the 90%ile range.</w:t>
      </w:r>
    </w:p>
    <w:p w14:paraId="2AFC3659" w14:textId="372C3FAE" w:rsidR="00A908AD" w:rsidRDefault="00F070B0" w:rsidP="00FA2E6C">
      <w:pPr>
        <w:keepNext/>
      </w:pPr>
      <w:r>
        <w:rPr>
          <w:noProof/>
        </w:rPr>
        <w:lastRenderedPageBreak/>
        <w:drawing>
          <wp:inline distT="0" distB="0" distL="0" distR="0" wp14:anchorId="334562A7" wp14:editId="41B77C66">
            <wp:extent cx="5932805" cy="5758815"/>
            <wp:effectExtent l="0" t="0" r="0" b="0"/>
            <wp:docPr id="5" name="Picture 5" descr="Grid_ALB_depletion_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id_ALB_depletion_pane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2805" cy="5758815"/>
                    </a:xfrm>
                    <a:prstGeom prst="rect">
                      <a:avLst/>
                    </a:prstGeom>
                    <a:noFill/>
                    <a:ln>
                      <a:noFill/>
                    </a:ln>
                  </pic:spPr>
                </pic:pic>
              </a:graphicData>
            </a:graphic>
          </wp:inline>
        </w:drawing>
      </w:r>
    </w:p>
    <w:p w14:paraId="62A62FB4" w14:textId="7E8AD09C" w:rsidR="002C186D" w:rsidRDefault="00A908AD" w:rsidP="00FA2E6C">
      <w:pPr>
        <w:pStyle w:val="Caption"/>
      </w:pPr>
      <w:r>
        <w:t>Figure</w:t>
      </w:r>
      <w:r w:rsidR="00737997">
        <w:t xml:space="preserve"> SPA-</w:t>
      </w:r>
      <w:r>
        <w:t xml:space="preserve"> </w:t>
      </w:r>
      <w:r w:rsidR="00F070B0">
        <w:rPr>
          <w:noProof/>
        </w:rPr>
        <w:fldChar w:fldCharType="begin"/>
      </w:r>
      <w:r w:rsidR="00F070B0">
        <w:rPr>
          <w:noProof/>
        </w:rPr>
        <w:instrText xml:space="preserve"> SEQ Figure \* ARABIC </w:instrText>
      </w:r>
      <w:r w:rsidR="00F070B0">
        <w:rPr>
          <w:noProof/>
        </w:rPr>
        <w:fldChar w:fldCharType="separate"/>
      </w:r>
      <w:r w:rsidR="00317A8B">
        <w:rPr>
          <w:noProof/>
        </w:rPr>
        <w:t>7</w:t>
      </w:r>
      <w:r w:rsidR="00F070B0">
        <w:rPr>
          <w:noProof/>
        </w:rPr>
        <w:fldChar w:fldCharType="end"/>
      </w:r>
      <w:r>
        <w:t xml:space="preserve"> </w:t>
      </w:r>
      <w:r>
        <w:rPr>
          <w:rStyle w:val="fontstyle01"/>
        </w:rPr>
        <w:t>Plots showing the trajectories of fishing depletion (of spawning potential) for the</w:t>
      </w:r>
      <w:r w:rsidR="003C39F4">
        <w:rPr>
          <w:rStyle w:val="fontstyle01"/>
        </w:rPr>
        <w:t xml:space="preserve"> </w:t>
      </w:r>
      <w:r>
        <w:rPr>
          <w:rStyle w:val="fontstyle01"/>
        </w:rPr>
        <w:t>model runs included in the structural uncertainty grid. The five panels show the models separated on the</w:t>
      </w:r>
      <w:r w:rsidR="003C39F4">
        <w:rPr>
          <w:rStyle w:val="fontstyle01"/>
        </w:rPr>
        <w:t xml:space="preserve"> </w:t>
      </w:r>
      <w:r>
        <w:rPr>
          <w:rStyle w:val="fontstyle01"/>
        </w:rPr>
        <w:t xml:space="preserve">basis of the five axes used in the grid, with the </w:t>
      </w:r>
      <w:proofErr w:type="spellStart"/>
      <w:r>
        <w:rPr>
          <w:rStyle w:val="fontstyle01"/>
        </w:rPr>
        <w:t>colour</w:t>
      </w:r>
      <w:proofErr w:type="spellEnd"/>
      <w:r>
        <w:rPr>
          <w:rStyle w:val="fontstyle01"/>
        </w:rPr>
        <w:t xml:space="preserve"> denoting the level within the</w:t>
      </w:r>
      <w:r w:rsidR="003C39F4">
        <w:rPr>
          <w:rStyle w:val="fontstyle01"/>
        </w:rPr>
        <w:t xml:space="preserve"> </w:t>
      </w:r>
      <w:r>
        <w:rPr>
          <w:rStyle w:val="fontstyle01"/>
        </w:rPr>
        <w:t>axes for each model.</w:t>
      </w:r>
    </w:p>
    <w:p w14:paraId="467363E6" w14:textId="53CC4E16" w:rsidR="00A908AD" w:rsidRDefault="00A908AD"/>
    <w:p w14:paraId="66262FCB" w14:textId="6FFB61DF" w:rsidR="00A908AD" w:rsidRDefault="00A908AD" w:rsidP="002C186D">
      <w:r>
        <w:br w:type="page"/>
      </w:r>
    </w:p>
    <w:p w14:paraId="19E6AB10" w14:textId="77777777" w:rsidR="00A908AD" w:rsidRDefault="00A908AD" w:rsidP="00A908AD"/>
    <w:p w14:paraId="7EB041E0" w14:textId="5AD9889E" w:rsidR="00737997" w:rsidRDefault="00F070B0" w:rsidP="00A908AD">
      <w:r>
        <w:rPr>
          <w:noProof/>
        </w:rPr>
        <w:drawing>
          <wp:inline distT="0" distB="0" distL="0" distR="0" wp14:anchorId="4EA70379" wp14:editId="7168C1A3">
            <wp:extent cx="5943600" cy="3091815"/>
            <wp:effectExtent l="0" t="0" r="0" b="0"/>
            <wp:docPr id="6" name="Picture 6" descr="majuro-grid_panel-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juro-grid_panel-plo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091815"/>
                    </a:xfrm>
                    <a:prstGeom prst="rect">
                      <a:avLst/>
                    </a:prstGeom>
                    <a:noFill/>
                    <a:ln>
                      <a:noFill/>
                    </a:ln>
                  </pic:spPr>
                </pic:pic>
              </a:graphicData>
            </a:graphic>
          </wp:inline>
        </w:drawing>
      </w:r>
    </w:p>
    <w:p w14:paraId="4ADC1C5F" w14:textId="748F8246" w:rsidR="00737997" w:rsidRDefault="00737997" w:rsidP="00737997">
      <w:pPr>
        <w:pStyle w:val="Caption"/>
        <w:rPr>
          <w:rStyle w:val="fontstyle01"/>
        </w:rPr>
      </w:pPr>
      <w:r>
        <w:t>Figure SPA-</w:t>
      </w:r>
      <w:r w:rsidR="00F070B0">
        <w:rPr>
          <w:noProof/>
        </w:rPr>
        <w:fldChar w:fldCharType="begin"/>
      </w:r>
      <w:r w:rsidR="00F070B0">
        <w:rPr>
          <w:noProof/>
        </w:rPr>
        <w:instrText xml:space="preserve"> SEQ Figure \* ARABIC </w:instrText>
      </w:r>
      <w:r w:rsidR="00F070B0">
        <w:rPr>
          <w:noProof/>
        </w:rPr>
        <w:fldChar w:fldCharType="separate"/>
      </w:r>
      <w:r>
        <w:rPr>
          <w:noProof/>
        </w:rPr>
        <w:t>8</w:t>
      </w:r>
      <w:r w:rsidR="00F070B0">
        <w:rPr>
          <w:noProof/>
        </w:rPr>
        <w:fldChar w:fldCharType="end"/>
      </w:r>
      <w:r>
        <w:t xml:space="preserve"> </w:t>
      </w:r>
      <w:r w:rsidRPr="00FA2E6C">
        <w:rPr>
          <w:rStyle w:val="fontstyle01"/>
        </w:rPr>
        <w:t>Majuro</w:t>
      </w:r>
      <w:r>
        <w:rPr>
          <w:rStyle w:val="fontstyle01"/>
        </w:rPr>
        <w:t xml:space="preserve"> plots summarising the results for each of the models in the structural uncertainty grid under the </w:t>
      </w:r>
      <w:r>
        <w:rPr>
          <w:rStyle w:val="fontstyle21"/>
        </w:rPr>
        <w:t xml:space="preserve">SB </w:t>
      </w:r>
      <w:r>
        <w:rPr>
          <w:rStyle w:val="fontstyle31"/>
        </w:rPr>
        <w:t>latest</w:t>
      </w:r>
      <w:r>
        <w:rPr>
          <w:rStyle w:val="fontstyle41"/>
        </w:rPr>
        <w:t>=</w:t>
      </w:r>
      <w:r>
        <w:rPr>
          <w:rStyle w:val="fontstyle21"/>
        </w:rPr>
        <w:t xml:space="preserve">SB </w:t>
      </w:r>
      <w:r>
        <w:rPr>
          <w:rStyle w:val="fontstyle31"/>
        </w:rPr>
        <w:t xml:space="preserve">F </w:t>
      </w:r>
      <w:r>
        <w:rPr>
          <w:rStyle w:val="fontstyle51"/>
        </w:rPr>
        <w:t xml:space="preserve">=0 </w:t>
      </w:r>
      <w:r>
        <w:rPr>
          <w:rStyle w:val="fontstyle01"/>
        </w:rPr>
        <w:t xml:space="preserve">and the </w:t>
      </w:r>
      <w:r>
        <w:rPr>
          <w:rStyle w:val="fontstyle21"/>
        </w:rPr>
        <w:t xml:space="preserve">SB </w:t>
      </w:r>
      <w:r>
        <w:rPr>
          <w:rStyle w:val="fontstyle31"/>
        </w:rPr>
        <w:t>recent</w:t>
      </w:r>
      <w:r>
        <w:rPr>
          <w:rStyle w:val="fontstyle41"/>
        </w:rPr>
        <w:t>=</w:t>
      </w:r>
      <w:r>
        <w:rPr>
          <w:rStyle w:val="fontstyle21"/>
        </w:rPr>
        <w:t xml:space="preserve">SB </w:t>
      </w:r>
      <w:r>
        <w:rPr>
          <w:rStyle w:val="fontstyle31"/>
        </w:rPr>
        <w:t xml:space="preserve">F </w:t>
      </w:r>
      <w:r>
        <w:rPr>
          <w:rStyle w:val="fontstyle51"/>
        </w:rPr>
        <w:t xml:space="preserve">=0 </w:t>
      </w:r>
      <w:r>
        <w:rPr>
          <w:rStyle w:val="fontstyle01"/>
        </w:rPr>
        <w:t>reference points</w:t>
      </w:r>
      <w:r w:rsidR="00071157">
        <w:rPr>
          <w:rStyle w:val="fontstyle01"/>
        </w:rPr>
        <w:t xml:space="preserve"> (top left) and each axis of </w:t>
      </w:r>
      <w:proofErr w:type="spellStart"/>
      <w:proofErr w:type="gramStart"/>
      <w:r w:rsidR="003C39F4">
        <w:rPr>
          <w:rStyle w:val="fontstyle01"/>
        </w:rPr>
        <w:t>u</w:t>
      </w:r>
      <w:r w:rsidR="00071157">
        <w:rPr>
          <w:rStyle w:val="fontstyle01"/>
        </w:rPr>
        <w:t>ncertainy</w:t>
      </w:r>
      <w:proofErr w:type="spellEnd"/>
      <w:r w:rsidR="00071157">
        <w:rPr>
          <w:rStyle w:val="fontstyle01"/>
        </w:rPr>
        <w:t>.</w:t>
      </w:r>
      <w:r>
        <w:rPr>
          <w:rStyle w:val="fontstyle01"/>
        </w:rPr>
        <w:t>.</w:t>
      </w:r>
      <w:proofErr w:type="gramEnd"/>
    </w:p>
    <w:p w14:paraId="5FDC9288" w14:textId="3309167B" w:rsidR="00A908AD" w:rsidRDefault="00A908AD" w:rsidP="00A908AD">
      <w:r>
        <w:br w:type="page"/>
      </w:r>
    </w:p>
    <w:p w14:paraId="2ED3C65C" w14:textId="3EDACF7A" w:rsidR="00A908AD" w:rsidRDefault="00A908AD" w:rsidP="00A908AD"/>
    <w:p w14:paraId="4333E77E" w14:textId="03ECCC2A" w:rsidR="00A908AD" w:rsidRDefault="00F070B0" w:rsidP="00FA2E6C">
      <w:pPr>
        <w:keepNext/>
      </w:pPr>
      <w:r>
        <w:rPr>
          <w:noProof/>
        </w:rPr>
        <w:drawing>
          <wp:inline distT="0" distB="0" distL="0" distR="0" wp14:anchorId="47CFB0F0" wp14:editId="4DE2769A">
            <wp:extent cx="5937885" cy="3396615"/>
            <wp:effectExtent l="0" t="0" r="5715" b="0"/>
            <wp:docPr id="7" name="Picture 7" descr="kobe-grid_panel-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obe-grid_panel-plo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7885" cy="3396615"/>
                    </a:xfrm>
                    <a:prstGeom prst="rect">
                      <a:avLst/>
                    </a:prstGeom>
                    <a:noFill/>
                    <a:ln>
                      <a:noFill/>
                    </a:ln>
                  </pic:spPr>
                </pic:pic>
              </a:graphicData>
            </a:graphic>
          </wp:inline>
        </w:drawing>
      </w:r>
    </w:p>
    <w:p w14:paraId="74D5115C" w14:textId="2E71F7C5" w:rsidR="00A908AD" w:rsidRDefault="00A908AD" w:rsidP="00FA2E6C">
      <w:pPr>
        <w:pStyle w:val="Caption"/>
        <w:rPr>
          <w:rStyle w:val="fontstyle01"/>
        </w:rPr>
      </w:pPr>
      <w:r>
        <w:t xml:space="preserve">Figure </w:t>
      </w:r>
      <w:r w:rsidR="00071157">
        <w:t>SPA-</w:t>
      </w:r>
      <w:r w:rsidR="00F070B0">
        <w:rPr>
          <w:noProof/>
        </w:rPr>
        <w:fldChar w:fldCharType="begin"/>
      </w:r>
      <w:r w:rsidR="00F070B0">
        <w:rPr>
          <w:noProof/>
        </w:rPr>
        <w:instrText xml:space="preserve"> SEQ Figure \* ARABIC </w:instrText>
      </w:r>
      <w:r w:rsidR="00F070B0">
        <w:rPr>
          <w:noProof/>
        </w:rPr>
        <w:fldChar w:fldCharType="separate"/>
      </w:r>
      <w:r w:rsidR="00317A8B">
        <w:rPr>
          <w:noProof/>
        </w:rPr>
        <w:t>8</w:t>
      </w:r>
      <w:r w:rsidR="00F070B0">
        <w:rPr>
          <w:noProof/>
        </w:rPr>
        <w:fldChar w:fldCharType="end"/>
      </w:r>
      <w:r>
        <w:t xml:space="preserve"> </w:t>
      </w:r>
      <w:r>
        <w:rPr>
          <w:rStyle w:val="fontstyle01"/>
        </w:rPr>
        <w:t>Kobe plots summarising the results for each of the models in the structural uncertainty grid</w:t>
      </w:r>
      <w:r w:rsidR="003C39F4">
        <w:rPr>
          <w:rStyle w:val="fontstyle01"/>
        </w:rPr>
        <w:t xml:space="preserve"> </w:t>
      </w:r>
      <w:r>
        <w:rPr>
          <w:rStyle w:val="fontstyle01"/>
        </w:rPr>
        <w:t xml:space="preserve">under the </w:t>
      </w:r>
      <w:r>
        <w:rPr>
          <w:rStyle w:val="fontstyle21"/>
        </w:rPr>
        <w:t xml:space="preserve">SB </w:t>
      </w:r>
      <w:r>
        <w:rPr>
          <w:rStyle w:val="fontstyle31"/>
        </w:rPr>
        <w:t>latest</w:t>
      </w:r>
      <w:r>
        <w:rPr>
          <w:rStyle w:val="fontstyle41"/>
        </w:rPr>
        <w:t>=</w:t>
      </w:r>
      <w:r>
        <w:rPr>
          <w:rStyle w:val="fontstyle21"/>
        </w:rPr>
        <w:t xml:space="preserve">SB </w:t>
      </w:r>
      <w:r>
        <w:rPr>
          <w:rStyle w:val="fontstyle31"/>
        </w:rPr>
        <w:t xml:space="preserve">F </w:t>
      </w:r>
      <w:r>
        <w:rPr>
          <w:rStyle w:val="fontstyle51"/>
        </w:rPr>
        <w:t xml:space="preserve">=0 </w:t>
      </w:r>
      <w:r>
        <w:rPr>
          <w:rStyle w:val="fontstyle01"/>
        </w:rPr>
        <w:t xml:space="preserve">and the </w:t>
      </w:r>
      <w:r>
        <w:rPr>
          <w:rStyle w:val="fontstyle21"/>
        </w:rPr>
        <w:t xml:space="preserve">SB </w:t>
      </w:r>
      <w:r>
        <w:rPr>
          <w:rStyle w:val="fontstyle31"/>
        </w:rPr>
        <w:t>recent</w:t>
      </w:r>
      <w:r>
        <w:rPr>
          <w:rStyle w:val="fontstyle41"/>
        </w:rPr>
        <w:t>=</w:t>
      </w:r>
      <w:r>
        <w:rPr>
          <w:rStyle w:val="fontstyle21"/>
        </w:rPr>
        <w:t xml:space="preserve">SB </w:t>
      </w:r>
      <w:r>
        <w:rPr>
          <w:rStyle w:val="fontstyle31"/>
        </w:rPr>
        <w:t xml:space="preserve">F </w:t>
      </w:r>
      <w:r>
        <w:rPr>
          <w:rStyle w:val="fontstyle51"/>
        </w:rPr>
        <w:t xml:space="preserve">=0 </w:t>
      </w:r>
      <w:r>
        <w:rPr>
          <w:rStyle w:val="fontstyle01"/>
        </w:rPr>
        <w:t>reference points.</w:t>
      </w:r>
    </w:p>
    <w:p w14:paraId="6C1EBFC5" w14:textId="5D0F5286" w:rsidR="00A908AD" w:rsidRDefault="00A908AD" w:rsidP="00A908AD">
      <w:r>
        <w:br w:type="page"/>
      </w:r>
    </w:p>
    <w:p w14:paraId="1EC4738C" w14:textId="18EAF559" w:rsidR="00A908AD" w:rsidRDefault="00F070B0" w:rsidP="00FA2E6C">
      <w:pPr>
        <w:keepNext/>
      </w:pPr>
      <w:r>
        <w:rPr>
          <w:noProof/>
        </w:rPr>
        <w:lastRenderedPageBreak/>
        <w:drawing>
          <wp:inline distT="0" distB="0" distL="0" distR="0" wp14:anchorId="216A9078" wp14:editId="1C162736">
            <wp:extent cx="5943600" cy="5943600"/>
            <wp:effectExtent l="0" t="0" r="0" b="0"/>
            <wp:docPr id="8" name="Picture 8" descr="plot_fishery_impact_ALB-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ot_fishery_impact_ALB-SSB"/>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2FDDD3CB" w14:textId="653B0739" w:rsidR="00A908AD" w:rsidRPr="00A908AD" w:rsidRDefault="00A908AD" w:rsidP="00FA2E6C">
      <w:pPr>
        <w:pStyle w:val="Caption"/>
        <w:rPr>
          <w:rStyle w:val="fontstyle01"/>
          <w:rFonts w:asciiTheme="minorHAnsi" w:hAnsiTheme="minorHAnsi" w:cstheme="minorHAnsi"/>
        </w:rPr>
      </w:pPr>
      <w:r>
        <w:t xml:space="preserve">Figure </w:t>
      </w:r>
      <w:r w:rsidR="00071157">
        <w:t>SPA-</w:t>
      </w:r>
      <w:r w:rsidR="00F070B0">
        <w:rPr>
          <w:noProof/>
        </w:rPr>
        <w:fldChar w:fldCharType="begin"/>
      </w:r>
      <w:r w:rsidR="00F070B0">
        <w:rPr>
          <w:noProof/>
        </w:rPr>
        <w:instrText xml:space="preserve"> SEQ Figure \* ARABIC </w:instrText>
      </w:r>
      <w:r w:rsidR="00F070B0">
        <w:rPr>
          <w:noProof/>
        </w:rPr>
        <w:fldChar w:fldCharType="separate"/>
      </w:r>
      <w:r w:rsidR="00317A8B">
        <w:rPr>
          <w:noProof/>
        </w:rPr>
        <w:t>9</w:t>
      </w:r>
      <w:r w:rsidR="00F070B0">
        <w:rPr>
          <w:noProof/>
        </w:rPr>
        <w:fldChar w:fldCharType="end"/>
      </w:r>
      <w:r>
        <w:t xml:space="preserve"> </w:t>
      </w:r>
      <w:r w:rsidRPr="00A908AD">
        <w:rPr>
          <w:rStyle w:val="fontstyle01"/>
          <w:rFonts w:asciiTheme="minorHAnsi" w:hAnsiTheme="minorHAnsi" w:cstheme="minorHAnsi"/>
        </w:rPr>
        <w:t>Estimates of reduction in spawning potential due to fishing (fishery impact = 1</w:t>
      </w:r>
      <w:r w:rsidRPr="00A908AD">
        <w:rPr>
          <w:rStyle w:val="fontstyle21"/>
          <w:rFonts w:asciiTheme="minorHAnsi" w:hAnsiTheme="minorHAnsi" w:cstheme="minorHAnsi"/>
        </w:rPr>
        <w:t>-SB</w:t>
      </w:r>
      <w:r w:rsidRPr="00FA2E6C">
        <w:rPr>
          <w:rStyle w:val="fontstyle31"/>
          <w:rFonts w:asciiTheme="minorHAnsi" w:hAnsiTheme="minorHAnsi" w:cstheme="minorHAnsi"/>
          <w:sz w:val="22"/>
          <w:szCs w:val="22"/>
        </w:rPr>
        <w:t xml:space="preserve"> </w:t>
      </w:r>
      <w:r w:rsidRPr="00FA2E6C">
        <w:rPr>
          <w:rStyle w:val="fontstyle41"/>
          <w:rFonts w:asciiTheme="minorHAnsi" w:hAnsiTheme="minorHAnsi" w:cstheme="minorHAnsi"/>
          <w:vertAlign w:val="subscript"/>
        </w:rPr>
        <w:t>latest</w:t>
      </w:r>
      <w:r w:rsidRPr="00A908AD">
        <w:rPr>
          <w:rStyle w:val="fontstyle51"/>
          <w:rFonts w:asciiTheme="minorHAnsi" w:hAnsiTheme="minorHAnsi" w:cstheme="minorHAnsi"/>
          <w:sz w:val="22"/>
          <w:szCs w:val="22"/>
        </w:rPr>
        <w:t>/</w:t>
      </w:r>
      <w:r w:rsidRPr="00FA2E6C">
        <w:rPr>
          <w:rStyle w:val="fontstyle51"/>
          <w:rFonts w:asciiTheme="minorHAnsi" w:hAnsiTheme="minorHAnsi" w:cstheme="minorHAnsi"/>
          <w:sz w:val="22"/>
          <w:szCs w:val="22"/>
        </w:rPr>
        <w:t>SB</w:t>
      </w:r>
      <w:r w:rsidRPr="00FA2E6C">
        <w:rPr>
          <w:rStyle w:val="fontstyle31"/>
          <w:rFonts w:asciiTheme="minorHAnsi" w:hAnsiTheme="minorHAnsi" w:cstheme="minorHAnsi"/>
          <w:sz w:val="22"/>
          <w:szCs w:val="22"/>
        </w:rPr>
        <w:t xml:space="preserve"> </w:t>
      </w:r>
      <w:r w:rsidRPr="00FA2E6C">
        <w:rPr>
          <w:rStyle w:val="fontstyle41"/>
          <w:rFonts w:asciiTheme="minorHAnsi" w:hAnsiTheme="minorHAnsi" w:cstheme="minorHAnsi"/>
          <w:vertAlign w:val="subscript"/>
        </w:rPr>
        <w:t>F</w:t>
      </w:r>
      <w:r w:rsidRPr="00FA2E6C">
        <w:rPr>
          <w:rStyle w:val="fontstyle61"/>
          <w:rFonts w:asciiTheme="minorHAnsi" w:hAnsiTheme="minorHAnsi" w:cstheme="minorHAnsi"/>
          <w:sz w:val="22"/>
          <w:szCs w:val="22"/>
          <w:vertAlign w:val="subscript"/>
        </w:rPr>
        <w:t>=0</w:t>
      </w:r>
      <w:r w:rsidRPr="00A908AD">
        <w:rPr>
          <w:rStyle w:val="fontstyle01"/>
          <w:rFonts w:asciiTheme="minorHAnsi" w:hAnsiTheme="minorHAnsi" w:cstheme="minorHAnsi"/>
        </w:rPr>
        <w:t>)</w:t>
      </w:r>
      <w:r w:rsidRPr="00FA2E6C">
        <w:rPr>
          <w:rFonts w:cstheme="minorHAnsi"/>
          <w:color w:val="008A73"/>
          <w:sz w:val="22"/>
          <w:szCs w:val="22"/>
        </w:rPr>
        <w:br/>
      </w:r>
      <w:r w:rsidRPr="00A908AD">
        <w:rPr>
          <w:rStyle w:val="fontstyle01"/>
          <w:rFonts w:asciiTheme="minorHAnsi" w:hAnsiTheme="minorHAnsi" w:cstheme="minorHAnsi"/>
        </w:rPr>
        <w:t>by region, and over all regions (lower right panel), attributed to various fishery groups</w:t>
      </w:r>
      <w:r w:rsidR="003C39F4">
        <w:rPr>
          <w:rStyle w:val="fontstyle01"/>
          <w:rFonts w:asciiTheme="minorHAnsi" w:hAnsiTheme="minorHAnsi" w:cstheme="minorHAnsi"/>
        </w:rPr>
        <w:t xml:space="preserve"> </w:t>
      </w:r>
      <w:r w:rsidRPr="00A908AD">
        <w:rPr>
          <w:rStyle w:val="fontstyle01"/>
          <w:rFonts w:asciiTheme="minorHAnsi" w:hAnsiTheme="minorHAnsi" w:cstheme="minorHAnsi"/>
        </w:rPr>
        <w:t>for the diagnostic case model.</w:t>
      </w:r>
    </w:p>
    <w:p w14:paraId="73F48515" w14:textId="3CFA3522" w:rsidR="006057F5" w:rsidRDefault="00F070B0" w:rsidP="00FA2E6C">
      <w:pPr>
        <w:keepNext/>
      </w:pPr>
      <w:r>
        <w:rPr>
          <w:noProof/>
        </w:rPr>
        <w:lastRenderedPageBreak/>
        <w:drawing>
          <wp:inline distT="0" distB="0" distL="0" distR="0" wp14:anchorId="5E63F203" wp14:editId="5FB1A455">
            <wp:extent cx="5937885" cy="5431790"/>
            <wp:effectExtent l="0" t="0" r="5715" b="0"/>
            <wp:docPr id="9" name="Picture 9" descr="plot_temporal_M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ot_temporal_MS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7885" cy="5431790"/>
                    </a:xfrm>
                    <a:prstGeom prst="rect">
                      <a:avLst/>
                    </a:prstGeom>
                    <a:noFill/>
                    <a:ln>
                      <a:noFill/>
                    </a:ln>
                  </pic:spPr>
                </pic:pic>
              </a:graphicData>
            </a:graphic>
          </wp:inline>
        </w:drawing>
      </w:r>
    </w:p>
    <w:p w14:paraId="0CFE8575" w14:textId="2490FA90" w:rsidR="00A908AD" w:rsidRDefault="006057F5" w:rsidP="00FA2E6C">
      <w:pPr>
        <w:pStyle w:val="Caption"/>
        <w:rPr>
          <w:rStyle w:val="fontstyle01"/>
        </w:rPr>
      </w:pPr>
      <w:r>
        <w:t xml:space="preserve">Figure </w:t>
      </w:r>
      <w:r w:rsidR="00071157">
        <w:t>SPA-</w:t>
      </w:r>
      <w:r w:rsidR="00F070B0">
        <w:rPr>
          <w:noProof/>
        </w:rPr>
        <w:fldChar w:fldCharType="begin"/>
      </w:r>
      <w:r w:rsidR="00F070B0">
        <w:rPr>
          <w:noProof/>
        </w:rPr>
        <w:instrText xml:space="preserve"> SEQ Figure \* ARABIC </w:instrText>
      </w:r>
      <w:r w:rsidR="00F070B0">
        <w:rPr>
          <w:noProof/>
        </w:rPr>
        <w:fldChar w:fldCharType="separate"/>
      </w:r>
      <w:r w:rsidR="00317A8B">
        <w:rPr>
          <w:noProof/>
        </w:rPr>
        <w:t>10</w:t>
      </w:r>
      <w:r w:rsidR="00F070B0">
        <w:rPr>
          <w:noProof/>
        </w:rPr>
        <w:fldChar w:fldCharType="end"/>
      </w:r>
      <w:r>
        <w:t xml:space="preserve">: </w:t>
      </w:r>
      <w:r>
        <w:rPr>
          <w:rStyle w:val="fontstyle01"/>
        </w:rPr>
        <w:t>History of the annual estimates of MSY (red line) for the diagnostic case model compared with annual catch by the main gear types.</w:t>
      </w:r>
    </w:p>
    <w:p w14:paraId="592DC4A7" w14:textId="4BDE1A80" w:rsidR="006057F5" w:rsidRDefault="006057F5"/>
    <w:p w14:paraId="22AB868E" w14:textId="5888425C" w:rsidR="006057F5" w:rsidRDefault="006057F5" w:rsidP="006057F5">
      <w:r>
        <w:br w:type="page"/>
      </w:r>
    </w:p>
    <w:p w14:paraId="37F92E38" w14:textId="4EE996AA" w:rsidR="00317A8B" w:rsidRDefault="00F070B0" w:rsidP="00FA2E6C">
      <w:pPr>
        <w:keepNext/>
      </w:pPr>
      <w:r>
        <w:rPr>
          <w:noProof/>
        </w:rPr>
        <w:lastRenderedPageBreak/>
        <w:drawing>
          <wp:inline distT="0" distB="0" distL="0" distR="0" wp14:anchorId="75D63EC2" wp14:editId="32C872D1">
            <wp:extent cx="5943600" cy="5426710"/>
            <wp:effectExtent l="0" t="0" r="0" b="2540"/>
            <wp:docPr id="10" name="Picture 10" descr="plot_Kobe_Temporal_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ot_Kobe_Temporal_Pane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426710"/>
                    </a:xfrm>
                    <a:prstGeom prst="rect">
                      <a:avLst/>
                    </a:prstGeom>
                    <a:noFill/>
                    <a:ln>
                      <a:noFill/>
                    </a:ln>
                  </pic:spPr>
                </pic:pic>
              </a:graphicData>
            </a:graphic>
          </wp:inline>
        </w:drawing>
      </w:r>
    </w:p>
    <w:p w14:paraId="7E66A859" w14:textId="5E99E9A4" w:rsidR="006057F5" w:rsidRPr="006057F5" w:rsidRDefault="00317A8B" w:rsidP="00FA2E6C">
      <w:pPr>
        <w:pStyle w:val="Caption"/>
      </w:pPr>
      <w:r>
        <w:t xml:space="preserve">Figure </w:t>
      </w:r>
      <w:r w:rsidR="00071157">
        <w:t>SPA-</w:t>
      </w:r>
      <w:r w:rsidR="00F070B0">
        <w:rPr>
          <w:noProof/>
        </w:rPr>
        <w:fldChar w:fldCharType="begin"/>
      </w:r>
      <w:r w:rsidR="00F070B0">
        <w:rPr>
          <w:noProof/>
        </w:rPr>
        <w:instrText xml:space="preserve"> SEQ Figure \* ARABIC </w:instrText>
      </w:r>
      <w:r w:rsidR="00F070B0">
        <w:rPr>
          <w:noProof/>
        </w:rPr>
        <w:fldChar w:fldCharType="separate"/>
      </w:r>
      <w:r>
        <w:rPr>
          <w:noProof/>
        </w:rPr>
        <w:t>11</w:t>
      </w:r>
      <w:r w:rsidR="00F070B0">
        <w:rPr>
          <w:noProof/>
        </w:rPr>
        <w:fldChar w:fldCharType="end"/>
      </w:r>
      <w:r>
        <w:t xml:space="preserve"> </w:t>
      </w:r>
      <w:r>
        <w:rPr>
          <w:rStyle w:val="fontstyle01"/>
        </w:rPr>
        <w:t xml:space="preserve">Estimated time-series (or ‘dynamic’) Kobe plots for four example models from the assessment (one from each of the combinations of growth types, and natural mortality </w:t>
      </w:r>
      <w:r>
        <w:rPr>
          <w:rStyle w:val="fontstyle21"/>
        </w:rPr>
        <w:t xml:space="preserve">M </w:t>
      </w:r>
      <w:r>
        <w:rPr>
          <w:rStyle w:val="fontstyle01"/>
        </w:rPr>
        <w:t>set to 0.3 or 0.4).</w:t>
      </w:r>
    </w:p>
    <w:sectPr w:rsidR="006057F5" w:rsidRPr="006057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MR10">
    <w:altName w:val="Times New Roman"/>
    <w:panose1 w:val="00000000000000000000"/>
    <w:charset w:val="00"/>
    <w:family w:val="roman"/>
    <w:notTrueType/>
    <w:pitch w:val="default"/>
  </w:font>
  <w:font w:name="CMTI10">
    <w:altName w:val="Times New Roman"/>
    <w:panose1 w:val="00000000000000000000"/>
    <w:charset w:val="00"/>
    <w:family w:val="roman"/>
    <w:notTrueType/>
    <w:pitch w:val="default"/>
  </w:font>
  <w:font w:name="CMMI8">
    <w:altName w:val="Times New Roman"/>
    <w:panose1 w:val="00000000000000000000"/>
    <w:charset w:val="00"/>
    <w:family w:val="roman"/>
    <w:notTrueType/>
    <w:pitch w:val="default"/>
  </w:font>
  <w:font w:name="CMMI10">
    <w:altName w:val="Times New Roman"/>
    <w:panose1 w:val="00000000000000000000"/>
    <w:charset w:val="00"/>
    <w:family w:val="roman"/>
    <w:notTrueType/>
    <w:pitch w:val="default"/>
  </w:font>
  <w:font w:name="CMR8">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0707ED"/>
    <w:multiLevelType w:val="hybridMultilevel"/>
    <w:tmpl w:val="626AFAD6"/>
    <w:lvl w:ilvl="0" w:tplc="9F4838F8">
      <w:start w:val="1"/>
      <w:numFmt w:val="lowerLetter"/>
      <w:lvlText w:val="%1."/>
      <w:lvlJc w:val="left"/>
      <w:pPr>
        <w:ind w:left="820" w:hanging="720"/>
        <w:jc w:val="left"/>
      </w:pPr>
      <w:rPr>
        <w:rFonts w:ascii="Calibri" w:eastAsia="Calibri" w:hAnsi="Calibri" w:cs="Calibri" w:hint="default"/>
        <w:b/>
        <w:bCs/>
        <w:spacing w:val="-1"/>
        <w:w w:val="100"/>
        <w:sz w:val="22"/>
        <w:szCs w:val="22"/>
      </w:rPr>
    </w:lvl>
    <w:lvl w:ilvl="1" w:tplc="D244FA0E">
      <w:numFmt w:val="bullet"/>
      <w:lvlText w:val="•"/>
      <w:lvlJc w:val="left"/>
      <w:pPr>
        <w:ind w:left="1694" w:hanging="720"/>
      </w:pPr>
      <w:rPr>
        <w:rFonts w:hint="default"/>
      </w:rPr>
    </w:lvl>
    <w:lvl w:ilvl="2" w:tplc="8FEE41FE">
      <w:numFmt w:val="bullet"/>
      <w:lvlText w:val="•"/>
      <w:lvlJc w:val="left"/>
      <w:pPr>
        <w:ind w:left="2568" w:hanging="720"/>
      </w:pPr>
      <w:rPr>
        <w:rFonts w:hint="default"/>
      </w:rPr>
    </w:lvl>
    <w:lvl w:ilvl="3" w:tplc="31A042F0">
      <w:numFmt w:val="bullet"/>
      <w:lvlText w:val="•"/>
      <w:lvlJc w:val="left"/>
      <w:pPr>
        <w:ind w:left="3442" w:hanging="720"/>
      </w:pPr>
      <w:rPr>
        <w:rFonts w:hint="default"/>
      </w:rPr>
    </w:lvl>
    <w:lvl w:ilvl="4" w:tplc="7BB69730">
      <w:numFmt w:val="bullet"/>
      <w:lvlText w:val="•"/>
      <w:lvlJc w:val="left"/>
      <w:pPr>
        <w:ind w:left="4316" w:hanging="720"/>
      </w:pPr>
      <w:rPr>
        <w:rFonts w:hint="default"/>
      </w:rPr>
    </w:lvl>
    <w:lvl w:ilvl="5" w:tplc="B20C13F6">
      <w:numFmt w:val="bullet"/>
      <w:lvlText w:val="•"/>
      <w:lvlJc w:val="left"/>
      <w:pPr>
        <w:ind w:left="5190" w:hanging="720"/>
      </w:pPr>
      <w:rPr>
        <w:rFonts w:hint="default"/>
      </w:rPr>
    </w:lvl>
    <w:lvl w:ilvl="6" w:tplc="0FD48C86">
      <w:numFmt w:val="bullet"/>
      <w:lvlText w:val="•"/>
      <w:lvlJc w:val="left"/>
      <w:pPr>
        <w:ind w:left="6064" w:hanging="720"/>
      </w:pPr>
      <w:rPr>
        <w:rFonts w:hint="default"/>
      </w:rPr>
    </w:lvl>
    <w:lvl w:ilvl="7" w:tplc="6E52E390">
      <w:numFmt w:val="bullet"/>
      <w:lvlText w:val="•"/>
      <w:lvlJc w:val="left"/>
      <w:pPr>
        <w:ind w:left="6938" w:hanging="720"/>
      </w:pPr>
      <w:rPr>
        <w:rFonts w:hint="default"/>
      </w:rPr>
    </w:lvl>
    <w:lvl w:ilvl="8" w:tplc="CDEA40FC">
      <w:numFmt w:val="bullet"/>
      <w:lvlText w:val="•"/>
      <w:lvlJc w:val="left"/>
      <w:pPr>
        <w:ind w:left="7812" w:hanging="720"/>
      </w:pPr>
      <w:rPr>
        <w:rFonts w:hint="default"/>
      </w:rPr>
    </w:lvl>
  </w:abstractNum>
  <w:abstractNum w:abstractNumId="1" w15:restartNumberingAfterBreak="0">
    <w:nsid w:val="3F4A28CD"/>
    <w:multiLevelType w:val="hybridMultilevel"/>
    <w:tmpl w:val="2918EA96"/>
    <w:lvl w:ilvl="0" w:tplc="EC50493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67684BF8"/>
    <w:multiLevelType w:val="hybridMultilevel"/>
    <w:tmpl w:val="792C286A"/>
    <w:lvl w:ilvl="0" w:tplc="C15ED02C">
      <w:start w:val="322"/>
      <w:numFmt w:val="decimal"/>
      <w:lvlText w:val="%1."/>
      <w:lvlJc w:val="left"/>
      <w:pPr>
        <w:ind w:left="100" w:hanging="720"/>
        <w:jc w:val="left"/>
      </w:pPr>
      <w:rPr>
        <w:rFonts w:hint="default"/>
        <w:spacing w:val="-3"/>
        <w:w w:val="99"/>
      </w:rPr>
    </w:lvl>
    <w:lvl w:ilvl="1" w:tplc="A6E64F16">
      <w:numFmt w:val="bullet"/>
      <w:lvlText w:val="•"/>
      <w:lvlJc w:val="left"/>
      <w:pPr>
        <w:ind w:left="1046" w:hanging="720"/>
      </w:pPr>
      <w:rPr>
        <w:rFonts w:hint="default"/>
      </w:rPr>
    </w:lvl>
    <w:lvl w:ilvl="2" w:tplc="7EB69C92">
      <w:numFmt w:val="bullet"/>
      <w:lvlText w:val="•"/>
      <w:lvlJc w:val="left"/>
      <w:pPr>
        <w:ind w:left="1992" w:hanging="720"/>
      </w:pPr>
      <w:rPr>
        <w:rFonts w:hint="default"/>
      </w:rPr>
    </w:lvl>
    <w:lvl w:ilvl="3" w:tplc="FEB4C322">
      <w:numFmt w:val="bullet"/>
      <w:lvlText w:val="•"/>
      <w:lvlJc w:val="left"/>
      <w:pPr>
        <w:ind w:left="2938" w:hanging="720"/>
      </w:pPr>
      <w:rPr>
        <w:rFonts w:hint="default"/>
      </w:rPr>
    </w:lvl>
    <w:lvl w:ilvl="4" w:tplc="68CE18E0">
      <w:numFmt w:val="bullet"/>
      <w:lvlText w:val="•"/>
      <w:lvlJc w:val="left"/>
      <w:pPr>
        <w:ind w:left="3884" w:hanging="720"/>
      </w:pPr>
      <w:rPr>
        <w:rFonts w:hint="default"/>
      </w:rPr>
    </w:lvl>
    <w:lvl w:ilvl="5" w:tplc="8F80944E">
      <w:numFmt w:val="bullet"/>
      <w:lvlText w:val="•"/>
      <w:lvlJc w:val="left"/>
      <w:pPr>
        <w:ind w:left="4830" w:hanging="720"/>
      </w:pPr>
      <w:rPr>
        <w:rFonts w:hint="default"/>
      </w:rPr>
    </w:lvl>
    <w:lvl w:ilvl="6" w:tplc="E280F122">
      <w:numFmt w:val="bullet"/>
      <w:lvlText w:val="•"/>
      <w:lvlJc w:val="left"/>
      <w:pPr>
        <w:ind w:left="5776" w:hanging="720"/>
      </w:pPr>
      <w:rPr>
        <w:rFonts w:hint="default"/>
      </w:rPr>
    </w:lvl>
    <w:lvl w:ilvl="7" w:tplc="51E652D0">
      <w:numFmt w:val="bullet"/>
      <w:lvlText w:val="•"/>
      <w:lvlJc w:val="left"/>
      <w:pPr>
        <w:ind w:left="6722" w:hanging="720"/>
      </w:pPr>
      <w:rPr>
        <w:rFonts w:hint="default"/>
      </w:rPr>
    </w:lvl>
    <w:lvl w:ilvl="8" w:tplc="54B29F2E">
      <w:numFmt w:val="bullet"/>
      <w:lvlText w:val="•"/>
      <w:lvlJc w:val="left"/>
      <w:pPr>
        <w:ind w:left="7668" w:hanging="72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0C2"/>
    <w:rsid w:val="00071157"/>
    <w:rsid w:val="00075F30"/>
    <w:rsid w:val="000B6448"/>
    <w:rsid w:val="000C4A19"/>
    <w:rsid w:val="001140C2"/>
    <w:rsid w:val="00173774"/>
    <w:rsid w:val="001A7955"/>
    <w:rsid w:val="001F4723"/>
    <w:rsid w:val="002B1FB7"/>
    <w:rsid w:val="002C022F"/>
    <w:rsid w:val="002C186D"/>
    <w:rsid w:val="00305E7C"/>
    <w:rsid w:val="00317A8B"/>
    <w:rsid w:val="0038670E"/>
    <w:rsid w:val="003B7CD1"/>
    <w:rsid w:val="003C39F4"/>
    <w:rsid w:val="00496959"/>
    <w:rsid w:val="004E5B55"/>
    <w:rsid w:val="00542CF8"/>
    <w:rsid w:val="0054408F"/>
    <w:rsid w:val="005831C5"/>
    <w:rsid w:val="00595704"/>
    <w:rsid w:val="0059776B"/>
    <w:rsid w:val="005E0E51"/>
    <w:rsid w:val="006057F5"/>
    <w:rsid w:val="00612B59"/>
    <w:rsid w:val="006405C4"/>
    <w:rsid w:val="0066571A"/>
    <w:rsid w:val="00737997"/>
    <w:rsid w:val="007F7A19"/>
    <w:rsid w:val="00903AD2"/>
    <w:rsid w:val="00921D34"/>
    <w:rsid w:val="009538B3"/>
    <w:rsid w:val="00953F45"/>
    <w:rsid w:val="009661D3"/>
    <w:rsid w:val="009667ED"/>
    <w:rsid w:val="00976A4E"/>
    <w:rsid w:val="009D118E"/>
    <w:rsid w:val="009E1771"/>
    <w:rsid w:val="00A908AD"/>
    <w:rsid w:val="00AF4C7F"/>
    <w:rsid w:val="00B92557"/>
    <w:rsid w:val="00BB2200"/>
    <w:rsid w:val="00C220D8"/>
    <w:rsid w:val="00C2491F"/>
    <w:rsid w:val="00C3268F"/>
    <w:rsid w:val="00C61303"/>
    <w:rsid w:val="00C6573C"/>
    <w:rsid w:val="00CE49F3"/>
    <w:rsid w:val="00DE19DF"/>
    <w:rsid w:val="00DE6325"/>
    <w:rsid w:val="00E23A0C"/>
    <w:rsid w:val="00E66F8C"/>
    <w:rsid w:val="00E901F7"/>
    <w:rsid w:val="00E93917"/>
    <w:rsid w:val="00F070B0"/>
    <w:rsid w:val="00F219A3"/>
    <w:rsid w:val="00F64A7D"/>
    <w:rsid w:val="00FA2E6C"/>
    <w:rsid w:val="00FB026E"/>
    <w:rsid w:val="00FD7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B035E"/>
  <w15:docId w15:val="{13620C82-C747-4970-A37E-740838F6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2C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140C2"/>
    <w:pPr>
      <w:widowControl w:val="0"/>
      <w:autoSpaceDE w:val="0"/>
      <w:autoSpaceDN w:val="0"/>
      <w:spacing w:after="0" w:line="240" w:lineRule="auto"/>
    </w:pPr>
    <w:rPr>
      <w:rFonts w:ascii="Calibri" w:eastAsia="Calibri" w:hAnsi="Calibri" w:cs="Calibri"/>
      <w:b/>
      <w:bCs/>
    </w:rPr>
  </w:style>
  <w:style w:type="character" w:customStyle="1" w:styleId="BodyTextChar">
    <w:name w:val="Body Text Char"/>
    <w:basedOn w:val="DefaultParagraphFont"/>
    <w:link w:val="BodyText"/>
    <w:uiPriority w:val="1"/>
    <w:rsid w:val="001140C2"/>
    <w:rPr>
      <w:rFonts w:ascii="Calibri" w:eastAsia="Calibri" w:hAnsi="Calibri" w:cs="Calibri"/>
      <w:b/>
      <w:bCs/>
    </w:rPr>
  </w:style>
  <w:style w:type="paragraph" w:styleId="ListParagraph">
    <w:name w:val="List Paragraph"/>
    <w:basedOn w:val="Normal"/>
    <w:uiPriority w:val="1"/>
    <w:qFormat/>
    <w:rsid w:val="001140C2"/>
    <w:pPr>
      <w:widowControl w:val="0"/>
      <w:autoSpaceDE w:val="0"/>
      <w:autoSpaceDN w:val="0"/>
      <w:spacing w:after="0" w:line="240" w:lineRule="auto"/>
      <w:ind w:left="100"/>
    </w:pPr>
    <w:rPr>
      <w:rFonts w:ascii="Calibri" w:eastAsia="Calibri" w:hAnsi="Calibri" w:cs="Calibri"/>
    </w:rPr>
  </w:style>
  <w:style w:type="character" w:styleId="CommentReference">
    <w:name w:val="annotation reference"/>
    <w:basedOn w:val="DefaultParagraphFont"/>
    <w:uiPriority w:val="99"/>
    <w:semiHidden/>
    <w:unhideWhenUsed/>
    <w:rsid w:val="00BB2200"/>
    <w:rPr>
      <w:sz w:val="16"/>
      <w:szCs w:val="16"/>
    </w:rPr>
  </w:style>
  <w:style w:type="paragraph" w:styleId="CommentText">
    <w:name w:val="annotation text"/>
    <w:basedOn w:val="Normal"/>
    <w:link w:val="CommentTextChar"/>
    <w:uiPriority w:val="99"/>
    <w:semiHidden/>
    <w:unhideWhenUsed/>
    <w:rsid w:val="00BB2200"/>
    <w:pPr>
      <w:spacing w:line="240" w:lineRule="auto"/>
    </w:pPr>
    <w:rPr>
      <w:sz w:val="20"/>
      <w:szCs w:val="20"/>
    </w:rPr>
  </w:style>
  <w:style w:type="character" w:customStyle="1" w:styleId="CommentTextChar">
    <w:name w:val="Comment Text Char"/>
    <w:basedOn w:val="DefaultParagraphFont"/>
    <w:link w:val="CommentText"/>
    <w:uiPriority w:val="99"/>
    <w:semiHidden/>
    <w:rsid w:val="00BB2200"/>
    <w:rPr>
      <w:sz w:val="20"/>
      <w:szCs w:val="20"/>
    </w:rPr>
  </w:style>
  <w:style w:type="paragraph" w:styleId="CommentSubject">
    <w:name w:val="annotation subject"/>
    <w:basedOn w:val="CommentText"/>
    <w:next w:val="CommentText"/>
    <w:link w:val="CommentSubjectChar"/>
    <w:uiPriority w:val="99"/>
    <w:semiHidden/>
    <w:unhideWhenUsed/>
    <w:rsid w:val="00BB2200"/>
    <w:rPr>
      <w:b/>
      <w:bCs/>
    </w:rPr>
  </w:style>
  <w:style w:type="character" w:customStyle="1" w:styleId="CommentSubjectChar">
    <w:name w:val="Comment Subject Char"/>
    <w:basedOn w:val="CommentTextChar"/>
    <w:link w:val="CommentSubject"/>
    <w:uiPriority w:val="99"/>
    <w:semiHidden/>
    <w:rsid w:val="00BB2200"/>
    <w:rPr>
      <w:b/>
      <w:bCs/>
      <w:sz w:val="20"/>
      <w:szCs w:val="20"/>
    </w:rPr>
  </w:style>
  <w:style w:type="paragraph" w:styleId="BalloonText">
    <w:name w:val="Balloon Text"/>
    <w:basedOn w:val="Normal"/>
    <w:link w:val="BalloonTextChar"/>
    <w:uiPriority w:val="99"/>
    <w:semiHidden/>
    <w:unhideWhenUsed/>
    <w:rsid w:val="00BB22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200"/>
    <w:rPr>
      <w:rFonts w:ascii="Segoe UI" w:hAnsi="Segoe UI" w:cs="Segoe UI"/>
      <w:sz w:val="18"/>
      <w:szCs w:val="18"/>
    </w:rPr>
  </w:style>
  <w:style w:type="character" w:customStyle="1" w:styleId="fontstyle01">
    <w:name w:val="fontstyle01"/>
    <w:basedOn w:val="DefaultParagraphFont"/>
    <w:rsid w:val="00E93917"/>
    <w:rPr>
      <w:rFonts w:ascii="CMR10" w:hAnsi="CMR10" w:hint="default"/>
      <w:b w:val="0"/>
      <w:bCs w:val="0"/>
      <w:i w:val="0"/>
      <w:iCs w:val="0"/>
      <w:color w:val="008A73"/>
      <w:sz w:val="22"/>
      <w:szCs w:val="22"/>
    </w:rPr>
  </w:style>
  <w:style w:type="paragraph" w:styleId="Caption">
    <w:name w:val="caption"/>
    <w:basedOn w:val="Normal"/>
    <w:next w:val="Normal"/>
    <w:uiPriority w:val="35"/>
    <w:unhideWhenUsed/>
    <w:qFormat/>
    <w:rsid w:val="00E93917"/>
    <w:pPr>
      <w:spacing w:line="240" w:lineRule="auto"/>
    </w:pPr>
    <w:rPr>
      <w:i/>
      <w:iCs/>
      <w:color w:val="1F497D" w:themeColor="text2"/>
      <w:sz w:val="18"/>
      <w:szCs w:val="18"/>
    </w:rPr>
  </w:style>
  <w:style w:type="character" w:customStyle="1" w:styleId="fontstyle21">
    <w:name w:val="fontstyle21"/>
    <w:basedOn w:val="DefaultParagraphFont"/>
    <w:rsid w:val="00A908AD"/>
    <w:rPr>
      <w:rFonts w:ascii="CMTI10" w:hAnsi="CMTI10" w:hint="default"/>
      <w:b w:val="0"/>
      <w:bCs w:val="0"/>
      <w:i/>
      <w:iCs/>
      <w:color w:val="008A73"/>
      <w:sz w:val="22"/>
      <w:szCs w:val="22"/>
    </w:rPr>
  </w:style>
  <w:style w:type="character" w:customStyle="1" w:styleId="fontstyle31">
    <w:name w:val="fontstyle31"/>
    <w:basedOn w:val="DefaultParagraphFont"/>
    <w:rsid w:val="00A908AD"/>
    <w:rPr>
      <w:rFonts w:ascii="CMMI8" w:hAnsi="CMMI8" w:hint="default"/>
      <w:b w:val="0"/>
      <w:bCs w:val="0"/>
      <w:i/>
      <w:iCs/>
      <w:color w:val="008A73"/>
      <w:sz w:val="16"/>
      <w:szCs w:val="16"/>
    </w:rPr>
  </w:style>
  <w:style w:type="character" w:customStyle="1" w:styleId="fontstyle41">
    <w:name w:val="fontstyle41"/>
    <w:basedOn w:val="DefaultParagraphFont"/>
    <w:rsid w:val="00A908AD"/>
    <w:rPr>
      <w:rFonts w:ascii="CMMI10" w:hAnsi="CMMI10" w:hint="default"/>
      <w:b w:val="0"/>
      <w:bCs w:val="0"/>
      <w:i/>
      <w:iCs/>
      <w:color w:val="008A73"/>
      <w:sz w:val="22"/>
      <w:szCs w:val="22"/>
    </w:rPr>
  </w:style>
  <w:style w:type="character" w:customStyle="1" w:styleId="fontstyle51">
    <w:name w:val="fontstyle51"/>
    <w:basedOn w:val="DefaultParagraphFont"/>
    <w:rsid w:val="00A908AD"/>
    <w:rPr>
      <w:rFonts w:ascii="CMR8" w:hAnsi="CMR8" w:hint="default"/>
      <w:b w:val="0"/>
      <w:bCs w:val="0"/>
      <w:i w:val="0"/>
      <w:iCs w:val="0"/>
      <w:color w:val="008A73"/>
      <w:sz w:val="16"/>
      <w:szCs w:val="16"/>
    </w:rPr>
  </w:style>
  <w:style w:type="character" w:customStyle="1" w:styleId="fontstyle61">
    <w:name w:val="fontstyle61"/>
    <w:basedOn w:val="DefaultParagraphFont"/>
    <w:rsid w:val="00A908AD"/>
    <w:rPr>
      <w:rFonts w:ascii="CMR8" w:hAnsi="CMR8" w:hint="default"/>
      <w:b w:val="0"/>
      <w:bCs w:val="0"/>
      <w:i w:val="0"/>
      <w:iCs w:val="0"/>
      <w:color w:val="008A73"/>
      <w:sz w:val="16"/>
      <w:szCs w:val="16"/>
    </w:rPr>
  </w:style>
  <w:style w:type="paragraph" w:styleId="Revision">
    <w:name w:val="Revision"/>
    <w:hidden/>
    <w:uiPriority w:val="99"/>
    <w:semiHidden/>
    <w:rsid w:val="0054408F"/>
    <w:pPr>
      <w:spacing w:after="0" w:line="240" w:lineRule="auto"/>
    </w:pPr>
  </w:style>
  <w:style w:type="table" w:styleId="TableGrid">
    <w:name w:val="Table Grid"/>
    <w:basedOn w:val="TableNormal"/>
    <w:uiPriority w:val="59"/>
    <w:rsid w:val="00F64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7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1270</Words>
  <Characters>7239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National Marine Fisheries Svc</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 Brodziak</dc:creator>
  <cp:lastModifiedBy>Anthony J. Beeching</cp:lastModifiedBy>
  <cp:revision>2</cp:revision>
  <dcterms:created xsi:type="dcterms:W3CDTF">2018-08-15T02:24:00Z</dcterms:created>
  <dcterms:modified xsi:type="dcterms:W3CDTF">2018-08-15T02:24:00Z</dcterms:modified>
</cp:coreProperties>
</file>