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ED6" w:rsidRDefault="00D46ED6" w:rsidP="00D46ED6">
      <w:pPr>
        <w:pStyle w:val="Caption"/>
        <w:keepNext/>
      </w:pPr>
      <w:r>
        <w:t>Weighted median values of reference point levels (adopted limit reference point (LRP) of 20%</w:t>
      </w:r>
      <w:r w:rsidRPr="004039FC">
        <w:t xml:space="preserve"> SB</w:t>
      </w:r>
      <w:r w:rsidRPr="004039FC">
        <w:rPr>
          <w:vertAlign w:val="subscript"/>
        </w:rPr>
        <w:t>F=0</w:t>
      </w:r>
      <w:r>
        <w:t>; F</w:t>
      </w:r>
      <w:r w:rsidRPr="004039FC">
        <w:rPr>
          <w:vertAlign w:val="subscript"/>
        </w:rPr>
        <w:t>MSY</w:t>
      </w:r>
      <w:r>
        <w:t>) and risk</w:t>
      </w:r>
      <w:r w:rsidRPr="00FD4533">
        <w:rPr>
          <w:vertAlign w:val="superscript"/>
        </w:rPr>
        <w:t>1</w:t>
      </w:r>
      <w:r>
        <w:t xml:space="preserve"> of breaching reference points from the 2017 bigeye stock assessment incorporating updated growth information, and in 2045 under the three future harvest scenarios (status quo, optimistic and pessimistic) and alternative recruitment hypotheses. </w:t>
      </w:r>
      <w:r w:rsidRPr="00230BEB">
        <w:rPr>
          <w:u w:val="single"/>
        </w:rPr>
        <w:t>‘Updated new growth’ runs only</w:t>
      </w:r>
      <w:r>
        <w:t>.</w:t>
      </w:r>
    </w:p>
    <w:p w:rsidR="00D46ED6" w:rsidRDefault="00D46ED6" w:rsidP="00D46ED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237"/>
        <w:gridCol w:w="1129"/>
        <w:gridCol w:w="1051"/>
        <w:gridCol w:w="1311"/>
        <w:gridCol w:w="1842"/>
        <w:gridCol w:w="1560"/>
        <w:gridCol w:w="2126"/>
        <w:gridCol w:w="1276"/>
        <w:gridCol w:w="1166"/>
      </w:tblGrid>
      <w:tr w:rsidR="00D46ED6" w:rsidTr="00F90ADA">
        <w:trPr>
          <w:jc w:val="center"/>
        </w:trPr>
        <w:tc>
          <w:tcPr>
            <w:tcW w:w="0" w:type="auto"/>
            <w:gridSpan w:val="2"/>
          </w:tcPr>
          <w:p w:rsidR="00D46ED6" w:rsidRPr="00EB3455" w:rsidRDefault="00D46ED6" w:rsidP="00F90ADA">
            <w:pPr>
              <w:jc w:val="center"/>
              <w:rPr>
                <w:rFonts w:ascii="Calibri" w:hAnsi="Calibri"/>
                <w:b/>
                <w:sz w:val="20"/>
                <w:szCs w:val="20"/>
              </w:rPr>
            </w:pPr>
            <w:r>
              <w:rPr>
                <w:rFonts w:ascii="Calibri" w:hAnsi="Calibri"/>
                <w:b/>
                <w:sz w:val="20"/>
                <w:szCs w:val="20"/>
              </w:rPr>
              <w:t>Scenario</w:t>
            </w:r>
          </w:p>
        </w:tc>
        <w:tc>
          <w:tcPr>
            <w:tcW w:w="0" w:type="auto"/>
            <w:gridSpan w:val="2"/>
            <w:shd w:val="clear" w:color="auto" w:fill="auto"/>
          </w:tcPr>
          <w:p w:rsidR="00D46ED6" w:rsidRPr="00EB3455" w:rsidRDefault="00D46ED6" w:rsidP="00F90ADA">
            <w:pPr>
              <w:jc w:val="center"/>
              <w:rPr>
                <w:rFonts w:ascii="Calibri" w:hAnsi="Calibri"/>
                <w:b/>
                <w:sz w:val="20"/>
                <w:szCs w:val="20"/>
              </w:rPr>
            </w:pPr>
            <w:r w:rsidRPr="00EB3455">
              <w:rPr>
                <w:rFonts w:ascii="Calibri" w:hAnsi="Calibri"/>
                <w:b/>
                <w:sz w:val="20"/>
                <w:szCs w:val="20"/>
              </w:rPr>
              <w:t xml:space="preserve">Scalars relative to </w:t>
            </w:r>
            <w:r>
              <w:rPr>
                <w:rFonts w:ascii="Calibri" w:hAnsi="Calibri"/>
                <w:b/>
                <w:sz w:val="20"/>
                <w:szCs w:val="20"/>
              </w:rPr>
              <w:t>2013-</w:t>
            </w:r>
            <w:r w:rsidRPr="00EB3455">
              <w:rPr>
                <w:rFonts w:ascii="Calibri" w:hAnsi="Calibri"/>
                <w:b/>
                <w:sz w:val="20"/>
                <w:szCs w:val="20"/>
              </w:rPr>
              <w:t>2015</w:t>
            </w:r>
          </w:p>
        </w:tc>
        <w:tc>
          <w:tcPr>
            <w:tcW w:w="1311" w:type="dxa"/>
            <w:vMerge w:val="restart"/>
            <w:shd w:val="clear" w:color="auto" w:fill="auto"/>
          </w:tcPr>
          <w:p w:rsidR="00D46ED6" w:rsidRPr="00EB3455" w:rsidRDefault="00D46ED6" w:rsidP="00F90ADA">
            <w:pPr>
              <w:jc w:val="center"/>
              <w:rPr>
                <w:rFonts w:ascii="Calibri" w:hAnsi="Calibri"/>
                <w:b/>
                <w:sz w:val="20"/>
                <w:szCs w:val="20"/>
              </w:rPr>
            </w:pPr>
            <w:r w:rsidRPr="00EB3455">
              <w:rPr>
                <w:rFonts w:ascii="Calibri" w:hAnsi="Calibri"/>
                <w:b/>
                <w:sz w:val="20"/>
                <w:szCs w:val="20"/>
              </w:rPr>
              <w:t>Median SB</w:t>
            </w:r>
            <w:r w:rsidRPr="00E2498B">
              <w:rPr>
                <w:rFonts w:ascii="Calibri" w:hAnsi="Calibri"/>
                <w:b/>
                <w:sz w:val="18"/>
                <w:szCs w:val="18"/>
                <w:vertAlign w:val="subscript"/>
              </w:rPr>
              <w:t>2045</w:t>
            </w:r>
            <w:r w:rsidRPr="00EB3455">
              <w:rPr>
                <w:rFonts w:ascii="Calibri" w:hAnsi="Calibri"/>
                <w:b/>
                <w:sz w:val="20"/>
                <w:szCs w:val="20"/>
              </w:rPr>
              <w:t>/SB</w:t>
            </w:r>
            <w:r w:rsidRPr="00EB3455">
              <w:rPr>
                <w:rFonts w:ascii="Calibri" w:hAnsi="Calibri"/>
                <w:b/>
                <w:sz w:val="20"/>
                <w:szCs w:val="20"/>
                <w:vertAlign w:val="subscript"/>
              </w:rPr>
              <w:t>F=0</w:t>
            </w:r>
          </w:p>
        </w:tc>
        <w:tc>
          <w:tcPr>
            <w:tcW w:w="1842" w:type="dxa"/>
            <w:vMerge w:val="restart"/>
            <w:shd w:val="clear" w:color="auto" w:fill="auto"/>
          </w:tcPr>
          <w:p w:rsidR="00D46ED6" w:rsidRPr="00EB3455" w:rsidRDefault="00D46ED6" w:rsidP="00F90ADA">
            <w:pPr>
              <w:jc w:val="center"/>
              <w:rPr>
                <w:rFonts w:ascii="Calibri" w:hAnsi="Calibri"/>
                <w:b/>
                <w:sz w:val="20"/>
                <w:szCs w:val="20"/>
                <w:vertAlign w:val="subscript"/>
              </w:rPr>
            </w:pPr>
            <w:r w:rsidRPr="00EB3455">
              <w:rPr>
                <w:rFonts w:ascii="Calibri" w:hAnsi="Calibri"/>
                <w:b/>
                <w:sz w:val="20"/>
                <w:szCs w:val="20"/>
              </w:rPr>
              <w:t>Median SB</w:t>
            </w:r>
            <w:r w:rsidRPr="00E2498B">
              <w:rPr>
                <w:rFonts w:ascii="Calibri" w:hAnsi="Calibri"/>
                <w:b/>
                <w:sz w:val="18"/>
                <w:szCs w:val="18"/>
                <w:vertAlign w:val="subscript"/>
              </w:rPr>
              <w:t>2045</w:t>
            </w:r>
            <w:r w:rsidRPr="00EB3455">
              <w:rPr>
                <w:rFonts w:ascii="Calibri" w:hAnsi="Calibri"/>
                <w:b/>
                <w:sz w:val="20"/>
                <w:szCs w:val="20"/>
              </w:rPr>
              <w:t>/SB</w:t>
            </w:r>
            <w:r w:rsidRPr="00EB3455">
              <w:rPr>
                <w:rFonts w:ascii="Calibri" w:hAnsi="Calibri"/>
                <w:b/>
                <w:sz w:val="20"/>
                <w:szCs w:val="20"/>
                <w:vertAlign w:val="subscript"/>
              </w:rPr>
              <w:t xml:space="preserve">F=0 </w:t>
            </w:r>
          </w:p>
          <w:p w:rsidR="00D46ED6" w:rsidRPr="00EB3455" w:rsidRDefault="00D46ED6" w:rsidP="00F90ADA">
            <w:pPr>
              <w:jc w:val="center"/>
              <w:rPr>
                <w:rFonts w:ascii="Calibri" w:hAnsi="Calibri"/>
                <w:b/>
                <w:sz w:val="20"/>
                <w:szCs w:val="20"/>
              </w:rPr>
            </w:pPr>
            <w:r w:rsidRPr="00EB3455">
              <w:rPr>
                <w:rFonts w:ascii="Calibri" w:hAnsi="Calibri"/>
                <w:b/>
                <w:sz w:val="20"/>
                <w:szCs w:val="20"/>
              </w:rPr>
              <w:t xml:space="preserve">v </w:t>
            </w:r>
          </w:p>
          <w:p w:rsidR="00D46ED6" w:rsidRPr="00EB3455" w:rsidRDefault="00D46ED6" w:rsidP="00F90ADA">
            <w:pPr>
              <w:jc w:val="center"/>
              <w:rPr>
                <w:rFonts w:ascii="Calibri" w:hAnsi="Calibri"/>
                <w:b/>
                <w:sz w:val="20"/>
                <w:szCs w:val="20"/>
              </w:rPr>
            </w:pPr>
            <w:r w:rsidRPr="00EB3455">
              <w:rPr>
                <w:rFonts w:ascii="Calibri" w:hAnsi="Calibri"/>
                <w:b/>
                <w:sz w:val="20"/>
                <w:szCs w:val="20"/>
              </w:rPr>
              <w:t>SB</w:t>
            </w:r>
            <w:r w:rsidRPr="00E2498B">
              <w:rPr>
                <w:rFonts w:ascii="Calibri" w:hAnsi="Calibri"/>
                <w:b/>
                <w:sz w:val="18"/>
                <w:szCs w:val="18"/>
                <w:vertAlign w:val="subscript"/>
              </w:rPr>
              <w:t>2012-15</w:t>
            </w:r>
            <w:r w:rsidRPr="00EB3455">
              <w:rPr>
                <w:rFonts w:ascii="Calibri" w:hAnsi="Calibri"/>
                <w:b/>
                <w:sz w:val="20"/>
                <w:szCs w:val="20"/>
              </w:rPr>
              <w:t>/SB</w:t>
            </w:r>
            <w:r w:rsidRPr="00E2498B">
              <w:rPr>
                <w:rFonts w:ascii="Calibri" w:hAnsi="Calibri"/>
                <w:b/>
                <w:sz w:val="18"/>
                <w:szCs w:val="18"/>
                <w:vertAlign w:val="subscript"/>
              </w:rPr>
              <w:t>F=0</w:t>
            </w:r>
          </w:p>
        </w:tc>
        <w:tc>
          <w:tcPr>
            <w:tcW w:w="1560" w:type="dxa"/>
            <w:vMerge w:val="restart"/>
            <w:shd w:val="clear" w:color="auto" w:fill="auto"/>
          </w:tcPr>
          <w:p w:rsidR="00D46ED6" w:rsidRDefault="00D46ED6" w:rsidP="00F90ADA">
            <w:pPr>
              <w:jc w:val="center"/>
              <w:rPr>
                <w:rFonts w:ascii="Calibri" w:hAnsi="Calibri"/>
                <w:b/>
                <w:sz w:val="20"/>
                <w:szCs w:val="20"/>
              </w:rPr>
            </w:pPr>
            <w:r w:rsidRPr="00EB3455">
              <w:rPr>
                <w:rFonts w:ascii="Calibri" w:hAnsi="Calibri"/>
                <w:b/>
                <w:sz w:val="20"/>
                <w:szCs w:val="20"/>
              </w:rPr>
              <w:t xml:space="preserve">Median </w:t>
            </w:r>
          </w:p>
          <w:p w:rsidR="00D46ED6" w:rsidRDefault="00D46ED6" w:rsidP="00F90ADA">
            <w:pPr>
              <w:jc w:val="center"/>
              <w:rPr>
                <w:rFonts w:ascii="Calibri" w:hAnsi="Calibri"/>
                <w:b/>
                <w:sz w:val="20"/>
                <w:szCs w:val="20"/>
              </w:rPr>
            </w:pPr>
          </w:p>
          <w:p w:rsidR="00D46ED6" w:rsidRPr="00EB3455" w:rsidRDefault="00D46ED6" w:rsidP="00F90ADA">
            <w:pPr>
              <w:jc w:val="center"/>
              <w:rPr>
                <w:rFonts w:ascii="Calibri" w:hAnsi="Calibri"/>
                <w:b/>
                <w:sz w:val="20"/>
                <w:szCs w:val="20"/>
                <w:vertAlign w:val="superscript"/>
              </w:rPr>
            </w:pPr>
            <w:r w:rsidRPr="00AF3F91">
              <w:rPr>
                <w:rFonts w:ascii="Calibri" w:hAnsi="Calibri"/>
                <w:b/>
                <w:sz w:val="20"/>
                <w:szCs w:val="20"/>
              </w:rPr>
              <w:t>F</w:t>
            </w:r>
            <w:r w:rsidRPr="00E2498B">
              <w:rPr>
                <w:rFonts w:ascii="Calibri" w:hAnsi="Calibri"/>
                <w:b/>
                <w:sz w:val="18"/>
                <w:szCs w:val="18"/>
                <w:vertAlign w:val="subscript"/>
              </w:rPr>
              <w:t>2041-2044</w:t>
            </w:r>
            <w:r w:rsidRPr="00EB3455">
              <w:rPr>
                <w:rFonts w:ascii="Calibri" w:hAnsi="Calibri"/>
                <w:b/>
                <w:sz w:val="20"/>
                <w:szCs w:val="20"/>
              </w:rPr>
              <w:t>/F</w:t>
            </w:r>
            <w:r w:rsidRPr="00E2498B">
              <w:rPr>
                <w:rFonts w:ascii="Calibri" w:hAnsi="Calibri"/>
                <w:b/>
                <w:sz w:val="18"/>
                <w:szCs w:val="18"/>
                <w:vertAlign w:val="subscript"/>
              </w:rPr>
              <w:t>MSY</w:t>
            </w:r>
          </w:p>
        </w:tc>
        <w:tc>
          <w:tcPr>
            <w:tcW w:w="2126" w:type="dxa"/>
            <w:vMerge w:val="restart"/>
            <w:shd w:val="clear" w:color="auto" w:fill="auto"/>
          </w:tcPr>
          <w:p w:rsidR="00D46ED6" w:rsidRDefault="00D46ED6" w:rsidP="00F90ADA">
            <w:pPr>
              <w:jc w:val="center"/>
              <w:rPr>
                <w:rFonts w:ascii="Calibri" w:hAnsi="Calibri"/>
                <w:b/>
                <w:sz w:val="20"/>
                <w:szCs w:val="20"/>
                <w:vertAlign w:val="subscript"/>
              </w:rPr>
            </w:pPr>
            <w:r w:rsidRPr="00EB3455">
              <w:rPr>
                <w:rFonts w:ascii="Calibri" w:hAnsi="Calibri"/>
                <w:b/>
                <w:sz w:val="20"/>
                <w:szCs w:val="20"/>
              </w:rPr>
              <w:t xml:space="preserve">Median </w:t>
            </w:r>
            <w:r w:rsidRPr="00AF3F91">
              <w:rPr>
                <w:rFonts w:ascii="Calibri" w:hAnsi="Calibri"/>
                <w:b/>
                <w:sz w:val="20"/>
                <w:szCs w:val="20"/>
              </w:rPr>
              <w:t>F</w:t>
            </w:r>
            <w:r w:rsidRPr="00E2498B">
              <w:rPr>
                <w:rFonts w:ascii="Calibri" w:hAnsi="Calibri"/>
                <w:b/>
                <w:sz w:val="18"/>
                <w:szCs w:val="18"/>
                <w:vertAlign w:val="subscript"/>
              </w:rPr>
              <w:t>2041-2044</w:t>
            </w:r>
            <w:r w:rsidRPr="00EB3455">
              <w:rPr>
                <w:rFonts w:ascii="Calibri" w:hAnsi="Calibri"/>
                <w:b/>
                <w:sz w:val="20"/>
                <w:szCs w:val="20"/>
              </w:rPr>
              <w:t>/F</w:t>
            </w:r>
            <w:r w:rsidRPr="00E2498B">
              <w:rPr>
                <w:rFonts w:ascii="Calibri" w:hAnsi="Calibri"/>
                <w:b/>
                <w:sz w:val="18"/>
                <w:szCs w:val="18"/>
                <w:vertAlign w:val="subscript"/>
              </w:rPr>
              <w:t>MSY</w:t>
            </w:r>
            <w:r w:rsidRPr="00EB3455">
              <w:rPr>
                <w:rFonts w:ascii="Calibri" w:hAnsi="Calibri"/>
                <w:b/>
                <w:sz w:val="20"/>
                <w:szCs w:val="20"/>
                <w:vertAlign w:val="subscript"/>
              </w:rPr>
              <w:t xml:space="preserve"> </w:t>
            </w:r>
            <w:r w:rsidRPr="00E2498B">
              <w:rPr>
                <w:rFonts w:ascii="Calibri" w:hAnsi="Calibri"/>
                <w:b/>
                <w:sz w:val="20"/>
                <w:szCs w:val="20"/>
              </w:rPr>
              <w:t>v</w:t>
            </w:r>
            <w:r>
              <w:rPr>
                <w:rFonts w:ascii="Calibri" w:hAnsi="Calibri"/>
                <w:b/>
                <w:sz w:val="20"/>
                <w:szCs w:val="20"/>
                <w:vertAlign w:val="subscript"/>
              </w:rPr>
              <w:t xml:space="preserve"> </w:t>
            </w:r>
          </w:p>
          <w:p w:rsidR="00D46ED6" w:rsidRPr="00E2498B" w:rsidRDefault="00D46ED6" w:rsidP="00F90ADA">
            <w:pPr>
              <w:jc w:val="center"/>
              <w:rPr>
                <w:rFonts w:ascii="Calibri" w:hAnsi="Calibri"/>
                <w:b/>
                <w:sz w:val="20"/>
                <w:szCs w:val="20"/>
                <w:vertAlign w:val="subscript"/>
              </w:rPr>
            </w:pPr>
            <w:r w:rsidRPr="00EB3455">
              <w:rPr>
                <w:rFonts w:ascii="Calibri" w:hAnsi="Calibri"/>
                <w:b/>
                <w:sz w:val="20"/>
                <w:szCs w:val="20"/>
              </w:rPr>
              <w:t>F</w:t>
            </w:r>
            <w:r w:rsidRPr="00E2498B">
              <w:rPr>
                <w:rFonts w:ascii="Calibri" w:hAnsi="Calibri"/>
                <w:b/>
                <w:sz w:val="18"/>
                <w:szCs w:val="18"/>
                <w:vertAlign w:val="subscript"/>
              </w:rPr>
              <w:t>2011-14</w:t>
            </w:r>
            <w:r w:rsidRPr="00EB3455">
              <w:rPr>
                <w:rFonts w:ascii="Calibri" w:hAnsi="Calibri"/>
                <w:b/>
                <w:sz w:val="20"/>
                <w:szCs w:val="20"/>
              </w:rPr>
              <w:t>/F</w:t>
            </w:r>
            <w:r w:rsidRPr="00E2498B">
              <w:rPr>
                <w:rFonts w:ascii="Calibri" w:hAnsi="Calibri"/>
                <w:b/>
                <w:sz w:val="18"/>
                <w:szCs w:val="18"/>
                <w:vertAlign w:val="subscript"/>
              </w:rPr>
              <w:t>MSY</w:t>
            </w:r>
          </w:p>
        </w:tc>
        <w:tc>
          <w:tcPr>
            <w:tcW w:w="2442" w:type="dxa"/>
            <w:gridSpan w:val="2"/>
            <w:shd w:val="clear" w:color="auto" w:fill="auto"/>
          </w:tcPr>
          <w:p w:rsidR="00D46ED6" w:rsidRPr="00EB3455" w:rsidRDefault="00D46ED6" w:rsidP="00F90ADA">
            <w:pPr>
              <w:jc w:val="center"/>
              <w:rPr>
                <w:rFonts w:ascii="Calibri" w:hAnsi="Calibri"/>
                <w:b/>
                <w:sz w:val="20"/>
                <w:szCs w:val="20"/>
              </w:rPr>
            </w:pPr>
            <w:r w:rsidRPr="00EB3455">
              <w:rPr>
                <w:rFonts w:ascii="Calibri" w:hAnsi="Calibri"/>
                <w:b/>
                <w:sz w:val="20"/>
                <w:szCs w:val="20"/>
              </w:rPr>
              <w:t xml:space="preserve">Risk </w:t>
            </w:r>
          </w:p>
        </w:tc>
      </w:tr>
      <w:tr w:rsidR="00D46ED6" w:rsidTr="00F90ADA">
        <w:trPr>
          <w:jc w:val="center"/>
        </w:trPr>
        <w:tc>
          <w:tcPr>
            <w:tcW w:w="0" w:type="auto"/>
          </w:tcPr>
          <w:p w:rsidR="00D46ED6" w:rsidRPr="00EB3455" w:rsidRDefault="00D46ED6" w:rsidP="00F90ADA">
            <w:pPr>
              <w:rPr>
                <w:rFonts w:ascii="Calibri" w:hAnsi="Calibri"/>
                <w:b/>
                <w:sz w:val="20"/>
                <w:szCs w:val="20"/>
              </w:rPr>
            </w:pPr>
            <w:r>
              <w:rPr>
                <w:rFonts w:ascii="Calibri" w:hAnsi="Calibri"/>
                <w:b/>
                <w:sz w:val="20"/>
                <w:szCs w:val="20"/>
              </w:rPr>
              <w:t>Recruitment</w:t>
            </w:r>
          </w:p>
        </w:tc>
        <w:tc>
          <w:tcPr>
            <w:tcW w:w="0" w:type="auto"/>
          </w:tcPr>
          <w:p w:rsidR="00D46ED6" w:rsidRPr="00EB3455" w:rsidRDefault="00D46ED6" w:rsidP="00F90ADA">
            <w:pPr>
              <w:jc w:val="center"/>
              <w:rPr>
                <w:rFonts w:ascii="Calibri" w:hAnsi="Calibri"/>
                <w:b/>
                <w:sz w:val="20"/>
                <w:szCs w:val="20"/>
              </w:rPr>
            </w:pPr>
            <w:r w:rsidRPr="008203A8">
              <w:rPr>
                <w:rFonts w:ascii="Calibri" w:hAnsi="Calibri"/>
                <w:b/>
                <w:sz w:val="22"/>
                <w:szCs w:val="22"/>
              </w:rPr>
              <w:t>Fishing level</w:t>
            </w:r>
          </w:p>
        </w:tc>
        <w:tc>
          <w:tcPr>
            <w:tcW w:w="0" w:type="auto"/>
            <w:shd w:val="clear" w:color="auto" w:fill="auto"/>
          </w:tcPr>
          <w:p w:rsidR="00D46ED6" w:rsidRPr="00EB3455" w:rsidRDefault="00D46ED6" w:rsidP="00F90ADA">
            <w:pPr>
              <w:jc w:val="center"/>
              <w:rPr>
                <w:rFonts w:ascii="Calibri" w:hAnsi="Calibri"/>
                <w:b/>
                <w:sz w:val="20"/>
                <w:szCs w:val="20"/>
              </w:rPr>
            </w:pPr>
            <w:r w:rsidRPr="00EB3455">
              <w:rPr>
                <w:rFonts w:ascii="Calibri" w:hAnsi="Calibri"/>
                <w:b/>
                <w:sz w:val="20"/>
                <w:szCs w:val="20"/>
              </w:rPr>
              <w:t>Purse seine</w:t>
            </w:r>
          </w:p>
        </w:tc>
        <w:tc>
          <w:tcPr>
            <w:tcW w:w="0" w:type="auto"/>
            <w:shd w:val="clear" w:color="auto" w:fill="auto"/>
          </w:tcPr>
          <w:p w:rsidR="00D46ED6" w:rsidRPr="00EB3455" w:rsidRDefault="00D46ED6" w:rsidP="00F90ADA">
            <w:pPr>
              <w:jc w:val="center"/>
              <w:rPr>
                <w:rFonts w:ascii="Calibri" w:hAnsi="Calibri"/>
                <w:b/>
                <w:sz w:val="20"/>
                <w:szCs w:val="20"/>
              </w:rPr>
            </w:pPr>
            <w:r w:rsidRPr="00EB3455">
              <w:rPr>
                <w:rFonts w:ascii="Calibri" w:hAnsi="Calibri"/>
                <w:b/>
                <w:sz w:val="20"/>
                <w:szCs w:val="20"/>
              </w:rPr>
              <w:t>Longline</w:t>
            </w:r>
          </w:p>
        </w:tc>
        <w:tc>
          <w:tcPr>
            <w:tcW w:w="1311" w:type="dxa"/>
            <w:vMerge/>
            <w:shd w:val="clear" w:color="auto" w:fill="auto"/>
          </w:tcPr>
          <w:p w:rsidR="00D46ED6" w:rsidRPr="00EB3455" w:rsidRDefault="00D46ED6" w:rsidP="00F90ADA">
            <w:pPr>
              <w:jc w:val="center"/>
              <w:rPr>
                <w:rFonts w:ascii="Calibri" w:hAnsi="Calibri"/>
                <w:b/>
                <w:sz w:val="20"/>
                <w:szCs w:val="20"/>
              </w:rPr>
            </w:pPr>
          </w:p>
        </w:tc>
        <w:tc>
          <w:tcPr>
            <w:tcW w:w="1842" w:type="dxa"/>
            <w:vMerge/>
            <w:shd w:val="clear" w:color="auto" w:fill="auto"/>
          </w:tcPr>
          <w:p w:rsidR="00D46ED6" w:rsidRPr="00EB3455" w:rsidRDefault="00D46ED6" w:rsidP="00F90ADA">
            <w:pPr>
              <w:jc w:val="center"/>
              <w:rPr>
                <w:rFonts w:ascii="Calibri" w:hAnsi="Calibri"/>
                <w:b/>
                <w:sz w:val="20"/>
                <w:szCs w:val="20"/>
              </w:rPr>
            </w:pPr>
          </w:p>
        </w:tc>
        <w:tc>
          <w:tcPr>
            <w:tcW w:w="1560" w:type="dxa"/>
            <w:vMerge/>
            <w:shd w:val="clear" w:color="auto" w:fill="auto"/>
          </w:tcPr>
          <w:p w:rsidR="00D46ED6" w:rsidRPr="00EB3455" w:rsidRDefault="00D46ED6" w:rsidP="00F90ADA">
            <w:pPr>
              <w:jc w:val="center"/>
              <w:rPr>
                <w:rFonts w:ascii="Calibri" w:hAnsi="Calibri"/>
                <w:b/>
                <w:sz w:val="20"/>
                <w:szCs w:val="20"/>
              </w:rPr>
            </w:pPr>
          </w:p>
        </w:tc>
        <w:tc>
          <w:tcPr>
            <w:tcW w:w="2126" w:type="dxa"/>
            <w:vMerge/>
            <w:shd w:val="clear" w:color="auto" w:fill="auto"/>
          </w:tcPr>
          <w:p w:rsidR="00D46ED6" w:rsidRPr="00EB3455" w:rsidRDefault="00D46ED6" w:rsidP="00F90ADA">
            <w:pPr>
              <w:jc w:val="center"/>
              <w:rPr>
                <w:rFonts w:ascii="Calibri" w:hAnsi="Calibri"/>
                <w:b/>
                <w:sz w:val="20"/>
                <w:szCs w:val="20"/>
              </w:rPr>
            </w:pPr>
          </w:p>
        </w:tc>
        <w:tc>
          <w:tcPr>
            <w:tcW w:w="1276" w:type="dxa"/>
            <w:shd w:val="clear" w:color="auto" w:fill="auto"/>
          </w:tcPr>
          <w:p w:rsidR="00D46ED6" w:rsidRPr="00EB3455" w:rsidRDefault="00D46ED6" w:rsidP="00F90ADA">
            <w:pPr>
              <w:jc w:val="center"/>
              <w:rPr>
                <w:rFonts w:ascii="Calibri" w:hAnsi="Calibri"/>
                <w:b/>
                <w:sz w:val="20"/>
                <w:szCs w:val="20"/>
              </w:rPr>
            </w:pPr>
            <w:r w:rsidRPr="00EB3455">
              <w:rPr>
                <w:rFonts w:ascii="Calibri" w:hAnsi="Calibri"/>
                <w:b/>
                <w:sz w:val="20"/>
                <w:szCs w:val="20"/>
              </w:rPr>
              <w:t>SB</w:t>
            </w:r>
            <w:r w:rsidRPr="00EB3455">
              <w:rPr>
                <w:rFonts w:ascii="Calibri" w:hAnsi="Calibri"/>
                <w:b/>
                <w:sz w:val="20"/>
                <w:szCs w:val="20"/>
                <w:vertAlign w:val="subscript"/>
              </w:rPr>
              <w:t>20</w:t>
            </w:r>
            <w:r>
              <w:rPr>
                <w:rFonts w:ascii="Calibri" w:hAnsi="Calibri"/>
                <w:b/>
                <w:sz w:val="20"/>
                <w:szCs w:val="20"/>
                <w:vertAlign w:val="subscript"/>
              </w:rPr>
              <w:t>4</w:t>
            </w:r>
            <w:r w:rsidRPr="00EB3455">
              <w:rPr>
                <w:rFonts w:ascii="Calibri" w:hAnsi="Calibri"/>
                <w:b/>
                <w:sz w:val="20"/>
                <w:szCs w:val="20"/>
                <w:vertAlign w:val="subscript"/>
              </w:rPr>
              <w:t>5</w:t>
            </w:r>
            <w:r w:rsidRPr="00EB3455">
              <w:rPr>
                <w:rFonts w:ascii="Calibri" w:hAnsi="Calibri"/>
                <w:b/>
                <w:sz w:val="20"/>
                <w:szCs w:val="20"/>
              </w:rPr>
              <w:t xml:space="preserve"> &lt; LRP</w:t>
            </w:r>
          </w:p>
        </w:tc>
        <w:tc>
          <w:tcPr>
            <w:tcW w:w="1166" w:type="dxa"/>
          </w:tcPr>
          <w:p w:rsidR="00D46ED6" w:rsidRPr="008203A8" w:rsidRDefault="00D46ED6" w:rsidP="00F90ADA">
            <w:pPr>
              <w:jc w:val="center"/>
              <w:rPr>
                <w:rFonts w:ascii="Calibri" w:hAnsi="Calibri"/>
                <w:b/>
                <w:sz w:val="22"/>
                <w:szCs w:val="22"/>
              </w:rPr>
            </w:pPr>
            <w:r w:rsidRPr="008203A8">
              <w:rPr>
                <w:rFonts w:ascii="Calibri" w:hAnsi="Calibri"/>
                <w:b/>
                <w:sz w:val="22"/>
                <w:szCs w:val="22"/>
              </w:rPr>
              <w:t>F</w:t>
            </w:r>
            <w:r>
              <w:rPr>
                <w:rFonts w:ascii="Calibri" w:hAnsi="Calibri"/>
                <w:b/>
                <w:sz w:val="22"/>
                <w:szCs w:val="22"/>
              </w:rPr>
              <w:t>&gt;</w:t>
            </w:r>
            <w:r w:rsidRPr="008203A8">
              <w:rPr>
                <w:rFonts w:ascii="Calibri" w:hAnsi="Calibri"/>
                <w:b/>
                <w:sz w:val="22"/>
                <w:szCs w:val="22"/>
              </w:rPr>
              <w:t>F</w:t>
            </w:r>
            <w:r w:rsidRPr="008203A8">
              <w:rPr>
                <w:rFonts w:ascii="Calibri" w:hAnsi="Calibri"/>
                <w:b/>
                <w:sz w:val="22"/>
                <w:szCs w:val="22"/>
                <w:vertAlign w:val="subscript"/>
              </w:rPr>
              <w:t>MSY</w:t>
            </w:r>
          </w:p>
        </w:tc>
      </w:tr>
      <w:tr w:rsidR="00D46ED6" w:rsidTr="00F90ADA">
        <w:trPr>
          <w:jc w:val="center"/>
        </w:trPr>
        <w:tc>
          <w:tcPr>
            <w:tcW w:w="0" w:type="auto"/>
            <w:gridSpan w:val="4"/>
          </w:tcPr>
          <w:p w:rsidR="00D46ED6" w:rsidRPr="00782888" w:rsidRDefault="00D46ED6" w:rsidP="00F90ADA">
            <w:pPr>
              <w:jc w:val="center"/>
              <w:rPr>
                <w:rFonts w:ascii="Calibri" w:hAnsi="Calibri"/>
                <w:sz w:val="20"/>
                <w:szCs w:val="20"/>
              </w:rPr>
            </w:pPr>
            <w:r w:rsidRPr="00782888">
              <w:rPr>
                <w:rFonts w:ascii="Calibri" w:hAnsi="Calibri"/>
                <w:i/>
                <w:sz w:val="20"/>
                <w:szCs w:val="20"/>
              </w:rPr>
              <w:t xml:space="preserve">Bigeye assessment </w:t>
            </w:r>
            <w:r w:rsidRPr="00782888">
              <w:rPr>
                <w:rFonts w:ascii="Calibri" w:hAnsi="Calibri"/>
                <w:i/>
                <w:sz w:val="16"/>
                <w:szCs w:val="16"/>
              </w:rPr>
              <w:t>(</w:t>
            </w:r>
            <w:r>
              <w:rPr>
                <w:rFonts w:ascii="Calibri" w:hAnsi="Calibri"/>
                <w:i/>
                <w:sz w:val="16"/>
                <w:szCs w:val="16"/>
              </w:rPr>
              <w:t>‘recent’ levels</w:t>
            </w:r>
            <w:r w:rsidRPr="00782888">
              <w:rPr>
                <w:rFonts w:ascii="Calibri" w:hAnsi="Calibri"/>
                <w:i/>
                <w:sz w:val="16"/>
                <w:szCs w:val="16"/>
              </w:rPr>
              <w:t>)</w:t>
            </w:r>
          </w:p>
        </w:tc>
        <w:tc>
          <w:tcPr>
            <w:tcW w:w="1311" w:type="dxa"/>
            <w:shd w:val="clear" w:color="auto" w:fill="auto"/>
          </w:tcPr>
          <w:p w:rsidR="00D46ED6" w:rsidRPr="00C10551" w:rsidRDefault="0001199F" w:rsidP="0001199F">
            <w:pPr>
              <w:jc w:val="center"/>
              <w:rPr>
                <w:rFonts w:ascii="Calibri" w:hAnsi="Calibri"/>
                <w:sz w:val="20"/>
                <w:szCs w:val="20"/>
              </w:rPr>
            </w:pPr>
            <w:r>
              <w:rPr>
                <w:rFonts w:ascii="Calibri" w:hAnsi="Calibri"/>
                <w:sz w:val="20"/>
                <w:szCs w:val="20"/>
              </w:rPr>
              <w:t>0.36</w:t>
            </w:r>
          </w:p>
        </w:tc>
        <w:tc>
          <w:tcPr>
            <w:tcW w:w="1842" w:type="dxa"/>
            <w:shd w:val="clear" w:color="auto" w:fill="auto"/>
          </w:tcPr>
          <w:p w:rsidR="00D46ED6" w:rsidRPr="00C10551" w:rsidRDefault="00D46ED6" w:rsidP="00F90ADA">
            <w:pPr>
              <w:jc w:val="center"/>
              <w:rPr>
                <w:rFonts w:ascii="Calibri" w:hAnsi="Calibri"/>
                <w:sz w:val="20"/>
                <w:szCs w:val="20"/>
              </w:rPr>
            </w:pPr>
            <w:r w:rsidRPr="00C10551">
              <w:rPr>
                <w:rFonts w:ascii="Calibri" w:hAnsi="Calibri"/>
                <w:sz w:val="20"/>
                <w:szCs w:val="20"/>
              </w:rPr>
              <w:t>-</w:t>
            </w:r>
          </w:p>
        </w:tc>
        <w:tc>
          <w:tcPr>
            <w:tcW w:w="1560" w:type="dxa"/>
            <w:shd w:val="clear" w:color="auto" w:fill="auto"/>
          </w:tcPr>
          <w:p w:rsidR="00D46ED6" w:rsidRPr="00C10551" w:rsidRDefault="00D46ED6" w:rsidP="0001199F">
            <w:pPr>
              <w:jc w:val="center"/>
              <w:rPr>
                <w:rFonts w:ascii="Calibri" w:hAnsi="Calibri"/>
                <w:sz w:val="20"/>
                <w:szCs w:val="20"/>
              </w:rPr>
            </w:pPr>
            <w:r w:rsidRPr="00C10551">
              <w:rPr>
                <w:rFonts w:ascii="Calibri" w:hAnsi="Calibri"/>
                <w:sz w:val="20"/>
                <w:szCs w:val="20"/>
              </w:rPr>
              <w:t>0.</w:t>
            </w:r>
            <w:r w:rsidR="0001199F">
              <w:rPr>
                <w:rFonts w:ascii="Calibri" w:hAnsi="Calibri"/>
                <w:sz w:val="20"/>
                <w:szCs w:val="20"/>
              </w:rPr>
              <w:t>77</w:t>
            </w:r>
          </w:p>
        </w:tc>
        <w:tc>
          <w:tcPr>
            <w:tcW w:w="2126" w:type="dxa"/>
            <w:shd w:val="clear" w:color="auto" w:fill="auto"/>
          </w:tcPr>
          <w:p w:rsidR="00D46ED6" w:rsidRPr="00C10551" w:rsidRDefault="00D46ED6" w:rsidP="00F90ADA">
            <w:pPr>
              <w:jc w:val="center"/>
              <w:rPr>
                <w:rFonts w:ascii="Calibri" w:hAnsi="Calibri"/>
                <w:sz w:val="20"/>
                <w:szCs w:val="20"/>
              </w:rPr>
            </w:pPr>
            <w:r w:rsidRPr="00C10551">
              <w:rPr>
                <w:rFonts w:ascii="Calibri" w:hAnsi="Calibri"/>
                <w:sz w:val="20"/>
                <w:szCs w:val="20"/>
              </w:rPr>
              <w:t>-</w:t>
            </w:r>
          </w:p>
        </w:tc>
        <w:tc>
          <w:tcPr>
            <w:tcW w:w="1276" w:type="dxa"/>
            <w:shd w:val="clear" w:color="auto" w:fill="auto"/>
          </w:tcPr>
          <w:p w:rsidR="00D46ED6" w:rsidRPr="00C10551" w:rsidRDefault="0001199F" w:rsidP="00F90ADA">
            <w:pPr>
              <w:jc w:val="center"/>
              <w:rPr>
                <w:rFonts w:ascii="Calibri" w:hAnsi="Calibri"/>
                <w:sz w:val="20"/>
                <w:szCs w:val="20"/>
              </w:rPr>
            </w:pPr>
            <w:r>
              <w:rPr>
                <w:rFonts w:ascii="Calibri" w:hAnsi="Calibri"/>
                <w:sz w:val="20"/>
                <w:szCs w:val="20"/>
              </w:rPr>
              <w:t>0</w:t>
            </w:r>
            <w:r w:rsidR="00D46ED6" w:rsidRPr="00C10551">
              <w:rPr>
                <w:rFonts w:ascii="Calibri" w:hAnsi="Calibri"/>
                <w:sz w:val="20"/>
                <w:szCs w:val="20"/>
              </w:rPr>
              <w:t>%</w:t>
            </w:r>
          </w:p>
        </w:tc>
        <w:tc>
          <w:tcPr>
            <w:tcW w:w="1166" w:type="dxa"/>
          </w:tcPr>
          <w:p w:rsidR="00D46ED6" w:rsidRPr="00C10551" w:rsidRDefault="0001199F" w:rsidP="00F90ADA">
            <w:pPr>
              <w:jc w:val="center"/>
              <w:rPr>
                <w:rFonts w:ascii="Calibri" w:hAnsi="Calibri"/>
                <w:sz w:val="20"/>
                <w:szCs w:val="20"/>
              </w:rPr>
            </w:pPr>
            <w:r>
              <w:rPr>
                <w:rFonts w:ascii="Calibri" w:hAnsi="Calibri"/>
                <w:sz w:val="20"/>
                <w:szCs w:val="20"/>
              </w:rPr>
              <w:t>6</w:t>
            </w:r>
            <w:r w:rsidR="00D46ED6" w:rsidRPr="00C10551">
              <w:rPr>
                <w:rFonts w:ascii="Calibri" w:hAnsi="Calibri"/>
                <w:sz w:val="20"/>
                <w:szCs w:val="20"/>
              </w:rPr>
              <w:t>%</w:t>
            </w:r>
          </w:p>
        </w:tc>
      </w:tr>
      <w:tr w:rsidR="00D46ED6" w:rsidTr="00F90ADA">
        <w:trPr>
          <w:jc w:val="center"/>
        </w:trPr>
        <w:tc>
          <w:tcPr>
            <w:tcW w:w="14174" w:type="dxa"/>
            <w:gridSpan w:val="10"/>
          </w:tcPr>
          <w:p w:rsidR="00D46ED6" w:rsidRPr="00782888" w:rsidRDefault="00D46ED6" w:rsidP="00F90ADA">
            <w:pPr>
              <w:jc w:val="center"/>
              <w:rPr>
                <w:rFonts w:ascii="Calibri" w:hAnsi="Calibri"/>
                <w:i/>
                <w:sz w:val="20"/>
                <w:szCs w:val="20"/>
              </w:rPr>
            </w:pPr>
          </w:p>
        </w:tc>
      </w:tr>
      <w:tr w:rsidR="00D46ED6" w:rsidTr="00F90ADA">
        <w:trPr>
          <w:jc w:val="center"/>
        </w:trPr>
        <w:tc>
          <w:tcPr>
            <w:tcW w:w="0" w:type="auto"/>
            <w:vMerge w:val="restart"/>
          </w:tcPr>
          <w:p w:rsidR="00D46ED6" w:rsidRPr="00EB3455" w:rsidRDefault="00D46ED6" w:rsidP="00F90ADA">
            <w:pPr>
              <w:rPr>
                <w:rFonts w:ascii="Calibri" w:hAnsi="Calibri"/>
                <w:sz w:val="20"/>
                <w:szCs w:val="20"/>
              </w:rPr>
            </w:pPr>
            <w:r>
              <w:rPr>
                <w:rFonts w:ascii="Calibri" w:hAnsi="Calibri"/>
                <w:sz w:val="20"/>
                <w:szCs w:val="20"/>
              </w:rPr>
              <w:t>Recent</w:t>
            </w:r>
          </w:p>
        </w:tc>
        <w:tc>
          <w:tcPr>
            <w:tcW w:w="0" w:type="auto"/>
          </w:tcPr>
          <w:p w:rsidR="00D46ED6" w:rsidRPr="00EB3455" w:rsidRDefault="00D46ED6" w:rsidP="00F90ADA">
            <w:pPr>
              <w:rPr>
                <w:rFonts w:ascii="Calibri" w:hAnsi="Calibri"/>
                <w:sz w:val="20"/>
                <w:szCs w:val="20"/>
              </w:rPr>
            </w:pPr>
            <w:r w:rsidRPr="00EB3455">
              <w:rPr>
                <w:rFonts w:ascii="Calibri" w:hAnsi="Calibri"/>
                <w:sz w:val="20"/>
                <w:szCs w:val="20"/>
              </w:rPr>
              <w:t>Status quo</w:t>
            </w:r>
          </w:p>
        </w:tc>
        <w:tc>
          <w:tcPr>
            <w:tcW w:w="0" w:type="auto"/>
            <w:shd w:val="clear" w:color="auto" w:fill="auto"/>
          </w:tcPr>
          <w:p w:rsidR="00D46ED6" w:rsidRPr="00EB3455" w:rsidRDefault="00D46ED6" w:rsidP="00F90ADA">
            <w:pPr>
              <w:jc w:val="center"/>
              <w:rPr>
                <w:rFonts w:ascii="Calibri" w:hAnsi="Calibri"/>
                <w:sz w:val="20"/>
                <w:szCs w:val="20"/>
              </w:rPr>
            </w:pPr>
            <w:r w:rsidRPr="00EB3455">
              <w:rPr>
                <w:rFonts w:ascii="Calibri" w:hAnsi="Calibri"/>
                <w:sz w:val="20"/>
                <w:szCs w:val="20"/>
              </w:rPr>
              <w:t>1</w:t>
            </w:r>
          </w:p>
        </w:tc>
        <w:tc>
          <w:tcPr>
            <w:tcW w:w="0" w:type="auto"/>
            <w:shd w:val="clear" w:color="auto" w:fill="auto"/>
          </w:tcPr>
          <w:p w:rsidR="00D46ED6" w:rsidRPr="00EB3455" w:rsidRDefault="00D46ED6" w:rsidP="00F90ADA">
            <w:pPr>
              <w:jc w:val="center"/>
              <w:rPr>
                <w:rFonts w:ascii="Calibri" w:hAnsi="Calibri"/>
                <w:sz w:val="20"/>
                <w:szCs w:val="20"/>
              </w:rPr>
            </w:pPr>
            <w:r w:rsidRPr="00EB3455">
              <w:rPr>
                <w:rFonts w:ascii="Calibri" w:hAnsi="Calibri"/>
                <w:sz w:val="20"/>
                <w:szCs w:val="20"/>
              </w:rPr>
              <w:t>1</w:t>
            </w:r>
          </w:p>
        </w:tc>
        <w:tc>
          <w:tcPr>
            <w:tcW w:w="1311" w:type="dxa"/>
            <w:shd w:val="clear" w:color="auto" w:fill="auto"/>
          </w:tcPr>
          <w:p w:rsidR="00D46ED6" w:rsidRPr="00064CEA" w:rsidRDefault="00D46ED6" w:rsidP="00230BEB">
            <w:pPr>
              <w:jc w:val="center"/>
              <w:rPr>
                <w:rFonts w:ascii="Calibri" w:hAnsi="Calibri"/>
                <w:sz w:val="20"/>
                <w:szCs w:val="20"/>
                <w:highlight w:val="yellow"/>
              </w:rPr>
            </w:pPr>
            <w:r w:rsidRPr="00C10551">
              <w:rPr>
                <w:rFonts w:ascii="Calibri" w:hAnsi="Calibri"/>
                <w:sz w:val="20"/>
                <w:szCs w:val="20"/>
              </w:rPr>
              <w:t>0.4</w:t>
            </w:r>
            <w:r w:rsidR="00230BEB">
              <w:rPr>
                <w:rFonts w:ascii="Calibri" w:hAnsi="Calibri"/>
                <w:sz w:val="20"/>
                <w:szCs w:val="20"/>
              </w:rPr>
              <w:t>2</w:t>
            </w:r>
          </w:p>
        </w:tc>
        <w:tc>
          <w:tcPr>
            <w:tcW w:w="1842" w:type="dxa"/>
            <w:shd w:val="clear" w:color="auto" w:fill="auto"/>
          </w:tcPr>
          <w:p w:rsidR="00D46ED6" w:rsidRPr="00C10551" w:rsidRDefault="00230BEB" w:rsidP="00F90ADA">
            <w:pPr>
              <w:jc w:val="center"/>
              <w:rPr>
                <w:rFonts w:ascii="Calibri" w:hAnsi="Calibri"/>
                <w:sz w:val="20"/>
                <w:szCs w:val="20"/>
              </w:rPr>
            </w:pPr>
            <w:r>
              <w:rPr>
                <w:rFonts w:ascii="Calibri" w:hAnsi="Calibri"/>
                <w:sz w:val="20"/>
                <w:szCs w:val="20"/>
              </w:rPr>
              <w:t>1.18</w:t>
            </w:r>
          </w:p>
        </w:tc>
        <w:tc>
          <w:tcPr>
            <w:tcW w:w="1560" w:type="dxa"/>
            <w:shd w:val="clear" w:color="auto" w:fill="auto"/>
          </w:tcPr>
          <w:p w:rsidR="00D46ED6" w:rsidRPr="00C10551" w:rsidRDefault="00D46ED6" w:rsidP="00230BEB">
            <w:pPr>
              <w:jc w:val="center"/>
              <w:rPr>
                <w:rFonts w:ascii="Calibri" w:hAnsi="Calibri"/>
                <w:sz w:val="20"/>
                <w:szCs w:val="20"/>
              </w:rPr>
            </w:pPr>
            <w:r w:rsidRPr="00C10551">
              <w:rPr>
                <w:rFonts w:ascii="Calibri" w:hAnsi="Calibri"/>
                <w:sz w:val="20"/>
                <w:szCs w:val="20"/>
              </w:rPr>
              <w:t>0.7</w:t>
            </w:r>
            <w:r w:rsidR="00230BEB">
              <w:rPr>
                <w:rFonts w:ascii="Calibri" w:hAnsi="Calibri"/>
                <w:sz w:val="20"/>
                <w:szCs w:val="20"/>
              </w:rPr>
              <w:t>3</w:t>
            </w:r>
          </w:p>
        </w:tc>
        <w:tc>
          <w:tcPr>
            <w:tcW w:w="2126" w:type="dxa"/>
            <w:shd w:val="clear" w:color="auto" w:fill="auto"/>
          </w:tcPr>
          <w:p w:rsidR="00D46ED6" w:rsidRPr="00C10551" w:rsidRDefault="00230BEB" w:rsidP="00F90ADA">
            <w:pPr>
              <w:jc w:val="center"/>
              <w:rPr>
                <w:rFonts w:ascii="Calibri" w:hAnsi="Calibri"/>
                <w:sz w:val="20"/>
                <w:szCs w:val="20"/>
              </w:rPr>
            </w:pPr>
            <w:r>
              <w:rPr>
                <w:rFonts w:ascii="Calibri" w:hAnsi="Calibri"/>
                <w:sz w:val="20"/>
                <w:szCs w:val="20"/>
              </w:rPr>
              <w:t>0.95</w:t>
            </w:r>
          </w:p>
        </w:tc>
        <w:tc>
          <w:tcPr>
            <w:tcW w:w="1276" w:type="dxa"/>
            <w:shd w:val="clear" w:color="auto" w:fill="auto"/>
          </w:tcPr>
          <w:p w:rsidR="00D46ED6" w:rsidRPr="005963A6" w:rsidRDefault="00230BEB" w:rsidP="00F90ADA">
            <w:pPr>
              <w:jc w:val="center"/>
              <w:rPr>
                <w:rFonts w:ascii="Calibri" w:hAnsi="Calibri"/>
                <w:sz w:val="20"/>
                <w:szCs w:val="20"/>
              </w:rPr>
            </w:pPr>
            <w:r>
              <w:rPr>
                <w:rFonts w:ascii="Calibri" w:hAnsi="Calibri"/>
                <w:sz w:val="20"/>
                <w:szCs w:val="20"/>
              </w:rPr>
              <w:t>0</w:t>
            </w:r>
            <w:r w:rsidR="00D46ED6" w:rsidRPr="005963A6">
              <w:rPr>
                <w:rFonts w:ascii="Calibri" w:hAnsi="Calibri"/>
                <w:sz w:val="20"/>
                <w:szCs w:val="20"/>
              </w:rPr>
              <w:t>%</w:t>
            </w:r>
          </w:p>
        </w:tc>
        <w:tc>
          <w:tcPr>
            <w:tcW w:w="1166" w:type="dxa"/>
          </w:tcPr>
          <w:p w:rsidR="00D46ED6" w:rsidRPr="005963A6" w:rsidRDefault="00230BEB" w:rsidP="00F90ADA">
            <w:pPr>
              <w:jc w:val="center"/>
              <w:rPr>
                <w:rFonts w:ascii="Calibri" w:hAnsi="Calibri"/>
                <w:sz w:val="20"/>
                <w:szCs w:val="20"/>
              </w:rPr>
            </w:pPr>
            <w:r>
              <w:rPr>
                <w:rFonts w:ascii="Calibri" w:hAnsi="Calibri"/>
                <w:sz w:val="20"/>
                <w:szCs w:val="20"/>
              </w:rPr>
              <w:t>11</w:t>
            </w:r>
            <w:r w:rsidR="00D46ED6" w:rsidRPr="005963A6">
              <w:rPr>
                <w:rFonts w:ascii="Calibri" w:hAnsi="Calibri"/>
                <w:sz w:val="20"/>
                <w:szCs w:val="20"/>
              </w:rPr>
              <w:t>%</w:t>
            </w:r>
          </w:p>
        </w:tc>
      </w:tr>
      <w:tr w:rsidR="00D46ED6" w:rsidTr="00F90ADA">
        <w:trPr>
          <w:jc w:val="center"/>
        </w:trPr>
        <w:tc>
          <w:tcPr>
            <w:tcW w:w="0" w:type="auto"/>
            <w:vMerge/>
          </w:tcPr>
          <w:p w:rsidR="00D46ED6" w:rsidRPr="00EB3455" w:rsidRDefault="00D46ED6" w:rsidP="00F90ADA">
            <w:pPr>
              <w:rPr>
                <w:rFonts w:ascii="Calibri" w:hAnsi="Calibri"/>
                <w:sz w:val="20"/>
                <w:szCs w:val="20"/>
              </w:rPr>
            </w:pPr>
          </w:p>
        </w:tc>
        <w:tc>
          <w:tcPr>
            <w:tcW w:w="0" w:type="auto"/>
          </w:tcPr>
          <w:p w:rsidR="00D46ED6" w:rsidRPr="00EB3455" w:rsidRDefault="00D46ED6" w:rsidP="00F90ADA">
            <w:pPr>
              <w:rPr>
                <w:rFonts w:ascii="Calibri" w:hAnsi="Calibri"/>
                <w:sz w:val="20"/>
                <w:szCs w:val="20"/>
              </w:rPr>
            </w:pPr>
            <w:r w:rsidRPr="00EB3455">
              <w:rPr>
                <w:rFonts w:ascii="Calibri" w:hAnsi="Calibri"/>
                <w:sz w:val="20"/>
                <w:szCs w:val="20"/>
              </w:rPr>
              <w:t>Optimistic</w:t>
            </w:r>
          </w:p>
        </w:tc>
        <w:tc>
          <w:tcPr>
            <w:tcW w:w="0" w:type="auto"/>
            <w:shd w:val="clear" w:color="auto" w:fill="auto"/>
          </w:tcPr>
          <w:p w:rsidR="00D46ED6" w:rsidRPr="00EB3455" w:rsidRDefault="00D46ED6" w:rsidP="00F90ADA">
            <w:pPr>
              <w:jc w:val="center"/>
              <w:rPr>
                <w:rFonts w:ascii="Calibri" w:hAnsi="Calibri"/>
                <w:sz w:val="20"/>
                <w:szCs w:val="20"/>
              </w:rPr>
            </w:pPr>
            <w:r w:rsidRPr="00EB3455">
              <w:rPr>
                <w:rFonts w:ascii="Calibri" w:hAnsi="Calibri"/>
                <w:sz w:val="20"/>
                <w:szCs w:val="20"/>
              </w:rPr>
              <w:t>1.1</w:t>
            </w:r>
            <w:r>
              <w:rPr>
                <w:rFonts w:ascii="Calibri" w:hAnsi="Calibri"/>
                <w:sz w:val="20"/>
                <w:szCs w:val="20"/>
              </w:rPr>
              <w:t>1</w:t>
            </w:r>
          </w:p>
        </w:tc>
        <w:tc>
          <w:tcPr>
            <w:tcW w:w="0" w:type="auto"/>
            <w:shd w:val="clear" w:color="auto" w:fill="auto"/>
          </w:tcPr>
          <w:p w:rsidR="00D46ED6" w:rsidRPr="00EB3455" w:rsidRDefault="00D46ED6" w:rsidP="00F90ADA">
            <w:pPr>
              <w:jc w:val="center"/>
              <w:rPr>
                <w:rFonts w:ascii="Calibri" w:hAnsi="Calibri"/>
                <w:sz w:val="20"/>
                <w:szCs w:val="20"/>
              </w:rPr>
            </w:pPr>
            <w:r w:rsidRPr="00EB3455">
              <w:rPr>
                <w:rFonts w:ascii="Calibri" w:hAnsi="Calibri"/>
                <w:sz w:val="20"/>
                <w:szCs w:val="20"/>
              </w:rPr>
              <w:t>0.98</w:t>
            </w:r>
          </w:p>
        </w:tc>
        <w:tc>
          <w:tcPr>
            <w:tcW w:w="1311" w:type="dxa"/>
            <w:shd w:val="clear" w:color="auto" w:fill="auto"/>
          </w:tcPr>
          <w:p w:rsidR="00D46ED6" w:rsidRPr="00064CEA" w:rsidRDefault="00230BEB" w:rsidP="00230BEB">
            <w:pPr>
              <w:jc w:val="center"/>
              <w:rPr>
                <w:rFonts w:ascii="Calibri" w:hAnsi="Calibri"/>
                <w:sz w:val="20"/>
                <w:szCs w:val="20"/>
                <w:highlight w:val="yellow"/>
              </w:rPr>
            </w:pPr>
            <w:r>
              <w:rPr>
                <w:rFonts w:ascii="Calibri" w:hAnsi="Calibri"/>
                <w:sz w:val="20"/>
                <w:szCs w:val="20"/>
              </w:rPr>
              <w:t>0.41</w:t>
            </w:r>
          </w:p>
        </w:tc>
        <w:tc>
          <w:tcPr>
            <w:tcW w:w="1842" w:type="dxa"/>
            <w:shd w:val="clear" w:color="auto" w:fill="auto"/>
          </w:tcPr>
          <w:p w:rsidR="00D46ED6" w:rsidRPr="00C10551" w:rsidRDefault="00230BEB" w:rsidP="00F90ADA">
            <w:pPr>
              <w:jc w:val="center"/>
              <w:rPr>
                <w:rFonts w:ascii="Calibri" w:hAnsi="Calibri"/>
                <w:sz w:val="20"/>
                <w:szCs w:val="20"/>
              </w:rPr>
            </w:pPr>
            <w:r>
              <w:rPr>
                <w:rFonts w:ascii="Calibri" w:hAnsi="Calibri"/>
                <w:sz w:val="20"/>
                <w:szCs w:val="20"/>
              </w:rPr>
              <w:t>1.15</w:t>
            </w:r>
          </w:p>
        </w:tc>
        <w:tc>
          <w:tcPr>
            <w:tcW w:w="1560" w:type="dxa"/>
            <w:shd w:val="clear" w:color="auto" w:fill="auto"/>
          </w:tcPr>
          <w:p w:rsidR="00D46ED6" w:rsidRPr="00C10551" w:rsidRDefault="00D46ED6" w:rsidP="00230BEB">
            <w:pPr>
              <w:jc w:val="center"/>
              <w:rPr>
                <w:rFonts w:ascii="Calibri" w:hAnsi="Calibri"/>
                <w:sz w:val="20"/>
                <w:szCs w:val="20"/>
              </w:rPr>
            </w:pPr>
            <w:r w:rsidRPr="00C10551">
              <w:rPr>
                <w:rFonts w:ascii="Calibri" w:hAnsi="Calibri"/>
                <w:sz w:val="20"/>
                <w:szCs w:val="20"/>
              </w:rPr>
              <w:t>0.</w:t>
            </w:r>
            <w:r w:rsidR="00230BEB">
              <w:rPr>
                <w:rFonts w:ascii="Calibri" w:hAnsi="Calibri"/>
                <w:sz w:val="20"/>
                <w:szCs w:val="20"/>
              </w:rPr>
              <w:t>75</w:t>
            </w:r>
          </w:p>
        </w:tc>
        <w:tc>
          <w:tcPr>
            <w:tcW w:w="2126" w:type="dxa"/>
            <w:shd w:val="clear" w:color="auto" w:fill="auto"/>
          </w:tcPr>
          <w:p w:rsidR="00D46ED6" w:rsidRPr="00C10551" w:rsidRDefault="00230BEB" w:rsidP="00F90ADA">
            <w:pPr>
              <w:jc w:val="center"/>
              <w:rPr>
                <w:rFonts w:ascii="Calibri" w:hAnsi="Calibri"/>
                <w:sz w:val="20"/>
                <w:szCs w:val="20"/>
              </w:rPr>
            </w:pPr>
            <w:r>
              <w:rPr>
                <w:rFonts w:ascii="Calibri" w:hAnsi="Calibri"/>
                <w:sz w:val="20"/>
                <w:szCs w:val="20"/>
              </w:rPr>
              <w:t>0.98</w:t>
            </w:r>
          </w:p>
        </w:tc>
        <w:tc>
          <w:tcPr>
            <w:tcW w:w="1276" w:type="dxa"/>
            <w:shd w:val="clear" w:color="auto" w:fill="auto"/>
          </w:tcPr>
          <w:p w:rsidR="00D46ED6" w:rsidRPr="005963A6" w:rsidRDefault="00230BEB" w:rsidP="00F90ADA">
            <w:pPr>
              <w:jc w:val="center"/>
              <w:rPr>
                <w:rFonts w:ascii="Calibri" w:hAnsi="Calibri"/>
                <w:sz w:val="20"/>
                <w:szCs w:val="20"/>
              </w:rPr>
            </w:pPr>
            <w:r>
              <w:rPr>
                <w:rFonts w:ascii="Calibri" w:hAnsi="Calibri"/>
                <w:sz w:val="20"/>
                <w:szCs w:val="20"/>
              </w:rPr>
              <w:t>0</w:t>
            </w:r>
            <w:r w:rsidR="00D46ED6" w:rsidRPr="005963A6">
              <w:rPr>
                <w:rFonts w:ascii="Calibri" w:hAnsi="Calibri"/>
                <w:sz w:val="20"/>
                <w:szCs w:val="20"/>
              </w:rPr>
              <w:t>%</w:t>
            </w:r>
          </w:p>
        </w:tc>
        <w:tc>
          <w:tcPr>
            <w:tcW w:w="1166" w:type="dxa"/>
          </w:tcPr>
          <w:p w:rsidR="00D46ED6" w:rsidRPr="005963A6" w:rsidRDefault="00230BEB" w:rsidP="00F90ADA">
            <w:pPr>
              <w:jc w:val="center"/>
              <w:rPr>
                <w:rFonts w:ascii="Calibri" w:hAnsi="Calibri"/>
                <w:sz w:val="20"/>
                <w:szCs w:val="20"/>
              </w:rPr>
            </w:pPr>
            <w:r>
              <w:rPr>
                <w:rFonts w:ascii="Calibri" w:hAnsi="Calibri"/>
                <w:sz w:val="20"/>
                <w:szCs w:val="20"/>
              </w:rPr>
              <w:t>13</w:t>
            </w:r>
            <w:r w:rsidR="00D46ED6" w:rsidRPr="005963A6">
              <w:rPr>
                <w:rFonts w:ascii="Calibri" w:hAnsi="Calibri"/>
                <w:sz w:val="20"/>
                <w:szCs w:val="20"/>
              </w:rPr>
              <w:t>%</w:t>
            </w:r>
          </w:p>
        </w:tc>
      </w:tr>
      <w:tr w:rsidR="00D46ED6" w:rsidTr="00F90ADA">
        <w:trPr>
          <w:jc w:val="center"/>
        </w:trPr>
        <w:tc>
          <w:tcPr>
            <w:tcW w:w="0" w:type="auto"/>
            <w:vMerge/>
          </w:tcPr>
          <w:p w:rsidR="00D46ED6" w:rsidRPr="00EB3455" w:rsidRDefault="00D46ED6" w:rsidP="00F90ADA">
            <w:pPr>
              <w:rPr>
                <w:rFonts w:ascii="Calibri" w:hAnsi="Calibri"/>
                <w:sz w:val="20"/>
                <w:szCs w:val="20"/>
              </w:rPr>
            </w:pPr>
          </w:p>
        </w:tc>
        <w:tc>
          <w:tcPr>
            <w:tcW w:w="0" w:type="auto"/>
          </w:tcPr>
          <w:p w:rsidR="00D46ED6" w:rsidRPr="00EB3455" w:rsidRDefault="00D46ED6" w:rsidP="00F90ADA">
            <w:pPr>
              <w:rPr>
                <w:rFonts w:ascii="Calibri" w:hAnsi="Calibri"/>
                <w:sz w:val="20"/>
                <w:szCs w:val="20"/>
              </w:rPr>
            </w:pPr>
            <w:r w:rsidRPr="00EB3455">
              <w:rPr>
                <w:rFonts w:ascii="Calibri" w:hAnsi="Calibri"/>
                <w:sz w:val="20"/>
                <w:szCs w:val="20"/>
              </w:rPr>
              <w:t>Pessimistic</w:t>
            </w:r>
          </w:p>
        </w:tc>
        <w:tc>
          <w:tcPr>
            <w:tcW w:w="0" w:type="auto"/>
            <w:shd w:val="clear" w:color="auto" w:fill="auto"/>
          </w:tcPr>
          <w:p w:rsidR="00D46ED6" w:rsidRPr="00EB3455" w:rsidRDefault="00D46ED6" w:rsidP="00F90ADA">
            <w:pPr>
              <w:jc w:val="center"/>
              <w:rPr>
                <w:rFonts w:ascii="Calibri" w:hAnsi="Calibri"/>
                <w:sz w:val="20"/>
                <w:szCs w:val="20"/>
              </w:rPr>
            </w:pPr>
            <w:r w:rsidRPr="00EB3455">
              <w:rPr>
                <w:rFonts w:ascii="Calibri" w:hAnsi="Calibri"/>
                <w:sz w:val="20"/>
                <w:szCs w:val="20"/>
              </w:rPr>
              <w:t>1.1</w:t>
            </w:r>
            <w:r>
              <w:rPr>
                <w:rFonts w:ascii="Calibri" w:hAnsi="Calibri"/>
                <w:sz w:val="20"/>
                <w:szCs w:val="20"/>
              </w:rPr>
              <w:t>2</w:t>
            </w:r>
          </w:p>
        </w:tc>
        <w:tc>
          <w:tcPr>
            <w:tcW w:w="0" w:type="auto"/>
            <w:shd w:val="clear" w:color="auto" w:fill="auto"/>
          </w:tcPr>
          <w:p w:rsidR="00D46ED6" w:rsidRPr="00EB3455" w:rsidRDefault="00D46ED6" w:rsidP="00F90ADA">
            <w:pPr>
              <w:jc w:val="center"/>
              <w:rPr>
                <w:rFonts w:ascii="Calibri" w:hAnsi="Calibri"/>
                <w:sz w:val="20"/>
                <w:szCs w:val="20"/>
              </w:rPr>
            </w:pPr>
            <w:r w:rsidRPr="00EB3455">
              <w:rPr>
                <w:rFonts w:ascii="Calibri" w:hAnsi="Calibri"/>
                <w:sz w:val="20"/>
                <w:szCs w:val="20"/>
              </w:rPr>
              <w:t>1.35</w:t>
            </w:r>
          </w:p>
        </w:tc>
        <w:tc>
          <w:tcPr>
            <w:tcW w:w="1311" w:type="dxa"/>
            <w:shd w:val="clear" w:color="auto" w:fill="auto"/>
          </w:tcPr>
          <w:p w:rsidR="00D46ED6" w:rsidRPr="00064CEA" w:rsidRDefault="00230BEB" w:rsidP="00F90ADA">
            <w:pPr>
              <w:jc w:val="center"/>
              <w:rPr>
                <w:rFonts w:ascii="Calibri" w:hAnsi="Calibri"/>
                <w:sz w:val="20"/>
                <w:szCs w:val="20"/>
                <w:highlight w:val="yellow"/>
              </w:rPr>
            </w:pPr>
            <w:r>
              <w:rPr>
                <w:rFonts w:ascii="Calibri" w:hAnsi="Calibri"/>
                <w:sz w:val="20"/>
                <w:szCs w:val="20"/>
              </w:rPr>
              <w:t>0.36</w:t>
            </w:r>
          </w:p>
        </w:tc>
        <w:tc>
          <w:tcPr>
            <w:tcW w:w="1842" w:type="dxa"/>
            <w:shd w:val="clear" w:color="auto" w:fill="auto"/>
          </w:tcPr>
          <w:p w:rsidR="00D46ED6" w:rsidRPr="00C10551" w:rsidRDefault="00230BEB" w:rsidP="00F90ADA">
            <w:pPr>
              <w:jc w:val="center"/>
              <w:rPr>
                <w:rFonts w:ascii="Calibri" w:hAnsi="Calibri"/>
                <w:sz w:val="20"/>
                <w:szCs w:val="20"/>
              </w:rPr>
            </w:pPr>
            <w:r>
              <w:rPr>
                <w:rFonts w:ascii="Calibri" w:hAnsi="Calibri"/>
                <w:sz w:val="20"/>
                <w:szCs w:val="20"/>
              </w:rPr>
              <w:t>1.00</w:t>
            </w:r>
          </w:p>
        </w:tc>
        <w:tc>
          <w:tcPr>
            <w:tcW w:w="1560" w:type="dxa"/>
            <w:shd w:val="clear" w:color="auto" w:fill="auto"/>
          </w:tcPr>
          <w:p w:rsidR="00D46ED6" w:rsidRPr="00C10551" w:rsidRDefault="00D46ED6" w:rsidP="00230BEB">
            <w:pPr>
              <w:jc w:val="center"/>
              <w:rPr>
                <w:rFonts w:ascii="Calibri" w:hAnsi="Calibri"/>
                <w:sz w:val="20"/>
                <w:szCs w:val="20"/>
              </w:rPr>
            </w:pPr>
            <w:r w:rsidRPr="00C10551">
              <w:rPr>
                <w:rFonts w:ascii="Calibri" w:hAnsi="Calibri"/>
                <w:sz w:val="20"/>
                <w:szCs w:val="20"/>
              </w:rPr>
              <w:t>0.</w:t>
            </w:r>
            <w:r w:rsidR="00230BEB">
              <w:rPr>
                <w:rFonts w:ascii="Calibri" w:hAnsi="Calibri"/>
                <w:sz w:val="20"/>
                <w:szCs w:val="20"/>
              </w:rPr>
              <w:t>89</w:t>
            </w:r>
          </w:p>
        </w:tc>
        <w:tc>
          <w:tcPr>
            <w:tcW w:w="2126" w:type="dxa"/>
            <w:shd w:val="clear" w:color="auto" w:fill="auto"/>
          </w:tcPr>
          <w:p w:rsidR="00D46ED6" w:rsidRPr="00C10551" w:rsidRDefault="00230BEB" w:rsidP="00F90ADA">
            <w:pPr>
              <w:jc w:val="center"/>
              <w:rPr>
                <w:rFonts w:ascii="Calibri" w:hAnsi="Calibri"/>
                <w:sz w:val="20"/>
                <w:szCs w:val="20"/>
              </w:rPr>
            </w:pPr>
            <w:r>
              <w:rPr>
                <w:rFonts w:ascii="Calibri" w:hAnsi="Calibri"/>
                <w:sz w:val="20"/>
                <w:szCs w:val="20"/>
              </w:rPr>
              <w:t>1.15</w:t>
            </w:r>
          </w:p>
        </w:tc>
        <w:tc>
          <w:tcPr>
            <w:tcW w:w="1276" w:type="dxa"/>
            <w:shd w:val="clear" w:color="auto" w:fill="auto"/>
          </w:tcPr>
          <w:p w:rsidR="00D46ED6" w:rsidRPr="005963A6" w:rsidRDefault="00922112" w:rsidP="00230BEB">
            <w:pPr>
              <w:jc w:val="center"/>
              <w:rPr>
                <w:rFonts w:ascii="Calibri" w:hAnsi="Calibri"/>
                <w:sz w:val="20"/>
                <w:szCs w:val="20"/>
              </w:rPr>
            </w:pPr>
            <w:r>
              <w:rPr>
                <w:rFonts w:ascii="Calibri" w:hAnsi="Calibri"/>
                <w:sz w:val="20"/>
                <w:szCs w:val="20"/>
              </w:rPr>
              <w:t>5</w:t>
            </w:r>
            <w:r w:rsidR="00D46ED6" w:rsidRPr="005963A6">
              <w:rPr>
                <w:rFonts w:ascii="Calibri" w:hAnsi="Calibri"/>
                <w:sz w:val="20"/>
                <w:szCs w:val="20"/>
              </w:rPr>
              <w:t>%</w:t>
            </w:r>
          </w:p>
        </w:tc>
        <w:tc>
          <w:tcPr>
            <w:tcW w:w="1166" w:type="dxa"/>
          </w:tcPr>
          <w:p w:rsidR="00D46ED6" w:rsidRPr="005963A6" w:rsidRDefault="00230BEB" w:rsidP="00F90ADA">
            <w:pPr>
              <w:jc w:val="center"/>
              <w:rPr>
                <w:rFonts w:ascii="Calibri" w:hAnsi="Calibri"/>
                <w:sz w:val="20"/>
                <w:szCs w:val="20"/>
              </w:rPr>
            </w:pPr>
            <w:r>
              <w:rPr>
                <w:rFonts w:ascii="Calibri" w:hAnsi="Calibri"/>
                <w:sz w:val="20"/>
                <w:szCs w:val="20"/>
              </w:rPr>
              <w:t>30</w:t>
            </w:r>
            <w:r w:rsidR="00D46ED6" w:rsidRPr="005963A6">
              <w:rPr>
                <w:rFonts w:ascii="Calibri" w:hAnsi="Calibri"/>
                <w:sz w:val="20"/>
                <w:szCs w:val="20"/>
              </w:rPr>
              <w:t>%</w:t>
            </w:r>
          </w:p>
        </w:tc>
      </w:tr>
      <w:tr w:rsidR="00D46ED6" w:rsidTr="00F90ADA">
        <w:trPr>
          <w:jc w:val="center"/>
        </w:trPr>
        <w:tc>
          <w:tcPr>
            <w:tcW w:w="0" w:type="auto"/>
            <w:tcBorders>
              <w:right w:val="nil"/>
            </w:tcBorders>
          </w:tcPr>
          <w:p w:rsidR="00D46ED6" w:rsidRPr="00EB3455" w:rsidRDefault="00D46ED6" w:rsidP="00F90ADA">
            <w:pPr>
              <w:rPr>
                <w:rFonts w:ascii="Calibri" w:hAnsi="Calibri"/>
                <w:sz w:val="20"/>
                <w:szCs w:val="20"/>
              </w:rPr>
            </w:pPr>
          </w:p>
        </w:tc>
        <w:tc>
          <w:tcPr>
            <w:tcW w:w="0" w:type="auto"/>
            <w:tcBorders>
              <w:left w:val="nil"/>
              <w:right w:val="nil"/>
            </w:tcBorders>
          </w:tcPr>
          <w:p w:rsidR="00D46ED6" w:rsidRPr="00EB3455" w:rsidRDefault="00D46ED6" w:rsidP="00F90ADA">
            <w:pPr>
              <w:rPr>
                <w:rFonts w:ascii="Calibri" w:hAnsi="Calibri"/>
                <w:sz w:val="20"/>
                <w:szCs w:val="20"/>
              </w:rPr>
            </w:pPr>
          </w:p>
        </w:tc>
        <w:tc>
          <w:tcPr>
            <w:tcW w:w="0" w:type="auto"/>
            <w:tcBorders>
              <w:left w:val="nil"/>
              <w:right w:val="nil"/>
            </w:tcBorders>
            <w:shd w:val="clear" w:color="auto" w:fill="auto"/>
          </w:tcPr>
          <w:p w:rsidR="00D46ED6" w:rsidRPr="00EB3455" w:rsidRDefault="00D46ED6" w:rsidP="00F90ADA">
            <w:pPr>
              <w:jc w:val="center"/>
              <w:rPr>
                <w:rFonts w:ascii="Calibri" w:hAnsi="Calibri"/>
                <w:sz w:val="20"/>
                <w:szCs w:val="20"/>
              </w:rPr>
            </w:pPr>
          </w:p>
        </w:tc>
        <w:tc>
          <w:tcPr>
            <w:tcW w:w="0" w:type="auto"/>
            <w:tcBorders>
              <w:left w:val="nil"/>
              <w:right w:val="nil"/>
            </w:tcBorders>
            <w:shd w:val="clear" w:color="auto" w:fill="auto"/>
          </w:tcPr>
          <w:p w:rsidR="00D46ED6" w:rsidRPr="00EB3455" w:rsidRDefault="00D46ED6" w:rsidP="00F90ADA">
            <w:pPr>
              <w:jc w:val="center"/>
              <w:rPr>
                <w:rFonts w:ascii="Calibri" w:hAnsi="Calibri"/>
                <w:sz w:val="20"/>
                <w:szCs w:val="20"/>
              </w:rPr>
            </w:pPr>
          </w:p>
        </w:tc>
        <w:tc>
          <w:tcPr>
            <w:tcW w:w="1311" w:type="dxa"/>
            <w:tcBorders>
              <w:left w:val="nil"/>
              <w:right w:val="nil"/>
            </w:tcBorders>
            <w:shd w:val="clear" w:color="auto" w:fill="auto"/>
          </w:tcPr>
          <w:p w:rsidR="00D46ED6" w:rsidRPr="00EA4FDB" w:rsidRDefault="00D46ED6" w:rsidP="00F90ADA">
            <w:pPr>
              <w:jc w:val="center"/>
              <w:rPr>
                <w:rFonts w:ascii="Calibri" w:hAnsi="Calibri"/>
                <w:sz w:val="20"/>
                <w:szCs w:val="20"/>
              </w:rPr>
            </w:pPr>
          </w:p>
        </w:tc>
        <w:tc>
          <w:tcPr>
            <w:tcW w:w="1842" w:type="dxa"/>
            <w:tcBorders>
              <w:left w:val="nil"/>
              <w:right w:val="nil"/>
            </w:tcBorders>
            <w:shd w:val="clear" w:color="auto" w:fill="auto"/>
          </w:tcPr>
          <w:p w:rsidR="00D46ED6" w:rsidRPr="00EA4FDB" w:rsidRDefault="00D46ED6" w:rsidP="00F90ADA">
            <w:pPr>
              <w:jc w:val="center"/>
              <w:rPr>
                <w:rFonts w:ascii="Calibri" w:hAnsi="Calibri"/>
                <w:sz w:val="20"/>
                <w:szCs w:val="20"/>
              </w:rPr>
            </w:pPr>
          </w:p>
        </w:tc>
        <w:tc>
          <w:tcPr>
            <w:tcW w:w="1560" w:type="dxa"/>
            <w:tcBorders>
              <w:left w:val="nil"/>
              <w:right w:val="nil"/>
            </w:tcBorders>
            <w:shd w:val="clear" w:color="auto" w:fill="auto"/>
          </w:tcPr>
          <w:p w:rsidR="00D46ED6" w:rsidRPr="00EA4FDB" w:rsidRDefault="00D46ED6" w:rsidP="00F90ADA">
            <w:pPr>
              <w:jc w:val="center"/>
              <w:rPr>
                <w:rFonts w:ascii="Calibri" w:hAnsi="Calibri"/>
                <w:sz w:val="20"/>
                <w:szCs w:val="20"/>
              </w:rPr>
            </w:pPr>
          </w:p>
        </w:tc>
        <w:tc>
          <w:tcPr>
            <w:tcW w:w="2126" w:type="dxa"/>
            <w:tcBorders>
              <w:left w:val="nil"/>
              <w:right w:val="nil"/>
            </w:tcBorders>
            <w:shd w:val="clear" w:color="auto" w:fill="auto"/>
          </w:tcPr>
          <w:p w:rsidR="00D46ED6" w:rsidRDefault="00D46ED6" w:rsidP="00F90ADA">
            <w:pPr>
              <w:jc w:val="center"/>
              <w:rPr>
                <w:rFonts w:ascii="Calibri" w:hAnsi="Calibri"/>
                <w:sz w:val="20"/>
                <w:szCs w:val="20"/>
              </w:rPr>
            </w:pPr>
          </w:p>
        </w:tc>
        <w:tc>
          <w:tcPr>
            <w:tcW w:w="1276" w:type="dxa"/>
            <w:tcBorders>
              <w:left w:val="nil"/>
            </w:tcBorders>
            <w:shd w:val="clear" w:color="auto" w:fill="auto"/>
          </w:tcPr>
          <w:p w:rsidR="00D46ED6" w:rsidRDefault="00D46ED6" w:rsidP="00F90ADA">
            <w:pPr>
              <w:jc w:val="center"/>
              <w:rPr>
                <w:rFonts w:ascii="Calibri" w:hAnsi="Calibri"/>
                <w:sz w:val="20"/>
                <w:szCs w:val="20"/>
              </w:rPr>
            </w:pPr>
          </w:p>
        </w:tc>
        <w:tc>
          <w:tcPr>
            <w:tcW w:w="1166" w:type="dxa"/>
            <w:tcBorders>
              <w:left w:val="nil"/>
            </w:tcBorders>
          </w:tcPr>
          <w:p w:rsidR="00D46ED6" w:rsidRPr="00782888" w:rsidRDefault="00D46ED6" w:rsidP="00F90ADA">
            <w:pPr>
              <w:jc w:val="center"/>
              <w:rPr>
                <w:rFonts w:ascii="Calibri" w:hAnsi="Calibri"/>
                <w:sz w:val="20"/>
                <w:szCs w:val="20"/>
              </w:rPr>
            </w:pPr>
          </w:p>
        </w:tc>
      </w:tr>
      <w:tr w:rsidR="00D46ED6" w:rsidTr="00F90ADA">
        <w:trPr>
          <w:jc w:val="center"/>
        </w:trPr>
        <w:tc>
          <w:tcPr>
            <w:tcW w:w="0" w:type="auto"/>
            <w:vMerge w:val="restart"/>
          </w:tcPr>
          <w:p w:rsidR="00D46ED6" w:rsidRPr="00EB3455" w:rsidRDefault="00D46ED6" w:rsidP="00F90ADA">
            <w:pPr>
              <w:rPr>
                <w:rFonts w:ascii="Calibri" w:hAnsi="Calibri"/>
                <w:sz w:val="20"/>
                <w:szCs w:val="20"/>
              </w:rPr>
            </w:pPr>
            <w:r>
              <w:rPr>
                <w:rFonts w:ascii="Calibri" w:hAnsi="Calibri"/>
                <w:sz w:val="20"/>
                <w:szCs w:val="20"/>
              </w:rPr>
              <w:t>Long-term</w:t>
            </w:r>
          </w:p>
        </w:tc>
        <w:tc>
          <w:tcPr>
            <w:tcW w:w="0" w:type="auto"/>
          </w:tcPr>
          <w:p w:rsidR="00D46ED6" w:rsidRPr="00EB3455" w:rsidRDefault="00D46ED6" w:rsidP="00F90ADA">
            <w:pPr>
              <w:rPr>
                <w:rFonts w:ascii="Calibri" w:hAnsi="Calibri"/>
                <w:sz w:val="20"/>
                <w:szCs w:val="20"/>
              </w:rPr>
            </w:pPr>
            <w:r w:rsidRPr="00EB3455">
              <w:rPr>
                <w:rFonts w:ascii="Calibri" w:hAnsi="Calibri"/>
                <w:sz w:val="20"/>
                <w:szCs w:val="20"/>
              </w:rPr>
              <w:t>Status quo</w:t>
            </w:r>
          </w:p>
        </w:tc>
        <w:tc>
          <w:tcPr>
            <w:tcW w:w="0" w:type="auto"/>
            <w:shd w:val="clear" w:color="auto" w:fill="auto"/>
          </w:tcPr>
          <w:p w:rsidR="00D46ED6" w:rsidRPr="00EB3455" w:rsidRDefault="00D46ED6" w:rsidP="00F90ADA">
            <w:pPr>
              <w:jc w:val="center"/>
              <w:rPr>
                <w:rFonts w:ascii="Calibri" w:hAnsi="Calibri"/>
                <w:sz w:val="20"/>
                <w:szCs w:val="20"/>
              </w:rPr>
            </w:pPr>
            <w:r w:rsidRPr="00EB3455">
              <w:rPr>
                <w:rFonts w:ascii="Calibri" w:hAnsi="Calibri"/>
                <w:sz w:val="20"/>
                <w:szCs w:val="20"/>
              </w:rPr>
              <w:t>1</w:t>
            </w:r>
          </w:p>
        </w:tc>
        <w:tc>
          <w:tcPr>
            <w:tcW w:w="0" w:type="auto"/>
            <w:shd w:val="clear" w:color="auto" w:fill="auto"/>
          </w:tcPr>
          <w:p w:rsidR="00D46ED6" w:rsidRPr="00EB3455" w:rsidRDefault="00D46ED6" w:rsidP="00F90ADA">
            <w:pPr>
              <w:jc w:val="center"/>
              <w:rPr>
                <w:rFonts w:ascii="Calibri" w:hAnsi="Calibri"/>
                <w:sz w:val="20"/>
                <w:szCs w:val="20"/>
              </w:rPr>
            </w:pPr>
            <w:r w:rsidRPr="00EB3455">
              <w:rPr>
                <w:rFonts w:ascii="Calibri" w:hAnsi="Calibri"/>
                <w:sz w:val="20"/>
                <w:szCs w:val="20"/>
              </w:rPr>
              <w:t>1</w:t>
            </w:r>
          </w:p>
        </w:tc>
        <w:tc>
          <w:tcPr>
            <w:tcW w:w="1311" w:type="dxa"/>
            <w:shd w:val="clear" w:color="auto" w:fill="auto"/>
          </w:tcPr>
          <w:p w:rsidR="00D46ED6" w:rsidRPr="009B03F8" w:rsidRDefault="00D46ED6" w:rsidP="00D46ED6">
            <w:pPr>
              <w:jc w:val="center"/>
              <w:rPr>
                <w:rFonts w:ascii="Calibri" w:hAnsi="Calibri"/>
                <w:sz w:val="20"/>
                <w:szCs w:val="20"/>
              </w:rPr>
            </w:pPr>
            <w:r w:rsidRPr="009B03F8">
              <w:rPr>
                <w:rFonts w:ascii="Calibri" w:hAnsi="Calibri"/>
                <w:sz w:val="20"/>
                <w:szCs w:val="20"/>
              </w:rPr>
              <w:t>0.</w:t>
            </w:r>
            <w:r>
              <w:rPr>
                <w:rFonts w:ascii="Calibri" w:hAnsi="Calibri"/>
                <w:sz w:val="20"/>
                <w:szCs w:val="20"/>
              </w:rPr>
              <w:t>30</w:t>
            </w:r>
          </w:p>
        </w:tc>
        <w:tc>
          <w:tcPr>
            <w:tcW w:w="1842" w:type="dxa"/>
            <w:shd w:val="clear" w:color="auto" w:fill="auto"/>
          </w:tcPr>
          <w:p w:rsidR="00D46ED6" w:rsidRPr="009B03F8" w:rsidRDefault="00EB3ED4" w:rsidP="00D46ED6">
            <w:pPr>
              <w:jc w:val="center"/>
              <w:rPr>
                <w:rFonts w:ascii="Calibri" w:hAnsi="Calibri"/>
                <w:sz w:val="20"/>
                <w:szCs w:val="20"/>
              </w:rPr>
            </w:pPr>
            <w:r>
              <w:rPr>
                <w:rFonts w:ascii="Calibri" w:hAnsi="Calibri"/>
                <w:sz w:val="20"/>
                <w:szCs w:val="20"/>
              </w:rPr>
              <w:t>0.84</w:t>
            </w:r>
          </w:p>
        </w:tc>
        <w:tc>
          <w:tcPr>
            <w:tcW w:w="1560" w:type="dxa"/>
            <w:shd w:val="clear" w:color="auto" w:fill="auto"/>
          </w:tcPr>
          <w:p w:rsidR="00D46ED6" w:rsidRPr="009B03F8" w:rsidRDefault="00D46ED6" w:rsidP="00F90ADA">
            <w:pPr>
              <w:jc w:val="center"/>
              <w:rPr>
                <w:rFonts w:ascii="Calibri" w:hAnsi="Calibri"/>
                <w:sz w:val="20"/>
                <w:szCs w:val="20"/>
              </w:rPr>
            </w:pPr>
            <w:r w:rsidRPr="009B03F8">
              <w:rPr>
                <w:rFonts w:ascii="Calibri" w:hAnsi="Calibri"/>
                <w:sz w:val="20"/>
                <w:szCs w:val="20"/>
              </w:rPr>
              <w:t>1</w:t>
            </w:r>
            <w:r>
              <w:rPr>
                <w:rFonts w:ascii="Calibri" w:hAnsi="Calibri"/>
                <w:sz w:val="20"/>
                <w:szCs w:val="20"/>
              </w:rPr>
              <w:t>.60</w:t>
            </w:r>
          </w:p>
        </w:tc>
        <w:tc>
          <w:tcPr>
            <w:tcW w:w="2126" w:type="dxa"/>
            <w:shd w:val="clear" w:color="auto" w:fill="auto"/>
          </w:tcPr>
          <w:p w:rsidR="00D46ED6" w:rsidRPr="009B03F8" w:rsidRDefault="00EB3ED4" w:rsidP="00F90ADA">
            <w:pPr>
              <w:jc w:val="center"/>
              <w:rPr>
                <w:rFonts w:ascii="Calibri" w:hAnsi="Calibri"/>
                <w:sz w:val="20"/>
                <w:szCs w:val="20"/>
              </w:rPr>
            </w:pPr>
            <w:r>
              <w:rPr>
                <w:rFonts w:ascii="Calibri" w:hAnsi="Calibri"/>
                <w:sz w:val="20"/>
                <w:szCs w:val="20"/>
              </w:rPr>
              <w:t>2.09</w:t>
            </w:r>
          </w:p>
        </w:tc>
        <w:tc>
          <w:tcPr>
            <w:tcW w:w="1276" w:type="dxa"/>
            <w:shd w:val="clear" w:color="auto" w:fill="auto"/>
          </w:tcPr>
          <w:p w:rsidR="00D46ED6" w:rsidRPr="00565A3A" w:rsidRDefault="00D46ED6" w:rsidP="00F90ADA">
            <w:pPr>
              <w:jc w:val="center"/>
              <w:rPr>
                <w:rFonts w:ascii="Calibri" w:hAnsi="Calibri"/>
                <w:sz w:val="20"/>
                <w:szCs w:val="20"/>
              </w:rPr>
            </w:pPr>
            <w:r>
              <w:rPr>
                <w:rFonts w:ascii="Calibri" w:hAnsi="Calibri"/>
                <w:sz w:val="20"/>
                <w:szCs w:val="20"/>
              </w:rPr>
              <w:t>17</w:t>
            </w:r>
            <w:r w:rsidRPr="00565A3A">
              <w:rPr>
                <w:rFonts w:ascii="Calibri" w:hAnsi="Calibri"/>
                <w:sz w:val="20"/>
                <w:szCs w:val="20"/>
              </w:rPr>
              <w:t>%</w:t>
            </w:r>
          </w:p>
        </w:tc>
        <w:tc>
          <w:tcPr>
            <w:tcW w:w="1166" w:type="dxa"/>
          </w:tcPr>
          <w:p w:rsidR="00D46ED6" w:rsidRPr="00565A3A" w:rsidRDefault="00D46ED6" w:rsidP="00D46ED6">
            <w:pPr>
              <w:jc w:val="center"/>
              <w:rPr>
                <w:rFonts w:ascii="Calibri" w:hAnsi="Calibri"/>
                <w:sz w:val="20"/>
                <w:szCs w:val="20"/>
              </w:rPr>
            </w:pPr>
            <w:r w:rsidRPr="00565A3A">
              <w:rPr>
                <w:rFonts w:ascii="Calibri" w:hAnsi="Calibri"/>
                <w:sz w:val="20"/>
                <w:szCs w:val="20"/>
              </w:rPr>
              <w:t>9</w:t>
            </w:r>
            <w:r>
              <w:rPr>
                <w:rFonts w:ascii="Calibri" w:hAnsi="Calibri"/>
                <w:sz w:val="20"/>
                <w:szCs w:val="20"/>
              </w:rPr>
              <w:t>3</w:t>
            </w:r>
            <w:r w:rsidRPr="00565A3A">
              <w:rPr>
                <w:rFonts w:ascii="Calibri" w:hAnsi="Calibri"/>
                <w:sz w:val="20"/>
                <w:szCs w:val="20"/>
              </w:rPr>
              <w:t>%</w:t>
            </w:r>
          </w:p>
        </w:tc>
      </w:tr>
      <w:tr w:rsidR="00D46ED6" w:rsidTr="00F90ADA">
        <w:trPr>
          <w:jc w:val="center"/>
        </w:trPr>
        <w:tc>
          <w:tcPr>
            <w:tcW w:w="0" w:type="auto"/>
            <w:vMerge/>
          </w:tcPr>
          <w:p w:rsidR="00D46ED6" w:rsidRPr="00EB3455" w:rsidRDefault="00D46ED6" w:rsidP="00F90ADA">
            <w:pPr>
              <w:rPr>
                <w:rFonts w:ascii="Calibri" w:hAnsi="Calibri"/>
                <w:sz w:val="20"/>
                <w:szCs w:val="20"/>
              </w:rPr>
            </w:pPr>
          </w:p>
        </w:tc>
        <w:tc>
          <w:tcPr>
            <w:tcW w:w="0" w:type="auto"/>
          </w:tcPr>
          <w:p w:rsidR="00D46ED6" w:rsidRPr="00EB3455" w:rsidRDefault="00D46ED6" w:rsidP="00F90ADA">
            <w:pPr>
              <w:rPr>
                <w:rFonts w:ascii="Calibri" w:hAnsi="Calibri"/>
                <w:sz w:val="20"/>
                <w:szCs w:val="20"/>
              </w:rPr>
            </w:pPr>
            <w:r w:rsidRPr="00EB3455">
              <w:rPr>
                <w:rFonts w:ascii="Calibri" w:hAnsi="Calibri"/>
                <w:sz w:val="20"/>
                <w:szCs w:val="20"/>
              </w:rPr>
              <w:t>Optimistic</w:t>
            </w:r>
          </w:p>
        </w:tc>
        <w:tc>
          <w:tcPr>
            <w:tcW w:w="0" w:type="auto"/>
            <w:shd w:val="clear" w:color="auto" w:fill="auto"/>
          </w:tcPr>
          <w:p w:rsidR="00D46ED6" w:rsidRPr="00EB3455" w:rsidRDefault="00D46ED6" w:rsidP="00F90ADA">
            <w:pPr>
              <w:jc w:val="center"/>
              <w:rPr>
                <w:rFonts w:ascii="Calibri" w:hAnsi="Calibri"/>
                <w:sz w:val="20"/>
                <w:szCs w:val="20"/>
              </w:rPr>
            </w:pPr>
            <w:r w:rsidRPr="00EB3455">
              <w:rPr>
                <w:rFonts w:ascii="Calibri" w:hAnsi="Calibri"/>
                <w:sz w:val="20"/>
                <w:szCs w:val="20"/>
              </w:rPr>
              <w:t>1.1</w:t>
            </w:r>
            <w:r>
              <w:rPr>
                <w:rFonts w:ascii="Calibri" w:hAnsi="Calibri"/>
                <w:sz w:val="20"/>
                <w:szCs w:val="20"/>
              </w:rPr>
              <w:t>1</w:t>
            </w:r>
          </w:p>
        </w:tc>
        <w:tc>
          <w:tcPr>
            <w:tcW w:w="0" w:type="auto"/>
            <w:shd w:val="clear" w:color="auto" w:fill="auto"/>
          </w:tcPr>
          <w:p w:rsidR="00D46ED6" w:rsidRPr="00EB3455" w:rsidRDefault="00D46ED6" w:rsidP="00F90ADA">
            <w:pPr>
              <w:jc w:val="center"/>
              <w:rPr>
                <w:rFonts w:ascii="Calibri" w:hAnsi="Calibri"/>
                <w:sz w:val="20"/>
                <w:szCs w:val="20"/>
              </w:rPr>
            </w:pPr>
            <w:r w:rsidRPr="00EB3455">
              <w:rPr>
                <w:rFonts w:ascii="Calibri" w:hAnsi="Calibri"/>
                <w:sz w:val="20"/>
                <w:szCs w:val="20"/>
              </w:rPr>
              <w:t>0.98</w:t>
            </w:r>
          </w:p>
        </w:tc>
        <w:tc>
          <w:tcPr>
            <w:tcW w:w="1311" w:type="dxa"/>
            <w:shd w:val="clear" w:color="auto" w:fill="auto"/>
          </w:tcPr>
          <w:p w:rsidR="00D46ED6" w:rsidRPr="009B03F8" w:rsidRDefault="00D46ED6" w:rsidP="00D46ED6">
            <w:pPr>
              <w:jc w:val="center"/>
              <w:rPr>
                <w:rFonts w:ascii="Calibri" w:hAnsi="Calibri"/>
                <w:sz w:val="20"/>
                <w:szCs w:val="20"/>
              </w:rPr>
            </w:pPr>
            <w:r w:rsidRPr="009B03F8">
              <w:rPr>
                <w:rFonts w:ascii="Calibri" w:hAnsi="Calibri"/>
                <w:sz w:val="20"/>
                <w:szCs w:val="20"/>
              </w:rPr>
              <w:t>0.2</w:t>
            </w:r>
            <w:r>
              <w:rPr>
                <w:rFonts w:ascii="Calibri" w:hAnsi="Calibri"/>
                <w:sz w:val="20"/>
                <w:szCs w:val="20"/>
              </w:rPr>
              <w:t>9</w:t>
            </w:r>
          </w:p>
        </w:tc>
        <w:tc>
          <w:tcPr>
            <w:tcW w:w="1842" w:type="dxa"/>
            <w:shd w:val="clear" w:color="auto" w:fill="auto"/>
          </w:tcPr>
          <w:p w:rsidR="00D46ED6" w:rsidRPr="009B03F8" w:rsidRDefault="00EB3ED4" w:rsidP="00F90ADA">
            <w:pPr>
              <w:jc w:val="center"/>
              <w:rPr>
                <w:rFonts w:ascii="Calibri" w:hAnsi="Calibri"/>
                <w:sz w:val="20"/>
                <w:szCs w:val="20"/>
              </w:rPr>
            </w:pPr>
            <w:r>
              <w:rPr>
                <w:rFonts w:ascii="Calibri" w:hAnsi="Calibri"/>
                <w:sz w:val="20"/>
                <w:szCs w:val="20"/>
              </w:rPr>
              <w:t>0.82</w:t>
            </w:r>
          </w:p>
        </w:tc>
        <w:tc>
          <w:tcPr>
            <w:tcW w:w="1560" w:type="dxa"/>
            <w:shd w:val="clear" w:color="auto" w:fill="auto"/>
          </w:tcPr>
          <w:p w:rsidR="00D46ED6" w:rsidRPr="009B03F8" w:rsidRDefault="00D46ED6" w:rsidP="00F90ADA">
            <w:pPr>
              <w:jc w:val="center"/>
              <w:rPr>
                <w:rFonts w:ascii="Calibri" w:hAnsi="Calibri"/>
                <w:sz w:val="20"/>
                <w:szCs w:val="20"/>
              </w:rPr>
            </w:pPr>
            <w:r w:rsidRPr="009B03F8">
              <w:rPr>
                <w:rFonts w:ascii="Calibri" w:hAnsi="Calibri"/>
                <w:sz w:val="20"/>
                <w:szCs w:val="20"/>
              </w:rPr>
              <w:t>1</w:t>
            </w:r>
            <w:r>
              <w:rPr>
                <w:rFonts w:ascii="Calibri" w:hAnsi="Calibri"/>
                <w:sz w:val="20"/>
                <w:szCs w:val="20"/>
              </w:rPr>
              <w:t>.64</w:t>
            </w:r>
          </w:p>
        </w:tc>
        <w:tc>
          <w:tcPr>
            <w:tcW w:w="2126" w:type="dxa"/>
            <w:shd w:val="clear" w:color="auto" w:fill="auto"/>
          </w:tcPr>
          <w:p w:rsidR="00D46ED6" w:rsidRPr="009B03F8" w:rsidRDefault="00EB3ED4" w:rsidP="00F90ADA">
            <w:pPr>
              <w:jc w:val="center"/>
              <w:rPr>
                <w:rFonts w:ascii="Calibri" w:hAnsi="Calibri"/>
                <w:sz w:val="20"/>
                <w:szCs w:val="20"/>
              </w:rPr>
            </w:pPr>
            <w:r>
              <w:rPr>
                <w:rFonts w:ascii="Calibri" w:hAnsi="Calibri"/>
                <w:sz w:val="20"/>
                <w:szCs w:val="20"/>
              </w:rPr>
              <w:t>2.13</w:t>
            </w:r>
          </w:p>
        </w:tc>
        <w:tc>
          <w:tcPr>
            <w:tcW w:w="1276" w:type="dxa"/>
            <w:shd w:val="clear" w:color="auto" w:fill="auto"/>
          </w:tcPr>
          <w:p w:rsidR="00D46ED6" w:rsidRPr="00565A3A" w:rsidRDefault="00D46ED6" w:rsidP="00F90ADA">
            <w:pPr>
              <w:jc w:val="center"/>
              <w:rPr>
                <w:rFonts w:ascii="Calibri" w:hAnsi="Calibri"/>
                <w:sz w:val="20"/>
                <w:szCs w:val="20"/>
              </w:rPr>
            </w:pPr>
            <w:r>
              <w:rPr>
                <w:rFonts w:ascii="Calibri" w:hAnsi="Calibri"/>
                <w:sz w:val="20"/>
                <w:szCs w:val="20"/>
              </w:rPr>
              <w:t>18</w:t>
            </w:r>
            <w:r w:rsidRPr="00565A3A">
              <w:rPr>
                <w:rFonts w:ascii="Calibri" w:hAnsi="Calibri"/>
                <w:sz w:val="20"/>
                <w:szCs w:val="20"/>
              </w:rPr>
              <w:t>%</w:t>
            </w:r>
          </w:p>
        </w:tc>
        <w:tc>
          <w:tcPr>
            <w:tcW w:w="1166" w:type="dxa"/>
          </w:tcPr>
          <w:p w:rsidR="00D46ED6" w:rsidRPr="00565A3A" w:rsidRDefault="00D46ED6" w:rsidP="00F90ADA">
            <w:pPr>
              <w:jc w:val="center"/>
              <w:rPr>
                <w:rFonts w:ascii="Calibri" w:hAnsi="Calibri"/>
                <w:sz w:val="20"/>
                <w:szCs w:val="20"/>
              </w:rPr>
            </w:pPr>
            <w:r w:rsidRPr="00565A3A">
              <w:rPr>
                <w:rFonts w:ascii="Calibri" w:hAnsi="Calibri"/>
                <w:sz w:val="20"/>
                <w:szCs w:val="20"/>
              </w:rPr>
              <w:t>9</w:t>
            </w:r>
            <w:r>
              <w:rPr>
                <w:rFonts w:ascii="Calibri" w:hAnsi="Calibri"/>
                <w:sz w:val="20"/>
                <w:szCs w:val="20"/>
              </w:rPr>
              <w:t>4</w:t>
            </w:r>
            <w:r w:rsidRPr="00565A3A">
              <w:rPr>
                <w:rFonts w:ascii="Calibri" w:hAnsi="Calibri"/>
                <w:sz w:val="20"/>
                <w:szCs w:val="20"/>
              </w:rPr>
              <w:t>%</w:t>
            </w:r>
          </w:p>
        </w:tc>
      </w:tr>
      <w:tr w:rsidR="00D46ED6" w:rsidTr="00F90ADA">
        <w:trPr>
          <w:jc w:val="center"/>
        </w:trPr>
        <w:tc>
          <w:tcPr>
            <w:tcW w:w="0" w:type="auto"/>
            <w:vMerge/>
          </w:tcPr>
          <w:p w:rsidR="00D46ED6" w:rsidRPr="00EB3455" w:rsidRDefault="00D46ED6" w:rsidP="00F90ADA">
            <w:pPr>
              <w:rPr>
                <w:rFonts w:ascii="Calibri" w:hAnsi="Calibri"/>
                <w:sz w:val="20"/>
                <w:szCs w:val="20"/>
              </w:rPr>
            </w:pPr>
          </w:p>
        </w:tc>
        <w:tc>
          <w:tcPr>
            <w:tcW w:w="0" w:type="auto"/>
          </w:tcPr>
          <w:p w:rsidR="00D46ED6" w:rsidRPr="00EB3455" w:rsidRDefault="00D46ED6" w:rsidP="00F90ADA">
            <w:pPr>
              <w:rPr>
                <w:rFonts w:ascii="Calibri" w:hAnsi="Calibri"/>
                <w:sz w:val="20"/>
                <w:szCs w:val="20"/>
              </w:rPr>
            </w:pPr>
            <w:r w:rsidRPr="00EB3455">
              <w:rPr>
                <w:rFonts w:ascii="Calibri" w:hAnsi="Calibri"/>
                <w:sz w:val="20"/>
                <w:szCs w:val="20"/>
              </w:rPr>
              <w:t>Pessimistic</w:t>
            </w:r>
          </w:p>
        </w:tc>
        <w:tc>
          <w:tcPr>
            <w:tcW w:w="0" w:type="auto"/>
            <w:shd w:val="clear" w:color="auto" w:fill="auto"/>
          </w:tcPr>
          <w:p w:rsidR="00D46ED6" w:rsidRPr="00EB3455" w:rsidRDefault="00D46ED6" w:rsidP="00F90ADA">
            <w:pPr>
              <w:jc w:val="center"/>
              <w:rPr>
                <w:rFonts w:ascii="Calibri" w:hAnsi="Calibri"/>
                <w:sz w:val="20"/>
                <w:szCs w:val="20"/>
              </w:rPr>
            </w:pPr>
            <w:r w:rsidRPr="00EB3455">
              <w:rPr>
                <w:rFonts w:ascii="Calibri" w:hAnsi="Calibri"/>
                <w:sz w:val="20"/>
                <w:szCs w:val="20"/>
              </w:rPr>
              <w:t>1.1</w:t>
            </w:r>
            <w:r>
              <w:rPr>
                <w:rFonts w:ascii="Calibri" w:hAnsi="Calibri"/>
                <w:sz w:val="20"/>
                <w:szCs w:val="20"/>
              </w:rPr>
              <w:t>2</w:t>
            </w:r>
          </w:p>
        </w:tc>
        <w:tc>
          <w:tcPr>
            <w:tcW w:w="0" w:type="auto"/>
            <w:shd w:val="clear" w:color="auto" w:fill="auto"/>
          </w:tcPr>
          <w:p w:rsidR="00D46ED6" w:rsidRPr="00EB3455" w:rsidRDefault="00D46ED6" w:rsidP="00F90ADA">
            <w:pPr>
              <w:jc w:val="center"/>
              <w:rPr>
                <w:rFonts w:ascii="Calibri" w:hAnsi="Calibri"/>
                <w:sz w:val="20"/>
                <w:szCs w:val="20"/>
              </w:rPr>
            </w:pPr>
            <w:r w:rsidRPr="00EB3455">
              <w:rPr>
                <w:rFonts w:ascii="Calibri" w:hAnsi="Calibri"/>
                <w:sz w:val="20"/>
                <w:szCs w:val="20"/>
              </w:rPr>
              <w:t>1.35</w:t>
            </w:r>
          </w:p>
        </w:tc>
        <w:tc>
          <w:tcPr>
            <w:tcW w:w="1311" w:type="dxa"/>
            <w:shd w:val="clear" w:color="auto" w:fill="auto"/>
          </w:tcPr>
          <w:p w:rsidR="00D46ED6" w:rsidRPr="009B03F8" w:rsidRDefault="00D46ED6" w:rsidP="00F90ADA">
            <w:pPr>
              <w:jc w:val="center"/>
              <w:rPr>
                <w:rFonts w:ascii="Calibri" w:hAnsi="Calibri"/>
                <w:sz w:val="20"/>
                <w:szCs w:val="20"/>
              </w:rPr>
            </w:pPr>
            <w:r>
              <w:rPr>
                <w:rFonts w:ascii="Calibri" w:hAnsi="Calibri"/>
                <w:sz w:val="20"/>
                <w:szCs w:val="20"/>
              </w:rPr>
              <w:t>0.25</w:t>
            </w:r>
          </w:p>
        </w:tc>
        <w:tc>
          <w:tcPr>
            <w:tcW w:w="1842" w:type="dxa"/>
            <w:shd w:val="clear" w:color="auto" w:fill="auto"/>
          </w:tcPr>
          <w:p w:rsidR="00D46ED6" w:rsidRPr="009B03F8" w:rsidRDefault="00EB3ED4" w:rsidP="00F90ADA">
            <w:pPr>
              <w:jc w:val="center"/>
              <w:rPr>
                <w:rFonts w:ascii="Calibri" w:hAnsi="Calibri"/>
                <w:sz w:val="20"/>
                <w:szCs w:val="20"/>
              </w:rPr>
            </w:pPr>
            <w:r>
              <w:rPr>
                <w:rFonts w:ascii="Calibri" w:hAnsi="Calibri"/>
                <w:sz w:val="20"/>
                <w:szCs w:val="20"/>
              </w:rPr>
              <w:t>0.70</w:t>
            </w:r>
          </w:p>
        </w:tc>
        <w:tc>
          <w:tcPr>
            <w:tcW w:w="1560" w:type="dxa"/>
            <w:shd w:val="clear" w:color="auto" w:fill="auto"/>
          </w:tcPr>
          <w:p w:rsidR="00D46ED6" w:rsidRPr="009B03F8" w:rsidRDefault="00D46ED6" w:rsidP="00F90ADA">
            <w:pPr>
              <w:jc w:val="center"/>
              <w:rPr>
                <w:rFonts w:ascii="Calibri" w:hAnsi="Calibri"/>
                <w:sz w:val="20"/>
                <w:szCs w:val="20"/>
              </w:rPr>
            </w:pPr>
            <w:r w:rsidRPr="009B03F8">
              <w:rPr>
                <w:rFonts w:ascii="Calibri" w:hAnsi="Calibri"/>
                <w:sz w:val="20"/>
                <w:szCs w:val="20"/>
              </w:rPr>
              <w:t>1</w:t>
            </w:r>
            <w:r>
              <w:rPr>
                <w:rFonts w:ascii="Calibri" w:hAnsi="Calibri"/>
                <w:sz w:val="20"/>
                <w:szCs w:val="20"/>
              </w:rPr>
              <w:t>.84</w:t>
            </w:r>
          </w:p>
        </w:tc>
        <w:tc>
          <w:tcPr>
            <w:tcW w:w="2126" w:type="dxa"/>
            <w:shd w:val="clear" w:color="auto" w:fill="auto"/>
          </w:tcPr>
          <w:p w:rsidR="00D46ED6" w:rsidRPr="009B03F8" w:rsidRDefault="00EB3ED4" w:rsidP="00F90ADA">
            <w:pPr>
              <w:jc w:val="center"/>
              <w:rPr>
                <w:rFonts w:ascii="Calibri" w:hAnsi="Calibri"/>
                <w:sz w:val="20"/>
                <w:szCs w:val="20"/>
              </w:rPr>
            </w:pPr>
            <w:r>
              <w:rPr>
                <w:rFonts w:ascii="Calibri" w:hAnsi="Calibri"/>
                <w:sz w:val="20"/>
                <w:szCs w:val="20"/>
              </w:rPr>
              <w:t>2.38</w:t>
            </w:r>
          </w:p>
        </w:tc>
        <w:tc>
          <w:tcPr>
            <w:tcW w:w="1276" w:type="dxa"/>
            <w:shd w:val="clear" w:color="auto" w:fill="auto"/>
          </w:tcPr>
          <w:p w:rsidR="00D46ED6" w:rsidRPr="00565A3A" w:rsidRDefault="00D46ED6" w:rsidP="00F90ADA">
            <w:pPr>
              <w:jc w:val="center"/>
              <w:rPr>
                <w:rFonts w:ascii="Calibri" w:hAnsi="Calibri"/>
                <w:sz w:val="20"/>
                <w:szCs w:val="20"/>
              </w:rPr>
            </w:pPr>
            <w:r>
              <w:rPr>
                <w:rFonts w:ascii="Calibri" w:hAnsi="Calibri"/>
                <w:sz w:val="20"/>
                <w:szCs w:val="20"/>
              </w:rPr>
              <w:t>32</w:t>
            </w:r>
            <w:r w:rsidRPr="00565A3A">
              <w:rPr>
                <w:rFonts w:ascii="Calibri" w:hAnsi="Calibri"/>
                <w:sz w:val="20"/>
                <w:szCs w:val="20"/>
              </w:rPr>
              <w:t>%</w:t>
            </w:r>
          </w:p>
        </w:tc>
        <w:tc>
          <w:tcPr>
            <w:tcW w:w="1166" w:type="dxa"/>
          </w:tcPr>
          <w:p w:rsidR="00D46ED6" w:rsidRPr="00565A3A" w:rsidRDefault="00D46ED6" w:rsidP="00F90ADA">
            <w:pPr>
              <w:jc w:val="center"/>
              <w:rPr>
                <w:rFonts w:ascii="Calibri" w:hAnsi="Calibri"/>
                <w:sz w:val="20"/>
                <w:szCs w:val="20"/>
              </w:rPr>
            </w:pPr>
            <w:r w:rsidRPr="00565A3A">
              <w:rPr>
                <w:rFonts w:ascii="Calibri" w:hAnsi="Calibri"/>
                <w:sz w:val="20"/>
                <w:szCs w:val="20"/>
              </w:rPr>
              <w:t>98%</w:t>
            </w:r>
          </w:p>
        </w:tc>
      </w:tr>
    </w:tbl>
    <w:p w:rsidR="00D46ED6" w:rsidRDefault="00D46ED6" w:rsidP="00D46ED6"/>
    <w:p w:rsidR="00D46ED6" w:rsidRDefault="00D46ED6" w:rsidP="00D46ED6">
      <w:pPr>
        <w:rPr>
          <w:sz w:val="20"/>
        </w:rPr>
      </w:pPr>
    </w:p>
    <w:p w:rsidR="00417B5A" w:rsidRDefault="00EF7202" w:rsidP="00EF7202">
      <w:pPr>
        <w:spacing w:after="200" w:line="276" w:lineRule="auto"/>
        <w:jc w:val="left"/>
        <w:sectPr w:rsidR="00417B5A" w:rsidSect="00D46ED6">
          <w:pgSz w:w="16838" w:h="11906" w:orient="landscape"/>
          <w:pgMar w:top="1440" w:right="1440" w:bottom="1440" w:left="1440" w:header="708" w:footer="708" w:gutter="0"/>
          <w:cols w:space="708"/>
          <w:docGrid w:linePitch="360"/>
        </w:sectPr>
      </w:pPr>
      <w:proofErr w:type="gramStart"/>
      <w:r>
        <w:t>1</w:t>
      </w:r>
      <w:proofErr w:type="gramEnd"/>
      <w:r>
        <w:t xml:space="preserve"> </w:t>
      </w:r>
      <w:r>
        <w:t xml:space="preserve">note risk within the stock assessment is calculated as the (weighted) number of models falling below the LRP (X / </w:t>
      </w:r>
      <w:r>
        <w:t>36</w:t>
      </w:r>
      <w:r>
        <w:t xml:space="preserve"> models). Risk</w:t>
      </w:r>
      <w:r>
        <w:t xml:space="preserve"> </w:t>
      </w:r>
      <w:r>
        <w:t xml:space="preserve">under a projection scenario is the number of projections across the grid that fall below the LRP (X / </w:t>
      </w:r>
      <w:r>
        <w:t>3600</w:t>
      </w:r>
      <w:r>
        <w:t xml:space="preserve"> (</w:t>
      </w:r>
      <w:r>
        <w:t>36</w:t>
      </w:r>
      <w:r>
        <w:t xml:space="preserve"> models x 100 projections</w:t>
      </w:r>
      <w:r>
        <w:t>)</w:t>
      </w:r>
      <w:bookmarkStart w:id="0" w:name="_GoBack"/>
      <w:bookmarkEnd w:id="0"/>
    </w:p>
    <w:tbl>
      <w:tblPr>
        <w:tblW w:w="0" w:type="auto"/>
        <w:tblLook w:val="04A0" w:firstRow="1" w:lastRow="0" w:firstColumn="1" w:lastColumn="0" w:noHBand="0" w:noVBand="1"/>
      </w:tblPr>
      <w:tblGrid>
        <w:gridCol w:w="4513"/>
        <w:gridCol w:w="4513"/>
      </w:tblGrid>
      <w:tr w:rsidR="00417B5A" w:rsidTr="00320EFF">
        <w:tc>
          <w:tcPr>
            <w:tcW w:w="4621" w:type="dxa"/>
            <w:shd w:val="clear" w:color="auto" w:fill="auto"/>
          </w:tcPr>
          <w:p w:rsidR="00417B5A" w:rsidRPr="00DB0731" w:rsidRDefault="00417B5A" w:rsidP="00320EFF">
            <w:pPr>
              <w:rPr>
                <w:rFonts w:ascii="Calibri" w:hAnsi="Calibri"/>
                <w:sz w:val="22"/>
                <w:szCs w:val="22"/>
              </w:rPr>
            </w:pPr>
            <w:r w:rsidRPr="00DB0731">
              <w:rPr>
                <w:rFonts w:ascii="Calibri" w:hAnsi="Calibri"/>
                <w:sz w:val="22"/>
                <w:szCs w:val="22"/>
              </w:rPr>
              <w:lastRenderedPageBreak/>
              <w:t>Recent recruitments</w:t>
            </w:r>
          </w:p>
        </w:tc>
        <w:tc>
          <w:tcPr>
            <w:tcW w:w="4621" w:type="dxa"/>
            <w:shd w:val="clear" w:color="auto" w:fill="auto"/>
          </w:tcPr>
          <w:p w:rsidR="00417B5A" w:rsidRPr="00DB0731" w:rsidRDefault="00417B5A" w:rsidP="00320EFF">
            <w:pPr>
              <w:rPr>
                <w:rFonts w:ascii="Calibri" w:hAnsi="Calibri"/>
                <w:sz w:val="22"/>
                <w:szCs w:val="22"/>
              </w:rPr>
            </w:pPr>
            <w:r w:rsidRPr="00DB0731">
              <w:rPr>
                <w:rFonts w:ascii="Calibri" w:hAnsi="Calibri"/>
                <w:sz w:val="22"/>
                <w:szCs w:val="22"/>
              </w:rPr>
              <w:t>Long-term recruitment</w:t>
            </w:r>
          </w:p>
        </w:tc>
      </w:tr>
      <w:tr w:rsidR="00417B5A" w:rsidTr="00320EFF">
        <w:tc>
          <w:tcPr>
            <w:tcW w:w="4621" w:type="dxa"/>
            <w:shd w:val="clear" w:color="auto" w:fill="auto"/>
          </w:tcPr>
          <w:p w:rsidR="00417B5A" w:rsidRPr="00DB0731" w:rsidRDefault="00417B5A" w:rsidP="00320EFF">
            <w:pPr>
              <w:rPr>
                <w:rFonts w:ascii="Calibri" w:hAnsi="Calibri"/>
                <w:sz w:val="22"/>
                <w:szCs w:val="22"/>
              </w:rPr>
            </w:pPr>
            <w:r>
              <w:rPr>
                <w:rFonts w:ascii="Calibri" w:hAnsi="Calibri"/>
                <w:noProof/>
                <w:sz w:val="22"/>
                <w:szCs w:val="22"/>
                <w:lang w:val="en-AU" w:eastAsia="en-AU"/>
              </w:rPr>
              <w:drawing>
                <wp:inline distT="0" distB="0" distL="0" distR="0" wp14:anchorId="43C5CC93" wp14:editId="1646014A">
                  <wp:extent cx="2874010" cy="2869688"/>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_SBF0_2045_shortterm"/>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874010" cy="2869688"/>
                          </a:xfrm>
                          <a:prstGeom prst="rect">
                            <a:avLst/>
                          </a:prstGeom>
                          <a:noFill/>
                          <a:ln>
                            <a:noFill/>
                          </a:ln>
                        </pic:spPr>
                      </pic:pic>
                    </a:graphicData>
                  </a:graphic>
                </wp:inline>
              </w:drawing>
            </w:r>
          </w:p>
        </w:tc>
        <w:tc>
          <w:tcPr>
            <w:tcW w:w="4621" w:type="dxa"/>
            <w:shd w:val="clear" w:color="auto" w:fill="auto"/>
          </w:tcPr>
          <w:p w:rsidR="00417B5A" w:rsidRPr="00DB0731" w:rsidRDefault="00417B5A" w:rsidP="00320EFF">
            <w:pPr>
              <w:rPr>
                <w:rFonts w:ascii="Calibri" w:hAnsi="Calibri"/>
                <w:sz w:val="22"/>
                <w:szCs w:val="22"/>
              </w:rPr>
            </w:pPr>
            <w:r>
              <w:rPr>
                <w:rFonts w:ascii="Calibri" w:hAnsi="Calibri"/>
                <w:noProof/>
                <w:sz w:val="22"/>
                <w:szCs w:val="22"/>
                <w:lang w:val="en-AU" w:eastAsia="en-AU"/>
              </w:rPr>
              <w:drawing>
                <wp:inline distT="0" distB="0" distL="0" distR="0" wp14:anchorId="16AC3E37" wp14:editId="68DB7EA6">
                  <wp:extent cx="2874010" cy="2869688"/>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_SBF0_2045_longterm_final"/>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874010" cy="2869688"/>
                          </a:xfrm>
                          <a:prstGeom prst="rect">
                            <a:avLst/>
                          </a:prstGeom>
                          <a:noFill/>
                          <a:ln>
                            <a:noFill/>
                          </a:ln>
                        </pic:spPr>
                      </pic:pic>
                    </a:graphicData>
                  </a:graphic>
                </wp:inline>
              </w:drawing>
            </w:r>
          </w:p>
        </w:tc>
      </w:tr>
    </w:tbl>
    <w:p w:rsidR="00417B5A" w:rsidRDefault="00417B5A" w:rsidP="00417B5A"/>
    <w:p w:rsidR="00417B5A" w:rsidRDefault="00417B5A" w:rsidP="00417B5A">
      <w:pPr>
        <w:pStyle w:val="Caption"/>
      </w:pPr>
      <w:bookmarkStart w:id="1" w:name="_Ref518310485"/>
      <w:r>
        <w:t xml:space="preserve">Figure </w:t>
      </w:r>
      <w:r>
        <w:fldChar w:fldCharType="begin"/>
      </w:r>
      <w:r>
        <w:instrText xml:space="preserve"> SEQ Figure \* ARABIC </w:instrText>
      </w:r>
      <w:r>
        <w:fldChar w:fldCharType="separate"/>
      </w:r>
      <w:r>
        <w:rPr>
          <w:noProof/>
        </w:rPr>
        <w:t>1</w:t>
      </w:r>
      <w:r>
        <w:fldChar w:fldCharType="end"/>
      </w:r>
      <w:bookmarkEnd w:id="1"/>
      <w:r>
        <w:t>. Distribution of SB</w:t>
      </w:r>
      <w:r w:rsidRPr="000E08E4">
        <w:rPr>
          <w:vertAlign w:val="subscript"/>
        </w:rPr>
        <w:t>2045</w:t>
      </w:r>
      <w:r>
        <w:t>/SB</w:t>
      </w:r>
      <w:r w:rsidRPr="000E08E4">
        <w:rPr>
          <w:vertAlign w:val="subscript"/>
        </w:rPr>
        <w:t>F=</w:t>
      </w:r>
      <w:proofErr w:type="gramStart"/>
      <w:r w:rsidRPr="000E08E4">
        <w:rPr>
          <w:vertAlign w:val="subscript"/>
        </w:rPr>
        <w:t>0</w:t>
      </w:r>
      <w:proofErr w:type="gramEnd"/>
      <w:r>
        <w:t xml:space="preserve"> assuming recent and long term recruitment conditions (left and right columns, respectively), under the three future fishing scenarios: status quo (2013-15 average conditions, top row); optimistic conditions (middle row);</w:t>
      </w:r>
      <w:r w:rsidRPr="00886A8E">
        <w:t xml:space="preserve"> </w:t>
      </w:r>
      <w:r>
        <w:t>and pessimistic conditions (bottom row). Projection results from ‘updated new growth’ models (3,600 projections) only.</w:t>
      </w:r>
    </w:p>
    <w:p w:rsidR="00417B5A" w:rsidRDefault="00417B5A" w:rsidP="00417B5A"/>
    <w:tbl>
      <w:tblPr>
        <w:tblW w:w="0" w:type="auto"/>
        <w:tblLook w:val="04A0" w:firstRow="1" w:lastRow="0" w:firstColumn="1" w:lastColumn="0" w:noHBand="0" w:noVBand="1"/>
      </w:tblPr>
      <w:tblGrid>
        <w:gridCol w:w="4513"/>
        <w:gridCol w:w="4513"/>
      </w:tblGrid>
      <w:tr w:rsidR="00417B5A" w:rsidTr="00320EFF">
        <w:tc>
          <w:tcPr>
            <w:tcW w:w="4621" w:type="dxa"/>
            <w:shd w:val="clear" w:color="auto" w:fill="auto"/>
          </w:tcPr>
          <w:p w:rsidR="00417B5A" w:rsidRPr="00DB0731" w:rsidRDefault="00417B5A" w:rsidP="00320EFF">
            <w:pPr>
              <w:rPr>
                <w:rFonts w:ascii="Calibri" w:hAnsi="Calibri"/>
                <w:sz w:val="22"/>
                <w:szCs w:val="22"/>
              </w:rPr>
            </w:pPr>
            <w:r w:rsidRPr="00DB0731">
              <w:rPr>
                <w:rFonts w:ascii="Calibri" w:hAnsi="Calibri"/>
                <w:sz w:val="22"/>
                <w:szCs w:val="22"/>
              </w:rPr>
              <w:t>Recent recruitments</w:t>
            </w:r>
          </w:p>
        </w:tc>
        <w:tc>
          <w:tcPr>
            <w:tcW w:w="4621" w:type="dxa"/>
            <w:shd w:val="clear" w:color="auto" w:fill="auto"/>
          </w:tcPr>
          <w:p w:rsidR="00417B5A" w:rsidRPr="00DB0731" w:rsidRDefault="00417B5A" w:rsidP="00320EFF">
            <w:pPr>
              <w:rPr>
                <w:rFonts w:ascii="Calibri" w:hAnsi="Calibri"/>
                <w:sz w:val="22"/>
                <w:szCs w:val="22"/>
              </w:rPr>
            </w:pPr>
            <w:r w:rsidRPr="00DB0731">
              <w:rPr>
                <w:rFonts w:ascii="Calibri" w:hAnsi="Calibri"/>
                <w:sz w:val="22"/>
                <w:szCs w:val="22"/>
              </w:rPr>
              <w:t>Long-term recruitment</w:t>
            </w:r>
          </w:p>
        </w:tc>
      </w:tr>
      <w:tr w:rsidR="00417B5A" w:rsidTr="00320EFF">
        <w:tc>
          <w:tcPr>
            <w:tcW w:w="4621" w:type="dxa"/>
            <w:shd w:val="clear" w:color="auto" w:fill="auto"/>
          </w:tcPr>
          <w:p w:rsidR="00417B5A" w:rsidRPr="00DB0731" w:rsidRDefault="00417B5A" w:rsidP="00320EFF">
            <w:pPr>
              <w:rPr>
                <w:rFonts w:ascii="Calibri" w:hAnsi="Calibri"/>
                <w:sz w:val="22"/>
                <w:szCs w:val="22"/>
              </w:rPr>
            </w:pPr>
            <w:r>
              <w:rPr>
                <w:rFonts w:ascii="Calibri" w:hAnsi="Calibri"/>
                <w:noProof/>
                <w:sz w:val="22"/>
                <w:szCs w:val="22"/>
                <w:lang w:val="en-AU" w:eastAsia="en-AU"/>
              </w:rPr>
              <w:drawing>
                <wp:inline distT="0" distB="0" distL="0" distR="0" wp14:anchorId="479688C3" wp14:editId="75096E3D">
                  <wp:extent cx="2868295" cy="2863981"/>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_Fmsy_shortterm"/>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868295" cy="2863981"/>
                          </a:xfrm>
                          <a:prstGeom prst="rect">
                            <a:avLst/>
                          </a:prstGeom>
                          <a:noFill/>
                          <a:ln>
                            <a:noFill/>
                          </a:ln>
                        </pic:spPr>
                      </pic:pic>
                    </a:graphicData>
                  </a:graphic>
                </wp:inline>
              </w:drawing>
            </w:r>
          </w:p>
        </w:tc>
        <w:tc>
          <w:tcPr>
            <w:tcW w:w="4621" w:type="dxa"/>
            <w:shd w:val="clear" w:color="auto" w:fill="auto"/>
          </w:tcPr>
          <w:p w:rsidR="00417B5A" w:rsidRPr="00DB0731" w:rsidRDefault="00417B5A" w:rsidP="00320EFF">
            <w:pPr>
              <w:rPr>
                <w:rFonts w:ascii="Calibri" w:hAnsi="Calibri"/>
                <w:sz w:val="22"/>
                <w:szCs w:val="22"/>
              </w:rPr>
            </w:pPr>
            <w:r>
              <w:rPr>
                <w:rFonts w:ascii="Calibri" w:hAnsi="Calibri"/>
                <w:noProof/>
                <w:sz w:val="22"/>
                <w:szCs w:val="22"/>
                <w:lang w:val="en-AU" w:eastAsia="en-AU"/>
              </w:rPr>
              <w:drawing>
                <wp:inline distT="0" distB="0" distL="0" distR="0" wp14:anchorId="05D70C5B" wp14:editId="2601ABA5">
                  <wp:extent cx="2868295" cy="2863981"/>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_Fmsy_longterm_final"/>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68295" cy="2863981"/>
                          </a:xfrm>
                          <a:prstGeom prst="rect">
                            <a:avLst/>
                          </a:prstGeom>
                          <a:noFill/>
                          <a:ln>
                            <a:noFill/>
                          </a:ln>
                        </pic:spPr>
                      </pic:pic>
                    </a:graphicData>
                  </a:graphic>
                </wp:inline>
              </w:drawing>
            </w:r>
          </w:p>
        </w:tc>
      </w:tr>
    </w:tbl>
    <w:p w:rsidR="00417B5A" w:rsidRDefault="00417B5A" w:rsidP="00417B5A"/>
    <w:p w:rsidR="00417B5A" w:rsidRDefault="00417B5A" w:rsidP="00417B5A">
      <w:pPr>
        <w:spacing w:after="200" w:line="276" w:lineRule="auto"/>
        <w:jc w:val="left"/>
      </w:pPr>
      <w:bookmarkStart w:id="2" w:name="_Ref518310496"/>
      <w:r w:rsidRPr="000C1FCE">
        <w:rPr>
          <w:b/>
          <w:bCs/>
          <w:sz w:val="20"/>
          <w:szCs w:val="20"/>
        </w:rPr>
        <w:t xml:space="preserve">Figure </w:t>
      </w:r>
      <w:r w:rsidRPr="000C1FCE">
        <w:rPr>
          <w:b/>
          <w:bCs/>
          <w:sz w:val="20"/>
          <w:szCs w:val="20"/>
        </w:rPr>
        <w:fldChar w:fldCharType="begin"/>
      </w:r>
      <w:r w:rsidRPr="000C1FCE">
        <w:rPr>
          <w:b/>
          <w:bCs/>
          <w:sz w:val="20"/>
          <w:szCs w:val="20"/>
        </w:rPr>
        <w:instrText xml:space="preserve"> SEQ Figure \* ARABIC </w:instrText>
      </w:r>
      <w:r w:rsidRPr="000C1FCE">
        <w:rPr>
          <w:b/>
          <w:bCs/>
          <w:sz w:val="20"/>
          <w:szCs w:val="20"/>
        </w:rPr>
        <w:fldChar w:fldCharType="separate"/>
      </w:r>
      <w:r w:rsidRPr="000C1FCE">
        <w:rPr>
          <w:b/>
          <w:bCs/>
          <w:sz w:val="20"/>
          <w:szCs w:val="20"/>
        </w:rPr>
        <w:t>2</w:t>
      </w:r>
      <w:r w:rsidRPr="000C1FCE">
        <w:rPr>
          <w:b/>
          <w:bCs/>
          <w:sz w:val="20"/>
          <w:szCs w:val="20"/>
        </w:rPr>
        <w:fldChar w:fldCharType="end"/>
      </w:r>
      <w:bookmarkEnd w:id="2"/>
      <w:r w:rsidRPr="000C1FCE">
        <w:rPr>
          <w:b/>
          <w:bCs/>
          <w:sz w:val="20"/>
          <w:szCs w:val="20"/>
        </w:rPr>
        <w:t>. Distribution of F/F</w:t>
      </w:r>
      <w:r w:rsidRPr="000C1FCE">
        <w:rPr>
          <w:b/>
          <w:bCs/>
          <w:sz w:val="20"/>
          <w:szCs w:val="20"/>
          <w:vertAlign w:val="subscript"/>
        </w:rPr>
        <w:t>MSY</w:t>
      </w:r>
      <w:r w:rsidRPr="000C1FCE">
        <w:rPr>
          <w:b/>
          <w:bCs/>
          <w:sz w:val="20"/>
          <w:szCs w:val="20"/>
        </w:rPr>
        <w:t xml:space="preserve"> assuming recent and </w:t>
      </w:r>
      <w:proofErr w:type="gramStart"/>
      <w:r w:rsidRPr="000C1FCE">
        <w:rPr>
          <w:b/>
          <w:bCs/>
          <w:sz w:val="20"/>
          <w:szCs w:val="20"/>
        </w:rPr>
        <w:t>long term</w:t>
      </w:r>
      <w:proofErr w:type="gramEnd"/>
      <w:r w:rsidRPr="000C1FCE">
        <w:rPr>
          <w:b/>
          <w:bCs/>
          <w:sz w:val="20"/>
          <w:szCs w:val="20"/>
        </w:rPr>
        <w:t xml:space="preserve"> recruitment conditions (left and right columns, respectively), under the three future fishing scenarios: status quo (2013-15 average conditions, top row); optimistic conditions (middle row); and pessimistic conditions (bottom row). Projection results from ‘updated new growth’ models (3,600 projections) </w:t>
      </w:r>
      <w:r>
        <w:rPr>
          <w:b/>
          <w:bCs/>
          <w:sz w:val="20"/>
          <w:szCs w:val="20"/>
        </w:rPr>
        <w:t>only</w:t>
      </w:r>
      <w:r w:rsidRPr="000C1FCE">
        <w:rPr>
          <w:b/>
          <w:bCs/>
          <w:sz w:val="20"/>
          <w:szCs w:val="20"/>
        </w:rPr>
        <w:t>.</w:t>
      </w:r>
    </w:p>
    <w:p w:rsidR="00417B5A" w:rsidRDefault="00417B5A" w:rsidP="00417B5A"/>
    <w:p w:rsidR="00417B5A" w:rsidRDefault="00417B5A">
      <w:pPr>
        <w:spacing w:after="200" w:line="276" w:lineRule="auto"/>
        <w:jc w:val="left"/>
        <w:sectPr w:rsidR="00417B5A" w:rsidSect="00417B5A">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AD47D5" w:rsidTr="00417B5A">
        <w:tc>
          <w:tcPr>
            <w:tcW w:w="6979" w:type="dxa"/>
          </w:tcPr>
          <w:p w:rsidR="00AD47D5" w:rsidRPr="00DB0731" w:rsidRDefault="00AD47D5" w:rsidP="00AD47D5">
            <w:pPr>
              <w:rPr>
                <w:rFonts w:ascii="Calibri" w:hAnsi="Calibri"/>
                <w:sz w:val="22"/>
                <w:szCs w:val="22"/>
              </w:rPr>
            </w:pPr>
            <w:r>
              <w:lastRenderedPageBreak/>
              <w:br w:type="page"/>
            </w:r>
            <w:r w:rsidRPr="00DB0731">
              <w:rPr>
                <w:rFonts w:ascii="Calibri" w:hAnsi="Calibri"/>
                <w:sz w:val="22"/>
                <w:szCs w:val="22"/>
              </w:rPr>
              <w:t>Recent recruitments</w:t>
            </w:r>
          </w:p>
        </w:tc>
        <w:tc>
          <w:tcPr>
            <w:tcW w:w="6979" w:type="dxa"/>
          </w:tcPr>
          <w:p w:rsidR="00AD47D5" w:rsidRPr="00DB0731" w:rsidRDefault="00AD47D5" w:rsidP="00AD47D5">
            <w:pPr>
              <w:rPr>
                <w:rFonts w:ascii="Calibri" w:hAnsi="Calibri"/>
                <w:sz w:val="22"/>
                <w:szCs w:val="22"/>
              </w:rPr>
            </w:pPr>
            <w:r w:rsidRPr="00DB0731">
              <w:rPr>
                <w:rFonts w:ascii="Calibri" w:hAnsi="Calibri"/>
                <w:sz w:val="22"/>
                <w:szCs w:val="22"/>
              </w:rPr>
              <w:t>Long-term recruitment</w:t>
            </w:r>
          </w:p>
        </w:tc>
      </w:tr>
      <w:tr w:rsidR="00AD47D5" w:rsidTr="00417B5A">
        <w:tc>
          <w:tcPr>
            <w:tcW w:w="6979" w:type="dxa"/>
          </w:tcPr>
          <w:p w:rsidR="00AD47D5" w:rsidRDefault="00AD47D5">
            <w:pPr>
              <w:spacing w:after="200" w:line="276" w:lineRule="auto"/>
              <w:jc w:val="left"/>
            </w:pPr>
            <w:r>
              <w:rPr>
                <w:noProof/>
                <w:lang w:val="en-AU" w:eastAsia="en-AU"/>
              </w:rPr>
              <w:drawing>
                <wp:inline distT="0" distB="0" distL="0" distR="0">
                  <wp:extent cx="3960000" cy="3954045"/>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SC14_timeseries_recentSRR.png"/>
                          <pic:cNvPicPr/>
                        </pic:nvPicPr>
                        <pic:blipFill>
                          <a:blip r:embed="rId9">
                            <a:extLst>
                              <a:ext uri="{28A0092B-C50C-407E-A947-70E740481C1C}">
                                <a14:useLocalDpi xmlns:a14="http://schemas.microsoft.com/office/drawing/2010/main" val="0"/>
                              </a:ext>
                            </a:extLst>
                          </a:blip>
                          <a:stretch>
                            <a:fillRect/>
                          </a:stretch>
                        </pic:blipFill>
                        <pic:spPr>
                          <a:xfrm>
                            <a:off x="0" y="0"/>
                            <a:ext cx="3960000" cy="3954045"/>
                          </a:xfrm>
                          <a:prstGeom prst="rect">
                            <a:avLst/>
                          </a:prstGeom>
                        </pic:spPr>
                      </pic:pic>
                    </a:graphicData>
                  </a:graphic>
                </wp:inline>
              </w:drawing>
            </w:r>
          </w:p>
        </w:tc>
        <w:tc>
          <w:tcPr>
            <w:tcW w:w="6979" w:type="dxa"/>
          </w:tcPr>
          <w:p w:rsidR="00AD47D5" w:rsidRDefault="00AD47D5">
            <w:pPr>
              <w:spacing w:after="200" w:line="276" w:lineRule="auto"/>
              <w:jc w:val="left"/>
            </w:pPr>
            <w:r>
              <w:rPr>
                <w:noProof/>
                <w:lang w:val="en-AU" w:eastAsia="en-AU"/>
              </w:rPr>
              <w:drawing>
                <wp:inline distT="0" distB="0" distL="0" distR="0">
                  <wp:extent cx="3960000" cy="3954045"/>
                  <wp:effectExtent l="0" t="0" r="2540" b="889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ForSC14_timeseries_longtermSRR.png"/>
                          <pic:cNvPicPr/>
                        </pic:nvPicPr>
                        <pic:blipFill>
                          <a:blip r:embed="rId10">
                            <a:extLst>
                              <a:ext uri="{28A0092B-C50C-407E-A947-70E740481C1C}">
                                <a14:useLocalDpi xmlns:a14="http://schemas.microsoft.com/office/drawing/2010/main" val="0"/>
                              </a:ext>
                            </a:extLst>
                          </a:blip>
                          <a:stretch>
                            <a:fillRect/>
                          </a:stretch>
                        </pic:blipFill>
                        <pic:spPr>
                          <a:xfrm>
                            <a:off x="0" y="0"/>
                            <a:ext cx="3960000" cy="3954045"/>
                          </a:xfrm>
                          <a:prstGeom prst="rect">
                            <a:avLst/>
                          </a:prstGeom>
                        </pic:spPr>
                      </pic:pic>
                    </a:graphicData>
                  </a:graphic>
                </wp:inline>
              </w:drawing>
            </w:r>
          </w:p>
        </w:tc>
      </w:tr>
    </w:tbl>
    <w:p w:rsidR="000C1FCE" w:rsidRDefault="00AD47D5" w:rsidP="00ED02C3">
      <w:pPr>
        <w:pStyle w:val="Caption"/>
      </w:pPr>
      <w:r>
        <w:t xml:space="preserve">Figure 3. Time series of </w:t>
      </w:r>
      <w:r w:rsidR="00ED02C3">
        <w:t xml:space="preserve">WCPO bigeye tuna spawning biomass (SB/SBF=0) from the uncertainty grid of assessment model runs for the period 1990 to 2015 (the vertical line at 2015 represents the last year of the assessment), and stochastic projection results for the period 2016 to 2045 under the three future fishing scenarios (“Status Quo”, “Optimistic” and “Pessimistic”; rows). During the projection period (2016-2045) levels of recruitment variability are assumed to match those over the “recent” </w:t>
      </w:r>
      <w:proofErr w:type="gramStart"/>
      <w:r w:rsidR="00ED02C3">
        <w:t>time period</w:t>
      </w:r>
      <w:proofErr w:type="gramEnd"/>
      <w:r w:rsidR="00ED02C3">
        <w:t xml:space="preserve"> (2005-2014; left panel) or the time period used to estimate the stock-recruitment relationship (1962-2014; right panel). The red dashed line represents the agreed limit reference point.</w:t>
      </w:r>
    </w:p>
    <w:p w:rsidR="00C665C5" w:rsidRDefault="00EF7202"/>
    <w:sectPr w:rsidR="00C665C5" w:rsidSect="00417B5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D6"/>
    <w:rsid w:val="0001199F"/>
    <w:rsid w:val="000C1FCE"/>
    <w:rsid w:val="00230BEB"/>
    <w:rsid w:val="00295FB5"/>
    <w:rsid w:val="00320EA8"/>
    <w:rsid w:val="00417B5A"/>
    <w:rsid w:val="004906E0"/>
    <w:rsid w:val="00635F9E"/>
    <w:rsid w:val="00773428"/>
    <w:rsid w:val="00872B4B"/>
    <w:rsid w:val="00922112"/>
    <w:rsid w:val="009C140B"/>
    <w:rsid w:val="00A846B7"/>
    <w:rsid w:val="00AD47D5"/>
    <w:rsid w:val="00D46ED6"/>
    <w:rsid w:val="00EB3ED4"/>
    <w:rsid w:val="00ED02C3"/>
    <w:rsid w:val="00EF72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4D84"/>
  <w15:chartTrackingRefBased/>
  <w15:docId w15:val="{882F58F6-82A8-46DA-8B5B-D96B4749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ED6"/>
    <w:pPr>
      <w:spacing w:after="0" w:line="240" w:lineRule="auto"/>
      <w:jc w:val="both"/>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46ED6"/>
    <w:rPr>
      <w:b/>
      <w:bCs/>
      <w:sz w:val="20"/>
      <w:szCs w:val="20"/>
    </w:rPr>
  </w:style>
  <w:style w:type="table" w:styleId="TableGrid">
    <w:name w:val="Table Grid"/>
    <w:basedOn w:val="TableNormal"/>
    <w:uiPriority w:val="59"/>
    <w:rsid w:val="000C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08223-7113-4570-8FD6-25AC78D5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Pilling</dc:creator>
  <cp:keywords/>
  <dc:description/>
  <cp:lastModifiedBy>Graham Pilling</cp:lastModifiedBy>
  <cp:revision>5</cp:revision>
  <dcterms:created xsi:type="dcterms:W3CDTF">2018-08-13T06:46:00Z</dcterms:created>
  <dcterms:modified xsi:type="dcterms:W3CDTF">2018-08-13T23:38:00Z</dcterms:modified>
</cp:coreProperties>
</file>