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CE66B" w14:textId="77777777" w:rsidR="00C44D64" w:rsidRPr="00C44D64" w:rsidRDefault="00C44D64" w:rsidP="00C4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44D64">
        <w:rPr>
          <w:rFonts w:ascii="Times New Roman" w:eastAsia="Times New Roman" w:hAnsi="Times New Roman" w:cs="Times New Roman"/>
          <w:noProof/>
          <w:sz w:val="24"/>
          <w:szCs w:val="24"/>
          <w:lang w:val="en-AU" w:eastAsia="en-AU"/>
        </w:rPr>
        <w:drawing>
          <wp:inline distT="0" distB="0" distL="0" distR="0" wp14:anchorId="7EC89FDF" wp14:editId="71AA2897">
            <wp:extent cx="2062480" cy="1062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44A8" w14:textId="77777777" w:rsidR="00127D28" w:rsidRPr="00143431" w:rsidRDefault="00127D28" w:rsidP="00127D2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THIRD E-</w:t>
      </w:r>
      <w:r w:rsidRPr="00143431">
        <w:rPr>
          <w:rFonts w:ascii="Times New Roman" w:hAnsi="Times New Roman" w:cs="Times New Roman"/>
          <w:b/>
          <w:caps/>
        </w:rPr>
        <w:t>REPORTING AND E-MONITORING WORKING GROUP MEETING (</w:t>
      </w:r>
      <w:r>
        <w:rPr>
          <w:rFonts w:ascii="Times New Roman" w:hAnsi="Times New Roman" w:cs="Times New Roman"/>
          <w:b/>
        </w:rPr>
        <w:t>ERandEMWG3</w:t>
      </w:r>
      <w:r w:rsidRPr="00143431">
        <w:rPr>
          <w:rFonts w:ascii="Times New Roman" w:hAnsi="Times New Roman" w:cs="Times New Roman"/>
          <w:b/>
        </w:rPr>
        <w:t>)</w:t>
      </w:r>
    </w:p>
    <w:p w14:paraId="623693D5" w14:textId="77777777" w:rsidR="00127D28" w:rsidRPr="00143431" w:rsidRDefault="00127D28" w:rsidP="00127D2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Busan, Republic of Korea</w:t>
      </w:r>
    </w:p>
    <w:p w14:paraId="62D2320F" w14:textId="77777777" w:rsidR="00127D28" w:rsidRPr="00143431" w:rsidRDefault="00127D28" w:rsidP="00127D2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6 - 7 August 2018</w:t>
      </w:r>
    </w:p>
    <w:p w14:paraId="34D767EE" w14:textId="447A238E" w:rsidR="00C44D64" w:rsidRPr="00C44D64" w:rsidRDefault="00707E4C" w:rsidP="00C44D64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(W1)" w:eastAsia="Times New Roman" w:hAnsi="Times New (W1)" w:cs="Times New Roman"/>
          <w:b/>
          <w:caps/>
          <w:lang w:eastAsia="x-none"/>
        </w:rPr>
        <w:t>AGREED</w:t>
      </w:r>
      <w:r w:rsidRPr="00C44D64">
        <w:rPr>
          <w:rFonts w:ascii="Times New (W1)" w:eastAsia="Times New Roman" w:hAnsi="Times New (W1)" w:cs="Times New Roman"/>
          <w:b/>
          <w:caps/>
          <w:lang w:eastAsia="x-none"/>
        </w:rPr>
        <w:t xml:space="preserve"> </w:t>
      </w:r>
      <w:r w:rsidR="00C44D64" w:rsidRPr="00C44D64">
        <w:rPr>
          <w:rFonts w:ascii="Times New (W1)" w:eastAsia="Times New Roman" w:hAnsi="Times New (W1)" w:cs="Times New Roman"/>
          <w:b/>
          <w:caps/>
          <w:lang w:eastAsia="x-none"/>
        </w:rPr>
        <w:t>Recommendations from ERandEMWG</w:t>
      </w:r>
      <w:r w:rsidR="00127D28">
        <w:rPr>
          <w:rFonts w:ascii="Times New (W1)" w:eastAsia="Times New Roman" w:hAnsi="Times New (W1)" w:cs="Times New Roman"/>
          <w:b/>
          <w:caps/>
          <w:lang w:eastAsia="x-none"/>
        </w:rPr>
        <w:t>3</w:t>
      </w:r>
    </w:p>
    <w:p w14:paraId="46BAE050" w14:textId="3C26E4ED" w:rsidR="00C44D64" w:rsidRDefault="00AF34DF" w:rsidP="00C44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WCPFC-2018-ERandEMWG3</w:t>
      </w:r>
      <w:r w:rsidR="00C44D64" w:rsidRPr="00C44D64">
        <w:rPr>
          <w:rFonts w:ascii="Times New Roman" w:eastAsia="Times New Roman" w:hAnsi="Times New Roman" w:cs="Times New Roman"/>
          <w:b/>
        </w:rPr>
        <w:t>-</w:t>
      </w:r>
      <w:r w:rsidR="00707E4C">
        <w:rPr>
          <w:rFonts w:ascii="Times New Roman" w:eastAsia="Times New Roman" w:hAnsi="Times New Roman" w:cs="Times New Roman"/>
          <w:b/>
        </w:rPr>
        <w:t>O</w:t>
      </w:r>
      <w:r w:rsidR="00832C56">
        <w:rPr>
          <w:rFonts w:ascii="Times New Roman" w:eastAsia="Times New Roman" w:hAnsi="Times New Roman" w:cs="Times New Roman"/>
          <w:b/>
        </w:rPr>
        <w:t xml:space="preserve">utcomes </w:t>
      </w:r>
    </w:p>
    <w:p w14:paraId="0A3C4883" w14:textId="31A1EEC3" w:rsidR="00944375" w:rsidRPr="004E4571" w:rsidRDefault="00F957FB" w:rsidP="00DA5C8E">
      <w:pPr>
        <w:spacing w:after="0" w:line="240" w:lineRule="auto"/>
        <w:jc w:val="right"/>
        <w:rPr>
          <w:i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7 </w:t>
      </w:r>
      <w:r w:rsidR="00AF34DF">
        <w:rPr>
          <w:rFonts w:ascii="Times New Roman" w:eastAsia="Times New Roman" w:hAnsi="Times New Roman" w:cs="Times New Roman"/>
          <w:b/>
        </w:rPr>
        <w:t>August 2018</w:t>
      </w:r>
      <w:r w:rsidR="001309D7">
        <w:rPr>
          <w:rFonts w:ascii="Times New Roman" w:eastAsia="Times New Roman" w:hAnsi="Times New Roman" w:cs="Times New Roman"/>
          <w:b/>
        </w:rPr>
        <w:t xml:space="preserve"> </w:t>
      </w:r>
    </w:p>
    <w:p w14:paraId="45B68F33" w14:textId="77777777" w:rsidR="00FE3182" w:rsidRPr="004E4571" w:rsidRDefault="00FE3182" w:rsidP="00C44D64">
      <w:pPr>
        <w:jc w:val="both"/>
        <w:rPr>
          <w:b/>
          <w:sz w:val="24"/>
          <w:szCs w:val="24"/>
          <w:u w:val="single"/>
        </w:rPr>
      </w:pPr>
      <w:r w:rsidRPr="004E4571">
        <w:rPr>
          <w:b/>
          <w:sz w:val="24"/>
          <w:szCs w:val="24"/>
          <w:u w:val="single"/>
        </w:rPr>
        <w:t>E- R</w:t>
      </w:r>
      <w:r w:rsidR="004E4571" w:rsidRPr="004E4571">
        <w:rPr>
          <w:b/>
          <w:sz w:val="24"/>
          <w:szCs w:val="24"/>
          <w:u w:val="single"/>
        </w:rPr>
        <w:t>EPORTING</w:t>
      </w:r>
    </w:p>
    <w:p w14:paraId="07A0678E" w14:textId="77777777" w:rsidR="003464A8" w:rsidRPr="00783BA0" w:rsidRDefault="003464A8" w:rsidP="00C44D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Update or revision of E-reporting SSPs</w:t>
      </w:r>
    </w:p>
    <w:p w14:paraId="2FB165C3" w14:textId="276AA4F0" w:rsidR="002C497F" w:rsidRPr="003C0FB0" w:rsidRDefault="003C0FB0" w:rsidP="003C0FB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3C0FB0">
        <w:rPr>
          <w:sz w:val="24"/>
          <w:szCs w:val="24"/>
        </w:rPr>
        <w:t>Recommend that, sub</w:t>
      </w:r>
      <w:r w:rsidR="00AF34DF">
        <w:rPr>
          <w:sz w:val="24"/>
          <w:szCs w:val="24"/>
        </w:rPr>
        <w:t>ject to SC and TCC endorsement</w:t>
      </w:r>
      <w:r w:rsidRPr="003C0FB0">
        <w:rPr>
          <w:sz w:val="24"/>
          <w:szCs w:val="24"/>
        </w:rPr>
        <w:t xml:space="preserve">, with respect to maintaining adopted standards, matters of substance (such as major changes or new proposals) shall be considered </w:t>
      </w:r>
      <w:r w:rsidR="00AF34DF">
        <w:rPr>
          <w:sz w:val="24"/>
          <w:szCs w:val="24"/>
        </w:rPr>
        <w:t xml:space="preserve">in a manner </w:t>
      </w:r>
      <w:r w:rsidRPr="003C0FB0">
        <w:rPr>
          <w:sz w:val="24"/>
          <w:szCs w:val="24"/>
        </w:rPr>
        <w:t>consistent with already established processes for new proposals. The Sec</w:t>
      </w:r>
      <w:r w:rsidR="00AF34DF">
        <w:rPr>
          <w:sz w:val="24"/>
          <w:szCs w:val="24"/>
        </w:rPr>
        <w:t>retariat</w:t>
      </w:r>
      <w:r w:rsidRPr="003C0FB0">
        <w:rPr>
          <w:sz w:val="24"/>
          <w:szCs w:val="24"/>
        </w:rPr>
        <w:t xml:space="preserve"> shall administer minor changes to the SSPs that reflect decisions of the Commission by circulating a draft to all CCMs advising that the change had been made and would come into effect on a date at least consistent</w:t>
      </w:r>
      <w:r w:rsidR="00AF34DF">
        <w:rPr>
          <w:sz w:val="24"/>
          <w:szCs w:val="24"/>
        </w:rPr>
        <w:t xml:space="preserve"> with that in the SSPs. CCMs shall be</w:t>
      </w:r>
      <w:r w:rsidRPr="003C0FB0">
        <w:rPr>
          <w:sz w:val="24"/>
          <w:szCs w:val="24"/>
        </w:rPr>
        <w:t xml:space="preserve"> provided the opportunity to raise concerns and if so, the change becomes a matter of substance and will be handled as such.</w:t>
      </w:r>
    </w:p>
    <w:p w14:paraId="4399C600" w14:textId="77777777" w:rsidR="002C497F" w:rsidRPr="00783BA0" w:rsidRDefault="00CA4D4D" w:rsidP="00C44D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Standards for </w:t>
      </w:r>
      <w:r w:rsidR="002C497F" w:rsidRPr="00783BA0">
        <w:rPr>
          <w:b/>
          <w:sz w:val="24"/>
          <w:szCs w:val="24"/>
        </w:rPr>
        <w:t xml:space="preserve">E-reporting </w:t>
      </w:r>
      <w:r>
        <w:rPr>
          <w:b/>
          <w:sz w:val="24"/>
          <w:szCs w:val="24"/>
        </w:rPr>
        <w:t>of high seas t</w:t>
      </w:r>
      <w:r w:rsidRPr="00783BA0">
        <w:rPr>
          <w:b/>
          <w:sz w:val="24"/>
          <w:szCs w:val="24"/>
        </w:rPr>
        <w:t>ransshipment</w:t>
      </w:r>
    </w:p>
    <w:p w14:paraId="1FB5B449" w14:textId="2079D542" w:rsidR="002C497F" w:rsidRPr="00783BA0" w:rsidRDefault="002C497F" w:rsidP="003C0FB0">
      <w:pPr>
        <w:numPr>
          <w:ilvl w:val="0"/>
          <w:numId w:val="7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>Recommend that</w:t>
      </w:r>
      <w:r w:rsidR="00662EFE">
        <w:rPr>
          <w:sz w:val="24"/>
          <w:szCs w:val="24"/>
          <w:lang w:val="en-NZ"/>
        </w:rPr>
        <w:t>, subject to SC14 and TCC14 endorsement,</w:t>
      </w:r>
      <w:r w:rsidRPr="00783BA0">
        <w:rPr>
          <w:sz w:val="24"/>
          <w:szCs w:val="24"/>
          <w:lang w:val="en-NZ"/>
        </w:rPr>
        <w:t xml:space="preserve"> the Commission adopt the </w:t>
      </w:r>
      <w:r w:rsidR="00662EFE">
        <w:rPr>
          <w:sz w:val="24"/>
          <w:szCs w:val="24"/>
          <w:lang w:val="en-NZ"/>
        </w:rPr>
        <w:t xml:space="preserve">E-Reporting </w:t>
      </w:r>
      <w:r w:rsidRPr="00783BA0">
        <w:rPr>
          <w:sz w:val="24"/>
          <w:szCs w:val="24"/>
          <w:lang w:val="en-NZ"/>
        </w:rPr>
        <w:t>Standards for transhipment declara</w:t>
      </w:r>
      <w:r w:rsidR="00AF34DF">
        <w:rPr>
          <w:sz w:val="24"/>
          <w:szCs w:val="24"/>
          <w:lang w:val="en-NZ"/>
        </w:rPr>
        <w:t>tions and transhipment notices (</w:t>
      </w:r>
      <w:r w:rsidRPr="00783BA0">
        <w:rPr>
          <w:bCs/>
          <w:sz w:val="24"/>
          <w:szCs w:val="24"/>
          <w:lang w:val="en-NZ"/>
        </w:rPr>
        <w:t>ERandEMWG3-03 Attachment 1</w:t>
      </w:r>
      <w:r w:rsidR="00AF34DF">
        <w:rPr>
          <w:bCs/>
          <w:sz w:val="24"/>
          <w:szCs w:val="24"/>
          <w:lang w:val="en-NZ"/>
        </w:rPr>
        <w:t>).</w:t>
      </w:r>
    </w:p>
    <w:p w14:paraId="18D22632" w14:textId="0C07B9C9" w:rsidR="002C497F" w:rsidRPr="00783BA0" w:rsidRDefault="002C497F" w:rsidP="003C0FB0">
      <w:pPr>
        <w:numPr>
          <w:ilvl w:val="0"/>
          <w:numId w:val="7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 xml:space="preserve">If adopted, </w:t>
      </w:r>
      <w:r w:rsidR="00662EFE">
        <w:rPr>
          <w:sz w:val="24"/>
          <w:szCs w:val="24"/>
          <w:lang w:val="en-NZ"/>
        </w:rPr>
        <w:t>note that,</w:t>
      </w:r>
      <w:r w:rsidRPr="00783BA0">
        <w:rPr>
          <w:sz w:val="24"/>
          <w:szCs w:val="24"/>
          <w:lang w:val="en-NZ"/>
        </w:rPr>
        <w:t xml:space="preserve"> where transhipment declarations and transhipment notices are submitted </w:t>
      </w:r>
      <w:r w:rsidR="00662EFE">
        <w:rPr>
          <w:sz w:val="24"/>
          <w:szCs w:val="24"/>
          <w:lang w:val="en-NZ"/>
        </w:rPr>
        <w:t xml:space="preserve">electronically </w:t>
      </w:r>
      <w:r w:rsidRPr="00783BA0">
        <w:rPr>
          <w:sz w:val="24"/>
          <w:szCs w:val="24"/>
          <w:lang w:val="en-NZ"/>
        </w:rPr>
        <w:t>to WCPFC, the following information is not required:</w:t>
      </w:r>
    </w:p>
    <w:p w14:paraId="510FFF31" w14:textId="77777777" w:rsidR="00CA6D10" w:rsidRPr="00783BA0" w:rsidRDefault="0079230E" w:rsidP="002C497F">
      <w:pPr>
        <w:numPr>
          <w:ilvl w:val="1"/>
          <w:numId w:val="5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 xml:space="preserve">the observers signature; </w:t>
      </w:r>
    </w:p>
    <w:p w14:paraId="6DBDC906" w14:textId="77777777" w:rsidR="00CA6D10" w:rsidRPr="00783BA0" w:rsidRDefault="0079230E" w:rsidP="002C497F">
      <w:pPr>
        <w:numPr>
          <w:ilvl w:val="1"/>
          <w:numId w:val="5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 xml:space="preserve">a unique document identifier;  </w:t>
      </w:r>
    </w:p>
    <w:p w14:paraId="24D5DD4C" w14:textId="77777777" w:rsidR="00CA6D10" w:rsidRPr="00783BA0" w:rsidRDefault="0079230E" w:rsidP="002C497F">
      <w:pPr>
        <w:numPr>
          <w:ilvl w:val="1"/>
          <w:numId w:val="5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 xml:space="preserve">for the offloading vessel to supply data on the quantity of product already on board the receiving vessel; </w:t>
      </w:r>
    </w:p>
    <w:p w14:paraId="3B9778AA" w14:textId="77777777" w:rsidR="00CA6D10" w:rsidRPr="00783BA0" w:rsidRDefault="0079230E" w:rsidP="002C497F">
      <w:pPr>
        <w:numPr>
          <w:ilvl w:val="1"/>
          <w:numId w:val="5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 xml:space="preserve">for the receiving vessel to supply data on the fishing gear that the offloading vessel used to take the fish; and </w:t>
      </w:r>
    </w:p>
    <w:p w14:paraId="3CFCD33F" w14:textId="77777777" w:rsidR="00CA6D10" w:rsidRPr="00783BA0" w:rsidRDefault="0079230E" w:rsidP="002C497F">
      <w:pPr>
        <w:numPr>
          <w:ilvl w:val="1"/>
          <w:numId w:val="5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>for the receiving vessel to supply data on the quantity of product to be transhipped.</w:t>
      </w:r>
    </w:p>
    <w:p w14:paraId="1CA1EE4A" w14:textId="77777777" w:rsidR="004B3CD5" w:rsidRDefault="002C497F" w:rsidP="00662E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NZ"/>
        </w:rPr>
      </w:pPr>
      <w:r w:rsidRPr="003C0FB0">
        <w:rPr>
          <w:sz w:val="24"/>
          <w:szCs w:val="24"/>
          <w:lang w:val="en-NZ"/>
        </w:rPr>
        <w:lastRenderedPageBreak/>
        <w:t>If adopted</w:t>
      </w:r>
      <w:r w:rsidR="004B3CD5">
        <w:rPr>
          <w:sz w:val="24"/>
          <w:szCs w:val="24"/>
          <w:lang w:val="en-NZ"/>
        </w:rPr>
        <w:t>, recommend that the Commission:</w:t>
      </w:r>
    </w:p>
    <w:p w14:paraId="1BBB90A7" w14:textId="59B5EA4B" w:rsidR="004B3CD5" w:rsidRDefault="002C497F" w:rsidP="004B3CD5">
      <w:pPr>
        <w:pStyle w:val="ListParagraph"/>
        <w:numPr>
          <w:ilvl w:val="1"/>
          <w:numId w:val="7"/>
        </w:numPr>
        <w:jc w:val="both"/>
        <w:rPr>
          <w:sz w:val="24"/>
          <w:szCs w:val="24"/>
          <w:lang w:val="en-NZ"/>
        </w:rPr>
      </w:pPr>
      <w:r w:rsidRPr="003C0FB0">
        <w:rPr>
          <w:sz w:val="24"/>
          <w:szCs w:val="24"/>
          <w:lang w:val="en-NZ"/>
        </w:rPr>
        <w:t xml:space="preserve">add </w:t>
      </w:r>
      <w:r w:rsidR="004B3CD5">
        <w:rPr>
          <w:sz w:val="24"/>
          <w:szCs w:val="24"/>
          <w:lang w:val="en-NZ"/>
        </w:rPr>
        <w:t xml:space="preserve">a footnote </w:t>
      </w:r>
      <w:r w:rsidRPr="003C0FB0">
        <w:rPr>
          <w:sz w:val="24"/>
          <w:szCs w:val="24"/>
          <w:lang w:val="en-NZ"/>
        </w:rPr>
        <w:t xml:space="preserve">to Annex I of CMM 2009-06 that </w:t>
      </w:r>
      <w:r w:rsidR="00AF34DF">
        <w:rPr>
          <w:sz w:val="24"/>
          <w:szCs w:val="24"/>
          <w:lang w:val="en-NZ"/>
        </w:rPr>
        <w:t>says</w:t>
      </w:r>
      <w:r w:rsidR="00662EFE">
        <w:rPr>
          <w:sz w:val="24"/>
          <w:szCs w:val="24"/>
          <w:lang w:val="en-NZ"/>
        </w:rPr>
        <w:t xml:space="preserve"> “</w:t>
      </w:r>
      <w:r w:rsidR="00662EFE" w:rsidRPr="00662EFE">
        <w:rPr>
          <w:sz w:val="24"/>
          <w:szCs w:val="24"/>
          <w:lang w:val="en-NZ"/>
        </w:rPr>
        <w:t xml:space="preserve">CCMs </w:t>
      </w:r>
      <w:r w:rsidR="008A5859">
        <w:rPr>
          <w:sz w:val="24"/>
          <w:szCs w:val="24"/>
          <w:lang w:val="en-NZ"/>
        </w:rPr>
        <w:t xml:space="preserve">shall submit information required in Annex I or in accordance </w:t>
      </w:r>
      <w:r w:rsidR="00662EFE" w:rsidRPr="00662EFE">
        <w:rPr>
          <w:sz w:val="24"/>
          <w:szCs w:val="24"/>
          <w:lang w:val="en-NZ"/>
        </w:rPr>
        <w:t xml:space="preserve">with </w:t>
      </w:r>
      <w:r w:rsidR="00662EFE">
        <w:rPr>
          <w:sz w:val="24"/>
          <w:szCs w:val="24"/>
          <w:lang w:val="en-NZ"/>
        </w:rPr>
        <w:t xml:space="preserve">E-reporting Standards </w:t>
      </w:r>
      <w:r w:rsidR="00662EFE" w:rsidRPr="00662EFE">
        <w:rPr>
          <w:sz w:val="24"/>
          <w:szCs w:val="24"/>
          <w:lang w:val="en-NZ"/>
        </w:rPr>
        <w:t xml:space="preserve">for </w:t>
      </w:r>
      <w:r w:rsidR="00102C99" w:rsidRPr="00783BA0">
        <w:rPr>
          <w:sz w:val="24"/>
          <w:szCs w:val="24"/>
          <w:lang w:val="en-NZ"/>
        </w:rPr>
        <w:t>transhipment declara</w:t>
      </w:r>
      <w:r w:rsidR="00102C99">
        <w:rPr>
          <w:sz w:val="24"/>
          <w:szCs w:val="24"/>
          <w:lang w:val="en-NZ"/>
        </w:rPr>
        <w:t>tions and transhipment notices</w:t>
      </w:r>
      <w:r w:rsidR="004B3CD5">
        <w:rPr>
          <w:sz w:val="24"/>
          <w:szCs w:val="24"/>
          <w:lang w:val="en-NZ"/>
        </w:rPr>
        <w:t>”; and</w:t>
      </w:r>
    </w:p>
    <w:p w14:paraId="65856BC5" w14:textId="24F4699B" w:rsidR="008A5859" w:rsidRPr="004B3CD5" w:rsidRDefault="008A5859" w:rsidP="004B3CD5">
      <w:pPr>
        <w:pStyle w:val="ListParagraph"/>
        <w:numPr>
          <w:ilvl w:val="1"/>
          <w:numId w:val="7"/>
        </w:numPr>
        <w:jc w:val="both"/>
        <w:rPr>
          <w:sz w:val="24"/>
          <w:szCs w:val="24"/>
          <w:lang w:val="en-NZ"/>
        </w:rPr>
      </w:pPr>
      <w:r w:rsidRPr="004B3CD5">
        <w:rPr>
          <w:sz w:val="24"/>
          <w:szCs w:val="24"/>
          <w:lang w:val="en-NZ"/>
        </w:rPr>
        <w:t xml:space="preserve">add </w:t>
      </w:r>
      <w:r w:rsidR="004B3CD5">
        <w:rPr>
          <w:sz w:val="24"/>
          <w:szCs w:val="24"/>
          <w:lang w:val="en-NZ"/>
        </w:rPr>
        <w:t>a footnote</w:t>
      </w:r>
      <w:r w:rsidRPr="004B3CD5">
        <w:rPr>
          <w:sz w:val="24"/>
          <w:szCs w:val="24"/>
          <w:lang w:val="en-NZ"/>
        </w:rPr>
        <w:t xml:space="preserve"> to Annex III of CMM 2009-06 that says “CCMs shall submit information required in Annex III or in accordance with E-reporting Standards for transhipment declarations and transhipment notices”. </w:t>
      </w:r>
    </w:p>
    <w:p w14:paraId="371C0E8A" w14:textId="77777777" w:rsidR="00662EFE" w:rsidRDefault="00662EFE" w:rsidP="00C44D64">
      <w:pPr>
        <w:jc w:val="both"/>
        <w:rPr>
          <w:b/>
          <w:sz w:val="24"/>
          <w:szCs w:val="24"/>
          <w:u w:val="single"/>
        </w:rPr>
      </w:pPr>
    </w:p>
    <w:p w14:paraId="4A668BB0" w14:textId="77777777" w:rsidR="004E4571" w:rsidRDefault="004E4571" w:rsidP="00C44D64">
      <w:pPr>
        <w:jc w:val="both"/>
        <w:rPr>
          <w:b/>
          <w:sz w:val="24"/>
          <w:szCs w:val="24"/>
          <w:u w:val="single"/>
        </w:rPr>
      </w:pPr>
      <w:r w:rsidRPr="004E4571">
        <w:rPr>
          <w:b/>
          <w:sz w:val="24"/>
          <w:szCs w:val="24"/>
          <w:u w:val="single"/>
        </w:rPr>
        <w:t>E-MONITORING</w:t>
      </w:r>
    </w:p>
    <w:p w14:paraId="21B17D0F" w14:textId="77777777" w:rsidR="006E1D6E" w:rsidRPr="006E1D6E" w:rsidRDefault="006E1D6E" w:rsidP="006E1D6E">
      <w:pPr>
        <w:jc w:val="both"/>
        <w:rPr>
          <w:b/>
          <w:sz w:val="24"/>
          <w:szCs w:val="24"/>
        </w:rPr>
      </w:pPr>
      <w:r w:rsidRPr="006E1D6E">
        <w:rPr>
          <w:b/>
          <w:sz w:val="24"/>
          <w:szCs w:val="24"/>
        </w:rPr>
        <w:t>E-Monitoring Process Standards Workshops</w:t>
      </w:r>
    </w:p>
    <w:p w14:paraId="311767FD" w14:textId="455710D6" w:rsidR="006E1D6E" w:rsidRDefault="006E1D6E" w:rsidP="006E1D6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6E1D6E">
        <w:rPr>
          <w:sz w:val="24"/>
          <w:szCs w:val="24"/>
        </w:rPr>
        <w:t>ERandEM WG note</w:t>
      </w:r>
      <w:r w:rsidR="00AF34DF">
        <w:rPr>
          <w:sz w:val="24"/>
          <w:szCs w:val="24"/>
        </w:rPr>
        <w:t xml:space="preserve">d the </w:t>
      </w:r>
      <w:r w:rsidR="00AF34DF">
        <w:rPr>
          <w:sz w:val="24"/>
          <w:szCs w:val="24"/>
        </w:rPr>
        <w:t xml:space="preserve">work done by SPC on developing EM process standards (ref WCPFC-ERandEMWG3-2018-IP02) </w:t>
      </w:r>
      <w:r w:rsidR="009D7101">
        <w:rPr>
          <w:sz w:val="24"/>
          <w:szCs w:val="24"/>
        </w:rPr>
        <w:t xml:space="preserve">which involves guidance on how observer data fields can or cannot be collected with EM </w:t>
      </w:r>
      <w:r w:rsidR="00F40C71">
        <w:rPr>
          <w:sz w:val="24"/>
          <w:szCs w:val="24"/>
        </w:rPr>
        <w:t xml:space="preserve">systems </w:t>
      </w:r>
      <w:r w:rsidR="00AF34DF">
        <w:rPr>
          <w:sz w:val="24"/>
          <w:szCs w:val="24"/>
        </w:rPr>
        <w:t xml:space="preserve">and noted that the standards provided a useful reference for developing EM programmes. </w:t>
      </w:r>
    </w:p>
    <w:p w14:paraId="69FD2FF2" w14:textId="550DE550" w:rsidR="00FA369B" w:rsidRDefault="00FA369B" w:rsidP="00FA369B">
      <w:pPr>
        <w:pStyle w:val="ListParagraph"/>
        <w:jc w:val="both"/>
        <w:rPr>
          <w:sz w:val="24"/>
          <w:szCs w:val="24"/>
        </w:rPr>
      </w:pPr>
    </w:p>
    <w:p w14:paraId="1123189D" w14:textId="6C4D76D5" w:rsidR="005A7AC1" w:rsidRPr="005A7AC1" w:rsidRDefault="005A7AC1" w:rsidP="005A7AC1">
      <w:pPr>
        <w:jc w:val="both"/>
        <w:rPr>
          <w:b/>
          <w:sz w:val="24"/>
          <w:szCs w:val="24"/>
        </w:rPr>
      </w:pPr>
      <w:r w:rsidRPr="005A7AC1">
        <w:rPr>
          <w:b/>
          <w:sz w:val="24"/>
          <w:szCs w:val="24"/>
        </w:rPr>
        <w:t>Data needs</w:t>
      </w:r>
    </w:p>
    <w:p w14:paraId="31254B5B" w14:textId="5E1EB6FD" w:rsidR="00FA369B" w:rsidRPr="004B3CD5" w:rsidRDefault="00AF34DF" w:rsidP="004B3CD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ERandEMWG </w:t>
      </w:r>
      <w:r w:rsidR="005A7AC1">
        <w:rPr>
          <w:sz w:val="24"/>
          <w:szCs w:val="24"/>
        </w:rPr>
        <w:t>noted</w:t>
      </w:r>
      <w:r>
        <w:rPr>
          <w:sz w:val="24"/>
          <w:szCs w:val="24"/>
        </w:rPr>
        <w:t xml:space="preserve"> </w:t>
      </w:r>
      <w:r w:rsidR="00F40C71">
        <w:rPr>
          <w:sz w:val="24"/>
          <w:szCs w:val="24"/>
        </w:rPr>
        <w:t xml:space="preserve">the results from </w:t>
      </w:r>
      <w:r>
        <w:rPr>
          <w:sz w:val="24"/>
          <w:szCs w:val="24"/>
        </w:rPr>
        <w:t xml:space="preserve">IP04 </w:t>
      </w:r>
      <w:r w:rsidR="00F40C71">
        <w:rPr>
          <w:sz w:val="24"/>
          <w:szCs w:val="24"/>
        </w:rPr>
        <w:t xml:space="preserve">examining scientific application of the longline ROP minimum data standard data fields.  </w:t>
      </w:r>
      <w:r w:rsidR="005A7AC1" w:rsidRPr="004B3CD5">
        <w:rPr>
          <w:sz w:val="24"/>
          <w:szCs w:val="24"/>
        </w:rPr>
        <w:t xml:space="preserve">ERandEM WG recommended that SC and TCC consider if a Commission wide data needs analysis </w:t>
      </w:r>
      <w:r w:rsidR="00AE47CA" w:rsidRPr="004B3CD5">
        <w:rPr>
          <w:sz w:val="24"/>
          <w:szCs w:val="24"/>
        </w:rPr>
        <w:t xml:space="preserve">and associated data collection and verification methods </w:t>
      </w:r>
      <w:r w:rsidR="005A7AC1" w:rsidRPr="004B3CD5">
        <w:rPr>
          <w:sz w:val="24"/>
          <w:szCs w:val="24"/>
        </w:rPr>
        <w:t>was needed.</w:t>
      </w:r>
    </w:p>
    <w:p w14:paraId="0353E435" w14:textId="77777777" w:rsidR="003B59E3" w:rsidRPr="004B3CD5" w:rsidRDefault="003B59E3" w:rsidP="004B3CD5">
      <w:pPr>
        <w:pStyle w:val="ListParagraph"/>
        <w:jc w:val="both"/>
        <w:rPr>
          <w:sz w:val="24"/>
          <w:szCs w:val="24"/>
        </w:rPr>
      </w:pPr>
    </w:p>
    <w:p w14:paraId="6283FD86" w14:textId="735730B5" w:rsidR="00F40C71" w:rsidRPr="004B3CD5" w:rsidRDefault="00407679" w:rsidP="004B3CD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4B3CD5">
        <w:rPr>
          <w:sz w:val="24"/>
          <w:szCs w:val="24"/>
        </w:rPr>
        <w:t>T</w:t>
      </w:r>
      <w:r w:rsidR="00F40C71" w:rsidRPr="004B3CD5">
        <w:rPr>
          <w:sz w:val="24"/>
          <w:szCs w:val="24"/>
        </w:rPr>
        <w:t>he ERandEMWG noted the strength of the ROP as a data collection and verification programme</w:t>
      </w:r>
      <w:r w:rsidRPr="004B3CD5">
        <w:rPr>
          <w:sz w:val="24"/>
          <w:szCs w:val="24"/>
        </w:rPr>
        <w:t xml:space="preserve"> that comes from its independence and impartiality, and recommended that any WCPFC EM Programme should also have this similar basis.  </w:t>
      </w:r>
    </w:p>
    <w:p w14:paraId="4F708E2E" w14:textId="10D33E7A" w:rsidR="00832C56" w:rsidRPr="00102C99" w:rsidRDefault="00102C99" w:rsidP="00102C99">
      <w:pPr>
        <w:jc w:val="both"/>
        <w:rPr>
          <w:b/>
          <w:sz w:val="24"/>
          <w:szCs w:val="24"/>
        </w:rPr>
      </w:pPr>
      <w:r w:rsidRPr="00102C99">
        <w:rPr>
          <w:b/>
          <w:sz w:val="24"/>
          <w:szCs w:val="24"/>
        </w:rPr>
        <w:t>E-</w:t>
      </w:r>
      <w:r>
        <w:rPr>
          <w:b/>
          <w:sz w:val="24"/>
          <w:szCs w:val="24"/>
        </w:rPr>
        <w:t>M</w:t>
      </w:r>
      <w:r w:rsidRPr="00102C99">
        <w:rPr>
          <w:b/>
          <w:sz w:val="24"/>
          <w:szCs w:val="24"/>
        </w:rPr>
        <w:t>onitoring Concept Paper</w:t>
      </w:r>
    </w:p>
    <w:p w14:paraId="105C55F8" w14:textId="4B753D87" w:rsidR="00832C56" w:rsidRDefault="00102C99" w:rsidP="00102C9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ERandEMWG recommend</w:t>
      </w:r>
      <w:r w:rsidR="00716237">
        <w:rPr>
          <w:sz w:val="24"/>
          <w:szCs w:val="24"/>
        </w:rPr>
        <w:t>ed</w:t>
      </w:r>
      <w:r>
        <w:rPr>
          <w:sz w:val="24"/>
          <w:szCs w:val="24"/>
        </w:rPr>
        <w:t xml:space="preserve"> that </w:t>
      </w:r>
      <w:r w:rsidRPr="00102C99">
        <w:rPr>
          <w:sz w:val="24"/>
          <w:szCs w:val="24"/>
        </w:rPr>
        <w:t>the Commission note that the approach outlined in the concept paper could be used as a general framework for progressing issues relating to implementation of EM</w:t>
      </w:r>
      <w:r w:rsidR="00716237">
        <w:rPr>
          <w:sz w:val="24"/>
          <w:szCs w:val="24"/>
        </w:rPr>
        <w:t>.  The ERandEMWG further</w:t>
      </w:r>
      <w:r w:rsidRPr="00102C99">
        <w:rPr>
          <w:sz w:val="24"/>
          <w:szCs w:val="24"/>
        </w:rPr>
        <w:t xml:space="preserve"> noted the </w:t>
      </w:r>
      <w:r w:rsidR="00716237">
        <w:rPr>
          <w:sz w:val="24"/>
          <w:szCs w:val="24"/>
        </w:rPr>
        <w:t>C</w:t>
      </w:r>
      <w:r w:rsidRPr="00102C99">
        <w:rPr>
          <w:sz w:val="24"/>
          <w:szCs w:val="24"/>
        </w:rPr>
        <w:t>hair would update the concept paper based on discussions at ERandEMWG3</w:t>
      </w:r>
      <w:r w:rsidR="00716237">
        <w:rPr>
          <w:sz w:val="24"/>
          <w:szCs w:val="24"/>
        </w:rPr>
        <w:t>,</w:t>
      </w:r>
      <w:r w:rsidRPr="00102C99">
        <w:rPr>
          <w:sz w:val="24"/>
          <w:szCs w:val="24"/>
        </w:rPr>
        <w:t xml:space="preserve"> </w:t>
      </w:r>
      <w:r w:rsidR="00716237">
        <w:rPr>
          <w:sz w:val="24"/>
          <w:szCs w:val="24"/>
        </w:rPr>
        <w:t xml:space="preserve">with particular focus on objectives and scope, </w:t>
      </w:r>
      <w:r w:rsidRPr="00102C99">
        <w:rPr>
          <w:sz w:val="24"/>
          <w:szCs w:val="24"/>
        </w:rPr>
        <w:t>and would circulate intersessionally to ERandEMWG participants with the possibility of using TCC</w:t>
      </w:r>
      <w:r w:rsidR="00F772ED">
        <w:rPr>
          <w:sz w:val="24"/>
          <w:szCs w:val="24"/>
        </w:rPr>
        <w:t>14</w:t>
      </w:r>
      <w:r w:rsidRPr="00102C99">
        <w:rPr>
          <w:sz w:val="24"/>
          <w:szCs w:val="24"/>
        </w:rPr>
        <w:t xml:space="preserve"> for informal consultations.</w:t>
      </w:r>
    </w:p>
    <w:p w14:paraId="632B8787" w14:textId="77777777" w:rsidR="00832C56" w:rsidRDefault="00832C56" w:rsidP="00832C56">
      <w:pPr>
        <w:pStyle w:val="ListParagraph"/>
        <w:jc w:val="both"/>
        <w:rPr>
          <w:sz w:val="24"/>
          <w:szCs w:val="24"/>
        </w:rPr>
      </w:pPr>
    </w:p>
    <w:p w14:paraId="3F9C1720" w14:textId="4EF159F3" w:rsidR="00102C99" w:rsidRPr="00716237" w:rsidRDefault="00F772ED" w:rsidP="0071623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16237" w:rsidRPr="00716237">
        <w:rPr>
          <w:sz w:val="24"/>
          <w:szCs w:val="24"/>
        </w:rPr>
        <w:t>ERandEMWG recommend</w:t>
      </w:r>
      <w:r>
        <w:rPr>
          <w:sz w:val="24"/>
          <w:szCs w:val="24"/>
        </w:rPr>
        <w:t>s</w:t>
      </w:r>
      <w:r w:rsidR="00716237" w:rsidRPr="00716237">
        <w:rPr>
          <w:sz w:val="24"/>
          <w:szCs w:val="24"/>
        </w:rPr>
        <w:t xml:space="preserve"> that the Commission agree to prioritising electronic monitoring in areas where independent data collection and verification is currently low and asked SC14 and TCC14 for advice on priority areas.</w:t>
      </w:r>
    </w:p>
    <w:p w14:paraId="0BBD5D2D" w14:textId="67499870" w:rsidR="00102C99" w:rsidRPr="004B3CD5" w:rsidRDefault="004B3CD5" w:rsidP="004B3CD5">
      <w:pPr>
        <w:jc w:val="both"/>
        <w:rPr>
          <w:sz w:val="24"/>
          <w:szCs w:val="24"/>
        </w:rPr>
      </w:pPr>
      <w:r>
        <w:rPr>
          <w:sz w:val="24"/>
          <w:szCs w:val="24"/>
        </w:rPr>
        <w:t>---</w:t>
      </w:r>
    </w:p>
    <w:sectPr w:rsidR="00102C99" w:rsidRPr="004B3C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7C8B6" w14:textId="77777777" w:rsidR="004F77DB" w:rsidRDefault="004F77DB" w:rsidP="00CD4388">
      <w:pPr>
        <w:spacing w:after="0" w:line="240" w:lineRule="auto"/>
      </w:pPr>
      <w:r>
        <w:separator/>
      </w:r>
    </w:p>
  </w:endnote>
  <w:endnote w:type="continuationSeparator" w:id="0">
    <w:p w14:paraId="7F47BBC3" w14:textId="77777777" w:rsidR="004F77DB" w:rsidRDefault="004F77DB" w:rsidP="00CD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56DAB" w14:textId="77777777" w:rsidR="00CD4388" w:rsidRDefault="00CD4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53B2B" w14:textId="77777777" w:rsidR="00CD4388" w:rsidRDefault="00CD43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D8A48" w14:textId="77777777" w:rsidR="00CD4388" w:rsidRDefault="00CD4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7E354" w14:textId="77777777" w:rsidR="004F77DB" w:rsidRDefault="004F77DB" w:rsidP="00CD4388">
      <w:pPr>
        <w:spacing w:after="0" w:line="240" w:lineRule="auto"/>
      </w:pPr>
      <w:r>
        <w:separator/>
      </w:r>
    </w:p>
  </w:footnote>
  <w:footnote w:type="continuationSeparator" w:id="0">
    <w:p w14:paraId="2D75E990" w14:textId="77777777" w:rsidR="004F77DB" w:rsidRDefault="004F77DB" w:rsidP="00CD4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E1770" w14:textId="77777777" w:rsidR="00CD4388" w:rsidRDefault="00CD4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EB03B" w14:textId="5EDB48EC" w:rsidR="00CD4388" w:rsidRDefault="00CD4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D293E" w14:textId="77777777" w:rsidR="00CD4388" w:rsidRDefault="00CD4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4058"/>
    <w:multiLevelType w:val="hybridMultilevel"/>
    <w:tmpl w:val="592691D2"/>
    <w:lvl w:ilvl="0" w:tplc="C70218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A3A6A3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26AACA90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B59A843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4744764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C0A64D04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2EC0214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2DEAF8F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56CECE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05453"/>
    <w:multiLevelType w:val="hybridMultilevel"/>
    <w:tmpl w:val="2178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7C96"/>
    <w:multiLevelType w:val="hybridMultilevel"/>
    <w:tmpl w:val="161EC890"/>
    <w:lvl w:ilvl="0" w:tplc="6A501A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77D75"/>
    <w:multiLevelType w:val="hybridMultilevel"/>
    <w:tmpl w:val="B0809E86"/>
    <w:lvl w:ilvl="0" w:tplc="0FC68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026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EB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E5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68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A8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2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AC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2F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9E2826"/>
    <w:multiLevelType w:val="hybridMultilevel"/>
    <w:tmpl w:val="D31A3122"/>
    <w:lvl w:ilvl="0" w:tplc="C70218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E80698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B59A843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4744764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C0A64D04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2EC0214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2DEAF8F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56CECE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D268F"/>
    <w:multiLevelType w:val="hybridMultilevel"/>
    <w:tmpl w:val="9A844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F52BF"/>
    <w:multiLevelType w:val="hybridMultilevel"/>
    <w:tmpl w:val="164E2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E2"/>
    <w:rsid w:val="0009708C"/>
    <w:rsid w:val="000C68F7"/>
    <w:rsid w:val="00102C99"/>
    <w:rsid w:val="00127D28"/>
    <w:rsid w:val="001309D7"/>
    <w:rsid w:val="0025608D"/>
    <w:rsid w:val="002A4AAD"/>
    <w:rsid w:val="002B3475"/>
    <w:rsid w:val="002C497F"/>
    <w:rsid w:val="002C7C57"/>
    <w:rsid w:val="00306407"/>
    <w:rsid w:val="003464A8"/>
    <w:rsid w:val="00376FAD"/>
    <w:rsid w:val="003B59E3"/>
    <w:rsid w:val="003C0FB0"/>
    <w:rsid w:val="003D7DBC"/>
    <w:rsid w:val="003F2D8C"/>
    <w:rsid w:val="00407679"/>
    <w:rsid w:val="00456DE2"/>
    <w:rsid w:val="004A67BD"/>
    <w:rsid w:val="004B09C3"/>
    <w:rsid w:val="004B3CD5"/>
    <w:rsid w:val="004B3CE8"/>
    <w:rsid w:val="004E4571"/>
    <w:rsid w:val="004F77DB"/>
    <w:rsid w:val="00520752"/>
    <w:rsid w:val="0057170C"/>
    <w:rsid w:val="0059227E"/>
    <w:rsid w:val="005A7AC1"/>
    <w:rsid w:val="005F13C4"/>
    <w:rsid w:val="00662EFE"/>
    <w:rsid w:val="0067788D"/>
    <w:rsid w:val="006E1D6E"/>
    <w:rsid w:val="006F0979"/>
    <w:rsid w:val="00707E4C"/>
    <w:rsid w:val="0071071F"/>
    <w:rsid w:val="00716237"/>
    <w:rsid w:val="00731C05"/>
    <w:rsid w:val="007569AB"/>
    <w:rsid w:val="00783BA0"/>
    <w:rsid w:val="0079230E"/>
    <w:rsid w:val="007B60D8"/>
    <w:rsid w:val="007C5088"/>
    <w:rsid w:val="008240B8"/>
    <w:rsid w:val="00832C56"/>
    <w:rsid w:val="00860823"/>
    <w:rsid w:val="0089095D"/>
    <w:rsid w:val="008A5859"/>
    <w:rsid w:val="00915A49"/>
    <w:rsid w:val="00917CC5"/>
    <w:rsid w:val="00944375"/>
    <w:rsid w:val="0097291D"/>
    <w:rsid w:val="009D6DD3"/>
    <w:rsid w:val="009D7101"/>
    <w:rsid w:val="00A00DFC"/>
    <w:rsid w:val="00A057AB"/>
    <w:rsid w:val="00AD336F"/>
    <w:rsid w:val="00AE47CA"/>
    <w:rsid w:val="00AF34DF"/>
    <w:rsid w:val="00B17E1E"/>
    <w:rsid w:val="00B272D2"/>
    <w:rsid w:val="00B369AF"/>
    <w:rsid w:val="00BB5840"/>
    <w:rsid w:val="00C3594E"/>
    <w:rsid w:val="00C44D64"/>
    <w:rsid w:val="00CA4D4D"/>
    <w:rsid w:val="00CA6D10"/>
    <w:rsid w:val="00CD4388"/>
    <w:rsid w:val="00D42D00"/>
    <w:rsid w:val="00D712B6"/>
    <w:rsid w:val="00D83E9D"/>
    <w:rsid w:val="00D95B0A"/>
    <w:rsid w:val="00DA5C8E"/>
    <w:rsid w:val="00EB3606"/>
    <w:rsid w:val="00EF0A86"/>
    <w:rsid w:val="00EF0F43"/>
    <w:rsid w:val="00F1712D"/>
    <w:rsid w:val="00F40C71"/>
    <w:rsid w:val="00F67249"/>
    <w:rsid w:val="00F772ED"/>
    <w:rsid w:val="00F86E93"/>
    <w:rsid w:val="00F957FB"/>
    <w:rsid w:val="00FA369B"/>
    <w:rsid w:val="00FE3182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BD759"/>
  <w15:chartTrackingRefBased/>
  <w15:docId w15:val="{DF8F4F60-E3D5-4FDD-8088-4B3ADEF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388"/>
  </w:style>
  <w:style w:type="paragraph" w:styleId="Footer">
    <w:name w:val="footer"/>
    <w:basedOn w:val="Normal"/>
    <w:link w:val="FooterChar"/>
    <w:uiPriority w:val="99"/>
    <w:unhideWhenUsed/>
    <w:rsid w:val="00CD4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388"/>
  </w:style>
  <w:style w:type="paragraph" w:styleId="BalloonText">
    <w:name w:val="Balloon Text"/>
    <w:basedOn w:val="Normal"/>
    <w:link w:val="BalloonTextChar"/>
    <w:uiPriority w:val="99"/>
    <w:semiHidden/>
    <w:unhideWhenUsed/>
    <w:rsid w:val="00DA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8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C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C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7C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62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E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7845">
          <w:marLeft w:val="108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1815">
          <w:marLeft w:val="108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14">
          <w:marLeft w:val="108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518">
          <w:marLeft w:val="108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144">
          <w:marLeft w:val="108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179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8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31C6C-01D6-405A-88DD-4F416700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Manarangi-Trott</dc:creator>
  <cp:keywords/>
  <dc:description/>
  <cp:lastModifiedBy>Lara Manarangi-Trott</cp:lastModifiedBy>
  <cp:revision>3</cp:revision>
  <dcterms:created xsi:type="dcterms:W3CDTF">2018-08-07T06:31:00Z</dcterms:created>
  <dcterms:modified xsi:type="dcterms:W3CDTF">2018-08-07T06:34:00Z</dcterms:modified>
</cp:coreProperties>
</file>