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A173A" w14:textId="77777777" w:rsidR="00C1455F" w:rsidRDefault="00C1455F" w:rsidP="009C2ADD">
      <w:pPr>
        <w:autoSpaceDE w:val="0"/>
        <w:autoSpaceDN w:val="0"/>
        <w:adjustRightInd w:val="0"/>
        <w:snapToGrid w:val="0"/>
        <w:spacing w:after="0"/>
        <w:jc w:val="center"/>
        <w:rPr>
          <w:rFonts w:ascii="Times New Roman" w:hAnsi="Times New Roman"/>
          <w:b/>
          <w:bCs/>
          <w:lang w:val="en-AU" w:eastAsia="en-NZ"/>
        </w:rPr>
      </w:pPr>
    </w:p>
    <w:p w14:paraId="2109CCE3" w14:textId="77777777" w:rsidR="00C1455F" w:rsidRDefault="00C1455F" w:rsidP="009C2ADD">
      <w:pPr>
        <w:autoSpaceDE w:val="0"/>
        <w:autoSpaceDN w:val="0"/>
        <w:adjustRightInd w:val="0"/>
        <w:snapToGrid w:val="0"/>
        <w:spacing w:after="0"/>
        <w:jc w:val="center"/>
        <w:rPr>
          <w:rFonts w:ascii="Times New Roman" w:hAnsi="Times New Roman"/>
          <w:b/>
          <w:bCs/>
          <w:lang w:val="en-AU" w:eastAsia="en-NZ"/>
        </w:rPr>
      </w:pPr>
    </w:p>
    <w:p w14:paraId="1005D884" w14:textId="77777777" w:rsidR="00C1455F" w:rsidRDefault="00C1455F" w:rsidP="009C2ADD">
      <w:pPr>
        <w:autoSpaceDE w:val="0"/>
        <w:autoSpaceDN w:val="0"/>
        <w:adjustRightInd w:val="0"/>
        <w:snapToGrid w:val="0"/>
        <w:spacing w:after="0"/>
        <w:jc w:val="center"/>
        <w:rPr>
          <w:rFonts w:ascii="Times New Roman" w:hAnsi="Times New Roman"/>
          <w:b/>
          <w:bCs/>
          <w:lang w:val="en-AU" w:eastAsia="en-NZ"/>
        </w:rPr>
      </w:pPr>
    </w:p>
    <w:p w14:paraId="5F7E7A1F" w14:textId="55E8CAC6" w:rsidR="00F07098" w:rsidRPr="009C2ADD" w:rsidRDefault="00535BED" w:rsidP="009C2ADD">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noProof/>
          <w:lang w:val="en-US" w:eastAsia="ko-KR"/>
        </w:rPr>
        <w:drawing>
          <wp:inline distT="0" distB="0" distL="0" distR="0" wp14:anchorId="110ABA23" wp14:editId="049EA9E8">
            <wp:extent cx="2106295"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121FD53A"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6A43BD01"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4A0401EE" w14:textId="073E9AAF" w:rsidR="00F07098" w:rsidRPr="009C2ADD" w:rsidRDefault="00F07098" w:rsidP="009C2ADD">
      <w:pPr>
        <w:adjustRightInd w:val="0"/>
        <w:snapToGrid w:val="0"/>
        <w:spacing w:after="0"/>
        <w:jc w:val="center"/>
        <w:rPr>
          <w:rFonts w:ascii="Times New Roman" w:hAnsi="Times New Roman"/>
          <w:b/>
        </w:rPr>
      </w:pPr>
      <w:r w:rsidRPr="009C2ADD">
        <w:rPr>
          <w:rFonts w:ascii="Times New Roman" w:hAnsi="Times New Roman"/>
          <w:b/>
        </w:rPr>
        <w:t xml:space="preserve">The Commission for the Conservation and Management of </w:t>
      </w:r>
    </w:p>
    <w:p w14:paraId="16CADC48" w14:textId="77777777" w:rsidR="00F07098" w:rsidRPr="009C2ADD" w:rsidRDefault="00F07098" w:rsidP="009C2ADD">
      <w:pPr>
        <w:adjustRightInd w:val="0"/>
        <w:snapToGrid w:val="0"/>
        <w:spacing w:after="0"/>
        <w:jc w:val="center"/>
        <w:rPr>
          <w:rFonts w:ascii="Times New Roman" w:hAnsi="Times New Roman"/>
          <w:b/>
        </w:rPr>
      </w:pPr>
      <w:r w:rsidRPr="009C2ADD">
        <w:rPr>
          <w:rFonts w:ascii="Times New Roman" w:hAnsi="Times New Roman"/>
          <w:b/>
        </w:rPr>
        <w:t xml:space="preserve">Highly Migratory Fish Stocks in the Western and Central Pacific Ocean </w:t>
      </w:r>
    </w:p>
    <w:p w14:paraId="7F71814E" w14:textId="77777777" w:rsidR="00F07098" w:rsidRPr="009C2ADD" w:rsidRDefault="00F07098" w:rsidP="009C2ADD">
      <w:pPr>
        <w:adjustRightInd w:val="0"/>
        <w:snapToGrid w:val="0"/>
        <w:spacing w:after="0"/>
        <w:jc w:val="center"/>
        <w:rPr>
          <w:rFonts w:ascii="Times New Roman" w:hAnsi="Times New Roman"/>
          <w:b/>
        </w:rPr>
      </w:pPr>
    </w:p>
    <w:p w14:paraId="407A94A8" w14:textId="77777777" w:rsidR="00F07098" w:rsidRPr="009C2ADD" w:rsidRDefault="00F07098" w:rsidP="009C2ADD">
      <w:pPr>
        <w:adjustRightInd w:val="0"/>
        <w:snapToGrid w:val="0"/>
        <w:spacing w:after="0"/>
        <w:jc w:val="center"/>
        <w:rPr>
          <w:rFonts w:ascii="Times New Roman" w:hAnsi="Times New Roman"/>
          <w:b/>
        </w:rPr>
      </w:pPr>
    </w:p>
    <w:p w14:paraId="39A5CCAB" w14:textId="77777777" w:rsidR="00F07098" w:rsidRPr="009C2ADD" w:rsidRDefault="00F07098" w:rsidP="009C2ADD">
      <w:pPr>
        <w:adjustRightInd w:val="0"/>
        <w:snapToGrid w:val="0"/>
        <w:spacing w:after="0"/>
        <w:jc w:val="center"/>
        <w:rPr>
          <w:rFonts w:ascii="Times New Roman" w:hAnsi="Times New Roman"/>
          <w:b/>
        </w:rPr>
      </w:pPr>
    </w:p>
    <w:p w14:paraId="28A99B95" w14:textId="77777777" w:rsidR="00F07098" w:rsidRPr="009C2ADD" w:rsidRDefault="00F07098" w:rsidP="009C2ADD">
      <w:pPr>
        <w:adjustRightInd w:val="0"/>
        <w:snapToGrid w:val="0"/>
        <w:spacing w:after="0"/>
        <w:jc w:val="center"/>
        <w:rPr>
          <w:rFonts w:ascii="Times New Roman" w:hAnsi="Times New Roman"/>
          <w:b/>
        </w:rPr>
      </w:pPr>
      <w:r w:rsidRPr="009C2ADD">
        <w:rPr>
          <w:rFonts w:ascii="Times New Roman" w:hAnsi="Times New Roman"/>
          <w:b/>
        </w:rPr>
        <w:t>Thirteenth Regular Session of the Scientific Committee</w:t>
      </w:r>
    </w:p>
    <w:p w14:paraId="15DFED3B" w14:textId="77777777" w:rsidR="00D352AD" w:rsidRPr="009C2ADD" w:rsidRDefault="00D352AD" w:rsidP="009C2ADD">
      <w:pPr>
        <w:adjustRightInd w:val="0"/>
        <w:snapToGrid w:val="0"/>
        <w:spacing w:after="0"/>
        <w:jc w:val="center"/>
        <w:rPr>
          <w:rFonts w:ascii="Times New Roman" w:hAnsi="Times New Roman"/>
          <w:b/>
        </w:rPr>
      </w:pPr>
    </w:p>
    <w:p w14:paraId="0DC26658" w14:textId="77777777" w:rsidR="00F07098" w:rsidRPr="009C2ADD" w:rsidRDefault="00F07098" w:rsidP="009C2ADD">
      <w:pPr>
        <w:adjustRightInd w:val="0"/>
        <w:snapToGrid w:val="0"/>
        <w:spacing w:after="0"/>
        <w:jc w:val="center"/>
        <w:rPr>
          <w:rFonts w:ascii="Times New Roman" w:hAnsi="Times New Roman"/>
          <w:b/>
        </w:rPr>
      </w:pPr>
      <w:r w:rsidRPr="009C2ADD">
        <w:rPr>
          <w:rFonts w:ascii="Times New Roman" w:hAnsi="Times New Roman"/>
          <w:b/>
        </w:rPr>
        <w:t>Rarotonga, Cook Islands</w:t>
      </w:r>
    </w:p>
    <w:p w14:paraId="75DCEED2" w14:textId="77777777" w:rsidR="00F07098" w:rsidRPr="009C2ADD" w:rsidRDefault="00F07098" w:rsidP="009C2ADD">
      <w:pPr>
        <w:adjustRightInd w:val="0"/>
        <w:snapToGrid w:val="0"/>
        <w:spacing w:after="0"/>
        <w:jc w:val="center"/>
        <w:rPr>
          <w:rFonts w:ascii="Times New Roman" w:hAnsi="Times New Roman"/>
          <w:b/>
        </w:rPr>
      </w:pPr>
      <w:r w:rsidRPr="009C2ADD">
        <w:rPr>
          <w:rFonts w:ascii="Times New Roman" w:hAnsi="Times New Roman"/>
          <w:b/>
        </w:rPr>
        <w:t>9 - 17 August 2017</w:t>
      </w:r>
    </w:p>
    <w:p w14:paraId="37C2D89D" w14:textId="77777777" w:rsidR="00F07098" w:rsidRPr="009C2ADD" w:rsidRDefault="00F07098" w:rsidP="009C2ADD">
      <w:pPr>
        <w:adjustRightInd w:val="0"/>
        <w:snapToGrid w:val="0"/>
        <w:spacing w:after="0"/>
        <w:jc w:val="center"/>
        <w:rPr>
          <w:rFonts w:ascii="Times New Roman" w:hAnsi="Times New Roman"/>
          <w:b/>
        </w:rPr>
      </w:pPr>
    </w:p>
    <w:p w14:paraId="03EB73F1" w14:textId="77777777" w:rsidR="00D352AD" w:rsidRPr="009C2ADD" w:rsidRDefault="00D352AD" w:rsidP="009C2ADD">
      <w:pPr>
        <w:adjustRightInd w:val="0"/>
        <w:snapToGrid w:val="0"/>
        <w:spacing w:after="0"/>
        <w:jc w:val="center"/>
        <w:rPr>
          <w:rFonts w:ascii="Times New Roman" w:hAnsi="Times New Roman"/>
          <w:b/>
        </w:rPr>
      </w:pPr>
    </w:p>
    <w:p w14:paraId="7ACB928E" w14:textId="77777777" w:rsidR="00D352AD" w:rsidRPr="009C2ADD" w:rsidRDefault="00D352AD" w:rsidP="009C2ADD">
      <w:pPr>
        <w:adjustRightInd w:val="0"/>
        <w:snapToGrid w:val="0"/>
        <w:spacing w:after="0"/>
        <w:jc w:val="center"/>
        <w:rPr>
          <w:rFonts w:ascii="Times New Roman" w:hAnsi="Times New Roman"/>
          <w:b/>
        </w:rPr>
      </w:pPr>
    </w:p>
    <w:p w14:paraId="7BF1ACE1" w14:textId="77777777" w:rsidR="00D352AD" w:rsidRDefault="00D352AD" w:rsidP="009C2ADD">
      <w:pPr>
        <w:adjustRightInd w:val="0"/>
        <w:snapToGrid w:val="0"/>
        <w:spacing w:after="0"/>
        <w:jc w:val="center"/>
        <w:rPr>
          <w:rFonts w:ascii="Times New Roman" w:hAnsi="Times New Roman"/>
          <w:b/>
          <w:lang w:eastAsia="ko-KR"/>
        </w:rPr>
      </w:pPr>
    </w:p>
    <w:p w14:paraId="04A70CDD" w14:textId="77777777" w:rsidR="0014588F" w:rsidRPr="009C2ADD" w:rsidRDefault="0014588F" w:rsidP="009C2ADD">
      <w:pPr>
        <w:adjustRightInd w:val="0"/>
        <w:snapToGrid w:val="0"/>
        <w:spacing w:after="0"/>
        <w:jc w:val="center"/>
        <w:rPr>
          <w:rFonts w:ascii="Times New Roman" w:hAnsi="Times New Roman"/>
          <w:b/>
          <w:lang w:eastAsia="ko-KR"/>
        </w:rPr>
      </w:pPr>
    </w:p>
    <w:p w14:paraId="77A87D68" w14:textId="77777777" w:rsidR="00D352AD" w:rsidRPr="009C2ADD" w:rsidRDefault="00D352AD" w:rsidP="009C2ADD">
      <w:pPr>
        <w:adjustRightInd w:val="0"/>
        <w:snapToGrid w:val="0"/>
        <w:spacing w:after="0"/>
        <w:jc w:val="center"/>
        <w:rPr>
          <w:rFonts w:ascii="Times New Roman" w:hAnsi="Times New Roman"/>
          <w:b/>
        </w:rPr>
      </w:pPr>
    </w:p>
    <w:p w14:paraId="10651D18" w14:textId="06C24A61" w:rsidR="009608F1" w:rsidRPr="009608F1" w:rsidRDefault="009608F1" w:rsidP="009C2ADD">
      <w:pPr>
        <w:adjustRightInd w:val="0"/>
        <w:snapToGrid w:val="0"/>
        <w:spacing w:after="0"/>
        <w:jc w:val="center"/>
        <w:rPr>
          <w:rFonts w:ascii="Times New Roman" w:hAnsi="Times New Roman"/>
          <w:b/>
          <w:color w:val="FF0000"/>
          <w:lang w:eastAsia="ko-KR"/>
        </w:rPr>
      </w:pPr>
      <w:bookmarkStart w:id="0" w:name="_GoBack"/>
      <w:bookmarkEnd w:id="0"/>
    </w:p>
    <w:p w14:paraId="25A8EB9A" w14:textId="1219E36F" w:rsidR="00F07098" w:rsidRPr="009C2ADD" w:rsidRDefault="00D50099" w:rsidP="009C2ADD">
      <w:pPr>
        <w:adjustRightInd w:val="0"/>
        <w:snapToGrid w:val="0"/>
        <w:spacing w:after="0"/>
        <w:jc w:val="center"/>
        <w:rPr>
          <w:rFonts w:ascii="Times New Roman" w:hAnsi="Times New Roman"/>
          <w:b/>
        </w:rPr>
      </w:pPr>
      <w:r w:rsidRPr="009C2ADD">
        <w:rPr>
          <w:rFonts w:ascii="Times New Roman" w:hAnsi="Times New Roman"/>
          <w:b/>
        </w:rPr>
        <w:t>SUMMARY</w:t>
      </w:r>
      <w:r w:rsidR="00F07098" w:rsidRPr="009C2ADD">
        <w:rPr>
          <w:rFonts w:ascii="Times New Roman" w:hAnsi="Times New Roman"/>
          <w:b/>
        </w:rPr>
        <w:t xml:space="preserve"> REPORT</w:t>
      </w:r>
    </w:p>
    <w:p w14:paraId="67045E05" w14:textId="54BD1545" w:rsidR="0039624C" w:rsidRDefault="0039624C">
      <w:pPr>
        <w:spacing w:after="0"/>
        <w:jc w:val="left"/>
        <w:rPr>
          <w:rFonts w:ascii="Times New Roman" w:hAnsi="Times New Roman"/>
          <w:b/>
        </w:rPr>
      </w:pPr>
      <w:r>
        <w:rPr>
          <w:rFonts w:ascii="Times New Roman" w:hAnsi="Times New Roman"/>
          <w:b/>
        </w:rPr>
        <w:br w:type="page"/>
      </w:r>
    </w:p>
    <w:p w14:paraId="74E5D965" w14:textId="77777777" w:rsidR="00F07098" w:rsidRDefault="00F07098" w:rsidP="0039624C">
      <w:pPr>
        <w:adjustRightInd w:val="0"/>
        <w:snapToGrid w:val="0"/>
        <w:spacing w:after="0"/>
        <w:jc w:val="left"/>
        <w:rPr>
          <w:rFonts w:ascii="Times New Roman" w:hAnsi="Times New Roman"/>
          <w:b/>
        </w:rPr>
      </w:pPr>
    </w:p>
    <w:p w14:paraId="6BC7E2F2" w14:textId="5B46FAFD" w:rsidR="007634FC" w:rsidRPr="007634FC" w:rsidRDefault="007634FC" w:rsidP="0079553C">
      <w:pPr>
        <w:pStyle w:val="Best2"/>
        <w:numPr>
          <w:ilvl w:val="0"/>
          <w:numId w:val="0"/>
        </w:numPr>
        <w:ind w:left="1440" w:hanging="360"/>
      </w:pPr>
    </w:p>
    <w:p w14:paraId="2D97CE58" w14:textId="77777777" w:rsidR="00F07098" w:rsidRPr="009C2ADD" w:rsidRDefault="00F07098" w:rsidP="009C2ADD">
      <w:pPr>
        <w:adjustRightInd w:val="0"/>
        <w:snapToGrid w:val="0"/>
        <w:spacing w:after="0"/>
        <w:jc w:val="center"/>
        <w:rPr>
          <w:rFonts w:ascii="Times New Roman" w:hAnsi="Times New Roman"/>
          <w:b/>
        </w:rPr>
      </w:pPr>
    </w:p>
    <w:p w14:paraId="33D3C85B"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5EBA2259"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25C4A1A0"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0379432E"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5E12FD32"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19885DEE"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1F88231E"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44B7FD74"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618336E3"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01DD83F3"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2A1BC0D1"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05C0ECF8"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554FA4CF" w14:textId="77777777" w:rsidR="00F07098" w:rsidRPr="009C2ADD" w:rsidRDefault="00F07098" w:rsidP="009C2ADD">
      <w:pPr>
        <w:autoSpaceDE w:val="0"/>
        <w:autoSpaceDN w:val="0"/>
        <w:adjustRightInd w:val="0"/>
        <w:snapToGrid w:val="0"/>
        <w:spacing w:after="0"/>
        <w:jc w:val="center"/>
        <w:rPr>
          <w:rFonts w:ascii="Times New Roman" w:hAnsi="Times New Roman"/>
          <w:b/>
          <w:bCs/>
          <w:lang w:val="en-AU" w:eastAsia="en-NZ"/>
        </w:rPr>
      </w:pPr>
    </w:p>
    <w:p w14:paraId="04EFF089" w14:textId="77777777" w:rsidR="00D352AD" w:rsidRPr="009C2ADD" w:rsidRDefault="00D352AD" w:rsidP="009C2ADD">
      <w:pPr>
        <w:adjustRightInd w:val="0"/>
        <w:snapToGrid w:val="0"/>
        <w:spacing w:after="0"/>
        <w:jc w:val="left"/>
        <w:rPr>
          <w:rFonts w:ascii="Times New Roman" w:eastAsia="Times New Roman" w:hAnsi="Times New Roman"/>
          <w:caps/>
          <w:lang w:val="en-US"/>
        </w:rPr>
      </w:pPr>
      <w:r w:rsidRPr="009C2ADD">
        <w:rPr>
          <w:rFonts w:ascii="Times New Roman" w:hAnsi="Times New Roman"/>
        </w:rPr>
        <w:br w:type="page"/>
      </w:r>
    </w:p>
    <w:p w14:paraId="4B2020BB" w14:textId="1D594670" w:rsidR="003622B5" w:rsidRPr="009C2ADD" w:rsidRDefault="003622B5" w:rsidP="0079553C">
      <w:pPr>
        <w:pStyle w:val="TOCHeading"/>
        <w:adjustRightInd w:val="0"/>
        <w:snapToGrid w:val="0"/>
        <w:spacing w:before="0" w:line="240" w:lineRule="auto"/>
        <w:jc w:val="center"/>
        <w:rPr>
          <w:rFonts w:ascii="Times New Roman" w:hAnsi="Times New Roman"/>
          <w:color w:val="auto"/>
          <w:sz w:val="22"/>
          <w:szCs w:val="22"/>
        </w:rPr>
      </w:pPr>
      <w:r w:rsidRPr="009C2ADD">
        <w:rPr>
          <w:rFonts w:ascii="Times New Roman" w:hAnsi="Times New Roman"/>
          <w:color w:val="auto"/>
          <w:sz w:val="22"/>
          <w:szCs w:val="22"/>
        </w:rPr>
        <w:t>Table of Contents</w:t>
      </w:r>
    </w:p>
    <w:p w14:paraId="768270BA" w14:textId="77777777" w:rsidR="00D352AD" w:rsidRDefault="00D352AD" w:rsidP="0079553C">
      <w:pPr>
        <w:adjustRightInd w:val="0"/>
        <w:snapToGrid w:val="0"/>
        <w:spacing w:after="0"/>
        <w:rPr>
          <w:rFonts w:ascii="Times New Roman" w:hAnsi="Times New Roman"/>
          <w:lang w:val="en-US"/>
        </w:rPr>
      </w:pPr>
    </w:p>
    <w:p w14:paraId="332A0FD4" w14:textId="1CA1F7DE" w:rsidR="0079553C" w:rsidRPr="002F5BDA" w:rsidRDefault="0079553C" w:rsidP="002F5BDA">
      <w:pPr>
        <w:pStyle w:val="TOC1"/>
        <w:ind w:right="360"/>
        <w:rPr>
          <w:rFonts w:ascii="Times New Roman" w:hAnsi="Times New Roman"/>
          <w:b/>
          <w:caps/>
          <w:lang w:eastAsia="ko-KR"/>
        </w:rPr>
      </w:pPr>
      <w:r w:rsidRPr="002F5BDA">
        <w:rPr>
          <w:rFonts w:ascii="Times New Roman" w:hAnsi="Times New Roman"/>
          <w:caps/>
          <w:lang w:val="en-GB"/>
        </w:rPr>
        <w:t>EXECUTIVE SUMMARY</w:t>
      </w:r>
      <w:r w:rsidRPr="002F5BDA">
        <w:rPr>
          <w:rFonts w:ascii="Times New Roman" w:hAnsi="Times New Roman"/>
          <w:caps/>
          <w:webHidden/>
        </w:rPr>
        <w:tab/>
      </w:r>
      <w:r w:rsidR="002F5BDA" w:rsidRPr="002F5BDA">
        <w:rPr>
          <w:rFonts w:ascii="Times New Roman" w:hAnsi="Times New Roman"/>
          <w:caps/>
          <w:webHidden/>
        </w:rPr>
        <w:t>...</w:t>
      </w:r>
      <w:r w:rsidRPr="002F5BDA">
        <w:rPr>
          <w:rFonts w:ascii="Times New Roman" w:hAnsi="Times New Roman"/>
          <w:lang w:eastAsia="ko-KR"/>
        </w:rPr>
        <w:t>iv</w:t>
      </w:r>
    </w:p>
    <w:p w14:paraId="6FADFEF8" w14:textId="785EFB44" w:rsidR="0079553C" w:rsidRPr="002F5BDA" w:rsidRDefault="0079553C" w:rsidP="002F5BDA">
      <w:pPr>
        <w:pStyle w:val="TOC1"/>
        <w:ind w:right="360"/>
        <w:rPr>
          <w:rFonts w:ascii="Times New Roman" w:hAnsi="Times New Roman"/>
          <w:b/>
          <w:caps/>
        </w:rPr>
      </w:pPr>
      <w:r w:rsidRPr="002F5BDA">
        <w:rPr>
          <w:rFonts w:ascii="Times New Roman" w:eastAsia="MS Mincho" w:hAnsi="Times New Roman"/>
          <w:bCs/>
          <w:caps/>
          <w:lang w:val="en-GB"/>
        </w:rPr>
        <w:t>summary report</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_Toc404103425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Pr="002F5BDA">
        <w:rPr>
          <w:rFonts w:ascii="Times New Roman" w:hAnsi="Times New Roman"/>
          <w:caps/>
          <w:webHidden/>
        </w:rPr>
        <w:fldChar w:fldCharType="end"/>
      </w:r>
    </w:p>
    <w:p w14:paraId="011B70D3" w14:textId="14CDA774"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1 — Opening of Meeting</w:t>
      </w:r>
      <w:r w:rsidRPr="002F5BDA">
        <w:rPr>
          <w:rFonts w:ascii="Times New Roman" w:hAnsi="Times New Roman"/>
          <w:caps/>
          <w:webHidden/>
        </w:rPr>
        <w:tab/>
      </w:r>
      <w:r w:rsidR="002F5BDA">
        <w:rPr>
          <w:rFonts w:ascii="Times New Roman" w:hAnsi="Times New Roman"/>
          <w:caps/>
          <w:webHidden/>
        </w:rPr>
        <w:t>1</w:t>
      </w:r>
    </w:p>
    <w:p w14:paraId="14C40461" w14:textId="0F9AAC9B"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2 — review of fisheries</w:t>
      </w:r>
      <w:r w:rsidRPr="002F5BDA">
        <w:rPr>
          <w:rFonts w:ascii="Times New Roman" w:hAnsi="Times New Roman"/>
          <w:caps/>
          <w:webHidden/>
        </w:rPr>
        <w:tab/>
      </w:r>
      <w:r w:rsidR="002F5BDA">
        <w:rPr>
          <w:rFonts w:ascii="Times New Roman" w:hAnsi="Times New Roman"/>
          <w:caps/>
          <w:webHidden/>
        </w:rPr>
        <w:t>4</w:t>
      </w:r>
    </w:p>
    <w:p w14:paraId="3EE8B9C8" w14:textId="1040A7CD"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3 — Data and Statistics Theme</w:t>
      </w:r>
      <w:r w:rsidRPr="002F5BDA">
        <w:rPr>
          <w:rFonts w:ascii="Times New Roman" w:hAnsi="Times New Roman"/>
          <w:caps/>
          <w:webHidden/>
        </w:rPr>
        <w:tab/>
      </w:r>
      <w:r w:rsidR="002F5BDA">
        <w:rPr>
          <w:rFonts w:ascii="Times New Roman" w:hAnsi="Times New Roman"/>
          <w:caps/>
          <w:webHidden/>
        </w:rPr>
        <w:t>12</w:t>
      </w:r>
    </w:p>
    <w:p w14:paraId="012C0A02" w14:textId="030F7825"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4 — Stock Assessment Theme</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_Toc404103429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2</w:t>
      </w:r>
      <w:r w:rsidR="002F5BDA">
        <w:rPr>
          <w:rFonts w:ascii="Times New Roman" w:hAnsi="Times New Roman"/>
          <w:caps/>
          <w:webHidden/>
        </w:rPr>
        <w:t>4</w:t>
      </w:r>
      <w:r w:rsidRPr="002F5BDA">
        <w:rPr>
          <w:rFonts w:ascii="Times New Roman" w:hAnsi="Times New Roman"/>
          <w:caps/>
          <w:webHidden/>
        </w:rPr>
        <w:fldChar w:fldCharType="end"/>
      </w:r>
    </w:p>
    <w:p w14:paraId="1188B084" w14:textId="7BAB496F"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5 — Management Issues Theme</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_Toc404103430 \h </w:instrText>
      </w:r>
      <w:r w:rsidRPr="002F5BDA">
        <w:rPr>
          <w:rFonts w:ascii="Times New Roman" w:hAnsi="Times New Roman"/>
          <w:caps/>
          <w:webHidden/>
        </w:rPr>
      </w:r>
      <w:r w:rsidRPr="002F5BDA">
        <w:rPr>
          <w:rFonts w:ascii="Times New Roman" w:hAnsi="Times New Roman"/>
          <w:caps/>
          <w:webHidden/>
        </w:rPr>
        <w:fldChar w:fldCharType="separate"/>
      </w:r>
      <w:r w:rsidR="005B04A2">
        <w:rPr>
          <w:rFonts w:ascii="Times New Roman" w:hAnsi="Times New Roman"/>
          <w:caps/>
          <w:webHidden/>
        </w:rPr>
        <w:t>109</w:t>
      </w:r>
      <w:r w:rsidRPr="002F5BDA">
        <w:rPr>
          <w:rFonts w:ascii="Times New Roman" w:hAnsi="Times New Roman"/>
          <w:caps/>
          <w:webHidden/>
        </w:rPr>
        <w:fldChar w:fldCharType="end"/>
      </w:r>
    </w:p>
    <w:p w14:paraId="43E87DDD" w14:textId="6018BA60"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6 — Ecosystem and Bycatch Mitigation Theme</w:t>
      </w:r>
      <w:r w:rsidRPr="002F5BDA">
        <w:rPr>
          <w:rFonts w:ascii="Times New Roman" w:hAnsi="Times New Roman"/>
          <w:caps/>
          <w:webHidden/>
        </w:rPr>
        <w:tab/>
      </w:r>
      <w:r w:rsidR="005B04A2">
        <w:rPr>
          <w:rFonts w:ascii="Times New Roman" w:hAnsi="Times New Roman"/>
          <w:caps/>
          <w:webHidden/>
        </w:rPr>
        <w:t>123</w:t>
      </w:r>
    </w:p>
    <w:p w14:paraId="49315852" w14:textId="1CDEFEF9"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7 — Other Research Projects</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_Toc404103432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5B04A2">
        <w:rPr>
          <w:rFonts w:ascii="Times New Roman" w:hAnsi="Times New Roman"/>
          <w:caps/>
          <w:webHidden/>
        </w:rPr>
        <w:t>3</w:t>
      </w:r>
      <w:r w:rsidRPr="002F5BDA">
        <w:rPr>
          <w:rFonts w:ascii="Times New Roman" w:hAnsi="Times New Roman"/>
          <w:caps/>
          <w:webHidden/>
        </w:rPr>
        <w:t>7</w:t>
      </w:r>
      <w:r w:rsidRPr="002F5BDA">
        <w:rPr>
          <w:rFonts w:ascii="Times New Roman" w:hAnsi="Times New Roman"/>
          <w:caps/>
          <w:webHidden/>
        </w:rPr>
        <w:fldChar w:fldCharType="end"/>
      </w:r>
    </w:p>
    <w:p w14:paraId="05161989" w14:textId="38913A2D"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8 — cooperation With Other Organizations</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_Toc404103433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14</w:t>
      </w:r>
      <w:r w:rsidR="005B04A2">
        <w:rPr>
          <w:rFonts w:ascii="Times New Roman" w:hAnsi="Times New Roman"/>
          <w:caps/>
          <w:webHidden/>
        </w:rPr>
        <w:t>2</w:t>
      </w:r>
      <w:r w:rsidRPr="002F5BDA">
        <w:rPr>
          <w:rFonts w:ascii="Times New Roman" w:hAnsi="Times New Roman"/>
          <w:caps/>
          <w:webHidden/>
        </w:rPr>
        <w:fldChar w:fldCharType="end"/>
      </w:r>
    </w:p>
    <w:p w14:paraId="3BDE44C8" w14:textId="412AAA27"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9 — special Requirements of Developing States and Participating Territories</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_Toc404103434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14</w:t>
      </w:r>
      <w:r w:rsidR="005B04A2">
        <w:rPr>
          <w:rFonts w:ascii="Times New Roman" w:hAnsi="Times New Roman"/>
          <w:caps/>
          <w:webHidden/>
        </w:rPr>
        <w:t>3</w:t>
      </w:r>
      <w:r w:rsidRPr="002F5BDA">
        <w:rPr>
          <w:rFonts w:ascii="Times New Roman" w:hAnsi="Times New Roman"/>
          <w:caps/>
          <w:webHidden/>
        </w:rPr>
        <w:fldChar w:fldCharType="end"/>
      </w:r>
    </w:p>
    <w:p w14:paraId="59018658" w14:textId="64544A89"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10— future Work Programme and Budget</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_Toc404103435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DB741F">
        <w:rPr>
          <w:rFonts w:ascii="Times New Roman" w:hAnsi="Times New Roman"/>
          <w:caps/>
          <w:webHidden/>
        </w:rPr>
        <w:t>44</w:t>
      </w:r>
      <w:r w:rsidRPr="002F5BDA">
        <w:rPr>
          <w:rFonts w:ascii="Times New Roman" w:hAnsi="Times New Roman"/>
          <w:caps/>
          <w:webHidden/>
        </w:rPr>
        <w:fldChar w:fldCharType="end"/>
      </w:r>
    </w:p>
    <w:p w14:paraId="2A8BC812" w14:textId="08752B6E"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11 — administrative matters</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_Toc404103436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DB741F">
        <w:rPr>
          <w:rFonts w:ascii="Times New Roman" w:hAnsi="Times New Roman"/>
          <w:caps/>
          <w:webHidden/>
        </w:rPr>
        <w:t>45</w:t>
      </w:r>
      <w:r w:rsidRPr="002F5BDA">
        <w:rPr>
          <w:rFonts w:ascii="Times New Roman" w:hAnsi="Times New Roman"/>
          <w:caps/>
          <w:webHidden/>
        </w:rPr>
        <w:fldChar w:fldCharType="end"/>
      </w:r>
    </w:p>
    <w:p w14:paraId="4F8715CF" w14:textId="75473F11" w:rsidR="0079553C" w:rsidRPr="002F5BDA" w:rsidRDefault="0079553C" w:rsidP="002F5BDA">
      <w:pPr>
        <w:pStyle w:val="TOC1"/>
        <w:ind w:right="360"/>
        <w:rPr>
          <w:rFonts w:ascii="Times New Roman" w:hAnsi="Times New Roman"/>
          <w:b/>
          <w:caps/>
        </w:rPr>
      </w:pPr>
      <w:r w:rsidRPr="002F5BDA">
        <w:rPr>
          <w:rFonts w:ascii="Times New Roman" w:eastAsia="MS Mincho" w:hAnsi="Times New Roman"/>
          <w:bCs/>
          <w:caps/>
          <w:lang w:val="en-GB"/>
        </w:rPr>
        <w:t>Agenda Item 12 —Other matters</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_Toc404103437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DB741F">
        <w:rPr>
          <w:rFonts w:ascii="Times New Roman" w:hAnsi="Times New Roman"/>
          <w:caps/>
          <w:webHidden/>
        </w:rPr>
        <w:t>46</w:t>
      </w:r>
      <w:r w:rsidRPr="002F5BDA">
        <w:rPr>
          <w:rFonts w:ascii="Times New Roman" w:hAnsi="Times New Roman"/>
          <w:caps/>
          <w:webHidden/>
        </w:rPr>
        <w:fldChar w:fldCharType="end"/>
      </w:r>
    </w:p>
    <w:p w14:paraId="0C5C73AE" w14:textId="38BA7988" w:rsidR="0079553C" w:rsidRPr="002F5BDA" w:rsidRDefault="0079553C" w:rsidP="002F5BDA">
      <w:pPr>
        <w:pStyle w:val="TOC1"/>
        <w:ind w:right="360"/>
        <w:rPr>
          <w:rFonts w:ascii="Times New Roman" w:hAnsi="Times New Roman"/>
          <w:b/>
          <w:caps/>
        </w:rPr>
      </w:pPr>
      <w:r w:rsidRPr="002F5BDA">
        <w:rPr>
          <w:rFonts w:ascii="Times New Roman" w:hAnsi="Times New Roman"/>
          <w:caps/>
          <w:lang w:val="en-GB"/>
        </w:rPr>
        <w:t>Agenda Item 13— adoption of sc10 report</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_Toc404103438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DB741F">
        <w:rPr>
          <w:rFonts w:ascii="Times New Roman" w:hAnsi="Times New Roman"/>
          <w:caps/>
          <w:webHidden/>
        </w:rPr>
        <w:t>46</w:t>
      </w:r>
      <w:r w:rsidRPr="002F5BDA">
        <w:rPr>
          <w:rFonts w:ascii="Times New Roman" w:hAnsi="Times New Roman"/>
          <w:caps/>
          <w:webHidden/>
        </w:rPr>
        <w:fldChar w:fldCharType="end"/>
      </w:r>
    </w:p>
    <w:p w14:paraId="51CE86A5" w14:textId="06A0E816" w:rsidR="0079553C" w:rsidRPr="002F5BDA" w:rsidRDefault="0079553C" w:rsidP="002F5BDA">
      <w:pPr>
        <w:pStyle w:val="TOC1"/>
        <w:ind w:right="360"/>
        <w:rPr>
          <w:rFonts w:ascii="Times New Roman" w:hAnsi="Times New Roman"/>
          <w:b/>
          <w:caps/>
        </w:rPr>
      </w:pPr>
      <w:r w:rsidRPr="002F5BDA">
        <w:rPr>
          <w:rFonts w:ascii="Times New Roman" w:eastAsia="MS Mincho" w:hAnsi="Times New Roman"/>
          <w:bCs/>
          <w:caps/>
          <w:lang w:val="en-GB"/>
        </w:rPr>
        <w:t>Agenda Item 14 — close of meeting</w:t>
      </w:r>
      <w:r w:rsidRPr="002F5BDA">
        <w:rPr>
          <w:rFonts w:ascii="Times New Roman" w:hAnsi="Times New Roman"/>
          <w:caps/>
          <w:webHidden/>
        </w:rPr>
        <w:tab/>
      </w:r>
      <w:r w:rsidRPr="002F5BDA">
        <w:rPr>
          <w:rFonts w:ascii="Times New Roman" w:hAnsi="Times New Roman"/>
          <w:caps/>
          <w:webHidden/>
        </w:rPr>
        <w:fldChar w:fldCharType="begin"/>
      </w:r>
      <w:r w:rsidRPr="002F5BDA">
        <w:rPr>
          <w:rFonts w:ascii="Times New Roman" w:hAnsi="Times New Roman"/>
          <w:caps/>
          <w:webHidden/>
        </w:rPr>
        <w:instrText xml:space="preserve"> PAGEREF _Toc404103439 \h </w:instrText>
      </w:r>
      <w:r w:rsidRPr="002F5BDA">
        <w:rPr>
          <w:rFonts w:ascii="Times New Roman" w:hAnsi="Times New Roman"/>
          <w:caps/>
          <w:webHidden/>
        </w:rPr>
      </w:r>
      <w:r w:rsidRPr="002F5BDA">
        <w:rPr>
          <w:rFonts w:ascii="Times New Roman" w:hAnsi="Times New Roman"/>
          <w:caps/>
          <w:webHidden/>
        </w:rPr>
        <w:fldChar w:fldCharType="separate"/>
      </w:r>
      <w:r w:rsidRPr="002F5BDA">
        <w:rPr>
          <w:rFonts w:ascii="Times New Roman" w:hAnsi="Times New Roman"/>
          <w:caps/>
          <w:webHidden/>
        </w:rPr>
        <w:t>1</w:t>
      </w:r>
      <w:r w:rsidR="00DB741F">
        <w:rPr>
          <w:rFonts w:ascii="Times New Roman" w:hAnsi="Times New Roman"/>
          <w:caps/>
          <w:webHidden/>
        </w:rPr>
        <w:t>46</w:t>
      </w:r>
      <w:r w:rsidRPr="002F5BDA">
        <w:rPr>
          <w:rFonts w:ascii="Times New Roman" w:hAnsi="Times New Roman"/>
          <w:caps/>
          <w:webHidden/>
        </w:rPr>
        <w:fldChar w:fldCharType="end"/>
      </w:r>
    </w:p>
    <w:p w14:paraId="219E0AD2" w14:textId="77777777" w:rsidR="0079553C" w:rsidRPr="002F5BDA" w:rsidRDefault="0079553C" w:rsidP="0079553C">
      <w:pPr>
        <w:adjustRightInd w:val="0"/>
        <w:snapToGrid w:val="0"/>
        <w:spacing w:after="0"/>
        <w:rPr>
          <w:rFonts w:ascii="Times New Roman" w:hAnsi="Times New Roman"/>
          <w:b/>
          <w:u w:val="single"/>
        </w:rPr>
      </w:pPr>
    </w:p>
    <w:p w14:paraId="381066C6" w14:textId="77777777" w:rsidR="00F07098" w:rsidRPr="00E2457F" w:rsidRDefault="00F07098" w:rsidP="0079553C">
      <w:pPr>
        <w:adjustRightInd w:val="0"/>
        <w:snapToGrid w:val="0"/>
        <w:spacing w:after="0"/>
        <w:rPr>
          <w:rFonts w:ascii="Times New Roman" w:hAnsi="Times New Roman"/>
        </w:rPr>
      </w:pPr>
      <w:r w:rsidRPr="00E2457F">
        <w:rPr>
          <w:rFonts w:ascii="Times New Roman" w:hAnsi="Times New Roman"/>
        </w:rPr>
        <w:t>ATTACHMENTS</w:t>
      </w:r>
    </w:p>
    <w:p w14:paraId="6843800F" w14:textId="77777777" w:rsidR="00DE69B4" w:rsidRPr="0079553C" w:rsidRDefault="00DE69B4" w:rsidP="0079553C">
      <w:pPr>
        <w:adjustRightInd w:val="0"/>
        <w:snapToGrid w:val="0"/>
        <w:spacing w:after="0"/>
        <w:rPr>
          <w:rFonts w:ascii="Times New Roman" w:hAnsi="Times New Roman"/>
          <w:b/>
          <w:u w:val="single"/>
        </w:rPr>
      </w:pPr>
    </w:p>
    <w:p w14:paraId="7DC61A30" w14:textId="23BF0824" w:rsidR="00DB741F" w:rsidRPr="009D2993" w:rsidRDefault="00DB741F" w:rsidP="00DB741F">
      <w:pPr>
        <w:pStyle w:val="TOC1"/>
        <w:rPr>
          <w:rFonts w:ascii="Times New Roman" w:hAnsi="Times New Roman"/>
          <w:b/>
          <w:caps/>
        </w:rPr>
      </w:pPr>
      <w:r w:rsidRPr="009D2993">
        <w:rPr>
          <w:rFonts w:ascii="Times New Roman" w:eastAsia="MS Mincho" w:hAnsi="Times New Roman"/>
          <w:bCs/>
          <w:caps/>
          <w:lang w:val="en-GB"/>
        </w:rPr>
        <w:t xml:space="preserve">Attachment A — </w:t>
      </w:r>
      <w:r w:rsidR="00ED73E3">
        <w:rPr>
          <w:rFonts w:ascii="Times New Roman" w:eastAsia="MS Mincho" w:hAnsi="Times New Roman"/>
          <w:bCs/>
          <w:caps/>
          <w:lang w:val="en-GB"/>
        </w:rPr>
        <w:t>LIST OF PARTICIPANTS</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_Toc404103441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ED73E3">
        <w:rPr>
          <w:rFonts w:ascii="Times New Roman" w:hAnsi="Times New Roman"/>
          <w:caps/>
          <w:webHidden/>
        </w:rPr>
        <w:t>47</w:t>
      </w:r>
      <w:r w:rsidRPr="009D2993">
        <w:rPr>
          <w:rFonts w:ascii="Times New Roman" w:hAnsi="Times New Roman"/>
          <w:caps/>
          <w:webHidden/>
        </w:rPr>
        <w:fldChar w:fldCharType="end"/>
      </w:r>
    </w:p>
    <w:p w14:paraId="33E790FC" w14:textId="0B9C6C4C" w:rsidR="00DB741F" w:rsidRPr="009D2993" w:rsidRDefault="00DB741F" w:rsidP="00DB741F">
      <w:pPr>
        <w:pStyle w:val="TOC1"/>
        <w:rPr>
          <w:rFonts w:ascii="Times New Roman" w:hAnsi="Times New Roman"/>
          <w:b/>
          <w:caps/>
        </w:rPr>
      </w:pPr>
      <w:r w:rsidRPr="009D2993">
        <w:rPr>
          <w:rFonts w:ascii="Times New Roman" w:eastAsia="MS Mincho" w:hAnsi="Times New Roman"/>
          <w:bCs/>
          <w:caps/>
          <w:lang w:val="en-GB"/>
        </w:rPr>
        <w:t xml:space="preserve">Attachment B — </w:t>
      </w:r>
      <w:r w:rsidR="00ED73E3" w:rsidRPr="00ED73E3">
        <w:rPr>
          <w:rFonts w:ascii="Times New Roman" w:hAnsi="Times New Roman"/>
          <w:caps/>
        </w:rPr>
        <w:t>Opening Statement by the Honourable Mark Brown Minister of Finance and Acting Minister of Marine Resources Government of the Cook Islands</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_Toc404103442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ED73E3">
        <w:rPr>
          <w:rFonts w:ascii="Times New Roman" w:hAnsi="Times New Roman"/>
          <w:caps/>
          <w:webHidden/>
        </w:rPr>
        <w:t>62</w:t>
      </w:r>
      <w:r w:rsidRPr="009D2993">
        <w:rPr>
          <w:rFonts w:ascii="Times New Roman" w:hAnsi="Times New Roman"/>
          <w:caps/>
          <w:webHidden/>
        </w:rPr>
        <w:fldChar w:fldCharType="end"/>
      </w:r>
    </w:p>
    <w:p w14:paraId="55B1DC73" w14:textId="6AECCB7D" w:rsidR="00DB741F" w:rsidRPr="009D2993" w:rsidRDefault="00DB741F" w:rsidP="00DB741F">
      <w:pPr>
        <w:pStyle w:val="TOC1"/>
        <w:rPr>
          <w:rFonts w:ascii="Times New Roman" w:hAnsi="Times New Roman"/>
          <w:b/>
          <w:caps/>
        </w:rPr>
      </w:pPr>
      <w:r w:rsidRPr="009D2993">
        <w:rPr>
          <w:rFonts w:ascii="Times New Roman" w:eastAsia="MS Mincho" w:hAnsi="Times New Roman"/>
          <w:bCs/>
          <w:caps/>
          <w:lang w:val="en-GB"/>
        </w:rPr>
        <w:t xml:space="preserve">Attachment C — </w:t>
      </w:r>
      <w:r w:rsidR="00ED73E3" w:rsidRPr="00ED73E3">
        <w:rPr>
          <w:rFonts w:ascii="Times New Roman" w:hAnsi="Times New Roman"/>
          <w:caps/>
        </w:rPr>
        <w:t>Opening Remarks by WCPFC Executive Director</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_Toc404103443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ED73E3">
        <w:rPr>
          <w:rFonts w:ascii="Times New Roman" w:hAnsi="Times New Roman"/>
          <w:caps/>
          <w:webHidden/>
        </w:rPr>
        <w:t>64</w:t>
      </w:r>
      <w:r w:rsidRPr="009D2993">
        <w:rPr>
          <w:rFonts w:ascii="Times New Roman" w:hAnsi="Times New Roman"/>
          <w:caps/>
          <w:webHidden/>
        </w:rPr>
        <w:fldChar w:fldCharType="end"/>
      </w:r>
    </w:p>
    <w:p w14:paraId="23631DDE" w14:textId="71189CA7" w:rsidR="00DB741F" w:rsidRPr="009D2993" w:rsidRDefault="00DB741F" w:rsidP="00DB741F">
      <w:pPr>
        <w:pStyle w:val="TOC1"/>
        <w:rPr>
          <w:rFonts w:ascii="Times New Roman" w:hAnsi="Times New Roman"/>
          <w:b/>
          <w:caps/>
        </w:rPr>
      </w:pPr>
      <w:r w:rsidRPr="009D2993">
        <w:rPr>
          <w:rFonts w:ascii="Times New Roman" w:eastAsia="MS Mincho" w:hAnsi="Times New Roman"/>
          <w:caps/>
          <w:lang w:val="en-GB"/>
        </w:rPr>
        <w:t xml:space="preserve">Attachment D — </w:t>
      </w:r>
      <w:r w:rsidR="00ED73E3">
        <w:rPr>
          <w:rFonts w:ascii="Times New Roman" w:eastAsia="MS Mincho" w:hAnsi="Times New Roman"/>
          <w:caps/>
          <w:lang w:val="en-GB"/>
        </w:rPr>
        <w:t>AGENDA</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_Toc404103444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ED73E3">
        <w:rPr>
          <w:rFonts w:ascii="Times New Roman" w:hAnsi="Times New Roman"/>
          <w:caps/>
          <w:webHidden/>
        </w:rPr>
        <w:t>67</w:t>
      </w:r>
      <w:r w:rsidRPr="009D2993">
        <w:rPr>
          <w:rFonts w:ascii="Times New Roman" w:hAnsi="Times New Roman"/>
          <w:caps/>
          <w:webHidden/>
        </w:rPr>
        <w:fldChar w:fldCharType="end"/>
      </w:r>
    </w:p>
    <w:p w14:paraId="2C7D8B51" w14:textId="735094AF" w:rsidR="00DB741F" w:rsidRPr="009D2993" w:rsidRDefault="00DB741F" w:rsidP="00DB741F">
      <w:pPr>
        <w:pStyle w:val="TOC1"/>
        <w:rPr>
          <w:rFonts w:ascii="Times New Roman" w:hAnsi="Times New Roman"/>
          <w:b/>
          <w:caps/>
        </w:rPr>
      </w:pPr>
      <w:r w:rsidRPr="009D2993">
        <w:rPr>
          <w:rFonts w:ascii="Times New Roman" w:eastAsia="MS Mincho" w:hAnsi="Times New Roman"/>
          <w:caps/>
          <w:lang w:val="en-GB"/>
        </w:rPr>
        <w:t xml:space="preserve">Attachment E — </w:t>
      </w:r>
      <w:r w:rsidR="008B3764" w:rsidRPr="008B3764">
        <w:rPr>
          <w:rFonts w:ascii="Times New Roman" w:hAnsi="Times New Roman"/>
          <w:caps/>
          <w:lang w:val="en-US"/>
        </w:rPr>
        <w:t>FAD data fields and FAD Research Plan</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_Toc404103445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8B3764">
        <w:rPr>
          <w:rFonts w:ascii="Times New Roman" w:hAnsi="Times New Roman"/>
          <w:caps/>
          <w:webHidden/>
        </w:rPr>
        <w:t>72</w:t>
      </w:r>
      <w:r w:rsidRPr="009D2993">
        <w:rPr>
          <w:rFonts w:ascii="Times New Roman" w:hAnsi="Times New Roman"/>
          <w:caps/>
          <w:webHidden/>
        </w:rPr>
        <w:fldChar w:fldCharType="end"/>
      </w:r>
    </w:p>
    <w:p w14:paraId="675668B5" w14:textId="699B4B66" w:rsidR="00DB741F" w:rsidRPr="009D2993" w:rsidRDefault="00DB741F" w:rsidP="00DB741F">
      <w:pPr>
        <w:pStyle w:val="TOC1"/>
        <w:rPr>
          <w:rFonts w:ascii="Times New Roman" w:hAnsi="Times New Roman"/>
          <w:caps/>
          <w:lang w:eastAsia="ko-KR"/>
        </w:rPr>
      </w:pPr>
      <w:r w:rsidRPr="009D2993">
        <w:rPr>
          <w:rFonts w:ascii="Times New Roman" w:eastAsia="MS Mincho" w:hAnsi="Times New Roman"/>
          <w:caps/>
          <w:lang w:val="en-GB"/>
        </w:rPr>
        <w:t xml:space="preserve">Attachment F — </w:t>
      </w:r>
      <w:r w:rsidR="008B3764" w:rsidRPr="008B3764">
        <w:rPr>
          <w:rFonts w:ascii="Times New Roman" w:hAnsi="Times New Roman"/>
          <w:caps/>
        </w:rPr>
        <w:t>Performance Indicators and Monitoring Strategies</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_Toc404103446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18</w:t>
      </w:r>
      <w:r w:rsidR="008B3764">
        <w:rPr>
          <w:rFonts w:ascii="Times New Roman" w:hAnsi="Times New Roman"/>
          <w:caps/>
          <w:webHidden/>
        </w:rPr>
        <w:t>3</w:t>
      </w:r>
      <w:r w:rsidRPr="009D2993">
        <w:rPr>
          <w:rFonts w:ascii="Times New Roman" w:hAnsi="Times New Roman"/>
          <w:caps/>
          <w:webHidden/>
        </w:rPr>
        <w:fldChar w:fldCharType="end"/>
      </w:r>
    </w:p>
    <w:p w14:paraId="78FBD020" w14:textId="6EA482D4" w:rsidR="00DB741F" w:rsidRPr="009D2993" w:rsidRDefault="00DB741F" w:rsidP="00DB741F">
      <w:pPr>
        <w:pStyle w:val="TOC1"/>
        <w:rPr>
          <w:rFonts w:ascii="Times New Roman" w:hAnsi="Times New Roman"/>
          <w:b/>
          <w:caps/>
          <w:lang w:eastAsia="ko-KR"/>
        </w:rPr>
      </w:pPr>
      <w:r w:rsidRPr="009D2993">
        <w:rPr>
          <w:rFonts w:ascii="Times New Roman" w:eastAsia="MS Mincho" w:hAnsi="Times New Roman"/>
          <w:caps/>
          <w:lang w:val="en-GB"/>
        </w:rPr>
        <w:t xml:space="preserve">Attachment </w:t>
      </w:r>
      <w:r w:rsidRPr="009D2993">
        <w:rPr>
          <w:rFonts w:ascii="Times New Roman" w:hAnsi="Times New Roman"/>
          <w:caps/>
          <w:lang w:val="en-GB" w:eastAsia="ko-KR"/>
        </w:rPr>
        <w:t>G</w:t>
      </w:r>
      <w:r w:rsidRPr="009D2993">
        <w:rPr>
          <w:rFonts w:ascii="Times New Roman" w:eastAsia="MS Mincho" w:hAnsi="Times New Roman"/>
          <w:caps/>
          <w:lang w:val="en-GB"/>
        </w:rPr>
        <w:t xml:space="preserve"> — </w:t>
      </w:r>
      <w:r w:rsidR="008B3764" w:rsidRPr="008B3764">
        <w:rPr>
          <w:rFonts w:ascii="Times New Roman" w:hAnsi="Times New Roman"/>
          <w:caps/>
        </w:rPr>
        <w:t xml:space="preserve">Options for the development of a comprehensive </w:t>
      </w:r>
      <w:r w:rsidR="008B3764" w:rsidRPr="008B3764">
        <w:rPr>
          <w:rFonts w:ascii="Times New Roman" w:hAnsi="Times New Roman"/>
          <w:iCs/>
          <w:caps/>
        </w:rPr>
        <w:t>approach to shark and ray conservation and management</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_Toc404103445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18</w:t>
      </w:r>
      <w:r w:rsidRPr="009D2993">
        <w:rPr>
          <w:rFonts w:ascii="Times New Roman" w:hAnsi="Times New Roman"/>
          <w:caps/>
          <w:webHidden/>
        </w:rPr>
        <w:fldChar w:fldCharType="end"/>
      </w:r>
      <w:r w:rsidR="008B3764">
        <w:rPr>
          <w:rFonts w:ascii="Times New Roman" w:hAnsi="Times New Roman"/>
          <w:caps/>
          <w:webHidden/>
        </w:rPr>
        <w:t>8</w:t>
      </w:r>
    </w:p>
    <w:p w14:paraId="6F6C5CCC" w14:textId="3F97E1B2" w:rsidR="00DB741F" w:rsidRPr="009D2993" w:rsidRDefault="00DB741F" w:rsidP="00DB741F">
      <w:pPr>
        <w:pStyle w:val="TOC1"/>
        <w:rPr>
          <w:rFonts w:ascii="Times New Roman" w:hAnsi="Times New Roman"/>
          <w:b/>
          <w:caps/>
        </w:rPr>
      </w:pPr>
      <w:r w:rsidRPr="009D2993">
        <w:rPr>
          <w:rFonts w:ascii="Times New Roman" w:eastAsia="MS Mincho" w:hAnsi="Times New Roman"/>
          <w:caps/>
          <w:lang w:val="en-GB"/>
        </w:rPr>
        <w:t xml:space="preserve">Attachment H — </w:t>
      </w:r>
      <w:r w:rsidR="008B3764" w:rsidRPr="008B3764">
        <w:rPr>
          <w:rFonts w:ascii="Times New Roman" w:eastAsia="Calibri" w:hAnsi="Times New Roman"/>
          <w:caps/>
        </w:rPr>
        <w:t>Best Handling Practices for the Safe Release of Mantas &amp; Mobulids</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_Toc404103445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8B3764">
        <w:rPr>
          <w:rFonts w:ascii="Times New Roman" w:hAnsi="Times New Roman"/>
          <w:caps/>
          <w:webHidden/>
        </w:rPr>
        <w:t>94</w:t>
      </w:r>
      <w:r w:rsidRPr="009D2993">
        <w:rPr>
          <w:rFonts w:ascii="Times New Roman" w:hAnsi="Times New Roman"/>
          <w:caps/>
          <w:webHidden/>
        </w:rPr>
        <w:fldChar w:fldCharType="end"/>
      </w:r>
    </w:p>
    <w:p w14:paraId="2B310402" w14:textId="1FEF376C" w:rsidR="00DB741F" w:rsidRPr="009D2993" w:rsidRDefault="00DB741F" w:rsidP="00DB741F">
      <w:pPr>
        <w:pStyle w:val="TOC1"/>
        <w:rPr>
          <w:rFonts w:ascii="Times New Roman" w:hAnsi="Times New Roman"/>
          <w:b/>
          <w:caps/>
        </w:rPr>
      </w:pPr>
      <w:r w:rsidRPr="009D2993">
        <w:rPr>
          <w:rFonts w:ascii="Times New Roman" w:eastAsia="MS Mincho" w:hAnsi="Times New Roman"/>
          <w:caps/>
          <w:lang w:val="en-GB"/>
        </w:rPr>
        <w:t xml:space="preserve">Attachment </w:t>
      </w:r>
      <w:r w:rsidRPr="009D2993">
        <w:rPr>
          <w:rFonts w:ascii="Times New Roman" w:hAnsi="Times New Roman"/>
          <w:caps/>
          <w:lang w:val="en-GB" w:eastAsia="ko-KR"/>
        </w:rPr>
        <w:t>I</w:t>
      </w:r>
      <w:r w:rsidRPr="009D2993">
        <w:rPr>
          <w:rFonts w:ascii="Times New Roman" w:eastAsia="MS Mincho" w:hAnsi="Times New Roman"/>
          <w:caps/>
          <w:lang w:val="en-GB"/>
        </w:rPr>
        <w:t xml:space="preserve"> — </w:t>
      </w:r>
      <w:r w:rsidR="009D2993">
        <w:rPr>
          <w:rFonts w:ascii="Times New Roman" w:hAnsi="Times New Roman"/>
          <w:caps/>
          <w:lang w:val="en-GB" w:eastAsia="ko-KR"/>
        </w:rPr>
        <w:t>SHARK RESEARCH PLAN</w:t>
      </w:r>
      <w:r w:rsidRPr="009D2993">
        <w:rPr>
          <w:rFonts w:ascii="Times New Roman" w:hAnsi="Times New Roman"/>
          <w:caps/>
          <w:webHidden/>
        </w:rPr>
        <w:tab/>
      </w:r>
      <w:r w:rsidRPr="009D2993">
        <w:rPr>
          <w:rFonts w:ascii="Times New Roman" w:hAnsi="Times New Roman"/>
          <w:caps/>
          <w:webHidden/>
        </w:rPr>
        <w:fldChar w:fldCharType="begin"/>
      </w:r>
      <w:r w:rsidRPr="009D2993">
        <w:rPr>
          <w:rFonts w:ascii="Times New Roman" w:hAnsi="Times New Roman"/>
          <w:caps/>
          <w:webHidden/>
        </w:rPr>
        <w:instrText xml:space="preserve"> PAGEREF _Toc404103445 \h </w:instrText>
      </w:r>
      <w:r w:rsidRPr="009D2993">
        <w:rPr>
          <w:rFonts w:ascii="Times New Roman" w:hAnsi="Times New Roman"/>
          <w:caps/>
          <w:webHidden/>
        </w:rPr>
      </w:r>
      <w:r w:rsidRPr="009D2993">
        <w:rPr>
          <w:rFonts w:ascii="Times New Roman" w:hAnsi="Times New Roman"/>
          <w:caps/>
          <w:webHidden/>
        </w:rPr>
        <w:fldChar w:fldCharType="separate"/>
      </w:r>
      <w:r w:rsidRPr="009D2993">
        <w:rPr>
          <w:rFonts w:ascii="Times New Roman" w:hAnsi="Times New Roman"/>
          <w:caps/>
          <w:webHidden/>
        </w:rPr>
        <w:t>1</w:t>
      </w:r>
      <w:r w:rsidR="008B3764">
        <w:rPr>
          <w:rFonts w:ascii="Times New Roman" w:hAnsi="Times New Roman"/>
          <w:caps/>
          <w:webHidden/>
        </w:rPr>
        <w:t>96</w:t>
      </w:r>
      <w:r w:rsidRPr="009D2993">
        <w:rPr>
          <w:rFonts w:ascii="Times New Roman" w:hAnsi="Times New Roman"/>
          <w:caps/>
          <w:webHidden/>
        </w:rPr>
        <w:fldChar w:fldCharType="end"/>
      </w:r>
    </w:p>
    <w:p w14:paraId="27E49C4C" w14:textId="7AF5DEC6" w:rsidR="00043E55" w:rsidRDefault="00DB741F" w:rsidP="00043E55">
      <w:pPr>
        <w:autoSpaceDE w:val="0"/>
        <w:autoSpaceDN w:val="0"/>
        <w:adjustRightInd w:val="0"/>
        <w:snapToGrid w:val="0"/>
        <w:spacing w:after="0"/>
        <w:jc w:val="left"/>
        <w:rPr>
          <w:rFonts w:ascii="Times New Roman" w:hAnsi="Times New Roman"/>
          <w:caps/>
          <w:webHidden/>
        </w:rPr>
      </w:pPr>
      <w:r w:rsidRPr="009D2993">
        <w:rPr>
          <w:rFonts w:ascii="Times New Roman" w:eastAsia="MS Mincho" w:hAnsi="Times New Roman"/>
          <w:caps/>
          <w:lang w:val="en-GB"/>
        </w:rPr>
        <w:t xml:space="preserve">Attachment </w:t>
      </w:r>
      <w:r w:rsidRPr="009D2993">
        <w:rPr>
          <w:rFonts w:ascii="Times New Roman" w:hAnsi="Times New Roman"/>
          <w:caps/>
          <w:lang w:val="en-GB" w:eastAsia="ko-KR"/>
        </w:rPr>
        <w:t>J</w:t>
      </w:r>
      <w:r w:rsidRPr="009D2993">
        <w:rPr>
          <w:rFonts w:ascii="Times New Roman" w:eastAsia="MS Mincho" w:hAnsi="Times New Roman"/>
          <w:caps/>
          <w:lang w:val="en-GB"/>
        </w:rPr>
        <w:t xml:space="preserve"> — </w:t>
      </w:r>
      <w:r w:rsidR="009D2993">
        <w:rPr>
          <w:rFonts w:ascii="Times New Roman" w:eastAsia="MS Mincho" w:hAnsi="Times New Roman"/>
          <w:caps/>
          <w:lang w:val="en-GB"/>
        </w:rPr>
        <w:t>SC WORK PROGRAMME AND BUDGET FOR 2018 – 2020………</w:t>
      </w:r>
      <w:r w:rsidR="008B3764">
        <w:rPr>
          <w:rFonts w:ascii="Times New Roman" w:eastAsia="MS Mincho" w:hAnsi="Times New Roman"/>
          <w:caps/>
          <w:lang w:val="en-GB"/>
        </w:rPr>
        <w:t>…...208</w:t>
      </w:r>
    </w:p>
    <w:p w14:paraId="043C3983" w14:textId="77777777" w:rsidR="008B3764" w:rsidRDefault="008B3764" w:rsidP="00043E55">
      <w:pPr>
        <w:autoSpaceDE w:val="0"/>
        <w:autoSpaceDN w:val="0"/>
        <w:adjustRightInd w:val="0"/>
        <w:snapToGrid w:val="0"/>
        <w:spacing w:after="0"/>
        <w:jc w:val="center"/>
        <w:rPr>
          <w:rFonts w:ascii="Times New Roman" w:hAnsi="Times New Roman"/>
          <w:b/>
          <w:bCs/>
          <w:lang w:val="en-AU" w:eastAsia="en-NZ"/>
        </w:rPr>
      </w:pPr>
    </w:p>
    <w:p w14:paraId="1576FB88" w14:textId="77777777" w:rsidR="008B3764" w:rsidRDefault="008B3764" w:rsidP="00043E55">
      <w:pPr>
        <w:autoSpaceDE w:val="0"/>
        <w:autoSpaceDN w:val="0"/>
        <w:adjustRightInd w:val="0"/>
        <w:snapToGrid w:val="0"/>
        <w:spacing w:after="0"/>
        <w:jc w:val="center"/>
        <w:rPr>
          <w:rFonts w:ascii="Times New Roman" w:hAnsi="Times New Roman"/>
          <w:b/>
          <w:bCs/>
          <w:lang w:val="en-AU" w:eastAsia="en-NZ"/>
        </w:rPr>
      </w:pPr>
    </w:p>
    <w:p w14:paraId="40913748" w14:textId="77777777" w:rsidR="00ED73E3" w:rsidRDefault="00ED73E3" w:rsidP="008B3764">
      <w:pPr>
        <w:adjustRightInd w:val="0"/>
        <w:snapToGrid w:val="0"/>
        <w:spacing w:after="0"/>
        <w:jc w:val="left"/>
        <w:rPr>
          <w:rFonts w:ascii="Times New Roman" w:hAnsi="Times New Roman"/>
          <w:bCs/>
          <w:caps/>
          <w:lang w:val="en-AU" w:eastAsia="en-NZ"/>
        </w:rPr>
      </w:pPr>
    </w:p>
    <w:p w14:paraId="1E02A990" w14:textId="77777777" w:rsidR="00ED73E3" w:rsidRDefault="00ED73E3" w:rsidP="008B3764">
      <w:pPr>
        <w:adjustRightInd w:val="0"/>
        <w:snapToGrid w:val="0"/>
        <w:spacing w:after="0"/>
        <w:jc w:val="left"/>
        <w:rPr>
          <w:rFonts w:ascii="Times New Roman" w:hAnsi="Times New Roman"/>
          <w:bCs/>
          <w:caps/>
          <w:lang w:val="en-AU" w:eastAsia="en-NZ"/>
        </w:rPr>
      </w:pPr>
    </w:p>
    <w:p w14:paraId="5561158C" w14:textId="77777777" w:rsidR="00E2457F" w:rsidRDefault="0014588F" w:rsidP="00ED73E3">
      <w:pPr>
        <w:adjustRightInd w:val="0"/>
        <w:snapToGrid w:val="0"/>
        <w:spacing w:after="0"/>
        <w:jc w:val="left"/>
        <w:rPr>
          <w:rFonts w:ascii="Times New Roman" w:hAnsi="Times New Roman"/>
          <w:bCs/>
          <w:caps/>
          <w:lang w:val="en-AU" w:eastAsia="en-NZ"/>
        </w:rPr>
      </w:pPr>
      <w:r w:rsidRPr="008B3764">
        <w:rPr>
          <w:rFonts w:ascii="Times New Roman" w:hAnsi="Times New Roman"/>
          <w:bCs/>
          <w:caps/>
          <w:lang w:val="en-AU" w:eastAsia="en-NZ"/>
        </w:rPr>
        <w:br w:type="page"/>
      </w:r>
    </w:p>
    <w:p w14:paraId="5BB5906F" w14:textId="77777777" w:rsidR="00E2457F" w:rsidRDefault="00E2457F" w:rsidP="00ED73E3">
      <w:pPr>
        <w:adjustRightInd w:val="0"/>
        <w:snapToGrid w:val="0"/>
        <w:spacing w:after="0"/>
        <w:jc w:val="left"/>
        <w:rPr>
          <w:rFonts w:ascii="Times New Roman" w:hAnsi="Times New Roman"/>
          <w:bCs/>
          <w:caps/>
          <w:lang w:val="en-AU" w:eastAsia="en-NZ"/>
        </w:rPr>
      </w:pPr>
    </w:p>
    <w:p w14:paraId="797DB12F" w14:textId="08846F7C" w:rsidR="0014588F" w:rsidRPr="009C2ADD" w:rsidRDefault="0014588F" w:rsidP="00E2457F">
      <w:pPr>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Highly Migratory Fish Stocks in the Western and Central Pacific Ocean</w:t>
      </w:r>
    </w:p>
    <w:p w14:paraId="66035E45" w14:textId="77777777" w:rsidR="0014588F" w:rsidRPr="009C2ADD" w:rsidRDefault="0014588F" w:rsidP="0014588F">
      <w:pPr>
        <w:autoSpaceDE w:val="0"/>
        <w:autoSpaceDN w:val="0"/>
        <w:adjustRightInd w:val="0"/>
        <w:snapToGrid w:val="0"/>
        <w:spacing w:after="0"/>
        <w:jc w:val="center"/>
        <w:rPr>
          <w:rFonts w:ascii="Times New Roman" w:hAnsi="Times New Roman"/>
          <w:b/>
          <w:bCs/>
          <w:lang w:val="en-AU" w:eastAsia="en-NZ"/>
        </w:rPr>
      </w:pPr>
    </w:p>
    <w:p w14:paraId="2A446332" w14:textId="77777777" w:rsidR="0014588F" w:rsidRPr="009C2ADD" w:rsidRDefault="0014588F" w:rsidP="0014588F">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 xml:space="preserve">Scientific Committee </w:t>
      </w:r>
    </w:p>
    <w:p w14:paraId="1C9E3EBF" w14:textId="77777777" w:rsidR="0014588F" w:rsidRPr="009C2ADD" w:rsidRDefault="0014588F" w:rsidP="0014588F">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Thirteenth Regular Session</w:t>
      </w:r>
    </w:p>
    <w:p w14:paraId="7DD9E718" w14:textId="77777777" w:rsidR="0014588F" w:rsidRPr="009C2ADD" w:rsidRDefault="0014588F" w:rsidP="0014588F">
      <w:pPr>
        <w:autoSpaceDE w:val="0"/>
        <w:autoSpaceDN w:val="0"/>
        <w:adjustRightInd w:val="0"/>
        <w:snapToGrid w:val="0"/>
        <w:spacing w:after="0"/>
        <w:jc w:val="center"/>
        <w:rPr>
          <w:rFonts w:ascii="Times New Roman" w:hAnsi="Times New Roman"/>
          <w:b/>
          <w:bCs/>
          <w:lang w:val="en-AU" w:eastAsia="ko-KR"/>
        </w:rPr>
      </w:pPr>
    </w:p>
    <w:p w14:paraId="2B838F63" w14:textId="77777777" w:rsidR="0014588F" w:rsidRPr="009C2ADD" w:rsidRDefault="0014588F" w:rsidP="0014588F">
      <w:pPr>
        <w:autoSpaceDE w:val="0"/>
        <w:autoSpaceDN w:val="0"/>
        <w:adjustRightInd w:val="0"/>
        <w:snapToGrid w:val="0"/>
        <w:spacing w:after="0"/>
        <w:jc w:val="center"/>
        <w:rPr>
          <w:rFonts w:ascii="Times New Roman" w:hAnsi="Times New Roman"/>
          <w:bCs/>
          <w:lang w:val="en-AU" w:eastAsia="en-NZ"/>
        </w:rPr>
      </w:pPr>
      <w:r w:rsidRPr="009C2ADD">
        <w:rPr>
          <w:rFonts w:ascii="Times New Roman" w:hAnsi="Times New Roman"/>
          <w:bCs/>
          <w:lang w:val="en-AU" w:eastAsia="en-NZ"/>
        </w:rPr>
        <w:t>Rarotonga, Cook Islands</w:t>
      </w:r>
      <w:r w:rsidRPr="009C2ADD">
        <w:rPr>
          <w:rFonts w:ascii="Times New Roman" w:hAnsi="Times New Roman"/>
          <w:bCs/>
          <w:lang w:val="en-AU" w:eastAsia="en-NZ"/>
        </w:rPr>
        <w:br/>
        <w:t>9 - 17 August 2017</w:t>
      </w:r>
    </w:p>
    <w:p w14:paraId="7120929E" w14:textId="77777777" w:rsidR="0014588F" w:rsidRPr="009C2ADD" w:rsidRDefault="0014588F" w:rsidP="0014588F">
      <w:pPr>
        <w:adjustRightInd w:val="0"/>
        <w:snapToGrid w:val="0"/>
        <w:spacing w:after="0"/>
        <w:rPr>
          <w:rFonts w:ascii="Times New Roman" w:eastAsia="맑은 고딕" w:hAnsi="Times New Roman"/>
          <w:lang w:val="en-AU"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14588F" w:rsidRPr="009C2ADD" w14:paraId="32EF1E3C" w14:textId="77777777" w:rsidTr="000E6616">
        <w:trPr>
          <w:trHeight w:val="123"/>
        </w:trPr>
        <w:tc>
          <w:tcPr>
            <w:tcW w:w="9576" w:type="dxa"/>
            <w:tcBorders>
              <w:top w:val="single" w:sz="12" w:space="0" w:color="auto"/>
              <w:left w:val="nil"/>
              <w:bottom w:val="single" w:sz="12" w:space="0" w:color="auto"/>
              <w:right w:val="nil"/>
            </w:tcBorders>
            <w:hideMark/>
          </w:tcPr>
          <w:p w14:paraId="09A5A672" w14:textId="77777777" w:rsidR="0014588F" w:rsidRPr="009C2ADD" w:rsidRDefault="0014588F" w:rsidP="000E6616">
            <w:pPr>
              <w:adjustRightInd w:val="0"/>
              <w:snapToGrid w:val="0"/>
              <w:spacing w:after="0"/>
              <w:jc w:val="center"/>
              <w:rPr>
                <w:rFonts w:ascii="Times New Roman" w:eastAsia="맑은 고딕" w:hAnsi="Times New Roman"/>
                <w:b/>
                <w:lang w:val="en-AU" w:eastAsia="ko-KR"/>
              </w:rPr>
            </w:pPr>
            <w:r>
              <w:rPr>
                <w:rFonts w:ascii="Times New Roman" w:eastAsia="맑은 고딕" w:hAnsi="Times New Roman"/>
                <w:b/>
                <w:lang w:val="en-AU" w:eastAsia="ko-KR"/>
              </w:rPr>
              <w:t xml:space="preserve">EXECUTIVE </w:t>
            </w:r>
            <w:r w:rsidRPr="009C2ADD">
              <w:rPr>
                <w:rFonts w:ascii="Times New Roman" w:eastAsia="맑은 고딕" w:hAnsi="Times New Roman"/>
                <w:b/>
                <w:lang w:val="en-AU" w:eastAsia="ko-KR"/>
              </w:rPr>
              <w:t>SUMMARY</w:t>
            </w:r>
          </w:p>
        </w:tc>
      </w:tr>
    </w:tbl>
    <w:p w14:paraId="1A67ADD4" w14:textId="77777777" w:rsidR="0014588F" w:rsidRPr="009C2ADD" w:rsidRDefault="0014588F" w:rsidP="0014588F">
      <w:pPr>
        <w:pStyle w:val="WCPFC"/>
        <w:numPr>
          <w:ilvl w:val="0"/>
          <w:numId w:val="0"/>
        </w:numPr>
        <w:adjustRightInd w:val="0"/>
        <w:spacing w:after="0"/>
        <w:ind w:left="720"/>
        <w:rPr>
          <w:b/>
        </w:rPr>
      </w:pPr>
    </w:p>
    <w:p w14:paraId="1684632D" w14:textId="77777777" w:rsidR="0014588F" w:rsidRPr="009C2ADD" w:rsidRDefault="0014588F" w:rsidP="0014588F">
      <w:pPr>
        <w:pStyle w:val="WCPFC"/>
        <w:numPr>
          <w:ilvl w:val="0"/>
          <w:numId w:val="0"/>
        </w:numPr>
        <w:adjustRightInd w:val="0"/>
        <w:spacing w:after="0"/>
        <w:ind w:left="720"/>
        <w:rPr>
          <w:b/>
        </w:rPr>
      </w:pPr>
    </w:p>
    <w:p w14:paraId="6FDD81EC" w14:textId="77777777" w:rsidR="0014588F" w:rsidRPr="009C2ADD" w:rsidRDefault="0014588F" w:rsidP="0014588F">
      <w:pPr>
        <w:pStyle w:val="Heading1"/>
        <w:adjustRightInd w:val="0"/>
        <w:snapToGrid w:val="0"/>
        <w:rPr>
          <w:rFonts w:ascii="Times New Roman" w:eastAsia="맑은 고딕" w:hAnsi="Times New Roman"/>
          <w:sz w:val="22"/>
          <w:szCs w:val="22"/>
        </w:rPr>
      </w:pPr>
      <w:r w:rsidRPr="009C2ADD">
        <w:rPr>
          <w:rFonts w:ascii="Times New Roman" w:hAnsi="Times New Roman"/>
          <w:sz w:val="22"/>
          <w:szCs w:val="22"/>
        </w:rPr>
        <w:t>AGENDA ITEM 1 – Opening of the Meeting</w:t>
      </w:r>
    </w:p>
    <w:p w14:paraId="1FCE2D01" w14:textId="77777777" w:rsidR="0014588F" w:rsidRPr="009C2ADD" w:rsidRDefault="0014588F" w:rsidP="0014588F">
      <w:pPr>
        <w:adjustRightInd w:val="0"/>
        <w:snapToGrid w:val="0"/>
        <w:spacing w:after="0"/>
        <w:rPr>
          <w:rFonts w:ascii="Times New Roman" w:hAnsi="Times New Roman"/>
          <w:lang w:val="en-AU" w:eastAsia="en-NZ"/>
        </w:rPr>
      </w:pPr>
    </w:p>
    <w:p w14:paraId="43A132FD" w14:textId="77777777" w:rsidR="0014588F" w:rsidRPr="009C2ADD" w:rsidRDefault="0014588F" w:rsidP="0014588F">
      <w:pPr>
        <w:adjustRightInd w:val="0"/>
        <w:snapToGrid w:val="0"/>
        <w:spacing w:after="0"/>
        <w:rPr>
          <w:rFonts w:ascii="Times New Roman" w:hAnsi="Times New Roman"/>
          <w:lang w:val="en-AU" w:eastAsia="en-NZ"/>
        </w:rPr>
      </w:pPr>
    </w:p>
    <w:p w14:paraId="1A2DF38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Thirteenth Regular Session of the Scientific Committee of the Commission for the Conservation and Management of Highly Migratory Fish Stocks in the Western and Central Pacific Ocean took place from 9 - 17 August 2017 at the National Auditorium, Marairenga, Rarotonga, </w:t>
      </w:r>
      <w:proofErr w:type="gramStart"/>
      <w:r w:rsidRPr="009C2ADD">
        <w:rPr>
          <w:rFonts w:ascii="Times New Roman" w:hAnsi="Times New Roman"/>
          <w:lang w:val="en-AU"/>
        </w:rPr>
        <w:t>Cook</w:t>
      </w:r>
      <w:proofErr w:type="gramEnd"/>
      <w:r w:rsidRPr="009C2ADD">
        <w:rPr>
          <w:rFonts w:ascii="Times New Roman" w:hAnsi="Times New Roman"/>
          <w:lang w:val="en-AU"/>
        </w:rPr>
        <w:t xml:space="preserve"> Islands. </w:t>
      </w:r>
    </w:p>
    <w:p w14:paraId="6FE40676"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19D8D23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following WCPFC Members, Cooperating Non-members and Participating Territories (CCMs) attended SC13: American Samoa, Australia, China, Cook Islands, European Union (EU), Federated States of Micronesia (FSM), Fiji, French Polynesia, Indonesia, Japan, Kiribati, Republic of Korea, </w:t>
      </w:r>
      <w:r>
        <w:rPr>
          <w:rFonts w:ascii="Times New Roman" w:hAnsi="Times New Roman" w:hint="eastAsia"/>
          <w:lang w:val="en-AU" w:eastAsia="ko-KR"/>
        </w:rPr>
        <w:t xml:space="preserve">Republic of </w:t>
      </w:r>
      <w:r w:rsidRPr="009C2ADD">
        <w:rPr>
          <w:rFonts w:ascii="Times New Roman" w:hAnsi="Times New Roman"/>
          <w:lang w:val="en-AU"/>
        </w:rPr>
        <w:t>Marshall Islands</w:t>
      </w:r>
      <w:r>
        <w:rPr>
          <w:rFonts w:ascii="Times New Roman" w:hAnsi="Times New Roman" w:hint="eastAsia"/>
          <w:lang w:val="en-AU" w:eastAsia="ko-KR"/>
        </w:rPr>
        <w:t xml:space="preserve"> (RMI)</w:t>
      </w:r>
      <w:r w:rsidRPr="009C2ADD">
        <w:rPr>
          <w:rFonts w:ascii="Times New Roman" w:hAnsi="Times New Roman"/>
          <w:lang w:val="en-AU"/>
        </w:rPr>
        <w:t>, Nauru, New Caledonia, New Zealand, Niue, Palau, Philippines, Papua New Guinea</w:t>
      </w:r>
      <w:r>
        <w:rPr>
          <w:rFonts w:ascii="Times New Roman" w:hAnsi="Times New Roman" w:hint="eastAsia"/>
          <w:lang w:val="en-AU" w:eastAsia="ko-KR"/>
        </w:rPr>
        <w:t xml:space="preserve"> (PNG)</w:t>
      </w:r>
      <w:r w:rsidRPr="009C2ADD">
        <w:rPr>
          <w:rFonts w:ascii="Times New Roman" w:hAnsi="Times New Roman"/>
          <w:lang w:val="en-AU"/>
        </w:rPr>
        <w:t>, Samoa, Solomon Islands, Chinese Taipei, Tokelau, Tonga, Tuvalu, United States of America (USA), Vanuatu and Vietnam.</w:t>
      </w:r>
    </w:p>
    <w:p w14:paraId="2E04FFF7"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10DC6FDD" w14:textId="77777777" w:rsidR="0014588F" w:rsidRPr="0032284A"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32284A">
        <w:rPr>
          <w:rFonts w:ascii="Times New Roman" w:hAnsi="Times New Roman"/>
          <w:lang w:val="en-AU"/>
        </w:rPr>
        <w:t>Observers from the following IGOs and NGOs attended SC13: Pacific Islands Forum Fisheries Agency (FFA), Inter-American Tropical Tuna Commission (IATTC), Parties to the Nauru Agreement (PNA), the Pacific Community (SPC) and the Food and Agriculture Organization of the United Nations (FAO),  American Tunaboat Association, Birdlife International, Greenpeace, International Seafood Sustainability Foundation (ISSF), Marine Stewardship Council (MSC), The Nature Conservancy, The Pew Charitable Trusts (Pew), Sustainable Fisheries Partnership (SFP), and Worldwide Fund for Nature (WWF).</w:t>
      </w:r>
    </w:p>
    <w:p w14:paraId="73BC2F8C" w14:textId="77777777" w:rsidR="0014588F" w:rsidRDefault="0014588F" w:rsidP="0014588F">
      <w:pPr>
        <w:autoSpaceDE w:val="0"/>
        <w:autoSpaceDN w:val="0"/>
        <w:adjustRightInd w:val="0"/>
        <w:snapToGrid w:val="0"/>
        <w:spacing w:after="0"/>
        <w:rPr>
          <w:rFonts w:ascii="Times New Roman" w:hAnsi="Times New Roman"/>
          <w:lang w:val="en-AU"/>
        </w:rPr>
      </w:pPr>
    </w:p>
    <w:p w14:paraId="15790BE4" w14:textId="2080AFF3" w:rsidR="0014588F" w:rsidRPr="00D80EAC" w:rsidRDefault="0014588F" w:rsidP="0014588F">
      <w:pPr>
        <w:pStyle w:val="WCPFC"/>
        <w:adjustRightInd w:val="0"/>
        <w:spacing w:after="0"/>
        <w:ind w:left="0" w:firstLine="0"/>
        <w:rPr>
          <w:b/>
        </w:rPr>
      </w:pPr>
      <w:r w:rsidRPr="009C2ADD">
        <w:rPr>
          <w:lang w:val="en-AU"/>
        </w:rPr>
        <w:t>The Honourable Minister M</w:t>
      </w:r>
      <w:r>
        <w:rPr>
          <w:rFonts w:hint="eastAsia"/>
          <w:lang w:val="en-AU" w:eastAsia="ko-KR"/>
        </w:rPr>
        <w:t>.</w:t>
      </w:r>
      <w:r w:rsidRPr="009C2ADD">
        <w:rPr>
          <w:lang w:val="en-AU"/>
        </w:rPr>
        <w:t xml:space="preserve"> Brown, </w:t>
      </w:r>
      <w:r w:rsidRPr="00AE4B1C">
        <w:rPr>
          <w:lang w:val="en-AU"/>
        </w:rPr>
        <w:t xml:space="preserve">the SC Chair, </w:t>
      </w:r>
      <w:r w:rsidRPr="00D80EAC">
        <w:rPr>
          <w:lang w:val="en-AU" w:eastAsia="ko-KR"/>
        </w:rPr>
        <w:t>B.</w:t>
      </w:r>
      <w:r w:rsidRPr="00AE4B1C">
        <w:rPr>
          <w:lang w:val="en-AU"/>
        </w:rPr>
        <w:t xml:space="preserve"> Muller (RMI)</w:t>
      </w:r>
      <w:r w:rsidRPr="00D80EAC">
        <w:rPr>
          <w:lang w:val="en-AU"/>
        </w:rPr>
        <w:t xml:space="preserve"> and the Exec</w:t>
      </w:r>
      <w:r w:rsidR="00CF60A8">
        <w:rPr>
          <w:rFonts w:hint="eastAsia"/>
          <w:lang w:val="en-AU" w:eastAsia="ko-KR"/>
        </w:rPr>
        <w:t>u</w:t>
      </w:r>
      <w:r w:rsidRPr="00D80EAC">
        <w:rPr>
          <w:lang w:val="en-AU"/>
        </w:rPr>
        <w:t xml:space="preserve">tive Director </w:t>
      </w:r>
      <w:r w:rsidRPr="00D80EAC">
        <w:rPr>
          <w:lang w:eastAsia="ko-KR"/>
        </w:rPr>
        <w:t>delivered opening and welcome speeches.</w:t>
      </w:r>
      <w:r w:rsidRPr="00AE4B1C">
        <w:rPr>
          <w:lang w:val="en-AU"/>
        </w:rPr>
        <w:t xml:space="preserve"> </w:t>
      </w:r>
    </w:p>
    <w:p w14:paraId="5FC9F13C" w14:textId="77777777" w:rsidR="0014588F" w:rsidRDefault="0014588F" w:rsidP="0014588F">
      <w:pPr>
        <w:pStyle w:val="ListParagraph"/>
        <w:adjustRightInd w:val="0"/>
        <w:snapToGrid w:val="0"/>
        <w:contextualSpacing w:val="0"/>
        <w:rPr>
          <w:b/>
        </w:rPr>
      </w:pPr>
    </w:p>
    <w:p w14:paraId="6138689B" w14:textId="77777777" w:rsidR="0014588F" w:rsidRPr="0050437C"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50437C">
        <w:rPr>
          <w:rFonts w:ascii="Times New Roman" w:hAnsi="Times New Roman"/>
          <w:lang w:val="en-AU"/>
        </w:rPr>
        <w:t>The theme conveners and their assigned themes were:</w:t>
      </w:r>
    </w:p>
    <w:tbl>
      <w:tblPr>
        <w:tblW w:w="4784" w:type="pct"/>
        <w:tblInd w:w="284" w:type="dxa"/>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4218"/>
        <w:gridCol w:w="4944"/>
      </w:tblGrid>
      <w:tr w:rsidR="0014588F" w:rsidRPr="009C2ADD" w14:paraId="100C2589" w14:textId="77777777" w:rsidTr="000E6616">
        <w:trPr>
          <w:trHeight w:val="223"/>
        </w:trPr>
        <w:tc>
          <w:tcPr>
            <w:tcW w:w="2302" w:type="pct"/>
            <w:tcMar>
              <w:top w:w="0" w:type="dxa"/>
              <w:left w:w="108" w:type="dxa"/>
              <w:bottom w:w="0" w:type="dxa"/>
              <w:right w:w="108" w:type="dxa"/>
            </w:tcMar>
            <w:hideMark/>
          </w:tcPr>
          <w:p w14:paraId="4C11EC08" w14:textId="77777777" w:rsidR="0014588F" w:rsidRPr="009C2ADD" w:rsidRDefault="0014588F" w:rsidP="000E6616">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Data and Statistics theme</w:t>
            </w:r>
          </w:p>
        </w:tc>
        <w:tc>
          <w:tcPr>
            <w:tcW w:w="2698" w:type="pct"/>
            <w:tcMar>
              <w:top w:w="0" w:type="dxa"/>
              <w:left w:w="108" w:type="dxa"/>
              <w:bottom w:w="0" w:type="dxa"/>
              <w:right w:w="108" w:type="dxa"/>
            </w:tcMar>
            <w:hideMark/>
          </w:tcPr>
          <w:p w14:paraId="6698D40F" w14:textId="77777777" w:rsidR="0014588F" w:rsidRPr="009C2ADD" w:rsidRDefault="0014588F" w:rsidP="000E6616">
            <w:pPr>
              <w:adjustRightInd w:val="0"/>
              <w:snapToGrid w:val="0"/>
              <w:spacing w:after="0"/>
              <w:ind w:left="720" w:hanging="38"/>
              <w:rPr>
                <w:rFonts w:ascii="Times New Roman" w:eastAsia="맑은 고딕" w:hAnsi="Times New Roman"/>
                <w:lang w:eastAsia="en-NZ"/>
              </w:rPr>
            </w:pPr>
            <w:r w:rsidRPr="009C2ADD">
              <w:rPr>
                <w:rFonts w:ascii="Times New Roman" w:eastAsia="맑은 고딕" w:hAnsi="Times New Roman"/>
                <w:lang w:eastAsia="en-NZ"/>
              </w:rPr>
              <w:t>V</w:t>
            </w:r>
            <w:r>
              <w:rPr>
                <w:rFonts w:ascii="Times New Roman" w:eastAsia="맑은 고딕" w:hAnsi="Times New Roman"/>
                <w:lang w:eastAsia="en-NZ"/>
              </w:rPr>
              <w:t>.</w:t>
            </w:r>
            <w:r w:rsidRPr="009C2ADD">
              <w:rPr>
                <w:rFonts w:ascii="Times New Roman" w:eastAsia="맑은 고딕" w:hAnsi="Times New Roman"/>
                <w:lang w:eastAsia="en-NZ"/>
              </w:rPr>
              <w:t xml:space="preserve"> Post (USA)</w:t>
            </w:r>
          </w:p>
        </w:tc>
      </w:tr>
      <w:tr w:rsidR="0014588F" w:rsidRPr="009C2ADD" w14:paraId="2414145A" w14:textId="77777777" w:rsidTr="000E6616">
        <w:tc>
          <w:tcPr>
            <w:tcW w:w="2302" w:type="pct"/>
            <w:tcMar>
              <w:top w:w="0" w:type="dxa"/>
              <w:left w:w="108" w:type="dxa"/>
              <w:bottom w:w="0" w:type="dxa"/>
              <w:right w:w="108" w:type="dxa"/>
            </w:tcMar>
            <w:hideMark/>
          </w:tcPr>
          <w:p w14:paraId="3D08A354" w14:textId="77777777" w:rsidR="0014588F" w:rsidRPr="009C2ADD" w:rsidRDefault="0014588F" w:rsidP="000E6616">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Stock Assessment theme</w:t>
            </w:r>
          </w:p>
        </w:tc>
        <w:tc>
          <w:tcPr>
            <w:tcW w:w="2698" w:type="pct"/>
            <w:tcMar>
              <w:top w:w="0" w:type="dxa"/>
              <w:left w:w="108" w:type="dxa"/>
              <w:bottom w:w="0" w:type="dxa"/>
              <w:right w:w="108" w:type="dxa"/>
            </w:tcMar>
            <w:hideMark/>
          </w:tcPr>
          <w:p w14:paraId="0F6EADF4" w14:textId="77777777" w:rsidR="0014588F" w:rsidRPr="009C2ADD" w:rsidRDefault="0014588F" w:rsidP="000E6616">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J. Brodziak (USA) and H. Nishida (Japan)</w:t>
            </w:r>
          </w:p>
        </w:tc>
      </w:tr>
      <w:tr w:rsidR="0014588F" w:rsidRPr="009C2ADD" w14:paraId="272A9577" w14:textId="77777777" w:rsidTr="000E6616">
        <w:tc>
          <w:tcPr>
            <w:tcW w:w="2302" w:type="pct"/>
            <w:tcMar>
              <w:top w:w="0" w:type="dxa"/>
              <w:left w:w="108" w:type="dxa"/>
              <w:bottom w:w="0" w:type="dxa"/>
              <w:right w:w="108" w:type="dxa"/>
            </w:tcMar>
            <w:hideMark/>
          </w:tcPr>
          <w:p w14:paraId="315D88B4" w14:textId="77777777" w:rsidR="0014588F" w:rsidRPr="009C2ADD" w:rsidRDefault="0014588F" w:rsidP="000E6616">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Management Issues theme</w:t>
            </w:r>
          </w:p>
        </w:tc>
        <w:tc>
          <w:tcPr>
            <w:tcW w:w="2698" w:type="pct"/>
            <w:tcMar>
              <w:top w:w="0" w:type="dxa"/>
              <w:left w:w="108" w:type="dxa"/>
              <w:bottom w:w="0" w:type="dxa"/>
              <w:right w:w="108" w:type="dxa"/>
            </w:tcMar>
            <w:hideMark/>
          </w:tcPr>
          <w:p w14:paraId="6C522A38" w14:textId="77777777" w:rsidR="0014588F" w:rsidRPr="009C2ADD" w:rsidRDefault="0014588F" w:rsidP="000E6616">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R. Campbell (Australia)</w:t>
            </w:r>
          </w:p>
        </w:tc>
      </w:tr>
      <w:tr w:rsidR="0014588F" w:rsidRPr="009C2ADD" w14:paraId="3FD2D7FF" w14:textId="77777777" w:rsidTr="000E6616">
        <w:tc>
          <w:tcPr>
            <w:tcW w:w="2302" w:type="pct"/>
            <w:tcMar>
              <w:top w:w="0" w:type="dxa"/>
              <w:left w:w="108" w:type="dxa"/>
              <w:bottom w:w="0" w:type="dxa"/>
              <w:right w:w="108" w:type="dxa"/>
            </w:tcMar>
            <w:hideMark/>
          </w:tcPr>
          <w:p w14:paraId="27B4B818" w14:textId="77777777" w:rsidR="0014588F" w:rsidRPr="009C2ADD" w:rsidRDefault="0014588F" w:rsidP="000E6616">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Ecosystem and Bycatch Mitigation theme</w:t>
            </w:r>
          </w:p>
        </w:tc>
        <w:tc>
          <w:tcPr>
            <w:tcW w:w="2698" w:type="pct"/>
            <w:tcMar>
              <w:top w:w="0" w:type="dxa"/>
              <w:left w:w="108" w:type="dxa"/>
              <w:bottom w:w="0" w:type="dxa"/>
              <w:right w:w="108" w:type="dxa"/>
            </w:tcMar>
            <w:hideMark/>
          </w:tcPr>
          <w:p w14:paraId="5B073D98" w14:textId="77777777" w:rsidR="0014588F" w:rsidRPr="009C2ADD" w:rsidRDefault="0014588F" w:rsidP="000E6616">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J. Annala (NZ) and A. Batibasaga (Fiji)</w:t>
            </w:r>
          </w:p>
        </w:tc>
      </w:tr>
    </w:tbl>
    <w:p w14:paraId="16B51B12" w14:textId="77777777" w:rsidR="0014588F" w:rsidRPr="009C2ADD" w:rsidRDefault="0014588F" w:rsidP="0014588F">
      <w:pPr>
        <w:pStyle w:val="WCPFC"/>
        <w:numPr>
          <w:ilvl w:val="0"/>
          <w:numId w:val="0"/>
        </w:numPr>
        <w:adjustRightInd w:val="0"/>
        <w:spacing w:after="0"/>
        <w:ind w:left="567"/>
      </w:pPr>
    </w:p>
    <w:p w14:paraId="3CDC3551" w14:textId="77777777" w:rsidR="0014588F" w:rsidRPr="009C2ADD" w:rsidRDefault="0014588F" w:rsidP="0014588F">
      <w:pPr>
        <w:pStyle w:val="WCPFC"/>
        <w:adjustRightInd w:val="0"/>
        <w:spacing w:after="0"/>
      </w:pPr>
      <w:r w:rsidRPr="00662464">
        <w:rPr>
          <w:rFonts w:hint="eastAsia"/>
          <w:lang w:eastAsia="ko-KR"/>
        </w:rPr>
        <w:t>SC1</w:t>
      </w:r>
      <w:r>
        <w:rPr>
          <w:lang w:eastAsia="ko-KR"/>
        </w:rPr>
        <w:t>3</w:t>
      </w:r>
      <w:r w:rsidRPr="00662464">
        <w:rPr>
          <w:rFonts w:hint="eastAsia"/>
          <w:lang w:eastAsia="ko-KR"/>
        </w:rPr>
        <w:t xml:space="preserve"> established </w:t>
      </w:r>
      <w:r>
        <w:rPr>
          <w:lang w:eastAsia="ko-KR"/>
        </w:rPr>
        <w:t>seven</w:t>
      </w:r>
      <w:r w:rsidRPr="00662464">
        <w:rPr>
          <w:rFonts w:hint="eastAsia"/>
          <w:lang w:eastAsia="ko-KR"/>
        </w:rPr>
        <w:t xml:space="preserve"> informal small groups (ISGs) to facilitate the meeting process</w:t>
      </w:r>
      <w:r>
        <w:rPr>
          <w:lang w:eastAsia="ko-KR"/>
        </w:rPr>
        <w:t>:</w:t>
      </w:r>
    </w:p>
    <w:tbl>
      <w:tblPr>
        <w:tblW w:w="4784" w:type="pc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5233"/>
        <w:gridCol w:w="2763"/>
      </w:tblGrid>
      <w:tr w:rsidR="0014588F" w:rsidRPr="009C2ADD" w14:paraId="06739071" w14:textId="77777777" w:rsidTr="000E6616">
        <w:trPr>
          <w:trHeight w:val="278"/>
        </w:trPr>
        <w:tc>
          <w:tcPr>
            <w:tcW w:w="636" w:type="pct"/>
            <w:tcBorders>
              <w:left w:val="nil"/>
              <w:bottom w:val="single" w:sz="4" w:space="0" w:color="000000"/>
              <w:right w:val="nil"/>
            </w:tcBorders>
            <w:shd w:val="clear" w:color="auto" w:fill="auto"/>
            <w:vAlign w:val="center"/>
          </w:tcPr>
          <w:p w14:paraId="66F62B9B" w14:textId="77777777" w:rsidR="0014588F" w:rsidRPr="009C2ADD" w:rsidRDefault="0014588F" w:rsidP="000E6616">
            <w:pPr>
              <w:adjustRightInd w:val="0"/>
              <w:snapToGrid w:val="0"/>
              <w:spacing w:after="0"/>
              <w:jc w:val="center"/>
              <w:rPr>
                <w:rFonts w:ascii="Times New Roman" w:eastAsia="맑은 고딕" w:hAnsi="Times New Roman"/>
                <w:b/>
                <w:lang w:eastAsia="en-NZ"/>
              </w:rPr>
            </w:pPr>
            <w:r w:rsidRPr="009C2ADD">
              <w:rPr>
                <w:rFonts w:ascii="Times New Roman" w:eastAsia="맑은 고딕" w:hAnsi="Times New Roman"/>
                <w:b/>
                <w:lang w:eastAsia="en-NZ"/>
              </w:rPr>
              <w:t>ISG-ID</w:t>
            </w:r>
          </w:p>
        </w:tc>
        <w:tc>
          <w:tcPr>
            <w:tcW w:w="2856" w:type="pct"/>
            <w:tcBorders>
              <w:left w:val="nil"/>
              <w:bottom w:val="single" w:sz="4" w:space="0" w:color="000000"/>
              <w:right w:val="nil"/>
            </w:tcBorders>
            <w:shd w:val="clear" w:color="auto" w:fill="auto"/>
            <w:vAlign w:val="center"/>
          </w:tcPr>
          <w:p w14:paraId="0CF3C895" w14:textId="77777777" w:rsidR="0014588F" w:rsidRPr="009C2ADD" w:rsidRDefault="0014588F" w:rsidP="000E6616">
            <w:pPr>
              <w:adjustRightInd w:val="0"/>
              <w:snapToGrid w:val="0"/>
              <w:spacing w:after="0"/>
              <w:jc w:val="left"/>
              <w:rPr>
                <w:rFonts w:ascii="Times New Roman" w:eastAsia="맑은 고딕" w:hAnsi="Times New Roman"/>
                <w:b/>
                <w:lang w:val="en-US" w:eastAsia="ko-KR"/>
              </w:rPr>
            </w:pPr>
            <w:r w:rsidRPr="009C2ADD">
              <w:rPr>
                <w:rFonts w:ascii="Times New Roman" w:eastAsia="맑은 고딕" w:hAnsi="Times New Roman"/>
                <w:b/>
                <w:lang w:val="en-US" w:eastAsia="ko-KR"/>
              </w:rPr>
              <w:t>Title</w:t>
            </w:r>
          </w:p>
        </w:tc>
        <w:tc>
          <w:tcPr>
            <w:tcW w:w="1508" w:type="pct"/>
            <w:tcBorders>
              <w:left w:val="nil"/>
              <w:bottom w:val="single" w:sz="4" w:space="0" w:color="000000"/>
              <w:right w:val="nil"/>
            </w:tcBorders>
            <w:shd w:val="clear" w:color="auto" w:fill="auto"/>
            <w:vAlign w:val="center"/>
          </w:tcPr>
          <w:p w14:paraId="7F62A57C" w14:textId="77777777" w:rsidR="0014588F" w:rsidRPr="009C2ADD" w:rsidRDefault="0014588F" w:rsidP="000E6616">
            <w:pPr>
              <w:adjustRightInd w:val="0"/>
              <w:snapToGrid w:val="0"/>
              <w:spacing w:after="0"/>
              <w:jc w:val="left"/>
              <w:rPr>
                <w:rFonts w:ascii="Times New Roman" w:eastAsia="맑은 고딕" w:hAnsi="Times New Roman"/>
                <w:b/>
                <w:lang w:val="en-US" w:eastAsia="ko-KR"/>
              </w:rPr>
            </w:pPr>
            <w:r w:rsidRPr="009C2ADD">
              <w:rPr>
                <w:rFonts w:ascii="Times New Roman" w:eastAsia="맑은 고딕" w:hAnsi="Times New Roman"/>
                <w:b/>
                <w:lang w:val="en-US" w:eastAsia="ko-KR"/>
              </w:rPr>
              <w:t>Facilitator</w:t>
            </w:r>
          </w:p>
        </w:tc>
      </w:tr>
      <w:tr w:rsidR="0014588F" w:rsidRPr="009C2ADD" w14:paraId="50676355" w14:textId="77777777" w:rsidTr="000E6616">
        <w:trPr>
          <w:trHeight w:val="278"/>
        </w:trPr>
        <w:tc>
          <w:tcPr>
            <w:tcW w:w="636" w:type="pct"/>
            <w:tcBorders>
              <w:left w:val="nil"/>
              <w:bottom w:val="nil"/>
              <w:right w:val="nil"/>
            </w:tcBorders>
            <w:shd w:val="clear" w:color="auto" w:fill="auto"/>
            <w:vAlign w:val="center"/>
          </w:tcPr>
          <w:p w14:paraId="1A790569" w14:textId="77777777" w:rsidR="0014588F" w:rsidRPr="009C2ADD" w:rsidRDefault="0014588F" w:rsidP="000E6616">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ISG-1</w:t>
            </w:r>
          </w:p>
        </w:tc>
        <w:tc>
          <w:tcPr>
            <w:tcW w:w="2856" w:type="pct"/>
            <w:tcBorders>
              <w:left w:val="nil"/>
              <w:bottom w:val="nil"/>
              <w:right w:val="nil"/>
            </w:tcBorders>
            <w:shd w:val="clear" w:color="auto" w:fill="auto"/>
            <w:vAlign w:val="center"/>
          </w:tcPr>
          <w:p w14:paraId="2FD15620"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Guidelines for submission of economic data</w:t>
            </w:r>
          </w:p>
        </w:tc>
        <w:tc>
          <w:tcPr>
            <w:tcW w:w="1508" w:type="pct"/>
            <w:tcBorders>
              <w:left w:val="nil"/>
              <w:bottom w:val="nil"/>
              <w:right w:val="nil"/>
            </w:tcBorders>
            <w:shd w:val="clear" w:color="auto" w:fill="auto"/>
            <w:vAlign w:val="center"/>
          </w:tcPr>
          <w:p w14:paraId="0CE1E052"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hAnsi="Times New Roman"/>
                <w:noProof/>
                <w:color w:val="000000"/>
              </w:rPr>
              <w:t>A</w:t>
            </w:r>
            <w:r>
              <w:rPr>
                <w:rFonts w:ascii="Times New Roman" w:hAnsi="Times New Roman" w:hint="eastAsia"/>
                <w:noProof/>
                <w:color w:val="000000"/>
                <w:lang w:eastAsia="ko-KR"/>
              </w:rPr>
              <w:t>.</w:t>
            </w:r>
            <w:r w:rsidRPr="009C2ADD">
              <w:rPr>
                <w:rFonts w:ascii="Times New Roman" w:hAnsi="Times New Roman"/>
                <w:noProof/>
                <w:color w:val="000000"/>
              </w:rPr>
              <w:t xml:space="preserve"> Batibasaga</w:t>
            </w:r>
          </w:p>
        </w:tc>
      </w:tr>
      <w:tr w:rsidR="0014588F" w:rsidRPr="009C2ADD" w14:paraId="1EA1F41B" w14:textId="77777777" w:rsidTr="000E6616">
        <w:tc>
          <w:tcPr>
            <w:tcW w:w="636" w:type="pct"/>
            <w:tcBorders>
              <w:top w:val="nil"/>
              <w:left w:val="nil"/>
              <w:bottom w:val="nil"/>
              <w:right w:val="nil"/>
            </w:tcBorders>
            <w:shd w:val="clear" w:color="auto" w:fill="auto"/>
            <w:vAlign w:val="center"/>
          </w:tcPr>
          <w:p w14:paraId="295AA0E7" w14:textId="77777777" w:rsidR="0014588F" w:rsidRPr="009C2ADD" w:rsidRDefault="0014588F" w:rsidP="000E6616">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ISG-2</w:t>
            </w:r>
          </w:p>
        </w:tc>
        <w:tc>
          <w:tcPr>
            <w:tcW w:w="2856" w:type="pct"/>
            <w:tcBorders>
              <w:top w:val="nil"/>
              <w:left w:val="nil"/>
              <w:bottom w:val="nil"/>
              <w:right w:val="nil"/>
            </w:tcBorders>
            <w:shd w:val="clear" w:color="auto" w:fill="auto"/>
            <w:vAlign w:val="center"/>
          </w:tcPr>
          <w:p w14:paraId="14DB7C69"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FAD data fields and FAD Research Plan</w:t>
            </w:r>
          </w:p>
        </w:tc>
        <w:tc>
          <w:tcPr>
            <w:tcW w:w="1508" w:type="pct"/>
            <w:tcBorders>
              <w:top w:val="nil"/>
              <w:left w:val="nil"/>
              <w:bottom w:val="nil"/>
              <w:right w:val="nil"/>
            </w:tcBorders>
            <w:shd w:val="clear" w:color="auto" w:fill="auto"/>
          </w:tcPr>
          <w:p w14:paraId="43408E5A"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hAnsi="Times New Roman"/>
                <w:noProof/>
                <w:color w:val="000000"/>
              </w:rPr>
              <w:t>J</w:t>
            </w:r>
            <w:r>
              <w:rPr>
                <w:rFonts w:ascii="Times New Roman" w:hAnsi="Times New Roman" w:hint="eastAsia"/>
                <w:noProof/>
                <w:color w:val="000000"/>
                <w:lang w:eastAsia="ko-KR"/>
              </w:rPr>
              <w:t>.</w:t>
            </w:r>
            <w:r w:rsidRPr="009C2ADD">
              <w:rPr>
                <w:rFonts w:ascii="Times New Roman" w:hAnsi="Times New Roman"/>
                <w:noProof/>
                <w:color w:val="000000"/>
              </w:rPr>
              <w:t xml:space="preserve"> Santiago</w:t>
            </w:r>
          </w:p>
        </w:tc>
      </w:tr>
      <w:tr w:rsidR="0014588F" w:rsidRPr="009C2ADD" w14:paraId="13C681D1" w14:textId="77777777" w:rsidTr="000E6616">
        <w:tc>
          <w:tcPr>
            <w:tcW w:w="636" w:type="pct"/>
            <w:tcBorders>
              <w:top w:val="nil"/>
              <w:left w:val="nil"/>
              <w:bottom w:val="nil"/>
              <w:right w:val="nil"/>
            </w:tcBorders>
            <w:shd w:val="clear" w:color="auto" w:fill="auto"/>
            <w:vAlign w:val="center"/>
          </w:tcPr>
          <w:p w14:paraId="461E6861" w14:textId="77777777" w:rsidR="0014588F" w:rsidRPr="009C2ADD" w:rsidRDefault="0014588F" w:rsidP="000E6616">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ISG-3</w:t>
            </w:r>
          </w:p>
        </w:tc>
        <w:tc>
          <w:tcPr>
            <w:tcW w:w="2856" w:type="pct"/>
            <w:tcBorders>
              <w:top w:val="nil"/>
              <w:left w:val="nil"/>
              <w:bottom w:val="nil"/>
              <w:right w:val="nil"/>
            </w:tcBorders>
            <w:shd w:val="clear" w:color="auto" w:fill="auto"/>
            <w:vAlign w:val="center"/>
          </w:tcPr>
          <w:p w14:paraId="17973066"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eastAsia="ko-KR"/>
              </w:rPr>
              <w:t xml:space="preserve">Target reference point for SP albacore </w:t>
            </w:r>
          </w:p>
        </w:tc>
        <w:tc>
          <w:tcPr>
            <w:tcW w:w="1508" w:type="pct"/>
            <w:tcBorders>
              <w:top w:val="nil"/>
              <w:left w:val="nil"/>
              <w:bottom w:val="nil"/>
              <w:right w:val="nil"/>
            </w:tcBorders>
            <w:shd w:val="clear" w:color="auto" w:fill="auto"/>
            <w:vAlign w:val="center"/>
          </w:tcPr>
          <w:p w14:paraId="1E2886C2"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Cancelled</w:t>
            </w:r>
          </w:p>
        </w:tc>
      </w:tr>
      <w:tr w:rsidR="0014588F" w:rsidRPr="009C2ADD" w14:paraId="40BBC82A" w14:textId="77777777" w:rsidTr="000E6616">
        <w:tc>
          <w:tcPr>
            <w:tcW w:w="636" w:type="pct"/>
            <w:tcBorders>
              <w:top w:val="nil"/>
              <w:left w:val="nil"/>
              <w:bottom w:val="nil"/>
              <w:right w:val="nil"/>
            </w:tcBorders>
            <w:shd w:val="clear" w:color="auto" w:fill="auto"/>
            <w:vAlign w:val="center"/>
          </w:tcPr>
          <w:p w14:paraId="416EF163" w14:textId="77777777" w:rsidR="0014588F" w:rsidRPr="009C2ADD" w:rsidRDefault="0014588F" w:rsidP="000E6616">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ISG-4</w:t>
            </w:r>
          </w:p>
        </w:tc>
        <w:tc>
          <w:tcPr>
            <w:tcW w:w="2856" w:type="pct"/>
            <w:tcBorders>
              <w:top w:val="nil"/>
              <w:left w:val="nil"/>
              <w:bottom w:val="nil"/>
              <w:right w:val="nil"/>
            </w:tcBorders>
            <w:shd w:val="clear" w:color="auto" w:fill="auto"/>
            <w:vAlign w:val="center"/>
          </w:tcPr>
          <w:p w14:paraId="582F4139" w14:textId="77777777" w:rsidR="0014588F" w:rsidRPr="009C2ADD" w:rsidRDefault="0014588F" w:rsidP="000E6616">
            <w:pPr>
              <w:adjustRightInd w:val="0"/>
              <w:snapToGrid w:val="0"/>
              <w:spacing w:after="0"/>
              <w:ind w:left="720" w:hanging="720"/>
              <w:rPr>
                <w:rFonts w:ascii="Times New Roman" w:eastAsia="맑은 고딕" w:hAnsi="Times New Roman"/>
                <w:lang w:val="en-AU" w:eastAsia="ko-KR"/>
              </w:rPr>
            </w:pPr>
            <w:r w:rsidRPr="009C2ADD">
              <w:rPr>
                <w:rFonts w:ascii="Times New Roman" w:eastAsia="맑은 고딕" w:hAnsi="Times New Roman"/>
                <w:lang w:val="en-US" w:eastAsia="ko-KR"/>
              </w:rPr>
              <w:t>Shark Research Plan and future work plan</w:t>
            </w:r>
          </w:p>
        </w:tc>
        <w:tc>
          <w:tcPr>
            <w:tcW w:w="1508" w:type="pct"/>
            <w:tcBorders>
              <w:top w:val="nil"/>
              <w:left w:val="nil"/>
              <w:bottom w:val="nil"/>
              <w:right w:val="nil"/>
            </w:tcBorders>
            <w:shd w:val="clear" w:color="auto" w:fill="auto"/>
            <w:vAlign w:val="center"/>
          </w:tcPr>
          <w:p w14:paraId="27E614E1" w14:textId="77777777" w:rsidR="0014588F" w:rsidRPr="009C2ADD" w:rsidRDefault="0014588F" w:rsidP="000E6616">
            <w:pPr>
              <w:adjustRightInd w:val="0"/>
              <w:snapToGrid w:val="0"/>
              <w:spacing w:after="0"/>
              <w:rPr>
                <w:rFonts w:ascii="Times New Roman" w:eastAsia="맑은 고딕" w:hAnsi="Times New Roman"/>
                <w:lang w:eastAsia="ko-KR"/>
              </w:rPr>
            </w:pPr>
            <w:r w:rsidRPr="009C2ADD">
              <w:rPr>
                <w:rFonts w:ascii="Times New Roman" w:eastAsia="맑은 고딕" w:hAnsi="Times New Roman"/>
                <w:lang w:eastAsia="ko-KR"/>
              </w:rPr>
              <w:t>J</w:t>
            </w:r>
            <w:r>
              <w:rPr>
                <w:rFonts w:ascii="Times New Roman" w:eastAsia="맑은 고딕" w:hAnsi="Times New Roman" w:hint="eastAsia"/>
                <w:lang w:eastAsia="ko-KR"/>
              </w:rPr>
              <w:t>.</w:t>
            </w:r>
            <w:r w:rsidRPr="009C2ADD">
              <w:rPr>
                <w:rFonts w:ascii="Times New Roman" w:eastAsia="맑은 고딕" w:hAnsi="Times New Roman"/>
                <w:lang w:eastAsia="ko-KR"/>
              </w:rPr>
              <w:t xml:space="preserve"> Larcombe</w:t>
            </w:r>
          </w:p>
        </w:tc>
      </w:tr>
      <w:tr w:rsidR="0014588F" w:rsidRPr="009C2ADD" w14:paraId="46A5A18D" w14:textId="77777777" w:rsidTr="000E6616">
        <w:tc>
          <w:tcPr>
            <w:tcW w:w="636" w:type="pct"/>
            <w:tcBorders>
              <w:top w:val="nil"/>
              <w:left w:val="nil"/>
              <w:bottom w:val="nil"/>
              <w:right w:val="nil"/>
            </w:tcBorders>
            <w:shd w:val="clear" w:color="auto" w:fill="auto"/>
            <w:vAlign w:val="center"/>
          </w:tcPr>
          <w:p w14:paraId="7EFAD795" w14:textId="77777777" w:rsidR="0014588F" w:rsidRPr="009C2ADD" w:rsidRDefault="0014588F" w:rsidP="000E6616">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ISG-5</w:t>
            </w:r>
          </w:p>
        </w:tc>
        <w:tc>
          <w:tcPr>
            <w:tcW w:w="2856" w:type="pct"/>
            <w:tcBorders>
              <w:top w:val="nil"/>
              <w:left w:val="nil"/>
              <w:bottom w:val="nil"/>
              <w:right w:val="nil"/>
            </w:tcBorders>
            <w:shd w:val="clear" w:color="auto" w:fill="auto"/>
            <w:vAlign w:val="center"/>
          </w:tcPr>
          <w:p w14:paraId="782D77A5"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Safe release guidelines for manta and mobula rays</w:t>
            </w:r>
          </w:p>
        </w:tc>
        <w:tc>
          <w:tcPr>
            <w:tcW w:w="1508" w:type="pct"/>
            <w:tcBorders>
              <w:top w:val="nil"/>
              <w:left w:val="nil"/>
              <w:bottom w:val="nil"/>
              <w:right w:val="nil"/>
            </w:tcBorders>
            <w:shd w:val="clear" w:color="auto" w:fill="auto"/>
            <w:vAlign w:val="center"/>
          </w:tcPr>
          <w:p w14:paraId="0353F333"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M</w:t>
            </w:r>
            <w:r>
              <w:rPr>
                <w:rFonts w:ascii="Times New Roman" w:eastAsia="맑은 고딕" w:hAnsi="Times New Roman" w:hint="eastAsia"/>
                <w:lang w:val="en-US" w:eastAsia="ko-KR"/>
              </w:rPr>
              <w:t>.</w:t>
            </w:r>
            <w:r w:rsidRPr="009C2ADD">
              <w:rPr>
                <w:rFonts w:ascii="Times New Roman" w:eastAsia="맑은 고딕" w:hAnsi="Times New Roman"/>
                <w:lang w:val="en-US" w:eastAsia="ko-KR"/>
              </w:rPr>
              <w:t xml:space="preserve"> Hutchinson </w:t>
            </w:r>
          </w:p>
        </w:tc>
      </w:tr>
      <w:tr w:rsidR="0014588F" w:rsidRPr="009C2ADD" w14:paraId="08F21C7F" w14:textId="77777777" w:rsidTr="000E6616">
        <w:tc>
          <w:tcPr>
            <w:tcW w:w="636" w:type="pct"/>
            <w:tcBorders>
              <w:top w:val="nil"/>
              <w:left w:val="nil"/>
              <w:bottom w:val="nil"/>
              <w:right w:val="nil"/>
            </w:tcBorders>
            <w:shd w:val="clear" w:color="auto" w:fill="auto"/>
            <w:vAlign w:val="center"/>
          </w:tcPr>
          <w:p w14:paraId="5B3376A4" w14:textId="77777777" w:rsidR="0014588F" w:rsidRPr="009C2ADD" w:rsidRDefault="0014588F" w:rsidP="000E6616">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en-NZ"/>
              </w:rPr>
              <w:t>ISG-</w:t>
            </w:r>
            <w:r w:rsidRPr="009C2ADD">
              <w:rPr>
                <w:rFonts w:ascii="Times New Roman" w:eastAsia="맑은 고딕" w:hAnsi="Times New Roman"/>
                <w:lang w:eastAsia="ko-KR"/>
              </w:rPr>
              <w:t>6</w:t>
            </w:r>
          </w:p>
        </w:tc>
        <w:tc>
          <w:tcPr>
            <w:tcW w:w="2856" w:type="pct"/>
            <w:tcBorders>
              <w:top w:val="nil"/>
              <w:left w:val="nil"/>
              <w:bottom w:val="nil"/>
              <w:right w:val="nil"/>
            </w:tcBorders>
            <w:shd w:val="clear" w:color="auto" w:fill="auto"/>
            <w:vAlign w:val="center"/>
          </w:tcPr>
          <w:p w14:paraId="605B48F1" w14:textId="77777777" w:rsidR="0014588F" w:rsidRPr="009C2ADD" w:rsidRDefault="0014588F" w:rsidP="000E6616">
            <w:pPr>
              <w:adjustRightInd w:val="0"/>
              <w:snapToGrid w:val="0"/>
              <w:spacing w:after="0"/>
              <w:rPr>
                <w:rFonts w:ascii="Times New Roman" w:eastAsia="맑은 고딕" w:hAnsi="Times New Roman"/>
                <w:lang w:eastAsia="en-NZ"/>
              </w:rPr>
            </w:pPr>
            <w:r w:rsidRPr="009C2ADD">
              <w:rPr>
                <w:rFonts w:ascii="Times New Roman" w:eastAsia="맑은 고딕" w:hAnsi="Times New Roman"/>
                <w:lang w:eastAsia="en-NZ"/>
              </w:rPr>
              <w:t>Comprehensive shark and ray measure</w:t>
            </w:r>
          </w:p>
        </w:tc>
        <w:tc>
          <w:tcPr>
            <w:tcW w:w="1508" w:type="pct"/>
            <w:tcBorders>
              <w:top w:val="nil"/>
              <w:left w:val="nil"/>
              <w:bottom w:val="nil"/>
              <w:right w:val="nil"/>
            </w:tcBorders>
            <w:shd w:val="clear" w:color="auto" w:fill="auto"/>
            <w:vAlign w:val="center"/>
          </w:tcPr>
          <w:p w14:paraId="290A3DD0" w14:textId="77777777" w:rsidR="0014588F" w:rsidRPr="009C2ADD" w:rsidRDefault="0014588F" w:rsidP="000E6616">
            <w:pPr>
              <w:adjustRightInd w:val="0"/>
              <w:snapToGrid w:val="0"/>
              <w:spacing w:after="0"/>
              <w:rPr>
                <w:rFonts w:ascii="Times New Roman" w:eastAsia="맑은 고딕" w:hAnsi="Times New Roman"/>
                <w:lang w:eastAsia="ko-KR"/>
              </w:rPr>
            </w:pPr>
            <w:r w:rsidRPr="009C2ADD">
              <w:rPr>
                <w:rFonts w:ascii="Times New Roman" w:eastAsia="맑은 고딕" w:hAnsi="Times New Roman"/>
                <w:lang w:eastAsia="ko-KR"/>
              </w:rPr>
              <w:t>S</w:t>
            </w:r>
            <w:r>
              <w:rPr>
                <w:rFonts w:ascii="Times New Roman" w:eastAsia="맑은 고딕" w:hAnsi="Times New Roman" w:hint="eastAsia"/>
                <w:lang w:eastAsia="ko-KR"/>
              </w:rPr>
              <w:t>.</w:t>
            </w:r>
            <w:r w:rsidRPr="009C2ADD">
              <w:rPr>
                <w:rFonts w:ascii="Times New Roman" w:eastAsia="맑은 고딕" w:hAnsi="Times New Roman"/>
                <w:lang w:eastAsia="ko-KR"/>
              </w:rPr>
              <w:t xml:space="preserve"> Varsamos</w:t>
            </w:r>
          </w:p>
        </w:tc>
      </w:tr>
      <w:tr w:rsidR="0014588F" w:rsidRPr="009C2ADD" w14:paraId="56EE9099" w14:textId="77777777" w:rsidTr="000E6616">
        <w:tc>
          <w:tcPr>
            <w:tcW w:w="636" w:type="pct"/>
            <w:tcBorders>
              <w:top w:val="nil"/>
              <w:left w:val="nil"/>
              <w:bottom w:val="nil"/>
              <w:right w:val="nil"/>
            </w:tcBorders>
            <w:shd w:val="clear" w:color="auto" w:fill="auto"/>
            <w:vAlign w:val="center"/>
          </w:tcPr>
          <w:p w14:paraId="4B3BF600" w14:textId="77777777" w:rsidR="0014588F" w:rsidRPr="009C2ADD" w:rsidRDefault="0014588F" w:rsidP="000E6616">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ko-KR"/>
              </w:rPr>
              <w:t>ISG-7</w:t>
            </w:r>
          </w:p>
        </w:tc>
        <w:tc>
          <w:tcPr>
            <w:tcW w:w="2856" w:type="pct"/>
            <w:tcBorders>
              <w:top w:val="nil"/>
              <w:left w:val="nil"/>
              <w:bottom w:val="nil"/>
              <w:right w:val="nil"/>
            </w:tcBorders>
            <w:shd w:val="clear" w:color="auto" w:fill="auto"/>
            <w:vAlign w:val="center"/>
          </w:tcPr>
          <w:p w14:paraId="56592AE0" w14:textId="77777777" w:rsidR="0014588F" w:rsidRPr="009C2ADD" w:rsidRDefault="0014588F" w:rsidP="000E6616">
            <w:pPr>
              <w:adjustRightInd w:val="0"/>
              <w:snapToGrid w:val="0"/>
              <w:spacing w:after="0"/>
              <w:rPr>
                <w:rFonts w:ascii="Times New Roman" w:eastAsia="맑은 고딕" w:hAnsi="Times New Roman"/>
                <w:i/>
                <w:lang w:eastAsia="ko-KR"/>
              </w:rPr>
            </w:pPr>
            <w:r w:rsidRPr="009C2ADD">
              <w:rPr>
                <w:rFonts w:ascii="Times New Roman" w:eastAsia="맑은 고딕" w:hAnsi="Times New Roman"/>
                <w:lang w:eastAsia="ko-KR"/>
              </w:rPr>
              <w:t>Development of SC Budget for 2017 – 2019</w:t>
            </w:r>
          </w:p>
        </w:tc>
        <w:tc>
          <w:tcPr>
            <w:tcW w:w="1508" w:type="pct"/>
            <w:tcBorders>
              <w:top w:val="nil"/>
              <w:left w:val="nil"/>
              <w:bottom w:val="nil"/>
              <w:right w:val="nil"/>
            </w:tcBorders>
            <w:shd w:val="clear" w:color="auto" w:fill="auto"/>
            <w:vAlign w:val="center"/>
          </w:tcPr>
          <w:p w14:paraId="35CEBB27" w14:textId="77777777" w:rsidR="0014588F" w:rsidRPr="009C2ADD" w:rsidRDefault="0014588F" w:rsidP="000E6616">
            <w:pPr>
              <w:adjustRightInd w:val="0"/>
              <w:snapToGrid w:val="0"/>
              <w:spacing w:after="0"/>
              <w:rPr>
                <w:rFonts w:ascii="Times New Roman" w:eastAsia="바탕" w:hAnsi="Times New Roman"/>
                <w:lang w:eastAsia="ko-KR"/>
              </w:rPr>
            </w:pPr>
            <w:r w:rsidRPr="009C2ADD">
              <w:rPr>
                <w:rFonts w:ascii="Times New Roman" w:eastAsia="바탕" w:hAnsi="Times New Roman"/>
                <w:lang w:eastAsia="ko-KR"/>
              </w:rPr>
              <w:t>B</w:t>
            </w:r>
            <w:r>
              <w:rPr>
                <w:rFonts w:ascii="Times New Roman" w:eastAsia="바탕" w:hAnsi="Times New Roman" w:hint="eastAsia"/>
                <w:lang w:eastAsia="ko-KR"/>
              </w:rPr>
              <w:t>.</w:t>
            </w:r>
            <w:r w:rsidRPr="009C2ADD">
              <w:rPr>
                <w:rFonts w:ascii="Times New Roman" w:eastAsia="바탕" w:hAnsi="Times New Roman"/>
                <w:lang w:eastAsia="ko-KR"/>
              </w:rPr>
              <w:t xml:space="preserve"> Muller</w:t>
            </w:r>
          </w:p>
        </w:tc>
      </w:tr>
      <w:tr w:rsidR="0014588F" w:rsidRPr="009C2ADD" w14:paraId="41955185" w14:textId="77777777" w:rsidTr="000E6616">
        <w:tc>
          <w:tcPr>
            <w:tcW w:w="636" w:type="pct"/>
            <w:tcBorders>
              <w:top w:val="nil"/>
              <w:left w:val="nil"/>
              <w:right w:val="nil"/>
            </w:tcBorders>
            <w:shd w:val="clear" w:color="auto" w:fill="auto"/>
            <w:vAlign w:val="center"/>
          </w:tcPr>
          <w:p w14:paraId="192E17B9" w14:textId="77777777" w:rsidR="0014588F" w:rsidRPr="009C2ADD" w:rsidRDefault="0014588F" w:rsidP="000E6616">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en-NZ"/>
              </w:rPr>
              <w:t>ISG-</w:t>
            </w:r>
            <w:r w:rsidRPr="009C2ADD">
              <w:rPr>
                <w:rFonts w:ascii="Times New Roman" w:eastAsia="맑은 고딕" w:hAnsi="Times New Roman"/>
                <w:lang w:eastAsia="ko-KR"/>
              </w:rPr>
              <w:t>8</w:t>
            </w:r>
          </w:p>
        </w:tc>
        <w:tc>
          <w:tcPr>
            <w:tcW w:w="2856" w:type="pct"/>
            <w:tcBorders>
              <w:top w:val="nil"/>
              <w:left w:val="nil"/>
              <w:right w:val="nil"/>
            </w:tcBorders>
            <w:shd w:val="clear" w:color="auto" w:fill="auto"/>
            <w:vAlign w:val="center"/>
          </w:tcPr>
          <w:p w14:paraId="1850DB64" w14:textId="77777777" w:rsidR="0014588F" w:rsidRPr="009C2ADD" w:rsidRDefault="0014588F" w:rsidP="000E661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Performance Indicators and Monitoring Strategies</w:t>
            </w:r>
          </w:p>
        </w:tc>
        <w:tc>
          <w:tcPr>
            <w:tcW w:w="1508" w:type="pct"/>
            <w:tcBorders>
              <w:top w:val="nil"/>
              <w:left w:val="nil"/>
              <w:right w:val="nil"/>
            </w:tcBorders>
            <w:shd w:val="clear" w:color="auto" w:fill="auto"/>
            <w:vAlign w:val="center"/>
          </w:tcPr>
          <w:p w14:paraId="70FD543B" w14:textId="77777777" w:rsidR="0014588F" w:rsidRPr="009C2ADD" w:rsidRDefault="0014588F" w:rsidP="000E6616">
            <w:pPr>
              <w:adjustRightInd w:val="0"/>
              <w:snapToGrid w:val="0"/>
              <w:spacing w:after="0"/>
              <w:rPr>
                <w:rFonts w:ascii="Times New Roman" w:eastAsia="맑은 고딕" w:hAnsi="Times New Roman"/>
                <w:lang w:eastAsia="en-NZ"/>
              </w:rPr>
            </w:pPr>
            <w:r w:rsidRPr="009C2ADD">
              <w:rPr>
                <w:rFonts w:ascii="Times New Roman" w:eastAsia="맑은 고딕" w:hAnsi="Times New Roman"/>
                <w:lang w:val="en-US" w:eastAsia="ko-KR"/>
              </w:rPr>
              <w:t>R</w:t>
            </w:r>
            <w:r>
              <w:rPr>
                <w:rFonts w:ascii="Times New Roman" w:eastAsia="맑은 고딕" w:hAnsi="Times New Roman" w:hint="eastAsia"/>
                <w:lang w:val="en-US" w:eastAsia="ko-KR"/>
              </w:rPr>
              <w:t>.</w:t>
            </w:r>
            <w:r w:rsidRPr="009C2ADD">
              <w:rPr>
                <w:rFonts w:ascii="Times New Roman" w:eastAsia="맑은 고딕" w:hAnsi="Times New Roman"/>
                <w:lang w:val="en-US" w:eastAsia="ko-KR"/>
              </w:rPr>
              <w:t xml:space="preserve"> Campbell</w:t>
            </w:r>
          </w:p>
        </w:tc>
      </w:tr>
    </w:tbl>
    <w:p w14:paraId="18653F59" w14:textId="77777777" w:rsidR="0014588F" w:rsidRPr="009C2ADD" w:rsidRDefault="0014588F" w:rsidP="0014588F">
      <w:pPr>
        <w:adjustRightInd w:val="0"/>
        <w:snapToGrid w:val="0"/>
        <w:spacing w:after="0"/>
        <w:jc w:val="center"/>
        <w:outlineLvl w:val="0"/>
        <w:rPr>
          <w:rFonts w:ascii="Times New Roman" w:eastAsia="Times New Roman" w:hAnsi="Times New Roman"/>
          <w:b/>
          <w:caps/>
          <w:lang w:val="en-AU" w:eastAsia="en-NZ"/>
        </w:rPr>
      </w:pPr>
    </w:p>
    <w:p w14:paraId="7F3BFF9C" w14:textId="77777777" w:rsidR="0014588F" w:rsidRPr="009C2ADD" w:rsidRDefault="0014588F" w:rsidP="0014588F">
      <w:pPr>
        <w:adjustRightInd w:val="0"/>
        <w:snapToGrid w:val="0"/>
        <w:spacing w:after="0"/>
        <w:jc w:val="center"/>
        <w:outlineLvl w:val="0"/>
        <w:rPr>
          <w:rFonts w:ascii="Times New Roman" w:eastAsia="Times New Roman" w:hAnsi="Times New Roman"/>
          <w:b/>
          <w:caps/>
          <w:lang w:val="en-AU" w:eastAsia="en-NZ"/>
        </w:rPr>
      </w:pPr>
    </w:p>
    <w:p w14:paraId="3BCA1269" w14:textId="77777777" w:rsidR="0014588F" w:rsidRPr="009C2ADD" w:rsidRDefault="0014588F" w:rsidP="0014588F">
      <w:pPr>
        <w:pStyle w:val="Heading1"/>
        <w:adjustRightInd w:val="0"/>
        <w:snapToGrid w:val="0"/>
        <w:rPr>
          <w:rFonts w:ascii="Times New Roman" w:hAnsi="Times New Roman"/>
          <w:sz w:val="22"/>
          <w:szCs w:val="22"/>
        </w:rPr>
      </w:pPr>
      <w:bookmarkStart w:id="1" w:name="_Toc498688612"/>
      <w:r w:rsidRPr="009C2ADD">
        <w:rPr>
          <w:rFonts w:ascii="Times New Roman" w:hAnsi="Times New Roman"/>
          <w:sz w:val="22"/>
          <w:szCs w:val="22"/>
        </w:rPr>
        <w:t>AGENDA ITEM 2 – Review of Fisheries</w:t>
      </w:r>
      <w:bookmarkEnd w:id="1"/>
    </w:p>
    <w:p w14:paraId="52312108" w14:textId="77777777" w:rsidR="0014588F" w:rsidRPr="009C2ADD" w:rsidRDefault="0014588F" w:rsidP="0014588F">
      <w:pPr>
        <w:autoSpaceDE w:val="0"/>
        <w:autoSpaceDN w:val="0"/>
        <w:adjustRightInd w:val="0"/>
        <w:snapToGrid w:val="0"/>
        <w:spacing w:after="0"/>
        <w:ind w:left="720" w:hanging="720"/>
        <w:outlineLvl w:val="1"/>
        <w:rPr>
          <w:rFonts w:ascii="Times New Roman" w:eastAsia="Times New Roman" w:hAnsi="Times New Roman"/>
          <w:b/>
          <w:bCs/>
          <w:lang w:eastAsia="en-NZ"/>
        </w:rPr>
      </w:pPr>
    </w:p>
    <w:p w14:paraId="41CD1669" w14:textId="77777777" w:rsidR="0014588F" w:rsidRPr="009C2ADD" w:rsidRDefault="0014588F" w:rsidP="0014588F">
      <w:pPr>
        <w:autoSpaceDE w:val="0"/>
        <w:autoSpaceDN w:val="0"/>
        <w:adjustRightInd w:val="0"/>
        <w:snapToGrid w:val="0"/>
        <w:spacing w:after="0"/>
        <w:ind w:left="720" w:hanging="720"/>
        <w:outlineLvl w:val="1"/>
        <w:rPr>
          <w:rFonts w:ascii="Times New Roman" w:eastAsia="Times New Roman" w:hAnsi="Times New Roman"/>
          <w:b/>
          <w:bCs/>
          <w:lang w:eastAsia="en-NZ"/>
        </w:rPr>
      </w:pPr>
    </w:p>
    <w:p w14:paraId="73E18033" w14:textId="77777777" w:rsidR="0014588F" w:rsidRPr="009C2ADD" w:rsidRDefault="0014588F" w:rsidP="0014588F">
      <w:pPr>
        <w:pStyle w:val="Heading2"/>
        <w:adjustRightInd w:val="0"/>
        <w:snapToGrid w:val="0"/>
        <w:rPr>
          <w:color w:val="auto"/>
          <w:szCs w:val="22"/>
        </w:rPr>
      </w:pPr>
      <w:bookmarkStart w:id="2" w:name="_Toc498688613"/>
      <w:r w:rsidRPr="009C2ADD">
        <w:rPr>
          <w:color w:val="auto"/>
          <w:szCs w:val="22"/>
        </w:rPr>
        <w:t xml:space="preserve">2.1 </w:t>
      </w:r>
      <w:r w:rsidRPr="009C2ADD">
        <w:rPr>
          <w:color w:val="auto"/>
          <w:szCs w:val="22"/>
        </w:rPr>
        <w:tab/>
        <w:t>Overview of Western and Central Pacific Ocean (WCPO) fisheries</w:t>
      </w:r>
      <w:bookmarkEnd w:id="2"/>
    </w:p>
    <w:p w14:paraId="2D001E5D" w14:textId="77777777" w:rsidR="0014588F" w:rsidRPr="009C2ADD" w:rsidRDefault="0014588F" w:rsidP="0014588F">
      <w:pPr>
        <w:adjustRightInd w:val="0"/>
        <w:snapToGrid w:val="0"/>
        <w:spacing w:after="0"/>
        <w:rPr>
          <w:rFonts w:ascii="Times New Roman" w:hAnsi="Times New Roman"/>
        </w:rPr>
      </w:pPr>
    </w:p>
    <w:p w14:paraId="7899969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w:t>
      </w:r>
      <w:r>
        <w:rPr>
          <w:rFonts w:ascii="Times New Roman" w:hAnsi="Times New Roman" w:hint="eastAsia"/>
          <w:lang w:val="en-AU" w:eastAsia="ko-KR"/>
        </w:rPr>
        <w:t>.</w:t>
      </w:r>
      <w:r w:rsidRPr="009C2ADD">
        <w:rPr>
          <w:rFonts w:ascii="Times New Roman" w:hAnsi="Times New Roman"/>
          <w:lang w:val="en-AU"/>
        </w:rPr>
        <w:t xml:space="preserve"> Williams (SPC-OFP) and C</w:t>
      </w:r>
      <w:r>
        <w:rPr>
          <w:rFonts w:ascii="Times New Roman" w:hAnsi="Times New Roman" w:hint="eastAsia"/>
          <w:lang w:val="en-AU" w:eastAsia="ko-KR"/>
        </w:rPr>
        <w:t>.</w:t>
      </w:r>
      <w:r w:rsidRPr="009C2ADD">
        <w:rPr>
          <w:rFonts w:ascii="Times New Roman" w:hAnsi="Times New Roman"/>
          <w:lang w:val="en-AU"/>
        </w:rPr>
        <w:t xml:space="preserve"> Reid (FFA) introduced </w:t>
      </w:r>
      <w:r w:rsidRPr="0070772D">
        <w:rPr>
          <w:rFonts w:ascii="Times New Roman" w:hAnsi="Times New Roman"/>
          <w:bCs/>
          <w:lang w:val="en-AU"/>
        </w:rPr>
        <w:t>SC13-GN-WP-01</w:t>
      </w:r>
      <w:r w:rsidRPr="009C2ADD">
        <w:rPr>
          <w:rFonts w:ascii="Times New Roman" w:hAnsi="Times New Roman"/>
          <w:lang w:val="en-AU"/>
        </w:rPr>
        <w:t xml:space="preserve"> </w:t>
      </w:r>
      <w:r w:rsidRPr="009C2ADD">
        <w:rPr>
          <w:rFonts w:ascii="Times New Roman" w:hAnsi="Times New Roman"/>
          <w:i/>
          <w:lang w:val="en-AU"/>
        </w:rPr>
        <w:t>Overview of tuna fisheries in the western and central Pacific Ocean, including economic conditions – 2016</w:t>
      </w:r>
      <w:r w:rsidRPr="009C2ADD">
        <w:rPr>
          <w:rFonts w:ascii="Times New Roman" w:hAnsi="Times New Roman"/>
          <w:lang w:val="en-AU"/>
        </w:rPr>
        <w:t xml:space="preserve">, which provided an overview of the WCPO key fisheries, including billfish and trends in purse-seine fishery capacity.  They noted that </w:t>
      </w:r>
      <w:r w:rsidRPr="0070772D">
        <w:rPr>
          <w:rFonts w:ascii="Times New Roman" w:hAnsi="Times New Roman"/>
          <w:bCs/>
          <w:lang w:val="en-AU"/>
        </w:rPr>
        <w:t>SC13-ST-IP-01</w:t>
      </w:r>
      <w:r w:rsidRPr="009C2ADD">
        <w:rPr>
          <w:rFonts w:ascii="Times New Roman" w:hAnsi="Times New Roman"/>
          <w:lang w:val="en-AU"/>
        </w:rPr>
        <w:t xml:space="preserve"> </w:t>
      </w:r>
      <w:r w:rsidRPr="009C2ADD">
        <w:rPr>
          <w:rFonts w:ascii="Times New Roman" w:hAnsi="Times New Roman"/>
          <w:i/>
          <w:lang w:val="en-AU"/>
        </w:rPr>
        <w:t>Estimates of annual catches in the WCPFC Statistical Area</w:t>
      </w:r>
      <w:r w:rsidRPr="009C2ADD">
        <w:rPr>
          <w:rFonts w:ascii="Times New Roman" w:hAnsi="Times New Roman"/>
          <w:lang w:val="en-AU"/>
        </w:rPr>
        <w:t>, and Annual Reports- Part 1 provided additional detail.</w:t>
      </w:r>
    </w:p>
    <w:p w14:paraId="373349FE"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45AA6A0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total WCP–CA tuna catch for 2016 was estimated at 2,717,850 mt, the second highest on record and nearly 120,000 mt below the previous record catch in 2014 (2,851,087 mt); this catch represented 79% of the total Pacific Ocean catch of 3,406,269 mt, and 56% of the global tuna catch (the provisional estimate for 2016 is 4,795,867 mt, and when finalised was expected to be the second highest on record). </w:t>
      </w:r>
    </w:p>
    <w:p w14:paraId="35B20601"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099D131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2016 WCP–CA catch of skipjack (1,816,650 mt – 67% of the total catch) was the fourth highest recorded, nearly 160,000 mt less than the record in 2014 (1,977,019 mt). The WCP–CA yellowfin catch for 2016 (650,491 mt – 24%) was the highest recorded (more than 40,000 mt higher than the previous record catch of 2008 – 609,458 mt); the increase in yellowfin tuna catch from 2015 levels was mainly due to increased catches in the purse seine fishery and the Indonesia and Philippines domestic fisheries. The WCP–CA bigeye catch for 2016 (152,806 mt – 6%) was an increase on 2015 catch and around average for the past ten years. The 2016 WCP–CA albacore catch (97,822 mt – 4%) was the lowest since 1996 and around 50,000 mt lower than the record catch in 2002 at 147,793 mt. The south Pacific albacore catch in 2016 (68,601 mt) was about 13,000 mt lower than in 2015 and nearly 20,000 mt lower than the record catch in 2010 of 87,292 mt (although the 2016 estimates for some fleets are provisional).</w:t>
      </w:r>
    </w:p>
    <w:p w14:paraId="69F1C160"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7A947B4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2016 purse seine catch of 1,858,198 mt was the third highest catch on record, higher than in 2016, but more than 160,000 mt lower than the record in 2014 (2,028,630 mt); the main reasons for the increase in catch compared to 2015 </w:t>
      </w:r>
      <w:r>
        <w:rPr>
          <w:rFonts w:ascii="Times New Roman" w:hAnsi="Times New Roman" w:hint="eastAsia"/>
          <w:lang w:val="en-AU" w:eastAsia="ko-KR"/>
        </w:rPr>
        <w:t>are</w:t>
      </w:r>
      <w:r w:rsidRPr="009C2ADD">
        <w:rPr>
          <w:rFonts w:ascii="Times New Roman" w:hAnsi="Times New Roman"/>
          <w:lang w:val="en-AU"/>
        </w:rPr>
        <w:t xml:space="preserve"> related to increased effort and improved conditions (catch rates) in the fishery. The 2016 purse-seine skipjack catch (1,408,110 mt; 75% of total catch) was about 200,000 mt lower than the record in 2014, but almost identical to the 2015 catch level. The 2016 purse-seine catch estimate for yellowfin tuna (394,756 mt; 21%) was the second highest on record (423,788 mt in 2008) coming after a poor catch year in 2015 and appeared to be due to increased catches of large yellowfin from unassociated-school set types. The provisional catch estimate for bigeye tuna for 2016 (63,304 mt) was an increase from the relatively low catch level in 2015.</w:t>
      </w:r>
    </w:p>
    <w:p w14:paraId="2D4A5937"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184D679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provisional 2016 pole and line catch (199,457 mt) was the lowest annual catch since the late-1960s, although estimates were typically revised upwards by the start of SC meetings each year. Japanese distant-water and offshore fleets (90,343 mt in 2016), and the Indonesian fleets (108,327 mt in 2016), accounted for nearly all of the WCP–CA pole and line catch (99% in 2016).</w:t>
      </w:r>
    </w:p>
    <w:p w14:paraId="6C8B4F03"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3763136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WCP–CA longline catch (231,860 mt) for 2016 was lower than the average for the past five years. The WCP–CA albacore longline catch (71,571 mt – 31%) for 2016 was the lowest since 2000, 30,000 mt lower that the record of 101,816 mt attained in 2010. The provisional bigeye catch (64,131 mt – 28%) for 2016 was the lowest since 1996, mainly due to continued reduction in effort in the main bigeye tuna fishery (refer to Pilling et al., 2017 for more detail). The yellowfin catch for 2016 (90,539 mt – 39%) was around the average for the past five years. </w:t>
      </w:r>
    </w:p>
    <w:p w14:paraId="6EEC7D95"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019AA030" w14:textId="77777777" w:rsidR="0014588F"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2016 South Pacific troll albacore catch (2,097 mt) was the lowest catch since 2009. The New Zealand troll fleet (137 vessels catching 1,952 mt in 2016) and the United States troll fleet (6 vessels catching 151 mt in 2016) accounted for all the 2016 albacore troll catch. </w:t>
      </w:r>
    </w:p>
    <w:p w14:paraId="240009DC" w14:textId="77777777" w:rsidR="0014588F" w:rsidRDefault="0014588F" w:rsidP="0014588F">
      <w:pPr>
        <w:pStyle w:val="ListParagraph"/>
        <w:adjustRightInd w:val="0"/>
        <w:snapToGrid w:val="0"/>
        <w:contextualSpacing w:val="0"/>
        <w:rPr>
          <w:rFonts w:ascii="Times New Roman" w:hAnsi="Times New Roman"/>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4588F" w14:paraId="6E480DB3" w14:textId="77777777" w:rsidTr="000E6616">
        <w:tc>
          <w:tcPr>
            <w:tcW w:w="4788" w:type="dxa"/>
          </w:tcPr>
          <w:p w14:paraId="30870E26" w14:textId="77777777" w:rsidR="0014588F" w:rsidRDefault="0014588F" w:rsidP="000E6616">
            <w:pPr>
              <w:autoSpaceDE w:val="0"/>
              <w:autoSpaceDN w:val="0"/>
              <w:adjustRightInd w:val="0"/>
              <w:snapToGrid w:val="0"/>
              <w:spacing w:after="0"/>
              <w:rPr>
                <w:rFonts w:ascii="Times New Roman" w:hAnsi="Times New Roman"/>
                <w:lang w:val="en-AU"/>
              </w:rPr>
            </w:pPr>
            <w:r w:rsidRPr="009C2ADD">
              <w:rPr>
                <w:noProof/>
                <w:lang w:val="en-US" w:eastAsia="ko-KR"/>
              </w:rPr>
              <w:drawing>
                <wp:inline distT="0" distB="0" distL="0" distR="0" wp14:anchorId="1CEA69E8" wp14:editId="67ED9D48">
                  <wp:extent cx="2958649" cy="13078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9698" cy="1312689"/>
                          </a:xfrm>
                          <a:prstGeom prst="rect">
                            <a:avLst/>
                          </a:prstGeom>
                          <a:noFill/>
                          <a:ln>
                            <a:noFill/>
                          </a:ln>
                        </pic:spPr>
                      </pic:pic>
                    </a:graphicData>
                  </a:graphic>
                </wp:inline>
              </w:drawing>
            </w:r>
          </w:p>
        </w:tc>
        <w:tc>
          <w:tcPr>
            <w:tcW w:w="4788" w:type="dxa"/>
          </w:tcPr>
          <w:p w14:paraId="483682E3" w14:textId="77777777" w:rsidR="0014588F" w:rsidRDefault="0014588F" w:rsidP="000E6616">
            <w:pPr>
              <w:autoSpaceDE w:val="0"/>
              <w:autoSpaceDN w:val="0"/>
              <w:adjustRightInd w:val="0"/>
              <w:snapToGrid w:val="0"/>
              <w:spacing w:after="0"/>
              <w:rPr>
                <w:rFonts w:ascii="Times New Roman" w:hAnsi="Times New Roman"/>
                <w:lang w:val="en-AU"/>
              </w:rPr>
            </w:pPr>
            <w:r w:rsidRPr="009C2ADD">
              <w:rPr>
                <w:rFonts w:ascii="Times New Roman" w:hAnsi="Times New Roman"/>
                <w:noProof/>
                <w:lang w:val="en-US" w:eastAsia="ko-KR"/>
              </w:rPr>
              <w:drawing>
                <wp:inline distT="0" distB="0" distL="0" distR="0" wp14:anchorId="21B7AF3F" wp14:editId="1ECAC06E">
                  <wp:extent cx="2958648" cy="13078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3296" cy="1309860"/>
                          </a:xfrm>
                          <a:prstGeom prst="rect">
                            <a:avLst/>
                          </a:prstGeom>
                          <a:noFill/>
                          <a:ln>
                            <a:noFill/>
                          </a:ln>
                        </pic:spPr>
                      </pic:pic>
                    </a:graphicData>
                  </a:graphic>
                </wp:inline>
              </w:drawing>
            </w:r>
          </w:p>
        </w:tc>
      </w:tr>
      <w:tr w:rsidR="0014588F" w14:paraId="31BD0FA8" w14:textId="77777777" w:rsidTr="000E6616">
        <w:tc>
          <w:tcPr>
            <w:tcW w:w="4788" w:type="dxa"/>
          </w:tcPr>
          <w:p w14:paraId="5D427C58" w14:textId="77777777" w:rsidR="0014588F" w:rsidRPr="009E7D16" w:rsidRDefault="0014588F" w:rsidP="000E6616">
            <w:pPr>
              <w:autoSpaceDE w:val="0"/>
              <w:autoSpaceDN w:val="0"/>
              <w:adjustRightInd w:val="0"/>
              <w:snapToGrid w:val="0"/>
              <w:spacing w:after="0"/>
              <w:rPr>
                <w:rFonts w:ascii="Times New Roman" w:hAnsi="Times New Roman"/>
                <w:lang w:val="en-AU"/>
              </w:rPr>
            </w:pPr>
            <w:r w:rsidRPr="009E7D16">
              <w:rPr>
                <w:rFonts w:ascii="Times New Roman" w:hAnsi="Times New Roman"/>
                <w:b/>
              </w:rPr>
              <w:t xml:space="preserve">Figure 1. </w:t>
            </w:r>
            <w:r w:rsidRPr="009E7D16">
              <w:rPr>
                <w:rFonts w:ascii="Times New Roman" w:hAnsi="Times New Roman"/>
              </w:rPr>
              <w:t>Catch (mt) of albacore, bigeye, skipjack and yellowfin in the WCP–CA, by longline, pole and line, purse seine and other gear types.</w:t>
            </w:r>
          </w:p>
        </w:tc>
        <w:tc>
          <w:tcPr>
            <w:tcW w:w="4788" w:type="dxa"/>
          </w:tcPr>
          <w:p w14:paraId="5AA92099" w14:textId="77777777" w:rsidR="0014588F" w:rsidRPr="009E7D16" w:rsidRDefault="0014588F" w:rsidP="000E6616">
            <w:pPr>
              <w:adjustRightInd w:val="0"/>
              <w:snapToGrid w:val="0"/>
              <w:spacing w:after="0"/>
              <w:jc w:val="left"/>
              <w:rPr>
                <w:rFonts w:ascii="Times New Roman" w:hAnsi="Times New Roman"/>
                <w:lang w:eastAsia="ko-KR"/>
              </w:rPr>
            </w:pPr>
            <w:r w:rsidRPr="009E7D16">
              <w:rPr>
                <w:rFonts w:ascii="Times New Roman" w:hAnsi="Times New Roman"/>
                <w:b/>
              </w:rPr>
              <w:t xml:space="preserve">Figure 2. </w:t>
            </w:r>
            <w:r w:rsidRPr="009E7D16">
              <w:rPr>
                <w:rFonts w:ascii="Times New Roman" w:hAnsi="Times New Roman"/>
              </w:rPr>
              <w:t>Catch (mt) of albacore, bigeye, skipjack and yellowfin in the WCP–CA</w:t>
            </w:r>
          </w:p>
          <w:p w14:paraId="25546540" w14:textId="77777777" w:rsidR="0014588F" w:rsidRPr="009E7D16" w:rsidRDefault="0014588F" w:rsidP="000E6616">
            <w:pPr>
              <w:autoSpaceDE w:val="0"/>
              <w:autoSpaceDN w:val="0"/>
              <w:adjustRightInd w:val="0"/>
              <w:snapToGrid w:val="0"/>
              <w:spacing w:after="0"/>
              <w:rPr>
                <w:rFonts w:ascii="Times New Roman" w:hAnsi="Times New Roman"/>
                <w:lang w:val="en-AU"/>
              </w:rPr>
            </w:pPr>
          </w:p>
        </w:tc>
      </w:tr>
    </w:tbl>
    <w:p w14:paraId="3D0E7DD8"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6FFE8AD4" w14:textId="77777777" w:rsidR="0014588F" w:rsidRDefault="0014588F" w:rsidP="0014588F">
      <w:pPr>
        <w:pStyle w:val="Heading1"/>
        <w:adjustRightInd w:val="0"/>
        <w:snapToGrid w:val="0"/>
        <w:rPr>
          <w:rFonts w:ascii="Times New Roman" w:hAnsi="Times New Roman"/>
          <w:sz w:val="22"/>
          <w:szCs w:val="22"/>
        </w:rPr>
      </w:pPr>
    </w:p>
    <w:p w14:paraId="1320CC2C" w14:textId="77777777" w:rsidR="0014588F" w:rsidRPr="009C2ADD" w:rsidRDefault="0014588F" w:rsidP="0014588F">
      <w:pPr>
        <w:pStyle w:val="Heading1"/>
        <w:adjustRightInd w:val="0"/>
        <w:snapToGrid w:val="0"/>
        <w:rPr>
          <w:rFonts w:ascii="Times New Roman" w:hAnsi="Times New Roman"/>
          <w:sz w:val="22"/>
          <w:szCs w:val="22"/>
        </w:rPr>
      </w:pPr>
      <w:bookmarkStart w:id="3" w:name="_Toc498688614"/>
      <w:r w:rsidRPr="009C2ADD">
        <w:rPr>
          <w:rFonts w:ascii="Times New Roman" w:hAnsi="Times New Roman"/>
          <w:sz w:val="22"/>
          <w:szCs w:val="22"/>
        </w:rPr>
        <w:t>AGENDA ITEM 3 – Data and Statistics</w:t>
      </w:r>
      <w:bookmarkEnd w:id="3"/>
    </w:p>
    <w:p w14:paraId="6C456FB3" w14:textId="77777777" w:rsidR="0014588F" w:rsidRPr="009C2ADD" w:rsidRDefault="0014588F" w:rsidP="0014588F">
      <w:pPr>
        <w:adjustRightInd w:val="0"/>
        <w:snapToGrid w:val="0"/>
        <w:spacing w:after="0"/>
        <w:rPr>
          <w:rFonts w:ascii="Times New Roman" w:hAnsi="Times New Roman"/>
          <w:lang w:val="en-AU" w:eastAsia="ja-JP"/>
        </w:rPr>
      </w:pPr>
    </w:p>
    <w:p w14:paraId="3EDB1D50" w14:textId="77777777" w:rsidR="0014588F" w:rsidRPr="009C2ADD" w:rsidRDefault="0014588F" w:rsidP="0014588F">
      <w:pPr>
        <w:adjustRightInd w:val="0"/>
        <w:snapToGrid w:val="0"/>
        <w:spacing w:after="0"/>
        <w:rPr>
          <w:rFonts w:ascii="Times New Roman" w:hAnsi="Times New Roman"/>
          <w:lang w:val="en-AU" w:eastAsia="ja-JP"/>
        </w:rPr>
      </w:pPr>
    </w:p>
    <w:p w14:paraId="7700667E" w14:textId="77777777" w:rsidR="0014588F" w:rsidRPr="009C2ADD" w:rsidRDefault="0014588F" w:rsidP="0014588F">
      <w:pPr>
        <w:pStyle w:val="Heading2"/>
        <w:adjustRightInd w:val="0"/>
        <w:snapToGrid w:val="0"/>
        <w:rPr>
          <w:color w:val="auto"/>
          <w:szCs w:val="22"/>
        </w:rPr>
      </w:pPr>
      <w:bookmarkStart w:id="4" w:name="_Toc498688615"/>
      <w:r w:rsidRPr="009C2ADD">
        <w:rPr>
          <w:color w:val="auto"/>
          <w:szCs w:val="22"/>
        </w:rPr>
        <w:t xml:space="preserve">3.1 </w:t>
      </w:r>
      <w:r w:rsidRPr="009C2ADD">
        <w:rPr>
          <w:color w:val="auto"/>
          <w:szCs w:val="22"/>
        </w:rPr>
        <w:tab/>
        <w:t>Data gaps</w:t>
      </w:r>
      <w:bookmarkEnd w:id="4"/>
      <w:r w:rsidRPr="009C2ADD">
        <w:rPr>
          <w:color w:val="auto"/>
          <w:szCs w:val="22"/>
        </w:rPr>
        <w:t xml:space="preserve"> </w:t>
      </w:r>
    </w:p>
    <w:p w14:paraId="6568E735" w14:textId="77777777" w:rsidR="0014588F" w:rsidRPr="009C2ADD" w:rsidRDefault="0014588F" w:rsidP="0014588F">
      <w:pPr>
        <w:adjustRightInd w:val="0"/>
        <w:snapToGrid w:val="0"/>
        <w:spacing w:after="0"/>
        <w:rPr>
          <w:rFonts w:ascii="Times New Roman" w:hAnsi="Times New Roman"/>
          <w:lang w:eastAsia="ja-JP"/>
        </w:rPr>
      </w:pPr>
    </w:p>
    <w:p w14:paraId="047ACAA1" w14:textId="77777777" w:rsidR="0014588F" w:rsidRPr="009C2ADD" w:rsidRDefault="0014588F" w:rsidP="0014588F">
      <w:pPr>
        <w:pStyle w:val="Heading3"/>
        <w:adjustRightInd w:val="0"/>
        <w:snapToGrid w:val="0"/>
        <w:spacing w:before="0"/>
        <w:rPr>
          <w:rFonts w:ascii="Times New Roman" w:hAnsi="Times New Roman" w:cs="Times New Roman"/>
        </w:rPr>
      </w:pPr>
      <w:bookmarkStart w:id="5" w:name="_Toc498688616"/>
      <w:r w:rsidRPr="009C2ADD">
        <w:rPr>
          <w:rFonts w:ascii="Times New Roman" w:hAnsi="Times New Roman" w:cs="Times New Roman"/>
        </w:rPr>
        <w:t xml:space="preserve">3.1.1 </w:t>
      </w:r>
      <w:r w:rsidRPr="009C2ADD">
        <w:rPr>
          <w:rFonts w:ascii="Times New Roman" w:hAnsi="Times New Roman" w:cs="Times New Roman"/>
        </w:rPr>
        <w:tab/>
        <w:t>Data gaps of the Commission</w:t>
      </w:r>
      <w:bookmarkEnd w:id="5"/>
    </w:p>
    <w:p w14:paraId="75BC24F4"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4DE293C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conduct a gaps analysis and compile the requirements for enhancing conversion factor information required for future WCPFC work and present this information to SC14, including a proposal for how the gaps can be addressed. </w:t>
      </w:r>
    </w:p>
    <w:p w14:paraId="084B61B5"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EF0034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 Provider review the importance and practicalities for including the provision of estimates of longline discards in number of individuals discarded/released in the “Scientific Data to be provided to the Commission”, with a definition for discards/releases, and report to SC14.  </w:t>
      </w:r>
    </w:p>
    <w:p w14:paraId="68BA2F7A"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9BC4B1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acknowledged the necessary assistance that the SPC-facilitated “Regional Tuna Data Workshop (TDW)” provides in building technical capacity for SID</w:t>
      </w:r>
      <w:r>
        <w:rPr>
          <w:rFonts w:ascii="Times New Roman" w:hAnsi="Times New Roman" w:hint="eastAsia"/>
          <w:b/>
          <w:lang w:val="en-AU" w:eastAsia="ko-KR"/>
        </w:rPr>
        <w:t>S</w:t>
      </w:r>
      <w:r w:rsidRPr="009C2ADD">
        <w:rPr>
          <w:rFonts w:ascii="Times New Roman" w:hAnsi="Times New Roman"/>
          <w:b/>
          <w:lang w:val="en-AU"/>
        </w:rPr>
        <w:t xml:space="preserve">, territories and developing states to produce annual catch estimates and Part 1 reports. SC13 recommended that the Commission continue to support SIDS, territories and developing states participation at future TDWs through the “Regional Capacity Building Workshops” fund. </w:t>
      </w:r>
    </w:p>
    <w:p w14:paraId="579A71AC"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B07C10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proceed to enhance the set of WCPFC public domain data available on the WCPFC web site, with the assurance that the WCPFC rules for public domain data will be applied.</w:t>
      </w:r>
    </w:p>
    <w:p w14:paraId="538518D0" w14:textId="77777777" w:rsidR="0014588F" w:rsidRPr="009C2ADD" w:rsidRDefault="0014588F" w:rsidP="0014588F">
      <w:pPr>
        <w:pStyle w:val="WCPFC"/>
        <w:numPr>
          <w:ilvl w:val="0"/>
          <w:numId w:val="0"/>
        </w:numPr>
        <w:adjustRightInd w:val="0"/>
        <w:spacing w:after="0"/>
        <w:ind w:left="567"/>
        <w:rPr>
          <w:b/>
        </w:rPr>
      </w:pPr>
    </w:p>
    <w:p w14:paraId="3415B34A" w14:textId="77777777" w:rsidR="0014588F" w:rsidRPr="009C2ADD" w:rsidRDefault="0014588F" w:rsidP="0014588F">
      <w:pPr>
        <w:pStyle w:val="Heading3"/>
        <w:adjustRightInd w:val="0"/>
        <w:snapToGrid w:val="0"/>
        <w:spacing w:before="0"/>
        <w:rPr>
          <w:rFonts w:ascii="Times New Roman" w:hAnsi="Times New Roman" w:cs="Times New Roman"/>
          <w:b w:val="0"/>
        </w:rPr>
      </w:pPr>
      <w:bookmarkStart w:id="6" w:name="_Toc498688617"/>
      <w:r w:rsidRPr="009C2ADD">
        <w:rPr>
          <w:rFonts w:ascii="Times New Roman" w:hAnsi="Times New Roman" w:cs="Times New Roman"/>
        </w:rPr>
        <w:t xml:space="preserve">3.1.2 </w:t>
      </w:r>
      <w:r w:rsidRPr="009C2ADD">
        <w:rPr>
          <w:rFonts w:ascii="Times New Roman" w:hAnsi="Times New Roman" w:cs="Times New Roman"/>
        </w:rPr>
        <w:tab/>
        <w:t>Species composition of purse seine catches (Project 60)</w:t>
      </w:r>
      <w:bookmarkEnd w:id="6"/>
    </w:p>
    <w:p w14:paraId="3F8BDB8D"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7372768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future work proposed by the Scientific Service Provider under Project 60 (Improving purse seine species composition) continue over the coming year with a report to SC14 and agreed that this work should continue in the medium-term subject to annual review. </w:t>
      </w:r>
    </w:p>
    <w:p w14:paraId="09391B3E"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ED6CE0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explore opportunities to undertake comprehensive comparisons of corrected grab sample based species compositions with accurate composition estimates from in-port sampling with other CCMs who hold the required data. </w:t>
      </w:r>
    </w:p>
    <w:p w14:paraId="41AB88DD"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CAE4C5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trials of electronic monitoring based approaches to species composition estimation be undertaken in a separate project. </w:t>
      </w:r>
    </w:p>
    <w:p w14:paraId="75B39F70"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06F872D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include the original purse seine tuna species catch estimates provided by CCMs in the WCPFC Tuna Fishery Yearbook. </w:t>
      </w:r>
    </w:p>
    <w:p w14:paraId="045B66C6"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1826F4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be tasked with designing and co-ordinating the systematic collection of representative samples of length measurements of bycatch species. </w:t>
      </w:r>
    </w:p>
    <w:p w14:paraId="43F3DD38"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7D7A92C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be tasked with a project to design and co-ordinate the systematic collection of length</w:t>
      </w:r>
      <w:proofErr w:type="gramStart"/>
      <w:r w:rsidRPr="009C2ADD">
        <w:rPr>
          <w:rFonts w:ascii="Times New Roman" w:hAnsi="Times New Roman"/>
          <w:b/>
          <w:lang w:val="en-AU"/>
        </w:rPr>
        <w:t>:length</w:t>
      </w:r>
      <w:proofErr w:type="gramEnd"/>
      <w:r w:rsidRPr="009C2ADD">
        <w:rPr>
          <w:rFonts w:ascii="Times New Roman" w:hAnsi="Times New Roman"/>
          <w:b/>
          <w:lang w:val="en-AU"/>
        </w:rPr>
        <w:t>, length:weight and weight:weight data on all species to better inform bycatch estimation.</w:t>
      </w:r>
    </w:p>
    <w:p w14:paraId="625E73B3" w14:textId="77777777" w:rsidR="0014588F" w:rsidRPr="009C2ADD" w:rsidRDefault="0014588F" w:rsidP="0014588F">
      <w:pPr>
        <w:pStyle w:val="WCPFC"/>
        <w:numPr>
          <w:ilvl w:val="0"/>
          <w:numId w:val="0"/>
        </w:numPr>
        <w:adjustRightInd w:val="0"/>
        <w:spacing w:after="0"/>
        <w:ind w:left="567"/>
        <w:rPr>
          <w:b/>
        </w:rPr>
      </w:pPr>
    </w:p>
    <w:p w14:paraId="5C8980E7" w14:textId="77777777" w:rsidR="0014588F" w:rsidRPr="009C2ADD" w:rsidRDefault="0014588F" w:rsidP="0014588F">
      <w:pPr>
        <w:pStyle w:val="Heading3"/>
        <w:adjustRightInd w:val="0"/>
        <w:snapToGrid w:val="0"/>
        <w:spacing w:before="0"/>
        <w:rPr>
          <w:rFonts w:ascii="Times New Roman" w:hAnsi="Times New Roman" w:cs="Times New Roman"/>
        </w:rPr>
      </w:pPr>
      <w:bookmarkStart w:id="7" w:name="_Toc498688618"/>
      <w:r w:rsidRPr="009C2ADD">
        <w:rPr>
          <w:rFonts w:ascii="Times New Roman" w:hAnsi="Times New Roman" w:cs="Times New Roman"/>
        </w:rPr>
        <w:t xml:space="preserve">3.1.3 </w:t>
      </w:r>
      <w:r w:rsidRPr="009C2ADD">
        <w:rPr>
          <w:rFonts w:ascii="Times New Roman" w:hAnsi="Times New Roman" w:cs="Times New Roman"/>
        </w:rPr>
        <w:tab/>
        <w:t>Potential use of cannery receipt data for the work of the WCPFC</w:t>
      </w:r>
      <w:bookmarkEnd w:id="7"/>
    </w:p>
    <w:p w14:paraId="222306D2" w14:textId="77777777" w:rsidR="0014588F" w:rsidRPr="009C2ADD" w:rsidRDefault="0014588F" w:rsidP="0014588F">
      <w:pPr>
        <w:adjustRightInd w:val="0"/>
        <w:snapToGrid w:val="0"/>
        <w:spacing w:after="0"/>
        <w:ind w:left="720"/>
        <w:rPr>
          <w:rFonts w:ascii="Times New Roman" w:hAnsi="Times New Roman"/>
        </w:rPr>
      </w:pPr>
    </w:p>
    <w:p w14:paraId="34C9652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No recommendations were provided.</w:t>
      </w:r>
    </w:p>
    <w:p w14:paraId="2D3A7238" w14:textId="77777777" w:rsidR="0014588F" w:rsidRPr="009C2ADD" w:rsidRDefault="0014588F" w:rsidP="0014588F">
      <w:pPr>
        <w:pStyle w:val="Heading3"/>
        <w:adjustRightInd w:val="0"/>
        <w:snapToGrid w:val="0"/>
        <w:spacing w:before="0"/>
        <w:rPr>
          <w:rFonts w:ascii="Times New Roman" w:hAnsi="Times New Roman" w:cs="Times New Roman"/>
        </w:rPr>
      </w:pPr>
    </w:p>
    <w:p w14:paraId="363C9B25" w14:textId="77777777" w:rsidR="0014588F" w:rsidRPr="009C2ADD" w:rsidRDefault="0014588F" w:rsidP="0014588F">
      <w:pPr>
        <w:pStyle w:val="Heading3"/>
        <w:adjustRightInd w:val="0"/>
        <w:snapToGrid w:val="0"/>
        <w:spacing w:before="0"/>
        <w:rPr>
          <w:rFonts w:ascii="Times New Roman" w:hAnsi="Times New Roman" w:cs="Times New Roman"/>
          <w:b w:val="0"/>
        </w:rPr>
      </w:pPr>
      <w:bookmarkStart w:id="8" w:name="_Toc498688619"/>
      <w:r w:rsidRPr="009C2ADD">
        <w:rPr>
          <w:rFonts w:ascii="Times New Roman" w:hAnsi="Times New Roman" w:cs="Times New Roman"/>
        </w:rPr>
        <w:t xml:space="preserve">3.1.4 </w:t>
      </w:r>
      <w:r w:rsidRPr="009C2ADD">
        <w:rPr>
          <w:rFonts w:ascii="Times New Roman" w:hAnsi="Times New Roman" w:cs="Times New Roman"/>
        </w:rPr>
        <w:tab/>
        <w:t>Estimates of purse seine fishery bycatch at a regional scale, 2003 – 2016</w:t>
      </w:r>
      <w:bookmarkEnd w:id="8"/>
    </w:p>
    <w:p w14:paraId="4E18BB40"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25D453C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w:t>
      </w:r>
      <w:r>
        <w:rPr>
          <w:rFonts w:ascii="Times New Roman" w:hAnsi="Times New Roman" w:hint="eastAsia"/>
          <w:b/>
          <w:lang w:val="en-AU" w:eastAsia="ko-KR"/>
        </w:rPr>
        <w:t>s</w:t>
      </w:r>
      <w:r w:rsidRPr="009C2ADD">
        <w:rPr>
          <w:rFonts w:ascii="Times New Roman" w:hAnsi="Times New Roman"/>
          <w:b/>
          <w:lang w:val="en-AU"/>
        </w:rPr>
        <w:t xml:space="preserve"> Providers continue the work on purse seine bycatch estimates and extend this work to producing estimates of bycatch in the longline fisheries for presentation at SC14, acknowledging the issues related to the 5% observer coverage in these fisheries. </w:t>
      </w:r>
    </w:p>
    <w:p w14:paraId="5D9FB93C"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39223D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w:t>
      </w:r>
      <w:r>
        <w:rPr>
          <w:rFonts w:ascii="Times New Roman" w:hAnsi="Times New Roman" w:hint="eastAsia"/>
          <w:b/>
          <w:lang w:val="en-AU" w:eastAsia="ko-KR"/>
        </w:rPr>
        <w:t>s</w:t>
      </w:r>
      <w:r w:rsidRPr="009C2ADD">
        <w:rPr>
          <w:rFonts w:ascii="Times New Roman" w:hAnsi="Times New Roman"/>
          <w:b/>
          <w:lang w:val="en-AU"/>
        </w:rPr>
        <w:t xml:space="preserve"> Provider produce WCPFC-area estimates of longline bycatch on a regional fishery basis. </w:t>
      </w:r>
    </w:p>
    <w:p w14:paraId="2876B2CC" w14:textId="77777777" w:rsidR="0014588F" w:rsidRPr="009C2ADD" w:rsidRDefault="0014588F" w:rsidP="0014588F">
      <w:pPr>
        <w:pStyle w:val="WCPFC"/>
        <w:numPr>
          <w:ilvl w:val="0"/>
          <w:numId w:val="0"/>
        </w:numPr>
        <w:adjustRightInd w:val="0"/>
        <w:spacing w:after="0"/>
        <w:rPr>
          <w:b/>
        </w:rPr>
      </w:pPr>
    </w:p>
    <w:p w14:paraId="6CB609F5" w14:textId="77777777" w:rsidR="0014588F" w:rsidRPr="009C2ADD" w:rsidRDefault="0014588F" w:rsidP="0014588F">
      <w:pPr>
        <w:pStyle w:val="Heading2"/>
        <w:adjustRightInd w:val="0"/>
        <w:snapToGrid w:val="0"/>
        <w:rPr>
          <w:color w:val="auto"/>
          <w:szCs w:val="22"/>
        </w:rPr>
      </w:pPr>
      <w:bookmarkStart w:id="9" w:name="_Toc498688620"/>
      <w:r w:rsidRPr="009C2ADD">
        <w:rPr>
          <w:color w:val="auto"/>
          <w:szCs w:val="22"/>
        </w:rPr>
        <w:t xml:space="preserve">3.2 </w:t>
      </w:r>
      <w:r w:rsidRPr="009C2ADD">
        <w:rPr>
          <w:color w:val="auto"/>
          <w:szCs w:val="22"/>
        </w:rPr>
        <w:tab/>
        <w:t>FAD data management</w:t>
      </w:r>
      <w:bookmarkEnd w:id="9"/>
    </w:p>
    <w:p w14:paraId="1EA8F1A5"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524B0129" w14:textId="77777777" w:rsidR="0014588F" w:rsidRPr="009C2ADD" w:rsidRDefault="0014588F" w:rsidP="0014588F">
      <w:pPr>
        <w:pStyle w:val="Heading3"/>
        <w:adjustRightInd w:val="0"/>
        <w:snapToGrid w:val="0"/>
        <w:spacing w:before="0"/>
        <w:rPr>
          <w:rFonts w:ascii="Times New Roman" w:hAnsi="Times New Roman" w:cs="Times New Roman"/>
        </w:rPr>
      </w:pPr>
      <w:bookmarkStart w:id="10" w:name="_Toc498688621"/>
      <w:r w:rsidRPr="009C2ADD">
        <w:rPr>
          <w:rFonts w:ascii="Times New Roman" w:hAnsi="Times New Roman" w:cs="Times New Roman"/>
        </w:rPr>
        <w:t xml:space="preserve">3.2.1 </w:t>
      </w:r>
      <w:r w:rsidRPr="009C2ADD">
        <w:rPr>
          <w:rFonts w:ascii="Times New Roman" w:hAnsi="Times New Roman" w:cs="Times New Roman"/>
        </w:rPr>
        <w:tab/>
        <w:t>Additional FAD data fields to be provided by vessel operators</w:t>
      </w:r>
      <w:bookmarkEnd w:id="10"/>
      <w:r w:rsidRPr="009C2ADD">
        <w:rPr>
          <w:rFonts w:ascii="Times New Roman" w:hAnsi="Times New Roman" w:cs="Times New Roman"/>
        </w:rPr>
        <w:t xml:space="preserve"> </w:t>
      </w:r>
    </w:p>
    <w:p w14:paraId="227860E8" w14:textId="77777777" w:rsidR="0014588F" w:rsidRPr="009C2ADD" w:rsidRDefault="0014588F" w:rsidP="0014588F">
      <w:pPr>
        <w:adjustRightInd w:val="0"/>
        <w:snapToGrid w:val="0"/>
        <w:spacing w:after="0"/>
        <w:ind w:left="720"/>
        <w:rPr>
          <w:rFonts w:ascii="Times New Roman" w:hAnsi="Times New Roman"/>
          <w:b/>
        </w:rPr>
      </w:pPr>
    </w:p>
    <w:p w14:paraId="7F2A640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operators of all vessels involved in FAD fishery, including support vessels, provide as a minimum the fields of information identified in Attachment C of the report of the 2nd meeting of the FAD management options intersessional Working Group (WCPFC-2016-FADMgmtOptionsIWG021_rev2). </w:t>
      </w:r>
    </w:p>
    <w:p w14:paraId="184CE9F1"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59B7844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further recommended that the WCPFC Secretariat, together with SPC and other interest parties prepare the set of data fields to be provided by vessel operators and coordinate with the IATTC staff to try to harmonize the minimum standards to be required across the Pacific Ocean. Special attention should be paid to avoid duplications of information by vessel operators and/or an increase of unnecessary paperwork. </w:t>
      </w:r>
    </w:p>
    <w:p w14:paraId="7059E3A4"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37EFA9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proposed fields to be collected by vessel operators be forwarded to TCC13 for review and WCPFC14 for adoption.</w:t>
      </w:r>
    </w:p>
    <w:p w14:paraId="79608856" w14:textId="77777777" w:rsidR="0014588F" w:rsidRPr="009C2ADD" w:rsidRDefault="0014588F" w:rsidP="0014588F">
      <w:pPr>
        <w:adjustRightInd w:val="0"/>
        <w:snapToGrid w:val="0"/>
        <w:spacing w:after="0"/>
        <w:ind w:left="720"/>
        <w:jc w:val="left"/>
        <w:rPr>
          <w:rFonts w:ascii="Times New Roman" w:hAnsi="Times New Roman"/>
        </w:rPr>
      </w:pPr>
    </w:p>
    <w:p w14:paraId="075B3365" w14:textId="77777777" w:rsidR="0014588F" w:rsidRPr="009C2ADD" w:rsidRDefault="0014588F" w:rsidP="0014588F">
      <w:pPr>
        <w:pStyle w:val="Heading3"/>
        <w:adjustRightInd w:val="0"/>
        <w:snapToGrid w:val="0"/>
        <w:spacing w:before="0"/>
        <w:rPr>
          <w:rFonts w:ascii="Times New Roman" w:hAnsi="Times New Roman" w:cs="Times New Roman"/>
        </w:rPr>
      </w:pPr>
      <w:bookmarkStart w:id="11" w:name="_Toc498688622"/>
      <w:r w:rsidRPr="009C2ADD">
        <w:rPr>
          <w:rFonts w:ascii="Times New Roman" w:hAnsi="Times New Roman" w:cs="Times New Roman"/>
        </w:rPr>
        <w:t xml:space="preserve">3.2.2 </w:t>
      </w:r>
      <w:r w:rsidRPr="009C2ADD">
        <w:rPr>
          <w:rFonts w:ascii="Times New Roman" w:hAnsi="Times New Roman" w:cs="Times New Roman"/>
        </w:rPr>
        <w:tab/>
        <w:t>FAD marking and monitoring</w:t>
      </w:r>
      <w:bookmarkEnd w:id="11"/>
      <w:r w:rsidRPr="009C2ADD">
        <w:rPr>
          <w:rFonts w:ascii="Times New Roman" w:hAnsi="Times New Roman" w:cs="Times New Roman"/>
        </w:rPr>
        <w:t xml:space="preserve"> </w:t>
      </w:r>
      <w:r w:rsidRPr="009C2ADD">
        <w:rPr>
          <w:rFonts w:ascii="Times New Roman" w:hAnsi="Times New Roman" w:cs="Times New Roman"/>
        </w:rPr>
        <w:br/>
      </w:r>
    </w:p>
    <w:p w14:paraId="50CF6F9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as a first step the Commission should consider introducing a buoy ID scheme which requires the registration of all buoys attached to FADs deployed. Field tests in conjunction with industry and observers should be undertaken to determine the optimal configuration of future developments of a fully marking system that also includes the FADs themselves.</w:t>
      </w:r>
    </w:p>
    <w:p w14:paraId="40F92C7B" w14:textId="77777777" w:rsidR="0014588F" w:rsidRPr="009C2ADD" w:rsidRDefault="0014588F" w:rsidP="0014588F">
      <w:pPr>
        <w:adjustRightInd w:val="0"/>
        <w:snapToGrid w:val="0"/>
        <w:spacing w:after="0"/>
        <w:ind w:left="720"/>
        <w:rPr>
          <w:rFonts w:ascii="Times New Roman" w:hAnsi="Times New Roman"/>
          <w:b/>
        </w:rPr>
      </w:pPr>
    </w:p>
    <w:p w14:paraId="322C33BD" w14:textId="77777777" w:rsidR="0014588F" w:rsidRPr="009C2ADD" w:rsidRDefault="0014588F" w:rsidP="0014588F">
      <w:pPr>
        <w:pStyle w:val="Heading2"/>
        <w:adjustRightInd w:val="0"/>
        <w:snapToGrid w:val="0"/>
        <w:rPr>
          <w:color w:val="auto"/>
          <w:szCs w:val="22"/>
        </w:rPr>
      </w:pPr>
      <w:bookmarkStart w:id="12" w:name="_Toc498688623"/>
      <w:r w:rsidRPr="009C2ADD">
        <w:rPr>
          <w:color w:val="auto"/>
          <w:szCs w:val="22"/>
        </w:rPr>
        <w:t xml:space="preserve">3.3 </w:t>
      </w:r>
      <w:r w:rsidRPr="009C2ADD">
        <w:rPr>
          <w:color w:val="auto"/>
          <w:szCs w:val="22"/>
        </w:rPr>
        <w:tab/>
        <w:t>Regional Observer Programme</w:t>
      </w:r>
      <w:bookmarkEnd w:id="12"/>
    </w:p>
    <w:p w14:paraId="64C9B752"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298AA09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the following revisions to the ROP Minimum Standard Data Fields:</w:t>
      </w:r>
    </w:p>
    <w:p w14:paraId="463F14CC" w14:textId="77777777" w:rsidR="0014588F" w:rsidRPr="009C2ADD" w:rsidRDefault="0014588F" w:rsidP="0014588F">
      <w:pPr>
        <w:numPr>
          <w:ilvl w:val="0"/>
          <w:numId w:val="11"/>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Addition of a new section “FAD Information” that will include inventories of the FAD buoys on board at the start and end of each trip.</w:t>
      </w:r>
    </w:p>
    <w:p w14:paraId="7D0DB770" w14:textId="77777777" w:rsidR="0014588F" w:rsidRPr="009C2ADD" w:rsidRDefault="0014588F" w:rsidP="0014588F">
      <w:pPr>
        <w:numPr>
          <w:ilvl w:val="0"/>
          <w:numId w:val="10"/>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 xml:space="preserve">Addition of a new field for FAD Identification. </w:t>
      </w:r>
    </w:p>
    <w:p w14:paraId="12434205" w14:textId="77777777" w:rsidR="0014588F" w:rsidRPr="009C2ADD" w:rsidRDefault="0014588F" w:rsidP="0014588F">
      <w:pPr>
        <w:numPr>
          <w:ilvl w:val="0"/>
          <w:numId w:val="9"/>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 xml:space="preserve">Deletion of FAD Data fields related to a) materials FAD is made from and b) estimated size of FAD. </w:t>
      </w:r>
    </w:p>
    <w:p w14:paraId="394876BC" w14:textId="77777777" w:rsidR="0014588F" w:rsidRPr="009C2ADD" w:rsidRDefault="0014588F" w:rsidP="0014588F">
      <w:pPr>
        <w:autoSpaceDE w:val="0"/>
        <w:autoSpaceDN w:val="0"/>
        <w:adjustRightInd w:val="0"/>
        <w:snapToGrid w:val="0"/>
        <w:spacing w:after="0"/>
        <w:ind w:left="1321"/>
        <w:rPr>
          <w:rFonts w:ascii="Times New Roman" w:hAnsi="Times New Roman"/>
          <w:b/>
          <w:lang w:val="en-AU"/>
        </w:rPr>
      </w:pPr>
    </w:p>
    <w:p w14:paraId="2BFFD7A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revisions of the ROP minimum standards will require careful planning and implementation to ensure that the value of WCPFC data on FADs is maintained. In particular, there may need to be a period of overlap in reporting of FAD data where observers continue to report on FAD design and construction while the new reporting requirements for vessel operators are introduced. </w:t>
      </w:r>
    </w:p>
    <w:p w14:paraId="10FFD9FD"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25A6F9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revisions to the ROP Minimum Standard Data Fields standards be forwarded to TCC13 for review and WCPFC14 for adoption. </w:t>
      </w:r>
    </w:p>
    <w:p w14:paraId="2278B66D"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1B5ABD2" w14:textId="77777777" w:rsidR="00323209" w:rsidRPr="009C2ADD" w:rsidRDefault="00323209" w:rsidP="00323209">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CCMs and the WCPFC Secretariat through the ROP provide guidance to improve observer training related to visual estimation of bycatch numbers and weight, and</w:t>
      </w:r>
      <w:r w:rsidRPr="009C2ADD" w:rsidDel="00661B61">
        <w:rPr>
          <w:rFonts w:ascii="Times New Roman" w:hAnsi="Times New Roman"/>
          <w:b/>
          <w:lang w:val="en-AU"/>
        </w:rPr>
        <w:t xml:space="preserve"> </w:t>
      </w:r>
      <w:r w:rsidRPr="009C2ADD">
        <w:rPr>
          <w:rFonts w:ascii="Times New Roman" w:hAnsi="Times New Roman"/>
          <w:b/>
          <w:lang w:val="en-AU"/>
        </w:rPr>
        <w:t xml:space="preserve">that the Scientific Services Provider and CCM observer programmes improve the observer debriefing process related to bycatch, including the Scientific Services Provider incorporating appropriate data quality flags within the ROP master database to facilitate use in analyses. This recommendation applies to both purse seine and longline fisheries. </w:t>
      </w:r>
    </w:p>
    <w:p w14:paraId="718D7279" w14:textId="77777777" w:rsidR="00323209" w:rsidRPr="009C2ADD" w:rsidRDefault="00323209" w:rsidP="00323209">
      <w:pPr>
        <w:pStyle w:val="ListParagraph"/>
        <w:adjustRightInd w:val="0"/>
        <w:snapToGrid w:val="0"/>
        <w:contextualSpacing w:val="0"/>
        <w:rPr>
          <w:rFonts w:ascii="Times New Roman" w:hAnsi="Times New Roman"/>
          <w:b/>
          <w:lang w:val="en-AU"/>
        </w:rPr>
      </w:pPr>
    </w:p>
    <w:p w14:paraId="5A6D8E55" w14:textId="77777777" w:rsidR="00323209" w:rsidRPr="009C2ADD" w:rsidRDefault="00323209" w:rsidP="00323209">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currently implemented procedure to convert from weight to numbers, and vice versa, should be reviewed by the Scientific Services Provider to ensure that resulting estimates are appropriate and report to SC14. </w:t>
      </w:r>
    </w:p>
    <w:p w14:paraId="37FA2ED1" w14:textId="77777777" w:rsidR="00323209" w:rsidRPr="009C2ADD" w:rsidRDefault="00323209" w:rsidP="00323209">
      <w:pPr>
        <w:pStyle w:val="WCPFC"/>
        <w:numPr>
          <w:ilvl w:val="0"/>
          <w:numId w:val="0"/>
        </w:numPr>
        <w:adjustRightInd w:val="0"/>
        <w:spacing w:after="0"/>
        <w:ind w:left="567"/>
        <w:rPr>
          <w:b/>
        </w:rPr>
      </w:pPr>
    </w:p>
    <w:p w14:paraId="0BFB25A7" w14:textId="77777777" w:rsidR="0014588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recommends that the Commission adopt a formal definition of SSIs, e.g. “species of special interest are those species for which the Commission has requested additional data collection under the ROP, either because they are protected under one or more WCPFC conservation and management measures, or for other reasons articulated by the Commission”.  SC13 notes that at present under this definition SSIs would comprise manta and mobulid (devil) rays on the basis of a Commission decision requiring a greater degree of observer data collection, and silky, oceanic whitetip and whale shark on the basis of no-retention conservation and management measures (CMMs 2011-04, 2012-04 and 2013-08). In responding to WCPFC13’s specific request, SC13 confirms that as SSIs, manta and devil rays will have all required data collected under the Regional Observer Programme Minimum Standard Data Fields.</w:t>
      </w:r>
    </w:p>
    <w:p w14:paraId="3CE03808" w14:textId="77777777" w:rsidR="0014588F" w:rsidRDefault="0014588F" w:rsidP="0014588F">
      <w:pPr>
        <w:pStyle w:val="ListParagraph"/>
        <w:adjustRightInd w:val="0"/>
        <w:snapToGrid w:val="0"/>
        <w:contextualSpacing w:val="0"/>
        <w:rPr>
          <w:rFonts w:ascii="Times New Roman" w:hAnsi="Times New Roman"/>
          <w:b/>
          <w:lang w:val="en-AU"/>
        </w:rPr>
      </w:pPr>
    </w:p>
    <w:p w14:paraId="37274251" w14:textId="77777777" w:rsidR="0014588F" w:rsidRPr="009C2ADD" w:rsidRDefault="0014588F" w:rsidP="0014588F">
      <w:pPr>
        <w:pStyle w:val="Heading2"/>
        <w:adjustRightInd w:val="0"/>
        <w:snapToGrid w:val="0"/>
        <w:rPr>
          <w:color w:val="auto"/>
          <w:szCs w:val="22"/>
        </w:rPr>
      </w:pPr>
      <w:bookmarkStart w:id="13" w:name="_Toc498688624"/>
      <w:r w:rsidRPr="009C2ADD">
        <w:rPr>
          <w:color w:val="auto"/>
          <w:szCs w:val="22"/>
        </w:rPr>
        <w:t xml:space="preserve">3.4 </w:t>
      </w:r>
      <w:r w:rsidRPr="009C2ADD">
        <w:rPr>
          <w:color w:val="auto"/>
          <w:szCs w:val="22"/>
        </w:rPr>
        <w:tab/>
        <w:t>Electronic Reporting outcomes from WCPFC13</w:t>
      </w:r>
      <w:bookmarkEnd w:id="13"/>
    </w:p>
    <w:p w14:paraId="7827E7AD" w14:textId="77777777" w:rsidR="0014588F" w:rsidRPr="009C2ADD" w:rsidRDefault="0014588F" w:rsidP="0014588F">
      <w:pPr>
        <w:adjustRightInd w:val="0"/>
        <w:snapToGrid w:val="0"/>
        <w:spacing w:after="0"/>
        <w:rPr>
          <w:rFonts w:ascii="Times New Roman" w:hAnsi="Times New Roman"/>
        </w:rPr>
      </w:pPr>
    </w:p>
    <w:p w14:paraId="2DEFD84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WCPFC ERandEM Working Group convene prior to SC14 to continue work in this area, including consideration of how observer data obtained through E-Monitoring is to be dealt with in the WCPFC context.</w:t>
      </w:r>
    </w:p>
    <w:p w14:paraId="6548DC01"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72D05C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latest draft version of the WCPFC E-Reporting observer data standards be forwarded to WCPFC14 for adoption.</w:t>
      </w:r>
    </w:p>
    <w:p w14:paraId="55428C76" w14:textId="77777777" w:rsidR="0014588F" w:rsidRPr="009C2ADD" w:rsidRDefault="0014588F" w:rsidP="0014588F">
      <w:pPr>
        <w:pStyle w:val="WCPFC"/>
        <w:numPr>
          <w:ilvl w:val="0"/>
          <w:numId w:val="0"/>
        </w:numPr>
        <w:adjustRightInd w:val="0"/>
        <w:spacing w:after="0"/>
        <w:ind w:left="567"/>
        <w:rPr>
          <w:b/>
        </w:rPr>
      </w:pPr>
    </w:p>
    <w:p w14:paraId="7513726A" w14:textId="77777777" w:rsidR="0014588F" w:rsidRPr="009C2ADD" w:rsidRDefault="0014588F" w:rsidP="0014588F">
      <w:pPr>
        <w:pStyle w:val="Heading2"/>
        <w:adjustRightInd w:val="0"/>
        <w:snapToGrid w:val="0"/>
        <w:rPr>
          <w:color w:val="auto"/>
          <w:szCs w:val="22"/>
        </w:rPr>
      </w:pPr>
      <w:bookmarkStart w:id="14" w:name="_Toc498688625"/>
      <w:r w:rsidRPr="009C2ADD">
        <w:rPr>
          <w:color w:val="auto"/>
          <w:szCs w:val="22"/>
        </w:rPr>
        <w:t xml:space="preserve">3.5 </w:t>
      </w:r>
      <w:r w:rsidRPr="009C2ADD">
        <w:rPr>
          <w:color w:val="auto"/>
          <w:szCs w:val="22"/>
        </w:rPr>
        <w:tab/>
        <w:t>Economic Data</w:t>
      </w:r>
      <w:bookmarkEnd w:id="14"/>
    </w:p>
    <w:p w14:paraId="06194DC3"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13C8F20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considered the development of guidelines for the voluntary provision of economic data to the Commission by CCMs and recommended that intersessional work be undertaken on the principles that will inform the development of such guidelines. CCMs wishing to participate in this intersessional work should provide a contact point for inclusion in this intersessional working group which will be facilitated by Fiji and the FFA Secretariat. </w:t>
      </w:r>
    </w:p>
    <w:p w14:paraId="1EFAD01D"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170EB7E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further recommended that the outcomes of this intersessional work be considered by TCC13. </w:t>
      </w:r>
    </w:p>
    <w:p w14:paraId="2AB140A7" w14:textId="77777777" w:rsidR="0014588F" w:rsidRPr="009C2ADD" w:rsidRDefault="0014588F" w:rsidP="0014588F">
      <w:pPr>
        <w:pStyle w:val="WCPFC"/>
        <w:numPr>
          <w:ilvl w:val="0"/>
          <w:numId w:val="0"/>
        </w:numPr>
        <w:adjustRightInd w:val="0"/>
        <w:spacing w:after="0"/>
        <w:ind w:left="567"/>
        <w:rPr>
          <w:b/>
        </w:rPr>
      </w:pPr>
    </w:p>
    <w:p w14:paraId="6D0A218E" w14:textId="77777777" w:rsidR="0014588F" w:rsidRPr="009C2ADD" w:rsidRDefault="0014588F" w:rsidP="0014588F">
      <w:pPr>
        <w:pStyle w:val="WCPFC"/>
        <w:numPr>
          <w:ilvl w:val="0"/>
          <w:numId w:val="0"/>
        </w:numPr>
        <w:adjustRightInd w:val="0"/>
        <w:spacing w:after="0"/>
        <w:ind w:left="567"/>
        <w:rPr>
          <w:b/>
        </w:rPr>
      </w:pPr>
    </w:p>
    <w:p w14:paraId="38B62B17" w14:textId="77777777" w:rsidR="0014588F" w:rsidRPr="009C2ADD" w:rsidRDefault="0014588F" w:rsidP="0014588F">
      <w:pPr>
        <w:pStyle w:val="Heading1"/>
        <w:adjustRightInd w:val="0"/>
        <w:snapToGrid w:val="0"/>
        <w:rPr>
          <w:rFonts w:ascii="Times New Roman" w:hAnsi="Times New Roman"/>
          <w:sz w:val="22"/>
          <w:szCs w:val="22"/>
        </w:rPr>
      </w:pPr>
      <w:bookmarkStart w:id="15" w:name="_Toc498688626"/>
      <w:r w:rsidRPr="009C2ADD">
        <w:rPr>
          <w:rFonts w:ascii="Times New Roman" w:hAnsi="Times New Roman"/>
          <w:sz w:val="22"/>
          <w:szCs w:val="22"/>
        </w:rPr>
        <w:t>AGENDA ITEM 4 – Stock Assessment</w:t>
      </w:r>
      <w:bookmarkEnd w:id="15"/>
    </w:p>
    <w:p w14:paraId="3F9FD76A" w14:textId="77777777" w:rsidR="0014588F" w:rsidRPr="009C2ADD" w:rsidRDefault="0014588F" w:rsidP="0014588F">
      <w:pPr>
        <w:pStyle w:val="WCPFC"/>
        <w:numPr>
          <w:ilvl w:val="0"/>
          <w:numId w:val="0"/>
        </w:numPr>
        <w:adjustRightInd w:val="0"/>
        <w:spacing w:after="0"/>
        <w:jc w:val="center"/>
        <w:rPr>
          <w:b/>
        </w:rPr>
      </w:pPr>
    </w:p>
    <w:p w14:paraId="7217D0FA" w14:textId="77777777" w:rsidR="0014588F" w:rsidRPr="009C2ADD" w:rsidRDefault="0014588F" w:rsidP="0014588F">
      <w:pPr>
        <w:pStyle w:val="WCPFC"/>
        <w:numPr>
          <w:ilvl w:val="0"/>
          <w:numId w:val="0"/>
        </w:numPr>
        <w:adjustRightInd w:val="0"/>
        <w:spacing w:after="0"/>
        <w:jc w:val="center"/>
        <w:rPr>
          <w:b/>
        </w:rPr>
      </w:pPr>
    </w:p>
    <w:p w14:paraId="16B8EE00" w14:textId="77777777" w:rsidR="0014588F" w:rsidRPr="009C2ADD" w:rsidRDefault="0014588F" w:rsidP="0014588F">
      <w:pPr>
        <w:pStyle w:val="Heading2"/>
        <w:adjustRightInd w:val="0"/>
        <w:snapToGrid w:val="0"/>
        <w:rPr>
          <w:color w:val="auto"/>
          <w:szCs w:val="22"/>
        </w:rPr>
      </w:pPr>
      <w:bookmarkStart w:id="16" w:name="_Toc498688627"/>
      <w:r w:rsidRPr="009C2ADD">
        <w:rPr>
          <w:color w:val="auto"/>
          <w:szCs w:val="22"/>
        </w:rPr>
        <w:t xml:space="preserve">4.1 </w:t>
      </w:r>
      <w:r w:rsidRPr="009C2ADD">
        <w:rPr>
          <w:color w:val="auto"/>
          <w:szCs w:val="22"/>
        </w:rPr>
        <w:tab/>
        <w:t>WCPO Tunas</w:t>
      </w:r>
      <w:bookmarkEnd w:id="16"/>
    </w:p>
    <w:p w14:paraId="4F8F2E1F" w14:textId="77777777" w:rsidR="0014588F" w:rsidRPr="009C2ADD" w:rsidRDefault="0014588F" w:rsidP="0014588F">
      <w:pPr>
        <w:adjustRightInd w:val="0"/>
        <w:snapToGrid w:val="0"/>
        <w:spacing w:after="0"/>
        <w:rPr>
          <w:rFonts w:ascii="Times New Roman" w:hAnsi="Times New Roman"/>
        </w:rPr>
      </w:pPr>
    </w:p>
    <w:p w14:paraId="42E936F9" w14:textId="77777777" w:rsidR="0014588F" w:rsidRPr="009C2ADD" w:rsidRDefault="0014588F" w:rsidP="0014588F">
      <w:pPr>
        <w:pStyle w:val="Heading3"/>
        <w:adjustRightInd w:val="0"/>
        <w:snapToGrid w:val="0"/>
        <w:spacing w:before="0"/>
        <w:rPr>
          <w:rFonts w:ascii="Times New Roman" w:hAnsi="Times New Roman" w:cs="Times New Roman"/>
        </w:rPr>
      </w:pPr>
      <w:bookmarkStart w:id="17" w:name="_Toc498688628"/>
      <w:r w:rsidRPr="009C2ADD">
        <w:rPr>
          <w:rFonts w:ascii="Times New Roman" w:hAnsi="Times New Roman" w:cs="Times New Roman"/>
        </w:rPr>
        <w:t xml:space="preserve">4.1.1 </w:t>
      </w:r>
      <w:r w:rsidRPr="009C2ADD">
        <w:rPr>
          <w:rFonts w:ascii="Times New Roman" w:hAnsi="Times New Roman" w:cs="Times New Roman"/>
        </w:rPr>
        <w:tab/>
        <w:t>WCPO bigeye tuna (</w:t>
      </w:r>
      <w:r w:rsidRPr="00464B7F">
        <w:rPr>
          <w:rFonts w:ascii="Times New Roman" w:hAnsi="Times New Roman" w:cs="Times New Roman"/>
          <w:i/>
        </w:rPr>
        <w:t>Thunnus obesus</w:t>
      </w:r>
      <w:r w:rsidRPr="009C2ADD">
        <w:rPr>
          <w:rFonts w:ascii="Times New Roman" w:hAnsi="Times New Roman" w:cs="Times New Roman"/>
        </w:rPr>
        <w:t>)</w:t>
      </w:r>
      <w:bookmarkEnd w:id="17"/>
      <w:r w:rsidRPr="009C2ADD">
        <w:rPr>
          <w:rFonts w:ascii="Times New Roman" w:hAnsi="Times New Roman" w:cs="Times New Roman"/>
        </w:rPr>
        <w:t xml:space="preserve">  </w:t>
      </w:r>
    </w:p>
    <w:p w14:paraId="07EED4E3" w14:textId="77777777" w:rsidR="0014588F" w:rsidRPr="009C2ADD" w:rsidRDefault="0014588F" w:rsidP="0014588F">
      <w:pPr>
        <w:pStyle w:val="WCPFC"/>
        <w:numPr>
          <w:ilvl w:val="0"/>
          <w:numId w:val="0"/>
        </w:numPr>
        <w:adjustRightInd w:val="0"/>
        <w:spacing w:after="0"/>
        <w:ind w:left="720"/>
        <w:rPr>
          <w:b/>
        </w:rPr>
      </w:pPr>
    </w:p>
    <w:p w14:paraId="7069C78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endorsed the 2017 WCPO bigeye tuna stock assessment as the most advanced and comprehensive assessment yet conducted for this species. </w:t>
      </w:r>
    </w:p>
    <w:p w14:paraId="25196A2E"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B0B273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endorsed the use of the assessment model uncertainty grid to characterize stock status and management advice and implications but noted the large variance in the assessment results, mainly due to the inclusion of the old and new regional structures and growth curves, for which some CCMs considered further investigation is necessary.</w:t>
      </w:r>
    </w:p>
    <w:p w14:paraId="55EC9E9B"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18D858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reached consensus on the weighting of assessment models in the uncertainty grid for bigeye tuna. </w:t>
      </w:r>
      <w:r>
        <w:rPr>
          <w:rFonts w:ascii="Times New Roman" w:hAnsi="Times New Roman"/>
          <w:b/>
          <w:lang w:val="en-AU"/>
        </w:rPr>
        <w:t>The</w:t>
      </w:r>
      <w:r w:rsidRPr="009C2ADD">
        <w:rPr>
          <w:rFonts w:ascii="Times New Roman" w:hAnsi="Times New Roman"/>
          <w:b/>
          <w:lang w:val="en-AU"/>
        </w:rPr>
        <w:t xml:space="preserve"> consensus weighting considered all options within the four axes of uncertainty for steepness, tagging dispersion, size frequency and regional structure to be equally likely. For the growth axis of uncertainty, the new growth curve models (n=36 models, weight=3, 108 model weight units) were weighted three times more than the old growth curve models (n=36 models, weight=1, 36 model weight units). In total there were 144 model weight units. The resulting uncertainty grid was used to characterize stock status, to summarize reference points as provided in the assessment document </w:t>
      </w:r>
      <w:r w:rsidRPr="00AF1231">
        <w:rPr>
          <w:rFonts w:ascii="Times New Roman" w:hAnsi="Times New Roman"/>
          <w:b/>
          <w:lang w:val="en-AU"/>
        </w:rPr>
        <w:t>SC13-SA-WP-05</w:t>
      </w:r>
      <w:r w:rsidRPr="009C2ADD">
        <w:rPr>
          <w:rFonts w:ascii="Times New Roman" w:hAnsi="Times New Roman"/>
          <w:b/>
          <w:lang w:val="en-AU"/>
        </w:rPr>
        <w:t>, and to calculate the probability of breaching the adopted spawning biomass limit reference point (0.2*SB</w:t>
      </w:r>
      <w:r w:rsidRPr="0070772D">
        <w:rPr>
          <w:rFonts w:ascii="Times New Roman" w:hAnsi="Times New Roman"/>
          <w:b/>
          <w:vertAlign w:val="subscript"/>
          <w:lang w:val="en-AU"/>
        </w:rPr>
        <w:t>F=0</w:t>
      </w:r>
      <w:r w:rsidRPr="009C2ADD">
        <w:rPr>
          <w:rFonts w:ascii="Times New Roman" w:hAnsi="Times New Roman"/>
          <w:b/>
          <w:lang w:val="en-AU"/>
        </w:rPr>
        <w:t>) and the probability of F</w:t>
      </w:r>
      <w:r w:rsidRPr="0070772D">
        <w:rPr>
          <w:rFonts w:ascii="Times New Roman" w:hAnsi="Times New Roman"/>
          <w:b/>
          <w:vertAlign w:val="subscript"/>
          <w:lang w:val="en-AU"/>
        </w:rPr>
        <w:t>recent</w:t>
      </w:r>
      <w:r w:rsidRPr="009C2ADD">
        <w:rPr>
          <w:rFonts w:ascii="Times New Roman" w:hAnsi="Times New Roman"/>
          <w:b/>
          <w:lang w:val="en-AU"/>
        </w:rPr>
        <w:t xml:space="preserve"> being greater than F</w:t>
      </w:r>
      <w:r w:rsidRPr="0070772D">
        <w:rPr>
          <w:rFonts w:ascii="Times New Roman" w:hAnsi="Times New Roman"/>
          <w:b/>
          <w:vertAlign w:val="subscript"/>
          <w:lang w:val="en-AU" w:eastAsia="ko-KR"/>
        </w:rPr>
        <w:t>MSY</w:t>
      </w:r>
      <w:r w:rsidRPr="009C2ADD">
        <w:rPr>
          <w:rFonts w:ascii="Times New Roman" w:hAnsi="Times New Roman"/>
          <w:b/>
          <w:lang w:val="en-AU"/>
        </w:rPr>
        <w:t xml:space="preserve">. It should be noted that the results would vary depending on the choice and/or weighting of grids, in particular the growth curve model, thus those characterizations of central tendency of stock status need to be interpreted with caution.  </w:t>
      </w:r>
    </w:p>
    <w:p w14:paraId="5D48C1D1"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B406217" w14:textId="77777777" w:rsidR="0014588F" w:rsidRPr="009C2ADD" w:rsidRDefault="0014588F" w:rsidP="0014588F">
      <w:pPr>
        <w:pStyle w:val="WCPFC"/>
        <w:numPr>
          <w:ilvl w:val="0"/>
          <w:numId w:val="21"/>
        </w:numPr>
        <w:adjustRightInd w:val="0"/>
        <w:spacing w:after="0"/>
        <w:ind w:left="0" w:firstLine="0"/>
        <w:rPr>
          <w:b/>
        </w:rPr>
      </w:pPr>
      <w:r w:rsidRPr="009C2ADD">
        <w:rPr>
          <w:b/>
        </w:rPr>
        <w:t>Stock status and trends</w:t>
      </w:r>
    </w:p>
    <w:p w14:paraId="7FFFED29" w14:textId="77777777" w:rsidR="0014588F" w:rsidRPr="009C2ADD" w:rsidRDefault="0014588F" w:rsidP="0014588F">
      <w:pPr>
        <w:pStyle w:val="WCPFC"/>
        <w:numPr>
          <w:ilvl w:val="0"/>
          <w:numId w:val="0"/>
        </w:numPr>
        <w:adjustRightInd w:val="0"/>
        <w:spacing w:after="0"/>
        <w:ind w:left="720"/>
        <w:rPr>
          <w:b/>
        </w:rPr>
      </w:pPr>
    </w:p>
    <w:p w14:paraId="183A31D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(2012-2015) spawning biomass (SB</w:t>
      </w:r>
      <w:r w:rsidRPr="0070772D">
        <w:rPr>
          <w:rFonts w:ascii="Times New Roman" w:hAnsi="Times New Roman"/>
          <w:b/>
          <w:vertAlign w:val="subscript"/>
          <w:lang w:val="en-AU"/>
        </w:rPr>
        <w:t>recent</w:t>
      </w:r>
      <w:r w:rsidRPr="009C2ADD">
        <w:rPr>
          <w:rFonts w:ascii="Times New Roman" w:hAnsi="Times New Roman"/>
          <w:b/>
          <w:lang w:val="en-AU"/>
        </w:rPr>
        <w:t>/</w:t>
      </w:r>
      <w:r w:rsidRPr="00300F08">
        <w:t xml:space="preserve"> </w:t>
      </w:r>
      <w:r w:rsidRPr="0070772D">
        <w:rPr>
          <w:rFonts w:ascii="Times New Roman" w:hAnsi="Times New Roman"/>
          <w:b/>
        </w:rPr>
        <w:t>SB</w:t>
      </w:r>
      <w:r w:rsidRPr="0070772D">
        <w:rPr>
          <w:rFonts w:ascii="Times New Roman" w:hAnsi="Times New Roman"/>
          <w:b/>
          <w:vertAlign w:val="subscript"/>
        </w:rPr>
        <w:t>F=0</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w:t>
      </w:r>
      <w:r w:rsidRPr="00300F08">
        <w:rPr>
          <w:rFonts w:ascii="Times New Roman" w:hAnsi="Times New Roman"/>
          <w:b/>
          <w:lang w:val="en-AU"/>
        </w:rPr>
        <w:t>F</w:t>
      </w:r>
      <w:r w:rsidRPr="0070772D">
        <w:rPr>
          <w:rFonts w:ascii="Times New Roman" w:hAnsi="Times New Roman"/>
          <w:b/>
          <w:vertAlign w:val="subscript"/>
          <w:lang w:val="en-AU" w:eastAsia="ko-KR"/>
        </w:rPr>
        <w:t>MSY</w:t>
      </w:r>
      <w:r w:rsidRPr="009C2ADD">
        <w:rPr>
          <w:rFonts w:ascii="Times New Roman" w:hAnsi="Times New Roman"/>
          <w:b/>
          <w:lang w:val="en-AU"/>
        </w:rPr>
        <w:t xml:space="preserve">)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0B95AC0B"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07F5CD4F"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 </w:t>
      </w:r>
      <w:r>
        <w:rPr>
          <w:rFonts w:ascii="Times New Roman" w:hAnsi="Times New Roman"/>
          <w:b/>
          <w:lang w:val="en-AU"/>
        </w:rPr>
        <w:t>d</w:t>
      </w:r>
      <w:r w:rsidRPr="009C2ADD">
        <w:rPr>
          <w:rFonts w:ascii="Times New Roman" w:hAnsi="Times New Roman"/>
          <w:b/>
          <w:lang w:val="en-AU"/>
        </w:rPr>
        <w:t>escription of the updated structural sensitivity grid used to characterize uncertainty in the assessment was set out in Table BET-1. Time series of total annual catch by fishing gear for the diagnostic case model over the full assessment period is shown in Figure</w:t>
      </w:r>
      <w:r>
        <w:rPr>
          <w:rFonts w:ascii="Times New Roman" w:hAnsi="Times New Roman" w:hint="eastAsia"/>
          <w:b/>
          <w:lang w:val="en-AU" w:eastAsia="ko-KR"/>
        </w:rPr>
        <w:t xml:space="preserve"> BET</w:t>
      </w:r>
      <w:r w:rsidRPr="009C2ADD">
        <w:rPr>
          <w:rFonts w:ascii="Times New Roman" w:hAnsi="Times New Roman"/>
          <w:b/>
          <w:lang w:val="en-AU"/>
        </w:rPr>
        <w:t xml:space="preserve">-1.  Estimated annual average recruitment, spawning potential, juvenile and adult fishing mortality and fishing depletion for the diagnostic case model are shown in Figures BET-2 – BET-5.  Figures BET-6 and BET-7 display Majuro plots summarising the results for each of the models in the structural uncertainty grid. Figures BET-8 and BET-9 show Kobe plots summarising the results for each of the models in the structural uncertainty grid.  </w:t>
      </w:r>
      <w:r>
        <w:rPr>
          <w:rFonts w:ascii="Times New Roman" w:hAnsi="Times New Roman" w:hint="eastAsia"/>
          <w:b/>
          <w:lang w:val="en-AU" w:eastAsia="ko-KR"/>
        </w:rPr>
        <w:t xml:space="preserve">Figure BET-10 </w:t>
      </w:r>
      <w:r w:rsidRPr="0048229F">
        <w:rPr>
          <w:rFonts w:ascii="Times New Roman" w:hAnsi="Times New Roman"/>
          <w:b/>
          <w:lang w:val="en-AU" w:eastAsia="ko-KR"/>
        </w:rPr>
        <w:t xml:space="preserve">provides </w:t>
      </w:r>
      <w:r>
        <w:rPr>
          <w:rFonts w:ascii="Times New Roman" w:hAnsi="Times New Roman"/>
          <w:b/>
          <w:lang w:val="en-AU" w:eastAsia="ko-KR"/>
        </w:rPr>
        <w:t>estimated</w:t>
      </w:r>
      <w:r w:rsidRPr="0070772D">
        <w:rPr>
          <w:rFonts w:ascii="Times New Roman" w:hAnsi="Times New Roman"/>
          <w:b/>
        </w:rPr>
        <w:t xml:space="preserve"> time-series (or “dynamic”) Majuro and Kobe plots from the bigeye ‘diagnostic case’ model run</w:t>
      </w:r>
      <w:r>
        <w:rPr>
          <w:rFonts w:ascii="Times New Roman" w:hAnsi="Times New Roman" w:hint="eastAsia"/>
          <w:b/>
          <w:lang w:eastAsia="ko-KR"/>
        </w:rPr>
        <w:t>.</w:t>
      </w:r>
      <w:r w:rsidRPr="004E7F00">
        <w:rPr>
          <w:rFonts w:ascii="Times New Roman" w:hAnsi="Times New Roman"/>
          <w:b/>
          <w:lang w:val="en-AU"/>
        </w:rPr>
        <w:t xml:space="preserve"> Figure</w:t>
      </w:r>
      <w:r w:rsidRPr="009C2ADD">
        <w:rPr>
          <w:rFonts w:ascii="Times New Roman" w:hAnsi="Times New Roman"/>
          <w:b/>
          <w:lang w:val="en-AU"/>
        </w:rPr>
        <w:t xml:space="preserve"> BET-1</w:t>
      </w:r>
      <w:r>
        <w:rPr>
          <w:rFonts w:ascii="Times New Roman" w:hAnsi="Times New Roman" w:hint="eastAsia"/>
          <w:b/>
          <w:lang w:val="en-AU" w:eastAsia="ko-KR"/>
        </w:rPr>
        <w:t>1</w:t>
      </w:r>
      <w:r w:rsidRPr="009C2ADD">
        <w:rPr>
          <w:rFonts w:ascii="Times New Roman" w:hAnsi="Times New Roman"/>
          <w:b/>
          <w:lang w:val="en-AU"/>
        </w:rPr>
        <w:t xml:space="preserve"> provides estimates of reduction in spawning potential due to fishing by region, and over all regions attributed to various fishery groups (gear-types) for the diagnostic case model. Table BET-2 </w:t>
      </w:r>
      <w:r>
        <w:rPr>
          <w:rFonts w:ascii="Times New Roman" w:hAnsi="Times New Roman" w:hint="eastAsia"/>
          <w:b/>
          <w:lang w:val="en-AU" w:eastAsia="ko-KR"/>
        </w:rPr>
        <w:t>p</w:t>
      </w:r>
      <w:r w:rsidRPr="009C2ADD">
        <w:rPr>
          <w:rFonts w:ascii="Times New Roman" w:hAnsi="Times New Roman"/>
          <w:b/>
          <w:lang w:val="en-AU"/>
        </w:rPr>
        <w:t>rovides a summary of reference points over the 72 models in the structural uncertainty grid.</w:t>
      </w:r>
    </w:p>
    <w:p w14:paraId="7BD202B9" w14:textId="77777777" w:rsidR="0014588F" w:rsidRPr="009C2ADD" w:rsidRDefault="0014588F" w:rsidP="0014588F">
      <w:pPr>
        <w:pStyle w:val="WCPFC"/>
        <w:numPr>
          <w:ilvl w:val="0"/>
          <w:numId w:val="0"/>
        </w:numPr>
        <w:adjustRightInd w:val="0"/>
        <w:spacing w:after="0"/>
        <w:ind w:left="567"/>
        <w:jc w:val="center"/>
        <w:rPr>
          <w:b/>
        </w:rPr>
      </w:pPr>
    </w:p>
    <w:p w14:paraId="42BF67CC" w14:textId="77777777" w:rsidR="0014588F" w:rsidRPr="009C2ADD" w:rsidRDefault="0014588F" w:rsidP="0014588F">
      <w:pPr>
        <w:pStyle w:val="WCPFC"/>
        <w:numPr>
          <w:ilvl w:val="0"/>
          <w:numId w:val="0"/>
        </w:numPr>
        <w:adjustRightInd w:val="0"/>
        <w:spacing w:after="0"/>
        <w:jc w:val="left"/>
      </w:pPr>
      <w:proofErr w:type="gramStart"/>
      <w:r w:rsidRPr="009C2ADD">
        <w:rPr>
          <w:b/>
        </w:rPr>
        <w:t>Table BET-1.</w:t>
      </w:r>
      <w:proofErr w:type="gramEnd"/>
      <w:r w:rsidRPr="009C2ADD">
        <w:rPr>
          <w:b/>
        </w:rPr>
        <w:t xml:space="preserve"> </w:t>
      </w:r>
      <w:r w:rsidRPr="009C2ADD">
        <w:t>Description of the updated structural sensitivity grid used to characterize uncertainty in the assessment.</w:t>
      </w:r>
    </w:p>
    <w:tbl>
      <w:tblPr>
        <w:tblW w:w="5000" w:type="pct"/>
        <w:jc w:val="center"/>
        <w:tblLook w:val="04A0" w:firstRow="1" w:lastRow="0" w:firstColumn="1" w:lastColumn="0" w:noHBand="0" w:noVBand="1"/>
      </w:tblPr>
      <w:tblGrid>
        <w:gridCol w:w="3184"/>
        <w:gridCol w:w="1547"/>
        <w:gridCol w:w="4845"/>
      </w:tblGrid>
      <w:tr w:rsidR="0014588F" w:rsidRPr="009C2ADD" w14:paraId="1C4E604E" w14:textId="77777777" w:rsidTr="000E6616">
        <w:trPr>
          <w:jc w:val="center"/>
        </w:trPr>
        <w:tc>
          <w:tcPr>
            <w:tcW w:w="1662" w:type="pct"/>
            <w:tcBorders>
              <w:top w:val="single" w:sz="12" w:space="0" w:color="auto"/>
              <w:bottom w:val="single" w:sz="12" w:space="0" w:color="auto"/>
            </w:tcBorders>
            <w:shd w:val="clear" w:color="auto" w:fill="auto"/>
            <w:vAlign w:val="center"/>
          </w:tcPr>
          <w:p w14:paraId="43FDC8DD" w14:textId="77777777" w:rsidR="0014588F" w:rsidRPr="009C2ADD" w:rsidRDefault="0014588F" w:rsidP="000E6616">
            <w:pPr>
              <w:adjustRightInd w:val="0"/>
              <w:snapToGrid w:val="0"/>
              <w:spacing w:after="0"/>
              <w:rPr>
                <w:rFonts w:ascii="Times New Roman" w:hAnsi="Times New Roman"/>
                <w:b/>
                <w:lang w:val="en-AU" w:eastAsia="en-AU"/>
              </w:rPr>
            </w:pPr>
            <w:r w:rsidRPr="009C2ADD">
              <w:rPr>
                <w:rFonts w:ascii="Times New Roman" w:hAnsi="Times New Roman"/>
                <w:b/>
                <w:lang w:val="en-AU" w:eastAsia="en-AU"/>
              </w:rPr>
              <w:t>Axis</w:t>
            </w:r>
          </w:p>
        </w:tc>
        <w:tc>
          <w:tcPr>
            <w:tcW w:w="808" w:type="pct"/>
            <w:tcBorders>
              <w:top w:val="single" w:sz="12" w:space="0" w:color="auto"/>
              <w:bottom w:val="single" w:sz="12" w:space="0" w:color="auto"/>
            </w:tcBorders>
            <w:shd w:val="clear" w:color="auto" w:fill="auto"/>
            <w:vAlign w:val="center"/>
          </w:tcPr>
          <w:p w14:paraId="7A0F9242" w14:textId="77777777" w:rsidR="0014588F" w:rsidRPr="009C2ADD" w:rsidRDefault="0014588F" w:rsidP="000E6616">
            <w:pPr>
              <w:adjustRightInd w:val="0"/>
              <w:snapToGrid w:val="0"/>
              <w:spacing w:after="0"/>
              <w:jc w:val="center"/>
              <w:rPr>
                <w:rFonts w:ascii="Times New Roman" w:hAnsi="Times New Roman"/>
                <w:b/>
                <w:lang w:val="en-AU" w:eastAsia="en-AU"/>
              </w:rPr>
            </w:pPr>
            <w:r w:rsidRPr="009C2ADD">
              <w:rPr>
                <w:rFonts w:ascii="Times New Roman" w:hAnsi="Times New Roman"/>
                <w:b/>
                <w:lang w:val="en-AU" w:eastAsia="en-AU"/>
              </w:rPr>
              <w:t>Levels</w:t>
            </w:r>
          </w:p>
        </w:tc>
        <w:tc>
          <w:tcPr>
            <w:tcW w:w="2529" w:type="pct"/>
            <w:tcBorders>
              <w:top w:val="single" w:sz="12" w:space="0" w:color="auto"/>
              <w:bottom w:val="single" w:sz="12" w:space="0" w:color="auto"/>
            </w:tcBorders>
            <w:shd w:val="clear" w:color="auto" w:fill="auto"/>
            <w:vAlign w:val="center"/>
          </w:tcPr>
          <w:p w14:paraId="426AF539" w14:textId="77777777" w:rsidR="0014588F" w:rsidRPr="009C2ADD" w:rsidRDefault="0014588F" w:rsidP="000E6616">
            <w:pPr>
              <w:adjustRightInd w:val="0"/>
              <w:snapToGrid w:val="0"/>
              <w:spacing w:after="0"/>
              <w:ind w:left="184" w:hanging="184"/>
              <w:rPr>
                <w:rFonts w:ascii="Times New Roman" w:hAnsi="Times New Roman"/>
                <w:b/>
                <w:lang w:val="en-AU" w:eastAsia="en-AU"/>
              </w:rPr>
            </w:pPr>
            <w:r w:rsidRPr="009C2ADD">
              <w:rPr>
                <w:rFonts w:ascii="Times New Roman" w:hAnsi="Times New Roman"/>
                <w:b/>
                <w:lang w:val="en-AU" w:eastAsia="en-AU"/>
              </w:rPr>
              <w:t>Option</w:t>
            </w:r>
          </w:p>
        </w:tc>
      </w:tr>
      <w:tr w:rsidR="0014588F" w:rsidRPr="009C2ADD" w14:paraId="0EB5A62B" w14:textId="77777777" w:rsidTr="000E6616">
        <w:trPr>
          <w:jc w:val="center"/>
        </w:trPr>
        <w:tc>
          <w:tcPr>
            <w:tcW w:w="1662" w:type="pct"/>
            <w:tcBorders>
              <w:top w:val="single" w:sz="12" w:space="0" w:color="auto"/>
            </w:tcBorders>
            <w:shd w:val="clear" w:color="auto" w:fill="auto"/>
            <w:vAlign w:val="center"/>
          </w:tcPr>
          <w:p w14:paraId="05D14697"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Steepness</w:t>
            </w:r>
          </w:p>
        </w:tc>
        <w:tc>
          <w:tcPr>
            <w:tcW w:w="808" w:type="pct"/>
            <w:tcBorders>
              <w:top w:val="single" w:sz="12" w:space="0" w:color="auto"/>
            </w:tcBorders>
            <w:shd w:val="clear" w:color="auto" w:fill="auto"/>
            <w:vAlign w:val="center"/>
          </w:tcPr>
          <w:p w14:paraId="488DAF73" w14:textId="77777777" w:rsidR="0014588F" w:rsidRPr="009C2ADD" w:rsidRDefault="0014588F" w:rsidP="000E6616">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3</w:t>
            </w:r>
          </w:p>
        </w:tc>
        <w:tc>
          <w:tcPr>
            <w:tcW w:w="2529" w:type="pct"/>
            <w:tcBorders>
              <w:top w:val="single" w:sz="12" w:space="0" w:color="auto"/>
            </w:tcBorders>
            <w:shd w:val="clear" w:color="auto" w:fill="auto"/>
            <w:vAlign w:val="center"/>
          </w:tcPr>
          <w:p w14:paraId="7E90A923"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0.65, 0.80, 0.95</w:t>
            </w:r>
          </w:p>
        </w:tc>
      </w:tr>
      <w:tr w:rsidR="0014588F" w:rsidRPr="009C2ADD" w14:paraId="7C983BD3" w14:textId="77777777" w:rsidTr="000E6616">
        <w:trPr>
          <w:jc w:val="center"/>
        </w:trPr>
        <w:tc>
          <w:tcPr>
            <w:tcW w:w="1662" w:type="pct"/>
            <w:shd w:val="clear" w:color="auto" w:fill="auto"/>
            <w:vAlign w:val="center"/>
          </w:tcPr>
          <w:p w14:paraId="69B47C3C"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Growth</w:t>
            </w:r>
          </w:p>
        </w:tc>
        <w:tc>
          <w:tcPr>
            <w:tcW w:w="808" w:type="pct"/>
            <w:shd w:val="clear" w:color="auto" w:fill="auto"/>
            <w:vAlign w:val="center"/>
          </w:tcPr>
          <w:p w14:paraId="4C0F07FA" w14:textId="77777777" w:rsidR="0014588F" w:rsidRPr="009C2ADD" w:rsidRDefault="0014588F" w:rsidP="000E6616">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shd w:val="clear" w:color="auto" w:fill="auto"/>
            <w:vAlign w:val="center"/>
          </w:tcPr>
          <w:p w14:paraId="77B1D729"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‘Old growth’, ‘New growth’</w:t>
            </w:r>
          </w:p>
        </w:tc>
      </w:tr>
      <w:tr w:rsidR="0014588F" w:rsidRPr="009C2ADD" w14:paraId="768407D5" w14:textId="77777777" w:rsidTr="000E6616">
        <w:trPr>
          <w:jc w:val="center"/>
        </w:trPr>
        <w:tc>
          <w:tcPr>
            <w:tcW w:w="1662" w:type="pct"/>
            <w:shd w:val="clear" w:color="auto" w:fill="auto"/>
            <w:vAlign w:val="center"/>
          </w:tcPr>
          <w:p w14:paraId="773BF81F"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Tagging over-dispersion</w:t>
            </w:r>
          </w:p>
        </w:tc>
        <w:tc>
          <w:tcPr>
            <w:tcW w:w="808" w:type="pct"/>
            <w:shd w:val="clear" w:color="auto" w:fill="auto"/>
            <w:vAlign w:val="center"/>
          </w:tcPr>
          <w:p w14:paraId="52AAC1CF" w14:textId="77777777" w:rsidR="0014588F" w:rsidRPr="009C2ADD" w:rsidRDefault="0014588F" w:rsidP="000E6616">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shd w:val="clear" w:color="auto" w:fill="auto"/>
            <w:vAlign w:val="center"/>
          </w:tcPr>
          <w:p w14:paraId="7BDA0879"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Default level (1), fixed (moderate) level</w:t>
            </w:r>
          </w:p>
        </w:tc>
      </w:tr>
      <w:tr w:rsidR="0014588F" w:rsidRPr="009C2ADD" w14:paraId="54A36E9F" w14:textId="77777777" w:rsidTr="000E6616">
        <w:trPr>
          <w:jc w:val="center"/>
        </w:trPr>
        <w:tc>
          <w:tcPr>
            <w:tcW w:w="1662" w:type="pct"/>
            <w:shd w:val="clear" w:color="auto" w:fill="auto"/>
            <w:vAlign w:val="center"/>
          </w:tcPr>
          <w:p w14:paraId="422D7C93"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Size frequency weighting</w:t>
            </w:r>
          </w:p>
        </w:tc>
        <w:tc>
          <w:tcPr>
            <w:tcW w:w="808" w:type="pct"/>
            <w:shd w:val="clear" w:color="auto" w:fill="auto"/>
            <w:vAlign w:val="center"/>
          </w:tcPr>
          <w:p w14:paraId="6610F987" w14:textId="77777777" w:rsidR="0014588F" w:rsidRPr="009C2ADD" w:rsidRDefault="0014588F" w:rsidP="000E6616">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3</w:t>
            </w:r>
          </w:p>
        </w:tc>
        <w:tc>
          <w:tcPr>
            <w:tcW w:w="2529" w:type="pct"/>
            <w:shd w:val="clear" w:color="auto" w:fill="auto"/>
            <w:vAlign w:val="center"/>
          </w:tcPr>
          <w:p w14:paraId="34419FFD"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Sample sizes divided by 10, 20, 50</w:t>
            </w:r>
          </w:p>
        </w:tc>
      </w:tr>
      <w:tr w:rsidR="0014588F" w:rsidRPr="009C2ADD" w14:paraId="66BDACA1" w14:textId="77777777" w:rsidTr="000E6616">
        <w:trPr>
          <w:jc w:val="center"/>
        </w:trPr>
        <w:tc>
          <w:tcPr>
            <w:tcW w:w="1662" w:type="pct"/>
            <w:tcBorders>
              <w:bottom w:val="single" w:sz="12" w:space="0" w:color="auto"/>
            </w:tcBorders>
            <w:shd w:val="clear" w:color="auto" w:fill="auto"/>
            <w:vAlign w:val="center"/>
          </w:tcPr>
          <w:p w14:paraId="1CD7AF11"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Regional structure</w:t>
            </w:r>
          </w:p>
        </w:tc>
        <w:tc>
          <w:tcPr>
            <w:tcW w:w="808" w:type="pct"/>
            <w:tcBorders>
              <w:bottom w:val="single" w:sz="12" w:space="0" w:color="auto"/>
            </w:tcBorders>
            <w:shd w:val="clear" w:color="auto" w:fill="auto"/>
            <w:vAlign w:val="center"/>
          </w:tcPr>
          <w:p w14:paraId="1963E8D5" w14:textId="77777777" w:rsidR="0014588F" w:rsidRPr="009C2ADD" w:rsidRDefault="0014588F" w:rsidP="000E6616">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tcBorders>
              <w:bottom w:val="single" w:sz="12" w:space="0" w:color="auto"/>
            </w:tcBorders>
            <w:shd w:val="clear" w:color="auto" w:fill="auto"/>
            <w:vAlign w:val="center"/>
          </w:tcPr>
          <w:p w14:paraId="28E7FC10" w14:textId="77777777" w:rsidR="0014588F" w:rsidRPr="009C2ADD" w:rsidRDefault="0014588F" w:rsidP="000E6616">
            <w:pPr>
              <w:adjustRightInd w:val="0"/>
              <w:snapToGrid w:val="0"/>
              <w:spacing w:after="0"/>
              <w:rPr>
                <w:rFonts w:ascii="Times New Roman" w:hAnsi="Times New Roman"/>
                <w:lang w:val="en-AU" w:eastAsia="en-AU"/>
              </w:rPr>
            </w:pPr>
            <w:r w:rsidRPr="009C2ADD">
              <w:rPr>
                <w:rFonts w:ascii="Times New Roman" w:hAnsi="Times New Roman"/>
                <w:lang w:val="en-AU" w:eastAsia="en-AU"/>
              </w:rPr>
              <w:t>2017 regions, 2014 regions</w:t>
            </w:r>
          </w:p>
        </w:tc>
      </w:tr>
    </w:tbl>
    <w:p w14:paraId="15948CE2" w14:textId="77777777" w:rsidR="0014588F" w:rsidRDefault="0014588F" w:rsidP="0014588F">
      <w:pPr>
        <w:pStyle w:val="WCPFC"/>
        <w:numPr>
          <w:ilvl w:val="0"/>
          <w:numId w:val="0"/>
        </w:numPr>
        <w:adjustRightInd w:val="0"/>
        <w:spacing w:after="0"/>
        <w:ind w:left="567" w:hanging="567"/>
        <w:rPr>
          <w:b/>
        </w:rPr>
      </w:pPr>
    </w:p>
    <w:p w14:paraId="7EED7F42" w14:textId="77777777" w:rsidR="0014588F" w:rsidRDefault="0014588F" w:rsidP="0014588F">
      <w:pPr>
        <w:pStyle w:val="WCPFC"/>
        <w:numPr>
          <w:ilvl w:val="0"/>
          <w:numId w:val="0"/>
        </w:numPr>
        <w:adjustRightInd w:val="0"/>
        <w:spacing w:after="0"/>
        <w:ind w:left="567" w:hanging="567"/>
        <w:rPr>
          <w:b/>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14588F" w14:paraId="19C1EF6C" w14:textId="77777777" w:rsidTr="000E6616">
        <w:tc>
          <w:tcPr>
            <w:tcW w:w="4779" w:type="dxa"/>
          </w:tcPr>
          <w:p w14:paraId="7837F9EA" w14:textId="77777777" w:rsidR="0014588F" w:rsidRDefault="0014588F" w:rsidP="000E6616">
            <w:pPr>
              <w:pStyle w:val="WCPFC"/>
              <w:numPr>
                <w:ilvl w:val="0"/>
                <w:numId w:val="0"/>
              </w:numPr>
              <w:adjustRightInd w:val="0"/>
              <w:spacing w:after="0"/>
              <w:rPr>
                <w:b/>
              </w:rPr>
            </w:pPr>
            <w:r w:rsidRPr="009C2ADD">
              <w:rPr>
                <w:noProof/>
                <w:lang w:val="en-US" w:eastAsia="ko-KR"/>
              </w:rPr>
              <w:drawing>
                <wp:inline distT="0" distB="0" distL="0" distR="0" wp14:anchorId="63450CCF" wp14:editId="6B093AA9">
                  <wp:extent cx="2903573" cy="1658679"/>
                  <wp:effectExtent l="0" t="0" r="0" b="0"/>
                  <wp:docPr id="37" name="Picture 1" descr="Timeseries_c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series_cat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9282" cy="1661940"/>
                          </a:xfrm>
                          <a:prstGeom prst="rect">
                            <a:avLst/>
                          </a:prstGeom>
                          <a:noFill/>
                          <a:ln>
                            <a:noFill/>
                          </a:ln>
                        </pic:spPr>
                      </pic:pic>
                    </a:graphicData>
                  </a:graphic>
                </wp:inline>
              </w:drawing>
            </w:r>
          </w:p>
        </w:tc>
        <w:tc>
          <w:tcPr>
            <w:tcW w:w="4779" w:type="dxa"/>
            <w:vAlign w:val="center"/>
          </w:tcPr>
          <w:p w14:paraId="167B7847" w14:textId="77777777" w:rsidR="0014588F" w:rsidRDefault="0014588F" w:rsidP="000E6616">
            <w:pPr>
              <w:pStyle w:val="WCPFC"/>
              <w:numPr>
                <w:ilvl w:val="0"/>
                <w:numId w:val="0"/>
              </w:numPr>
              <w:adjustRightInd w:val="0"/>
              <w:spacing w:after="0"/>
              <w:jc w:val="center"/>
              <w:rPr>
                <w:b/>
              </w:rPr>
            </w:pPr>
            <w:r w:rsidRPr="009C2ADD">
              <w:rPr>
                <w:noProof/>
                <w:lang w:val="en-US" w:eastAsia="ko-KR"/>
              </w:rPr>
              <w:drawing>
                <wp:inline distT="0" distB="0" distL="0" distR="0" wp14:anchorId="5C1C60F3" wp14:editId="47C03859">
                  <wp:extent cx="2902688" cy="1562986"/>
                  <wp:effectExtent l="0" t="0" r="0" b="0"/>
                  <wp:docPr id="38" name="Picture 5" descr="plot_biomass_stacked_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t_biomass_stacked_RE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8188" cy="1576717"/>
                          </a:xfrm>
                          <a:prstGeom prst="rect">
                            <a:avLst/>
                          </a:prstGeom>
                          <a:noFill/>
                          <a:ln>
                            <a:noFill/>
                          </a:ln>
                        </pic:spPr>
                      </pic:pic>
                    </a:graphicData>
                  </a:graphic>
                </wp:inline>
              </w:drawing>
            </w:r>
          </w:p>
        </w:tc>
      </w:tr>
      <w:tr w:rsidR="0014588F" w14:paraId="525C705A" w14:textId="77777777" w:rsidTr="000E6616">
        <w:tc>
          <w:tcPr>
            <w:tcW w:w="4779" w:type="dxa"/>
          </w:tcPr>
          <w:p w14:paraId="400ABB7B" w14:textId="77777777" w:rsidR="0014588F" w:rsidRDefault="0014588F" w:rsidP="000E6616">
            <w:pPr>
              <w:pStyle w:val="WCPFC"/>
              <w:numPr>
                <w:ilvl w:val="0"/>
                <w:numId w:val="0"/>
              </w:numPr>
              <w:adjustRightInd w:val="0"/>
              <w:spacing w:after="0"/>
              <w:rPr>
                <w:b/>
              </w:rPr>
            </w:pPr>
            <w:r w:rsidRPr="009C2ADD">
              <w:rPr>
                <w:rFonts w:eastAsia="MS Mincho"/>
                <w:b/>
              </w:rPr>
              <w:t xml:space="preserve">Figure BET-1. </w:t>
            </w:r>
            <w:r w:rsidRPr="009C2ADD">
              <w:rPr>
                <w:rFonts w:eastAsia="MS Mincho"/>
              </w:rPr>
              <w:t>Time series of total annual catch (1000's mt) by fishing gear for the diagnostic case model over the full assessment period.</w:t>
            </w:r>
          </w:p>
        </w:tc>
        <w:tc>
          <w:tcPr>
            <w:tcW w:w="4779" w:type="dxa"/>
          </w:tcPr>
          <w:p w14:paraId="76C72ED4" w14:textId="77777777" w:rsidR="0014588F" w:rsidRPr="009E7D16" w:rsidRDefault="0014588F" w:rsidP="000E6616">
            <w:pPr>
              <w:adjustRightInd w:val="0"/>
              <w:snapToGrid w:val="0"/>
              <w:spacing w:after="0"/>
              <w:jc w:val="left"/>
              <w:rPr>
                <w:rFonts w:ascii="Times New Roman" w:eastAsia="MS Mincho" w:hAnsi="Times New Roman"/>
              </w:rPr>
            </w:pPr>
            <w:r w:rsidRPr="009C2ADD">
              <w:rPr>
                <w:rFonts w:ascii="Times New Roman" w:eastAsia="MS Mincho" w:hAnsi="Times New Roman"/>
                <w:b/>
              </w:rPr>
              <w:t xml:space="preserve">Figure BET-2. </w:t>
            </w:r>
            <w:r w:rsidRPr="009C2ADD">
              <w:rPr>
                <w:rFonts w:ascii="Times New Roman" w:eastAsia="MS Mincho" w:hAnsi="Times New Roman"/>
              </w:rPr>
              <w:t>Estimated annual average recruitment by model region for the diagnostic case model, showing th</w:t>
            </w:r>
            <w:r>
              <w:rPr>
                <w:rFonts w:ascii="Times New Roman" w:eastAsia="MS Mincho" w:hAnsi="Times New Roman"/>
              </w:rPr>
              <w:t>e relative sizes among regions.</w:t>
            </w:r>
          </w:p>
        </w:tc>
      </w:tr>
    </w:tbl>
    <w:p w14:paraId="032DF64C" w14:textId="77777777" w:rsidR="0014588F" w:rsidRPr="009C2ADD" w:rsidRDefault="0014588F" w:rsidP="0014588F">
      <w:pPr>
        <w:adjustRightInd w:val="0"/>
        <w:snapToGrid w:val="0"/>
        <w:spacing w:after="0"/>
        <w:jc w:val="left"/>
        <w:rPr>
          <w:rFonts w:ascii="Times New Roman" w:eastAsia="MS Mincho"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686"/>
      </w:tblGrid>
      <w:tr w:rsidR="0014588F" w14:paraId="484FD152" w14:textId="77777777" w:rsidTr="000E6616">
        <w:tc>
          <w:tcPr>
            <w:tcW w:w="4782" w:type="dxa"/>
            <w:vAlign w:val="center"/>
          </w:tcPr>
          <w:p w14:paraId="154E72EA" w14:textId="77777777" w:rsidR="0014588F" w:rsidRDefault="0014588F" w:rsidP="000E6616">
            <w:pPr>
              <w:pStyle w:val="WCPFC"/>
              <w:numPr>
                <w:ilvl w:val="0"/>
                <w:numId w:val="0"/>
              </w:numPr>
              <w:adjustRightInd w:val="0"/>
              <w:spacing w:after="0"/>
              <w:jc w:val="center"/>
              <w:rPr>
                <w:b/>
              </w:rPr>
            </w:pPr>
            <w:r w:rsidRPr="009C2ADD">
              <w:rPr>
                <w:noProof/>
                <w:lang w:val="en-US" w:eastAsia="ko-KR"/>
              </w:rPr>
              <w:drawing>
                <wp:inline distT="0" distB="0" distL="0" distR="0" wp14:anchorId="343E81A7" wp14:editId="5D00BCE8">
                  <wp:extent cx="2902689" cy="1935126"/>
                  <wp:effectExtent l="0" t="0" r="0" b="8255"/>
                  <wp:docPr id="39" name="Picture 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biomass_stacked_SS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1420" cy="1940947"/>
                          </a:xfrm>
                          <a:prstGeom prst="rect">
                            <a:avLst/>
                          </a:prstGeom>
                          <a:noFill/>
                          <a:ln>
                            <a:noFill/>
                          </a:ln>
                        </pic:spPr>
                      </pic:pic>
                    </a:graphicData>
                  </a:graphic>
                </wp:inline>
              </w:drawing>
            </w:r>
          </w:p>
        </w:tc>
        <w:tc>
          <w:tcPr>
            <w:tcW w:w="4686" w:type="dxa"/>
            <w:vAlign w:val="center"/>
          </w:tcPr>
          <w:p w14:paraId="7D9B426A" w14:textId="77777777" w:rsidR="0014588F" w:rsidRDefault="0014588F" w:rsidP="000E6616">
            <w:pPr>
              <w:pStyle w:val="WCPFC"/>
              <w:numPr>
                <w:ilvl w:val="0"/>
                <w:numId w:val="0"/>
              </w:numPr>
              <w:adjustRightInd w:val="0"/>
              <w:spacing w:after="0"/>
              <w:jc w:val="center"/>
              <w:rPr>
                <w:b/>
              </w:rPr>
            </w:pPr>
            <w:r w:rsidRPr="009C2ADD">
              <w:rPr>
                <w:noProof/>
                <w:lang w:val="en-US" w:eastAsia="ko-KR"/>
              </w:rPr>
              <w:drawing>
                <wp:inline distT="0" distB="0" distL="0" distR="0" wp14:anchorId="005BF6F0" wp14:editId="631D02D1">
                  <wp:extent cx="2841048" cy="1977655"/>
                  <wp:effectExtent l="0" t="0" r="0" b="3810"/>
                  <wp:docPr id="40" name="Picture 10" descr="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oral_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1081" cy="1984639"/>
                          </a:xfrm>
                          <a:prstGeom prst="rect">
                            <a:avLst/>
                          </a:prstGeom>
                          <a:noFill/>
                          <a:ln>
                            <a:noFill/>
                          </a:ln>
                        </pic:spPr>
                      </pic:pic>
                    </a:graphicData>
                  </a:graphic>
                </wp:inline>
              </w:drawing>
            </w:r>
          </w:p>
        </w:tc>
      </w:tr>
      <w:tr w:rsidR="0014588F" w14:paraId="585F862D" w14:textId="77777777" w:rsidTr="000E6616">
        <w:tc>
          <w:tcPr>
            <w:tcW w:w="4782" w:type="dxa"/>
          </w:tcPr>
          <w:p w14:paraId="391E1786" w14:textId="77777777" w:rsidR="0014588F" w:rsidRPr="00775B7B" w:rsidRDefault="0014588F" w:rsidP="000E6616">
            <w:pPr>
              <w:adjustRightInd w:val="0"/>
              <w:snapToGrid w:val="0"/>
              <w:spacing w:after="0"/>
              <w:jc w:val="left"/>
              <w:rPr>
                <w:rFonts w:ascii="Times New Roman" w:eastAsia="MS Mincho" w:hAnsi="Times New Roman"/>
              </w:rPr>
            </w:pPr>
            <w:r w:rsidRPr="00775B7B">
              <w:rPr>
                <w:rFonts w:ascii="Times New Roman" w:eastAsia="MS Mincho" w:hAnsi="Times New Roman"/>
                <w:b/>
              </w:rPr>
              <w:t xml:space="preserve">Figure BET-3. </w:t>
            </w:r>
            <w:r w:rsidRPr="00775B7B">
              <w:rPr>
                <w:rFonts w:ascii="Times New Roman" w:eastAsia="MS Mincho" w:hAnsi="Times New Roman"/>
              </w:rPr>
              <w:t>Estimated annual average spawning potential by model region for diagnostic case model, showing the relative sizes among regions</w:t>
            </w:r>
          </w:p>
        </w:tc>
        <w:tc>
          <w:tcPr>
            <w:tcW w:w="4686" w:type="dxa"/>
          </w:tcPr>
          <w:p w14:paraId="52793643" w14:textId="77777777" w:rsidR="0014588F" w:rsidRDefault="0014588F" w:rsidP="000E6616">
            <w:pPr>
              <w:pStyle w:val="CommentText"/>
              <w:adjustRightInd w:val="0"/>
              <w:snapToGrid w:val="0"/>
              <w:spacing w:after="0"/>
              <w:rPr>
                <w:rFonts w:ascii="Times New Roman" w:eastAsia="MS Mincho" w:hAnsi="Times New Roman"/>
                <w:sz w:val="22"/>
                <w:szCs w:val="22"/>
              </w:rPr>
            </w:pPr>
            <w:r w:rsidRPr="00775B7B">
              <w:rPr>
                <w:rFonts w:ascii="Times New Roman" w:eastAsia="MS Mincho" w:hAnsi="Times New Roman"/>
                <w:b/>
                <w:sz w:val="22"/>
                <w:szCs w:val="22"/>
              </w:rPr>
              <w:t xml:space="preserve">Figure BET-4. </w:t>
            </w:r>
            <w:r w:rsidRPr="00775B7B">
              <w:rPr>
                <w:rFonts w:ascii="Times New Roman" w:eastAsia="MS Mincho" w:hAnsi="Times New Roman"/>
                <w:sz w:val="22"/>
                <w:szCs w:val="22"/>
              </w:rPr>
              <w:t xml:space="preserve">Estimated annual average juvenile and adult fishing mortality for the diagnostic case model. </w:t>
            </w:r>
          </w:p>
          <w:p w14:paraId="0F23863A" w14:textId="77777777" w:rsidR="0014588F" w:rsidRDefault="0014588F" w:rsidP="000E6616">
            <w:pPr>
              <w:pStyle w:val="CommentText"/>
              <w:adjustRightInd w:val="0"/>
              <w:snapToGrid w:val="0"/>
              <w:spacing w:after="0"/>
              <w:rPr>
                <w:rFonts w:ascii="Times New Roman" w:eastAsia="MS Mincho" w:hAnsi="Times New Roman"/>
                <w:sz w:val="22"/>
                <w:szCs w:val="22"/>
              </w:rPr>
            </w:pPr>
          </w:p>
          <w:p w14:paraId="60E12966" w14:textId="77777777" w:rsidR="0014588F" w:rsidRDefault="0014588F" w:rsidP="000E6616">
            <w:pPr>
              <w:pStyle w:val="CommentText"/>
              <w:adjustRightInd w:val="0"/>
              <w:snapToGrid w:val="0"/>
              <w:spacing w:after="0"/>
              <w:rPr>
                <w:rFonts w:ascii="Times New Roman" w:hAnsi="Times New Roman"/>
                <w:sz w:val="22"/>
                <w:szCs w:val="22"/>
              </w:rPr>
            </w:pPr>
          </w:p>
          <w:p w14:paraId="0595A174" w14:textId="77777777" w:rsidR="0014588F" w:rsidRPr="00775B7B" w:rsidRDefault="0014588F" w:rsidP="000E6616">
            <w:pPr>
              <w:pStyle w:val="CommentText"/>
              <w:adjustRightInd w:val="0"/>
              <w:snapToGrid w:val="0"/>
              <w:spacing w:after="0"/>
              <w:rPr>
                <w:rFonts w:ascii="Times New Roman" w:hAnsi="Times New Roman"/>
                <w:sz w:val="22"/>
                <w:szCs w:val="22"/>
              </w:rPr>
            </w:pPr>
          </w:p>
        </w:tc>
      </w:tr>
      <w:tr w:rsidR="0014588F" w14:paraId="4056A714" w14:textId="77777777" w:rsidTr="000E6616">
        <w:tc>
          <w:tcPr>
            <w:tcW w:w="9468" w:type="dxa"/>
            <w:gridSpan w:val="2"/>
            <w:vAlign w:val="center"/>
          </w:tcPr>
          <w:p w14:paraId="63AB5E89" w14:textId="77777777" w:rsidR="0014588F" w:rsidRDefault="0014588F" w:rsidP="000E6616">
            <w:pPr>
              <w:pStyle w:val="WCPFC"/>
              <w:numPr>
                <w:ilvl w:val="0"/>
                <w:numId w:val="0"/>
              </w:numPr>
              <w:adjustRightInd w:val="0"/>
              <w:spacing w:after="0"/>
              <w:jc w:val="center"/>
              <w:rPr>
                <w:b/>
              </w:rPr>
            </w:pPr>
            <w:r w:rsidRPr="009C2ADD">
              <w:rPr>
                <w:noProof/>
                <w:lang w:val="en-US" w:eastAsia="ko-KR"/>
              </w:rPr>
              <w:drawing>
                <wp:inline distT="0" distB="0" distL="0" distR="0" wp14:anchorId="6B01FD84" wp14:editId="0ADD1E0F">
                  <wp:extent cx="4288221" cy="2641318"/>
                  <wp:effectExtent l="0" t="0" r="0" b="6985"/>
                  <wp:docPr id="41" name="Picture 11" descr="plot_depletion_compare_2017Grid_grow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ot_depletion_compare_2017Grid_growth-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8849" cy="2660183"/>
                          </a:xfrm>
                          <a:prstGeom prst="rect">
                            <a:avLst/>
                          </a:prstGeom>
                          <a:noFill/>
                          <a:ln>
                            <a:noFill/>
                          </a:ln>
                        </pic:spPr>
                      </pic:pic>
                    </a:graphicData>
                  </a:graphic>
                </wp:inline>
              </w:drawing>
            </w:r>
          </w:p>
        </w:tc>
      </w:tr>
      <w:tr w:rsidR="0014588F" w14:paraId="60CCEC6F" w14:textId="77777777" w:rsidTr="000E6616">
        <w:tc>
          <w:tcPr>
            <w:tcW w:w="9468" w:type="dxa"/>
            <w:gridSpan w:val="2"/>
          </w:tcPr>
          <w:p w14:paraId="57548707" w14:textId="77777777" w:rsidR="0014588F" w:rsidRPr="00775B7B" w:rsidRDefault="0014588F" w:rsidP="000E6616">
            <w:pPr>
              <w:pStyle w:val="WCPFC"/>
              <w:numPr>
                <w:ilvl w:val="0"/>
                <w:numId w:val="0"/>
              </w:numPr>
              <w:adjustRightInd w:val="0"/>
              <w:spacing w:after="0"/>
              <w:rPr>
                <w:b/>
              </w:rPr>
            </w:pPr>
            <w:r w:rsidRPr="00775B7B">
              <w:rPr>
                <w:rFonts w:eastAsia="MS Mincho"/>
                <w:b/>
              </w:rPr>
              <w:t xml:space="preserve">Figure BET-5. </w:t>
            </w:r>
            <w:r w:rsidRPr="00775B7B">
              <w:rPr>
                <w:rFonts w:eastAsia="MS Mincho"/>
              </w:rPr>
              <w:t xml:space="preserve">Plot showing the trajectories of fishing depletion (of spawning potential) for the 72 model runs included in the structural uncertainty grid. The colours depict the models in the grid with the new and old growth functions. </w:t>
            </w:r>
          </w:p>
        </w:tc>
      </w:tr>
    </w:tbl>
    <w:p w14:paraId="309756CF" w14:textId="77777777" w:rsidR="0014588F" w:rsidRDefault="0014588F" w:rsidP="0014588F">
      <w:pPr>
        <w:adjustRightInd w:val="0"/>
        <w:snapToGrid w:val="0"/>
        <w:spacing w:after="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96"/>
      </w:tblGrid>
      <w:tr w:rsidR="0014588F" w14:paraId="748C4759" w14:textId="77777777" w:rsidTr="000E6616">
        <w:tc>
          <w:tcPr>
            <w:tcW w:w="4648" w:type="dxa"/>
          </w:tcPr>
          <w:p w14:paraId="38EA2009" w14:textId="77777777" w:rsidR="0014588F" w:rsidRDefault="0014588F" w:rsidP="000E6616">
            <w:pPr>
              <w:pStyle w:val="WCPFC"/>
              <w:numPr>
                <w:ilvl w:val="0"/>
                <w:numId w:val="0"/>
              </w:numPr>
              <w:adjustRightInd w:val="0"/>
              <w:spacing w:after="0"/>
              <w:rPr>
                <w:b/>
              </w:rPr>
            </w:pPr>
            <w:r w:rsidRPr="009C2ADD">
              <w:rPr>
                <w:noProof/>
                <w:lang w:val="en-US" w:eastAsia="ko-KR"/>
              </w:rPr>
              <w:drawing>
                <wp:inline distT="0" distB="0" distL="0" distR="0" wp14:anchorId="1188AE5A" wp14:editId="43957395">
                  <wp:extent cx="2845218" cy="2796362"/>
                  <wp:effectExtent l="0" t="0" r="0" b="4445"/>
                  <wp:docPr id="49" name="Picture 12" descr="plot_Majuro_grid_compare_growth_wgtd_la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ot_Majuro_grid_compare_growth_wgtd_latest-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9244" cy="2800318"/>
                          </a:xfrm>
                          <a:prstGeom prst="rect">
                            <a:avLst/>
                          </a:prstGeom>
                          <a:noFill/>
                          <a:ln>
                            <a:noFill/>
                          </a:ln>
                        </pic:spPr>
                      </pic:pic>
                    </a:graphicData>
                  </a:graphic>
                </wp:inline>
              </w:drawing>
            </w:r>
          </w:p>
        </w:tc>
        <w:tc>
          <w:tcPr>
            <w:tcW w:w="4820" w:type="dxa"/>
          </w:tcPr>
          <w:p w14:paraId="08DBD523" w14:textId="77777777" w:rsidR="0014588F" w:rsidRDefault="0014588F" w:rsidP="000E6616">
            <w:pPr>
              <w:pStyle w:val="WCPFC"/>
              <w:numPr>
                <w:ilvl w:val="0"/>
                <w:numId w:val="0"/>
              </w:numPr>
              <w:adjustRightInd w:val="0"/>
              <w:spacing w:after="0"/>
              <w:rPr>
                <w:b/>
              </w:rPr>
            </w:pPr>
            <w:r w:rsidRPr="009C2ADD">
              <w:rPr>
                <w:b/>
                <w:noProof/>
                <w:lang w:val="en-US" w:eastAsia="ko-KR"/>
              </w:rPr>
              <w:drawing>
                <wp:inline distT="0" distB="0" distL="0" distR="0" wp14:anchorId="57800081" wp14:editId="64A04BD9">
                  <wp:extent cx="2923953" cy="2923953"/>
                  <wp:effectExtent l="0" t="0" r="0" b="0"/>
                  <wp:docPr id="50" name="Picture 13" descr="plot_Majuro_grid_compare_growth_wgtd_rec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ot_Majuro_grid_compare_growth_wgtd_recent-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4240" cy="2924240"/>
                          </a:xfrm>
                          <a:prstGeom prst="rect">
                            <a:avLst/>
                          </a:prstGeom>
                          <a:noFill/>
                          <a:ln>
                            <a:noFill/>
                          </a:ln>
                        </pic:spPr>
                      </pic:pic>
                    </a:graphicData>
                  </a:graphic>
                </wp:inline>
              </w:drawing>
            </w:r>
          </w:p>
        </w:tc>
      </w:tr>
      <w:tr w:rsidR="0014588F" w14:paraId="3BB80467" w14:textId="77777777" w:rsidTr="000E6616">
        <w:tc>
          <w:tcPr>
            <w:tcW w:w="4648" w:type="dxa"/>
          </w:tcPr>
          <w:p w14:paraId="449A24E8" w14:textId="77777777" w:rsidR="0014588F" w:rsidRPr="002114F4" w:rsidRDefault="0014588F" w:rsidP="000E6616">
            <w:pPr>
              <w:pStyle w:val="WCPFC"/>
              <w:numPr>
                <w:ilvl w:val="0"/>
                <w:numId w:val="0"/>
              </w:numPr>
              <w:adjustRightInd w:val="0"/>
              <w:spacing w:after="0"/>
              <w:rPr>
                <w:b/>
                <w:sz w:val="20"/>
                <w:szCs w:val="20"/>
              </w:rPr>
            </w:pPr>
            <w:r w:rsidRPr="002114F4">
              <w:rPr>
                <w:rFonts w:eastAsia="MS Mincho"/>
                <w:b/>
                <w:sz w:val="20"/>
                <w:szCs w:val="20"/>
              </w:rPr>
              <w:t>Figure BET-6</w:t>
            </w:r>
            <w:r w:rsidRPr="002114F4">
              <w:rPr>
                <w:rFonts w:eastAsia="MS Mincho"/>
                <w:sz w:val="20"/>
                <w:szCs w:val="20"/>
              </w:rPr>
              <w:t>. Majuro plot summarising the results for each of the models in the structural uncertainty grid.</w:t>
            </w:r>
            <w:r w:rsidRPr="002114F4">
              <w:rPr>
                <w:rFonts w:eastAsia="MS Mincho"/>
                <w:b/>
                <w:sz w:val="20"/>
                <w:szCs w:val="20"/>
              </w:rPr>
              <w:t xml:space="preserve"> </w:t>
            </w:r>
            <w:r w:rsidRPr="002114F4">
              <w:rPr>
                <w:rFonts w:eastAsia="MS Mincho"/>
                <w:sz w:val="20"/>
                <w:szCs w:val="20"/>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2114F4">
              <w:rPr>
                <w:rFonts w:eastAsia="MS Mincho"/>
                <w:i/>
                <w:sz w:val="20"/>
                <w:szCs w:val="20"/>
              </w:rPr>
              <w:t>F</w:t>
            </w:r>
            <w:r w:rsidRPr="002114F4">
              <w:rPr>
                <w:sz w:val="20"/>
                <w:szCs w:val="20"/>
                <w:vertAlign w:val="subscript"/>
                <w:lang w:val="en-AU"/>
              </w:rPr>
              <w:t>MSY</w:t>
            </w:r>
            <w:r w:rsidRPr="002114F4">
              <w:rPr>
                <w:rFonts w:eastAsia="MS Mincho"/>
                <w:sz w:val="20"/>
                <w:szCs w:val="20"/>
              </w:rPr>
              <w:t xml:space="preserve"> (</w:t>
            </w:r>
            <w:r w:rsidRPr="002114F4">
              <w:rPr>
                <w:rFonts w:eastAsia="MS Mincho"/>
                <w:i/>
                <w:sz w:val="20"/>
                <w:szCs w:val="20"/>
              </w:rPr>
              <w:t>F</w:t>
            </w:r>
            <w:r w:rsidRPr="002114F4">
              <w:rPr>
                <w:sz w:val="20"/>
                <w:szCs w:val="20"/>
                <w:vertAlign w:val="subscript"/>
                <w:lang w:val="en-AU"/>
              </w:rPr>
              <w:t>MSY</w:t>
            </w:r>
            <w:r w:rsidRPr="002114F4">
              <w:rPr>
                <w:rFonts w:eastAsia="MS Mincho"/>
                <w:sz w:val="20"/>
                <w:szCs w:val="20"/>
              </w:rPr>
              <w:t xml:space="preserve"> is marked with the black dashed line). The points represent </w:t>
            </w:r>
            <w:r w:rsidRPr="002114F4">
              <w:rPr>
                <w:rFonts w:eastAsia="MS Mincho"/>
                <w:i/>
                <w:sz w:val="20"/>
                <w:szCs w:val="20"/>
              </w:rPr>
              <w:t>SB</w:t>
            </w:r>
            <w:r w:rsidRPr="002114F4">
              <w:rPr>
                <w:rFonts w:eastAsia="MS Mincho"/>
                <w:i/>
                <w:sz w:val="20"/>
                <w:szCs w:val="20"/>
                <w:vertAlign w:val="subscript"/>
              </w:rPr>
              <w:t>latest</w:t>
            </w:r>
            <w:r w:rsidRPr="002114F4">
              <w:rPr>
                <w:rFonts w:eastAsia="MS Mincho"/>
                <w:i/>
                <w:sz w:val="20"/>
                <w:szCs w:val="20"/>
              </w:rPr>
              <w:t>/</w:t>
            </w:r>
            <w:r w:rsidRPr="002114F4">
              <w:rPr>
                <w:i/>
                <w:sz w:val="20"/>
                <w:szCs w:val="20"/>
              </w:rPr>
              <w:t>SB</w:t>
            </w:r>
            <w:r w:rsidRPr="002114F4">
              <w:rPr>
                <w:i/>
                <w:sz w:val="20"/>
                <w:szCs w:val="20"/>
                <w:vertAlign w:val="subscript"/>
              </w:rPr>
              <w:t>F=0</w:t>
            </w:r>
            <w:r w:rsidRPr="002114F4">
              <w:rPr>
                <w:rFonts w:eastAsia="MS Mincho"/>
                <w:sz w:val="20"/>
                <w:szCs w:val="20"/>
              </w:rPr>
              <w:t xml:space="preserve"> (labelled as SB/SB</w:t>
            </w:r>
            <w:r w:rsidRPr="002114F4">
              <w:rPr>
                <w:rFonts w:eastAsia="MS Mincho"/>
                <w:sz w:val="20"/>
                <w:szCs w:val="20"/>
                <w:vertAlign w:val="subscript"/>
              </w:rPr>
              <w:t>F</w:t>
            </w:r>
            <w:r w:rsidRPr="002114F4">
              <w:rPr>
                <w:sz w:val="20"/>
                <w:szCs w:val="20"/>
                <w:vertAlign w:val="subscript"/>
                <w:lang w:eastAsia="ko-KR"/>
              </w:rPr>
              <w:t>=</w:t>
            </w:r>
            <w:r w:rsidRPr="002114F4">
              <w:rPr>
                <w:rFonts w:eastAsia="MS Mincho"/>
                <w:sz w:val="20"/>
                <w:szCs w:val="20"/>
                <w:vertAlign w:val="subscript"/>
              </w:rPr>
              <w:t>0</w:t>
            </w:r>
            <w:r w:rsidRPr="002114F4">
              <w:rPr>
                <w:rFonts w:eastAsia="MS Mincho"/>
                <w:sz w:val="20"/>
                <w:szCs w:val="20"/>
              </w:rPr>
              <w:t xml:space="preserve"> above)</w:t>
            </w:r>
            <w:r w:rsidRPr="002114F4">
              <w:rPr>
                <w:rFonts w:hint="eastAsia"/>
                <w:sz w:val="20"/>
                <w:szCs w:val="20"/>
                <w:lang w:eastAsia="ko-KR"/>
              </w:rPr>
              <w:t>,</w:t>
            </w:r>
            <w:r w:rsidRPr="002114F4">
              <w:rPr>
                <w:rFonts w:eastAsia="MS Mincho"/>
                <w:sz w:val="20"/>
                <w:szCs w:val="20"/>
              </w:rPr>
              <w:t xml:space="preserve"> and the colours depict the models in the grid with the new and old growth functions with the size of the points representing the decision of the SC to weight the new growth models three times higher than the old growth models.</w:t>
            </w:r>
          </w:p>
        </w:tc>
        <w:tc>
          <w:tcPr>
            <w:tcW w:w="4820" w:type="dxa"/>
          </w:tcPr>
          <w:p w14:paraId="6886B09F" w14:textId="77777777" w:rsidR="0014588F" w:rsidRPr="002114F4" w:rsidRDefault="0014588F" w:rsidP="000E6616">
            <w:pPr>
              <w:adjustRightInd w:val="0"/>
              <w:snapToGrid w:val="0"/>
              <w:spacing w:after="0"/>
              <w:rPr>
                <w:rFonts w:ascii="Times New Roman" w:eastAsia="MS Mincho" w:hAnsi="Times New Roman"/>
                <w:sz w:val="20"/>
                <w:szCs w:val="20"/>
              </w:rPr>
            </w:pPr>
            <w:r w:rsidRPr="002114F4">
              <w:rPr>
                <w:rFonts w:ascii="Times New Roman" w:eastAsia="MS Mincho" w:hAnsi="Times New Roman"/>
                <w:b/>
                <w:sz w:val="20"/>
                <w:szCs w:val="20"/>
              </w:rPr>
              <w:t xml:space="preserve">Figure BET-7. </w:t>
            </w:r>
            <w:r w:rsidRPr="002114F4">
              <w:rPr>
                <w:rFonts w:ascii="Times New Roman" w:eastAsia="MS Mincho" w:hAnsi="Times New Roman"/>
                <w:sz w:val="20"/>
                <w:szCs w:val="20"/>
              </w:rPr>
              <w:t>Majuro plot summarising the results for each of the models in the structural uncertainty grid.</w:t>
            </w:r>
            <w:r w:rsidRPr="002114F4">
              <w:rPr>
                <w:rFonts w:ascii="Times New Roman" w:eastAsia="MS Mincho" w:hAnsi="Times New Roman"/>
                <w:b/>
                <w:sz w:val="20"/>
                <w:szCs w:val="20"/>
              </w:rPr>
              <w:t xml:space="preserve"> </w:t>
            </w:r>
            <w:r w:rsidRPr="002114F4">
              <w:rPr>
                <w:rFonts w:ascii="Times New Roman" w:eastAsia="MS Mincho" w:hAnsi="Times New Roman"/>
                <w:sz w:val="20"/>
                <w:szCs w:val="20"/>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2114F4">
              <w:rPr>
                <w:rFonts w:ascii="Times New Roman" w:eastAsia="MS Mincho" w:hAnsi="Times New Roman"/>
                <w:i/>
                <w:sz w:val="20"/>
                <w:szCs w:val="20"/>
              </w:rPr>
              <w:t>F</w:t>
            </w:r>
            <w:r w:rsidRPr="002114F4">
              <w:rPr>
                <w:rFonts w:ascii="Times New Roman" w:hAnsi="Times New Roman"/>
                <w:sz w:val="20"/>
                <w:szCs w:val="20"/>
                <w:vertAlign w:val="subscript"/>
                <w:lang w:val="en-AU"/>
              </w:rPr>
              <w:t>MSY</w:t>
            </w:r>
            <w:r w:rsidRPr="002114F4">
              <w:rPr>
                <w:rFonts w:ascii="Times New Roman" w:eastAsia="MS Mincho" w:hAnsi="Times New Roman"/>
                <w:sz w:val="20"/>
                <w:szCs w:val="20"/>
              </w:rPr>
              <w:t xml:space="preserve"> (</w:t>
            </w:r>
            <w:r w:rsidRPr="002114F4">
              <w:rPr>
                <w:rFonts w:ascii="Times New Roman" w:eastAsia="MS Mincho" w:hAnsi="Times New Roman"/>
                <w:i/>
                <w:sz w:val="20"/>
                <w:szCs w:val="20"/>
              </w:rPr>
              <w:t>F</w:t>
            </w:r>
            <w:r w:rsidRPr="002114F4">
              <w:rPr>
                <w:rFonts w:ascii="Times New Roman" w:hAnsi="Times New Roman"/>
                <w:sz w:val="20"/>
                <w:szCs w:val="20"/>
                <w:vertAlign w:val="subscript"/>
                <w:lang w:val="en-AU"/>
              </w:rPr>
              <w:t>MSY</w:t>
            </w:r>
            <w:r w:rsidRPr="002114F4">
              <w:rPr>
                <w:rFonts w:ascii="Times New Roman" w:eastAsia="MS Mincho" w:hAnsi="Times New Roman"/>
                <w:sz w:val="20"/>
                <w:szCs w:val="20"/>
              </w:rPr>
              <w:t xml:space="preserve"> is marked with the black dashed line). The points represent </w:t>
            </w:r>
            <w:r w:rsidRPr="002114F4">
              <w:rPr>
                <w:rFonts w:ascii="Times New Roman" w:eastAsia="MS Mincho" w:hAnsi="Times New Roman"/>
                <w:i/>
                <w:sz w:val="20"/>
                <w:szCs w:val="20"/>
              </w:rPr>
              <w:t>SB</w:t>
            </w:r>
            <w:r w:rsidRPr="002114F4">
              <w:rPr>
                <w:rFonts w:ascii="Times New Roman" w:eastAsia="MS Mincho" w:hAnsi="Times New Roman"/>
                <w:i/>
                <w:sz w:val="20"/>
                <w:szCs w:val="20"/>
                <w:vertAlign w:val="subscript"/>
              </w:rPr>
              <w:t>recent</w:t>
            </w:r>
            <w:r w:rsidRPr="002114F4">
              <w:rPr>
                <w:rFonts w:ascii="Times New Roman" w:eastAsia="MS Mincho" w:hAnsi="Times New Roman"/>
                <w:i/>
                <w:sz w:val="20"/>
                <w:szCs w:val="20"/>
              </w:rPr>
              <w:t>/</w:t>
            </w:r>
            <w:r w:rsidRPr="002114F4">
              <w:rPr>
                <w:rFonts w:ascii="Times New Roman" w:hAnsi="Times New Roman"/>
                <w:sz w:val="20"/>
                <w:szCs w:val="20"/>
              </w:rPr>
              <w:t>SB</w:t>
            </w:r>
            <w:r w:rsidRPr="002114F4">
              <w:rPr>
                <w:rFonts w:ascii="Times New Roman" w:hAnsi="Times New Roman"/>
                <w:sz w:val="20"/>
                <w:szCs w:val="20"/>
                <w:vertAlign w:val="subscript"/>
              </w:rPr>
              <w:t>F=0</w:t>
            </w:r>
            <w:r w:rsidRPr="002114F4">
              <w:rPr>
                <w:rFonts w:ascii="Times New Roman" w:eastAsia="MS Mincho" w:hAnsi="Times New Roman"/>
                <w:sz w:val="20"/>
                <w:szCs w:val="20"/>
              </w:rPr>
              <w:t xml:space="preserve"> (labelled as SB/SB</w:t>
            </w:r>
            <w:r w:rsidRPr="002114F4">
              <w:rPr>
                <w:rFonts w:ascii="Times New Roman" w:eastAsia="MS Mincho" w:hAnsi="Times New Roman"/>
                <w:sz w:val="20"/>
                <w:szCs w:val="20"/>
                <w:vertAlign w:val="subscript"/>
              </w:rPr>
              <w:t>F</w:t>
            </w:r>
            <w:r w:rsidRPr="002114F4">
              <w:rPr>
                <w:rFonts w:ascii="Times New Roman" w:hAnsi="Times New Roman"/>
                <w:sz w:val="20"/>
                <w:szCs w:val="20"/>
                <w:vertAlign w:val="subscript"/>
                <w:lang w:eastAsia="ko-KR"/>
              </w:rPr>
              <w:t>=</w:t>
            </w:r>
            <w:r w:rsidRPr="002114F4">
              <w:rPr>
                <w:rFonts w:ascii="Times New Roman" w:eastAsia="MS Mincho" w:hAnsi="Times New Roman"/>
                <w:sz w:val="20"/>
                <w:szCs w:val="20"/>
                <w:vertAlign w:val="subscript"/>
              </w:rPr>
              <w:t>0</w:t>
            </w:r>
            <w:r w:rsidRPr="002114F4">
              <w:rPr>
                <w:rFonts w:ascii="Times New Roman" w:eastAsia="MS Mincho" w:hAnsi="Times New Roman"/>
                <w:sz w:val="20"/>
                <w:szCs w:val="20"/>
              </w:rPr>
              <w:t xml:space="preserve"> above)</w:t>
            </w:r>
            <w:r w:rsidRPr="002114F4">
              <w:rPr>
                <w:rFonts w:ascii="Times New Roman" w:hAnsi="Times New Roman" w:hint="eastAsia"/>
                <w:sz w:val="20"/>
                <w:szCs w:val="20"/>
                <w:lang w:eastAsia="ko-KR"/>
              </w:rPr>
              <w:t>,</w:t>
            </w:r>
            <w:r w:rsidRPr="002114F4">
              <w:rPr>
                <w:rFonts w:ascii="Times New Roman" w:eastAsia="MS Mincho" w:hAnsi="Times New Roman"/>
                <w:sz w:val="20"/>
                <w:szCs w:val="20"/>
              </w:rPr>
              <w:t xml:space="preserve"> where </w:t>
            </w:r>
            <w:r w:rsidRPr="002114F4">
              <w:rPr>
                <w:rFonts w:ascii="Times New Roman" w:eastAsia="MS Mincho" w:hAnsi="Times New Roman"/>
                <w:i/>
                <w:sz w:val="20"/>
                <w:szCs w:val="20"/>
              </w:rPr>
              <w:t>SB</w:t>
            </w:r>
            <w:r w:rsidRPr="002114F4">
              <w:rPr>
                <w:rFonts w:ascii="Times New Roman" w:eastAsia="MS Mincho" w:hAnsi="Times New Roman"/>
                <w:i/>
                <w:sz w:val="20"/>
                <w:szCs w:val="20"/>
                <w:vertAlign w:val="subscript"/>
              </w:rPr>
              <w:t>recent</w:t>
            </w:r>
            <w:r w:rsidRPr="002114F4">
              <w:rPr>
                <w:rFonts w:ascii="Times New Roman" w:eastAsia="MS Mincho" w:hAnsi="Times New Roman"/>
                <w:sz w:val="20"/>
                <w:szCs w:val="20"/>
              </w:rPr>
              <w:t xml:space="preserve"> is the mean </w:t>
            </w:r>
            <w:r w:rsidRPr="002114F4">
              <w:rPr>
                <w:rFonts w:ascii="Times New Roman" w:eastAsia="MS Mincho" w:hAnsi="Times New Roman"/>
                <w:i/>
                <w:sz w:val="20"/>
                <w:szCs w:val="20"/>
              </w:rPr>
              <w:t>SB</w:t>
            </w:r>
            <w:r w:rsidRPr="002114F4">
              <w:rPr>
                <w:rFonts w:ascii="Times New Roman" w:eastAsia="MS Mincho" w:hAnsi="Times New Roman"/>
                <w:sz w:val="20"/>
                <w:szCs w:val="20"/>
              </w:rPr>
              <w:t xml:space="preserve"> over 2012-2015 instead of 2011-2014 (used in the stock assessment report), at the request of the Scientific Committee. The colours depict the models in the grid with the new and old growth functions with the size of the points representing the decision of the SC to weight the new growth models three times higher than the old growth models.</w:t>
            </w:r>
          </w:p>
          <w:p w14:paraId="1232A386" w14:textId="77777777" w:rsidR="0014588F" w:rsidRPr="002114F4" w:rsidRDefault="0014588F" w:rsidP="000E6616">
            <w:pPr>
              <w:pStyle w:val="WCPFC"/>
              <w:numPr>
                <w:ilvl w:val="0"/>
                <w:numId w:val="0"/>
              </w:numPr>
              <w:adjustRightInd w:val="0"/>
              <w:spacing w:after="0"/>
              <w:rPr>
                <w:b/>
                <w:sz w:val="20"/>
                <w:szCs w:val="20"/>
              </w:rPr>
            </w:pPr>
          </w:p>
        </w:tc>
      </w:tr>
    </w:tbl>
    <w:p w14:paraId="1D8DAA27" w14:textId="77777777" w:rsidR="0014588F" w:rsidRPr="009C2ADD" w:rsidRDefault="0014588F" w:rsidP="0014588F">
      <w:pPr>
        <w:pStyle w:val="WCPFC"/>
        <w:numPr>
          <w:ilvl w:val="0"/>
          <w:numId w:val="0"/>
        </w:numPr>
        <w:adjustRightInd w:val="0"/>
        <w:spacing w:after="0"/>
        <w:ind w:left="567" w:hanging="567"/>
        <w:rPr>
          <w:b/>
        </w:rPr>
      </w:pPr>
    </w:p>
    <w:p w14:paraId="5EC55FA0" w14:textId="77777777" w:rsidR="0014588F" w:rsidRPr="009C2ADD" w:rsidRDefault="0014588F" w:rsidP="0014588F">
      <w:pPr>
        <w:pStyle w:val="WCPFC"/>
        <w:numPr>
          <w:ilvl w:val="0"/>
          <w:numId w:val="0"/>
        </w:numPr>
        <w:adjustRightInd w:val="0"/>
        <w:spacing w:after="0"/>
        <w:jc w:val="center"/>
        <w:rPr>
          <w:b/>
        </w:rPr>
      </w:pPr>
    </w:p>
    <w:p w14:paraId="54F26593" w14:textId="77777777" w:rsidR="0014588F" w:rsidRPr="009C2ADD" w:rsidRDefault="0014588F" w:rsidP="0014588F">
      <w:pPr>
        <w:pStyle w:val="WCPFC"/>
        <w:numPr>
          <w:ilvl w:val="0"/>
          <w:numId w:val="0"/>
        </w:numPr>
        <w:adjustRightInd w:val="0"/>
        <w:spacing w:after="0"/>
        <w:jc w:val="center"/>
        <w:rPr>
          <w:b/>
        </w:rPr>
      </w:pPr>
    </w:p>
    <w:p w14:paraId="722F9A2E" w14:textId="77777777" w:rsidR="0014588F" w:rsidRPr="009C2ADD" w:rsidRDefault="0014588F" w:rsidP="0014588F">
      <w:pPr>
        <w:adjustRightInd w:val="0"/>
        <w:snapToGrid w:val="0"/>
        <w:spacing w:after="0"/>
        <w:rPr>
          <w:rFonts w:ascii="Times New Roman" w:eastAsia="MS Mincho" w:hAnsi="Times New Roman"/>
        </w:rPr>
      </w:pPr>
    </w:p>
    <w:p w14:paraId="273AD87D" w14:textId="77777777" w:rsidR="0014588F" w:rsidRPr="009C2ADD" w:rsidRDefault="0014588F" w:rsidP="0014588F">
      <w:pPr>
        <w:adjustRightInd w:val="0"/>
        <w:snapToGrid w:val="0"/>
        <w:spacing w:after="0"/>
        <w:rPr>
          <w:rFonts w:ascii="Times New Roman" w:eastAsia="MS Mincho" w:hAnsi="Times New Roman"/>
        </w:rPr>
      </w:pPr>
    </w:p>
    <w:p w14:paraId="178FFDF7" w14:textId="77777777" w:rsidR="0014588F" w:rsidRPr="009C2ADD" w:rsidRDefault="0014588F" w:rsidP="0014588F">
      <w:pPr>
        <w:pStyle w:val="WCPFC"/>
        <w:numPr>
          <w:ilvl w:val="0"/>
          <w:numId w:val="0"/>
        </w:numPr>
        <w:adjustRightInd w:val="0"/>
        <w:spacing w:after="0"/>
        <w:jc w:val="center"/>
        <w:rPr>
          <w:b/>
        </w:rPr>
      </w:pPr>
    </w:p>
    <w:p w14:paraId="0A0EBC4F" w14:textId="77777777" w:rsidR="0014588F" w:rsidRPr="009C2ADD" w:rsidRDefault="0014588F" w:rsidP="0014588F">
      <w:pPr>
        <w:adjustRightInd w:val="0"/>
        <w:snapToGrid w:val="0"/>
        <w:spacing w:after="0"/>
        <w:rPr>
          <w:rFonts w:ascii="Times New Roman" w:eastAsia="MS Mincho" w:hAnsi="Times New Roman"/>
        </w:rPr>
      </w:pPr>
    </w:p>
    <w:p w14:paraId="725AD26D" w14:textId="77777777" w:rsidR="0014588F" w:rsidRPr="009C2ADD" w:rsidRDefault="0014588F" w:rsidP="0014588F">
      <w:pPr>
        <w:adjustRightInd w:val="0"/>
        <w:snapToGrid w:val="0"/>
        <w:spacing w:after="0"/>
        <w:rPr>
          <w:rFonts w:ascii="Times New Roman" w:eastAsia="MS Mincho" w:hAnsi="Times New Roman"/>
        </w:rPr>
      </w:pPr>
    </w:p>
    <w:p w14:paraId="2147947D" w14:textId="77777777" w:rsidR="0014588F" w:rsidRPr="00464B7F" w:rsidRDefault="0014588F" w:rsidP="0014588F">
      <w:pPr>
        <w:pStyle w:val="CommentText"/>
        <w:adjustRightInd w:val="0"/>
        <w:snapToGrid w:val="0"/>
        <w:spacing w:after="0"/>
        <w:rPr>
          <w:rFonts w:ascii="Times New Roman" w:hAnsi="Times New Roman"/>
          <w:sz w:val="22"/>
          <w:szCs w:val="22"/>
        </w:rPr>
      </w:pPr>
    </w:p>
    <w:p w14:paraId="521840AC" w14:textId="77777777" w:rsidR="0014588F" w:rsidRPr="009C2ADD" w:rsidRDefault="0014588F" w:rsidP="0014588F">
      <w:pPr>
        <w:adjustRightInd w:val="0"/>
        <w:snapToGrid w:val="0"/>
        <w:spacing w:after="0"/>
        <w:rPr>
          <w:rFonts w:ascii="Times New Roman" w:eastAsia="MS Mincho" w:hAnsi="Times New Roman"/>
        </w:rPr>
      </w:pPr>
    </w:p>
    <w:p w14:paraId="0775E858" w14:textId="77777777" w:rsidR="0014588F" w:rsidRDefault="0014588F" w:rsidP="0014588F">
      <w:pPr>
        <w:adjustRightInd w:val="0"/>
        <w:snapToGrid w:val="0"/>
        <w:spacing w:after="0"/>
        <w:rPr>
          <w:rFonts w:ascii="Times New Roman" w:eastAsia="MS Mincho"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813"/>
      </w:tblGrid>
      <w:tr w:rsidR="0014588F" w14:paraId="24618CD6" w14:textId="77777777" w:rsidTr="000E6616">
        <w:trPr>
          <w:trHeight w:val="3592"/>
        </w:trPr>
        <w:tc>
          <w:tcPr>
            <w:tcW w:w="4788" w:type="dxa"/>
            <w:vAlign w:val="center"/>
          </w:tcPr>
          <w:p w14:paraId="515F33FC" w14:textId="77777777" w:rsidR="0014588F" w:rsidRDefault="0014588F" w:rsidP="000E6616">
            <w:pPr>
              <w:adjustRightInd w:val="0"/>
              <w:snapToGrid w:val="0"/>
              <w:spacing w:after="0"/>
              <w:jc w:val="center"/>
              <w:rPr>
                <w:rFonts w:ascii="Times New Roman" w:eastAsia="MS Mincho" w:hAnsi="Times New Roman"/>
              </w:rPr>
            </w:pPr>
          </w:p>
          <w:p w14:paraId="4C5A3758" w14:textId="77777777" w:rsidR="0014588F" w:rsidRDefault="0014588F" w:rsidP="000E6616">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748AAEC0" wp14:editId="075F03AC">
                  <wp:extent cx="2870790" cy="2870790"/>
                  <wp:effectExtent l="0" t="0" r="6350" b="6350"/>
                  <wp:docPr id="68" name="Picture 14" descr="plot_Kobe_grid_compare_growth_wgtd_la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ot_Kobe_grid_compare_growth_wgtd_latest-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1072" cy="2871072"/>
                          </a:xfrm>
                          <a:prstGeom prst="rect">
                            <a:avLst/>
                          </a:prstGeom>
                          <a:noFill/>
                          <a:ln>
                            <a:noFill/>
                          </a:ln>
                        </pic:spPr>
                      </pic:pic>
                    </a:graphicData>
                  </a:graphic>
                </wp:inline>
              </w:drawing>
            </w:r>
          </w:p>
        </w:tc>
        <w:tc>
          <w:tcPr>
            <w:tcW w:w="4788" w:type="dxa"/>
            <w:vAlign w:val="center"/>
          </w:tcPr>
          <w:p w14:paraId="3C09FAEB" w14:textId="77777777" w:rsidR="0014588F" w:rsidRDefault="0014588F" w:rsidP="000E6616">
            <w:pPr>
              <w:adjustRightInd w:val="0"/>
              <w:snapToGrid w:val="0"/>
              <w:spacing w:after="0"/>
              <w:rPr>
                <w:rFonts w:ascii="Times New Roman" w:eastAsia="MS Mincho" w:hAnsi="Times New Roman"/>
              </w:rPr>
            </w:pPr>
          </w:p>
          <w:p w14:paraId="65EBDBF1" w14:textId="77777777" w:rsidR="0014588F" w:rsidRDefault="0014588F" w:rsidP="000E6616">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631CA3FD" wp14:editId="5CCC1E30">
                  <wp:extent cx="2955851" cy="2955851"/>
                  <wp:effectExtent l="0" t="0" r="0" b="0"/>
                  <wp:docPr id="69" name="Picture 15" descr="plot_Kobe_grid_compare_growth_wgtd_rec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ot_Kobe_grid_compare_growth_wgtd_recent-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6141" cy="2956141"/>
                          </a:xfrm>
                          <a:prstGeom prst="rect">
                            <a:avLst/>
                          </a:prstGeom>
                          <a:noFill/>
                          <a:ln>
                            <a:noFill/>
                          </a:ln>
                        </pic:spPr>
                      </pic:pic>
                    </a:graphicData>
                  </a:graphic>
                </wp:inline>
              </w:drawing>
            </w:r>
          </w:p>
        </w:tc>
      </w:tr>
      <w:tr w:rsidR="0014588F" w14:paraId="298D9C13" w14:textId="77777777" w:rsidTr="000E6616">
        <w:tc>
          <w:tcPr>
            <w:tcW w:w="4788" w:type="dxa"/>
            <w:vAlign w:val="center"/>
          </w:tcPr>
          <w:p w14:paraId="50CE27F3" w14:textId="77777777" w:rsidR="0014588F" w:rsidRDefault="0014588F" w:rsidP="000E6616">
            <w:pPr>
              <w:adjustRightInd w:val="0"/>
              <w:snapToGrid w:val="0"/>
              <w:spacing w:after="0"/>
              <w:jc w:val="center"/>
              <w:rPr>
                <w:rFonts w:ascii="Times New Roman" w:eastAsia="MS Mincho" w:hAnsi="Times New Roman"/>
              </w:rPr>
            </w:pPr>
            <w:r w:rsidRPr="00464B7F">
              <w:rPr>
                <w:rFonts w:ascii="Times New Roman" w:eastAsia="MS Mincho" w:hAnsi="Times New Roman"/>
                <w:b/>
              </w:rPr>
              <w:t xml:space="preserve">Figure BET8. </w:t>
            </w:r>
            <w:r w:rsidRPr="00464B7F">
              <w:rPr>
                <w:rFonts w:ascii="Times New Roman" w:eastAsia="MS Mincho" w:hAnsi="Times New Roman"/>
              </w:rPr>
              <w:t>Kobe plot summarising the results for each of the models in the structural uncertainty grid.</w:t>
            </w:r>
            <w:r w:rsidRPr="00464B7F">
              <w:rPr>
                <w:rFonts w:ascii="Times New Roman" w:eastAsia="MS Mincho" w:hAnsi="Times New Roman"/>
                <w:b/>
              </w:rPr>
              <w:t xml:space="preserve"> </w:t>
            </w:r>
            <w:r w:rsidRPr="00464B7F">
              <w:rPr>
                <w:rFonts w:ascii="Times New Roman" w:eastAsia="MS Mincho" w:hAnsi="Times New Roman"/>
              </w:rPr>
              <w:t xml:space="preserve">The points represent </w:t>
            </w:r>
            <w:r w:rsidRPr="009C2ADD">
              <w:rPr>
                <w:rFonts w:ascii="Times New Roman" w:eastAsia="MS Mincho" w:hAnsi="Times New Roman"/>
                <w:i/>
              </w:rPr>
              <w:t>SB</w:t>
            </w:r>
            <w:r w:rsidRPr="00104C78">
              <w:rPr>
                <w:rFonts w:ascii="Times New Roman" w:eastAsia="MS Mincho" w:hAnsi="Times New Roman"/>
                <w:i/>
                <w:vertAlign w:val="subscript"/>
              </w:rPr>
              <w:t>latest</w:t>
            </w:r>
            <w:r w:rsidRPr="00464B7F" w:rsidDel="00300F08">
              <w:rPr>
                <w:rFonts w:ascii="Times New Roman" w:eastAsia="MS Mincho" w:hAnsi="Times New Roman"/>
                <w:i/>
              </w:rPr>
              <w:t xml:space="preserve"> </w:t>
            </w:r>
            <w:r w:rsidRPr="00464B7F">
              <w:rPr>
                <w:rFonts w:ascii="Times New Roman" w:eastAsia="MS Mincho" w:hAnsi="Times New Roman"/>
                <w:i/>
              </w:rPr>
              <w:t>/</w:t>
            </w:r>
            <w:proofErr w:type="gramStart"/>
            <w:r w:rsidRPr="00464B7F">
              <w:rPr>
                <w:rFonts w:ascii="Times New Roman" w:eastAsia="MS Mincho" w:hAnsi="Times New Roman"/>
                <w:i/>
              </w:rPr>
              <w:t>SB</w:t>
            </w:r>
            <w:r w:rsidRPr="00A265B1">
              <w:rPr>
                <w:rFonts w:ascii="Times New Roman" w:hAnsi="Times New Roman"/>
                <w:vertAlign w:val="subscript"/>
                <w:lang w:val="en-AU"/>
              </w:rPr>
              <w:t>MSY</w:t>
            </w:r>
            <w:r w:rsidRPr="00464B7F">
              <w:rPr>
                <w:rFonts w:ascii="Times New Roman" w:eastAsia="MS Mincho" w:hAnsi="Times New Roman"/>
              </w:rPr>
              <w:t xml:space="preserve"> ,</w:t>
            </w:r>
            <w:proofErr w:type="gramEnd"/>
            <w:r w:rsidRPr="00464B7F">
              <w:rPr>
                <w:rFonts w:ascii="Times New Roman" w:eastAsia="MS Mincho" w:hAnsi="Times New Roman"/>
              </w:rPr>
              <w:t xml:space="preserve"> with the colours depicting the models in the grid with the new and old growth functions, and the size of the points representing the decision of the SC to weight the new growth models three times higher than the old growth models.</w:t>
            </w:r>
          </w:p>
          <w:p w14:paraId="0FDF750A" w14:textId="77777777" w:rsidR="00032768" w:rsidRDefault="00032768" w:rsidP="000E6616">
            <w:pPr>
              <w:adjustRightInd w:val="0"/>
              <w:snapToGrid w:val="0"/>
              <w:spacing w:after="0"/>
              <w:jc w:val="center"/>
              <w:rPr>
                <w:rFonts w:ascii="Times New Roman" w:eastAsia="MS Mincho" w:hAnsi="Times New Roman"/>
              </w:rPr>
            </w:pPr>
          </w:p>
          <w:p w14:paraId="4D64B0E1" w14:textId="77777777" w:rsidR="00032768" w:rsidRPr="009C2ADD" w:rsidRDefault="00032768" w:rsidP="000E6616">
            <w:pPr>
              <w:adjustRightInd w:val="0"/>
              <w:snapToGrid w:val="0"/>
              <w:spacing w:after="0"/>
              <w:jc w:val="center"/>
              <w:rPr>
                <w:rFonts w:ascii="Times New Roman" w:hAnsi="Times New Roman"/>
                <w:noProof/>
                <w:lang w:val="en-US" w:eastAsia="zh-CN" w:bidi="mn-Mong-CN"/>
              </w:rPr>
            </w:pPr>
          </w:p>
        </w:tc>
        <w:tc>
          <w:tcPr>
            <w:tcW w:w="4788" w:type="dxa"/>
            <w:vAlign w:val="center"/>
          </w:tcPr>
          <w:p w14:paraId="2AE277FD" w14:textId="77777777" w:rsidR="0014588F" w:rsidRDefault="0014588F" w:rsidP="000E6616">
            <w:pPr>
              <w:adjustRightInd w:val="0"/>
              <w:snapToGrid w:val="0"/>
              <w:spacing w:after="0"/>
              <w:rPr>
                <w:rFonts w:ascii="Times New Roman" w:eastAsia="MS Mincho" w:hAnsi="Times New Roman"/>
              </w:rPr>
            </w:pPr>
            <w:r w:rsidRPr="009C2ADD">
              <w:rPr>
                <w:rFonts w:ascii="Times New Roman" w:eastAsia="MS Mincho" w:hAnsi="Times New Roman"/>
                <w:b/>
              </w:rPr>
              <w:t xml:space="preserve">Figure BET-9. </w:t>
            </w:r>
            <w:r w:rsidRPr="009C2ADD">
              <w:rPr>
                <w:rFonts w:ascii="Times New Roman" w:eastAsia="MS Mincho" w:hAnsi="Times New Roman"/>
              </w:rPr>
              <w:t xml:space="preserve">Kobe plot summarising the results for each of the models in the structural uncertainty grid. The points represent </w:t>
            </w:r>
            <w:r w:rsidRPr="0070772D">
              <w:rPr>
                <w:rFonts w:ascii="Times New Roman" w:eastAsia="MS Mincho" w:hAnsi="Times New Roman"/>
                <w:iCs/>
              </w:rPr>
              <w:t>SB</w:t>
            </w:r>
            <w:r w:rsidRPr="0070772D">
              <w:rPr>
                <w:rFonts w:ascii="Times New Roman" w:eastAsia="MS Mincho" w:hAnsi="Times New Roman"/>
                <w:iCs/>
                <w:vertAlign w:val="subscript"/>
              </w:rPr>
              <w:t>recent</w:t>
            </w:r>
            <w:r w:rsidRPr="0070772D">
              <w:rPr>
                <w:rFonts w:ascii="Times New Roman" w:eastAsia="MS Mincho" w:hAnsi="Times New Roman"/>
                <w:iCs/>
              </w:rPr>
              <w:t>/SB</w:t>
            </w:r>
            <w:r w:rsidRPr="0070772D">
              <w:rPr>
                <w:rFonts w:ascii="Times New Roman" w:eastAsia="MS Mincho" w:hAnsi="Times New Roman"/>
                <w:iCs/>
                <w:vertAlign w:val="subscript"/>
              </w:rPr>
              <w:t>MSY</w:t>
            </w:r>
            <w:r w:rsidRPr="009C2ADD">
              <w:rPr>
                <w:rFonts w:ascii="Times New Roman" w:eastAsia="MS Mincho" w:hAnsi="Times New Roman"/>
              </w:rPr>
              <w:t>, with the colours depicting the models in the grid with the new and old growth functions, and the size of the points representing the decision of the SC to weight the new growth models three times higher than the old growth models.</w:t>
            </w:r>
          </w:p>
          <w:p w14:paraId="5FD6DC4C" w14:textId="77777777" w:rsidR="0014588F" w:rsidRDefault="0014588F" w:rsidP="000E6616">
            <w:pPr>
              <w:adjustRightInd w:val="0"/>
              <w:snapToGrid w:val="0"/>
              <w:spacing w:after="0"/>
              <w:jc w:val="center"/>
              <w:rPr>
                <w:rFonts w:ascii="Times New Roman" w:hAnsi="Times New Roman"/>
                <w:noProof/>
                <w:lang w:val="en-US" w:eastAsia="zh-CN" w:bidi="mn-Mong-CN"/>
              </w:rPr>
            </w:pPr>
          </w:p>
          <w:p w14:paraId="4D21ECFE" w14:textId="77777777" w:rsidR="00032768" w:rsidRPr="009C2ADD" w:rsidRDefault="00032768" w:rsidP="000E6616">
            <w:pPr>
              <w:adjustRightInd w:val="0"/>
              <w:snapToGrid w:val="0"/>
              <w:spacing w:after="0"/>
              <w:jc w:val="center"/>
              <w:rPr>
                <w:rFonts w:ascii="Times New Roman" w:hAnsi="Times New Roman"/>
                <w:noProof/>
                <w:lang w:val="en-US" w:eastAsia="zh-CN" w:bidi="mn-Mong-CN"/>
              </w:rPr>
            </w:pPr>
          </w:p>
        </w:tc>
      </w:tr>
      <w:tr w:rsidR="0014588F" w14:paraId="5BAD26FF" w14:textId="77777777" w:rsidTr="000E6616">
        <w:tc>
          <w:tcPr>
            <w:tcW w:w="4788" w:type="dxa"/>
          </w:tcPr>
          <w:p w14:paraId="38A9498A" w14:textId="77777777" w:rsidR="0014588F" w:rsidRDefault="0014588F" w:rsidP="000E6616">
            <w:pPr>
              <w:adjustRightInd w:val="0"/>
              <w:snapToGrid w:val="0"/>
              <w:spacing w:after="0"/>
              <w:rPr>
                <w:rFonts w:ascii="Times New Roman" w:eastAsia="MS Mincho" w:hAnsi="Times New Roman"/>
              </w:rPr>
            </w:pPr>
            <w:r>
              <w:rPr>
                <w:noProof/>
                <w:lang w:val="en-US" w:eastAsia="ko-KR"/>
              </w:rPr>
              <w:drawing>
                <wp:inline distT="0" distB="0" distL="0" distR="0" wp14:anchorId="1DAF0C41" wp14:editId="5F75D3E8">
                  <wp:extent cx="2923953" cy="292395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Majuro_Tempora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9093" cy="2929093"/>
                          </a:xfrm>
                          <a:prstGeom prst="rect">
                            <a:avLst/>
                          </a:prstGeom>
                        </pic:spPr>
                      </pic:pic>
                    </a:graphicData>
                  </a:graphic>
                </wp:inline>
              </w:drawing>
            </w:r>
          </w:p>
        </w:tc>
        <w:tc>
          <w:tcPr>
            <w:tcW w:w="4788" w:type="dxa"/>
          </w:tcPr>
          <w:p w14:paraId="5176F54B" w14:textId="77777777" w:rsidR="0014588F" w:rsidRDefault="0014588F" w:rsidP="000E6616">
            <w:pPr>
              <w:adjustRightInd w:val="0"/>
              <w:snapToGrid w:val="0"/>
              <w:spacing w:after="0"/>
              <w:rPr>
                <w:rFonts w:ascii="Times New Roman" w:eastAsia="MS Mincho" w:hAnsi="Times New Roman"/>
              </w:rPr>
            </w:pPr>
            <w:r>
              <w:rPr>
                <w:noProof/>
                <w:lang w:val="en-US" w:eastAsia="ko-KR"/>
              </w:rPr>
              <w:drawing>
                <wp:inline distT="0" distB="0" distL="0" distR="0" wp14:anchorId="464F5142" wp14:editId="6BED32FB">
                  <wp:extent cx="2923953" cy="292395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Kobe_Tempora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1544" cy="2911544"/>
                          </a:xfrm>
                          <a:prstGeom prst="rect">
                            <a:avLst/>
                          </a:prstGeom>
                        </pic:spPr>
                      </pic:pic>
                    </a:graphicData>
                  </a:graphic>
                </wp:inline>
              </w:drawing>
            </w:r>
          </w:p>
        </w:tc>
      </w:tr>
      <w:tr w:rsidR="0014588F" w14:paraId="3AAB0464" w14:textId="77777777" w:rsidTr="000E6616">
        <w:tc>
          <w:tcPr>
            <w:tcW w:w="9576" w:type="dxa"/>
            <w:gridSpan w:val="2"/>
          </w:tcPr>
          <w:p w14:paraId="1CBDDBEE" w14:textId="77777777" w:rsidR="0014588F" w:rsidRDefault="0014588F" w:rsidP="000E6616">
            <w:pPr>
              <w:adjustRightInd w:val="0"/>
              <w:snapToGrid w:val="0"/>
              <w:spacing w:after="0"/>
              <w:rPr>
                <w:rFonts w:ascii="Times New Roman" w:eastAsia="MS Mincho" w:hAnsi="Times New Roman"/>
              </w:rPr>
            </w:pPr>
            <w:r w:rsidRPr="0048229F">
              <w:rPr>
                <w:rFonts w:ascii="Times New Roman" w:eastAsia="MS Mincho" w:hAnsi="Times New Roman"/>
                <w:b/>
              </w:rPr>
              <w:t>Figure BET-</w:t>
            </w:r>
            <w:r w:rsidRPr="0048229F">
              <w:rPr>
                <w:rFonts w:ascii="Times New Roman" w:hAnsi="Times New Roman"/>
                <w:b/>
                <w:lang w:eastAsia="ko-KR"/>
              </w:rPr>
              <w:t>10</w:t>
            </w:r>
            <w:r w:rsidRPr="0048229F">
              <w:rPr>
                <w:rFonts w:ascii="Times New Roman" w:eastAsia="MS Mincho" w:hAnsi="Times New Roman"/>
                <w:b/>
              </w:rPr>
              <w:t>.</w:t>
            </w:r>
            <w:r w:rsidRPr="0048229F">
              <w:rPr>
                <w:rFonts w:ascii="Times New Roman" w:hAnsi="Times New Roman"/>
                <w:b/>
                <w:lang w:eastAsia="ko-KR"/>
              </w:rPr>
              <w:t xml:space="preserve"> </w:t>
            </w:r>
            <w:r w:rsidRPr="0070772D">
              <w:rPr>
                <w:rFonts w:ascii="Times New Roman" w:hAnsi="Times New Roman"/>
              </w:rPr>
              <w:t>Estimated time-series (or “dynamic”) Majuro and Kobe plots from the bigeye ‘diagnostic case’ model run.</w:t>
            </w:r>
          </w:p>
        </w:tc>
      </w:tr>
    </w:tbl>
    <w:p w14:paraId="4DD43C61" w14:textId="77777777" w:rsidR="0014588F" w:rsidRDefault="0014588F" w:rsidP="0014588F">
      <w:pPr>
        <w:adjustRightInd w:val="0"/>
        <w:snapToGrid w:val="0"/>
        <w:spacing w:after="0"/>
        <w:rPr>
          <w:rFonts w:ascii="Times New Roman" w:eastAsia="MS Mincho"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14588F" w14:paraId="16BD6BC2" w14:textId="77777777" w:rsidTr="000E6616">
        <w:tc>
          <w:tcPr>
            <w:tcW w:w="9468" w:type="dxa"/>
          </w:tcPr>
          <w:p w14:paraId="621D3D16" w14:textId="77777777" w:rsidR="0014588F" w:rsidRDefault="0014588F" w:rsidP="000E6616">
            <w:pPr>
              <w:adjustRightInd w:val="0"/>
              <w:snapToGrid w:val="0"/>
              <w:spacing w:after="0"/>
              <w:jc w:val="center"/>
              <w:rPr>
                <w:noProof/>
                <w:lang w:val="en-US" w:eastAsia="zh-CN" w:bidi="mn-Mong-CN"/>
              </w:rPr>
            </w:pPr>
          </w:p>
        </w:tc>
      </w:tr>
    </w:tbl>
    <w:p w14:paraId="7BDBA121" w14:textId="77777777" w:rsidR="0014588F" w:rsidRPr="0070772D" w:rsidRDefault="0014588F" w:rsidP="0014588F">
      <w:pPr>
        <w:adjustRightInd w:val="0"/>
        <w:snapToGrid w:val="0"/>
        <w:spacing w:after="0"/>
        <w:rPr>
          <w:rFonts w:ascii="Times New Roman" w:hAnsi="Times New Roman"/>
          <w:lang w:eastAsia="ko-KR"/>
        </w:rPr>
      </w:pPr>
    </w:p>
    <w:p w14:paraId="33C15CE9" w14:textId="77777777" w:rsidR="0014588F" w:rsidRPr="009C2ADD" w:rsidRDefault="0014588F" w:rsidP="0014588F">
      <w:pPr>
        <w:adjustRightInd w:val="0"/>
        <w:snapToGrid w:val="0"/>
        <w:spacing w:after="0"/>
        <w:jc w:val="center"/>
        <w:rPr>
          <w:rFonts w:ascii="Times New Roman" w:eastAsia="MS Mincho" w:hAnsi="Times New Roman"/>
        </w:rPr>
      </w:pPr>
      <w:r w:rsidRPr="009C2ADD">
        <w:rPr>
          <w:rFonts w:ascii="Times New Roman" w:hAnsi="Times New Roman"/>
          <w:noProof/>
          <w:lang w:val="en-US" w:eastAsia="ko-KR"/>
        </w:rPr>
        <w:drawing>
          <wp:inline distT="0" distB="0" distL="0" distR="0" wp14:anchorId="05C9B781" wp14:editId="26918E21">
            <wp:extent cx="2987749" cy="2987749"/>
            <wp:effectExtent l="0" t="0" r="3175" b="3175"/>
            <wp:docPr id="72" name="Picture 16" descr="plot_fishery_impact_BE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ot_fishery_impact_BET-SS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2740" cy="2982740"/>
                    </a:xfrm>
                    <a:prstGeom prst="rect">
                      <a:avLst/>
                    </a:prstGeom>
                    <a:noFill/>
                    <a:ln>
                      <a:noFill/>
                    </a:ln>
                  </pic:spPr>
                </pic:pic>
              </a:graphicData>
            </a:graphic>
          </wp:inline>
        </w:drawing>
      </w:r>
    </w:p>
    <w:p w14:paraId="1C161C1B" w14:textId="77777777" w:rsidR="0014588F" w:rsidRPr="009C2ADD" w:rsidRDefault="0014588F" w:rsidP="0014588F">
      <w:pPr>
        <w:adjustRightInd w:val="0"/>
        <w:snapToGrid w:val="0"/>
        <w:spacing w:after="0"/>
        <w:rPr>
          <w:rFonts w:ascii="Times New Roman" w:eastAsia="MS Mincho" w:hAnsi="Times New Roman"/>
        </w:rPr>
      </w:pPr>
      <w:r w:rsidRPr="009C2ADD">
        <w:rPr>
          <w:rFonts w:ascii="Times New Roman" w:eastAsia="MS Mincho" w:hAnsi="Times New Roman"/>
          <w:b/>
        </w:rPr>
        <w:t>Figure BET-1</w:t>
      </w:r>
      <w:r>
        <w:rPr>
          <w:rFonts w:ascii="Times New Roman" w:hAnsi="Times New Roman" w:hint="eastAsia"/>
          <w:b/>
          <w:lang w:eastAsia="ko-KR"/>
        </w:rPr>
        <w:t>1</w:t>
      </w:r>
      <w:r w:rsidRPr="009C2ADD">
        <w:rPr>
          <w:rFonts w:ascii="Times New Roman" w:eastAsia="MS Mincho" w:hAnsi="Times New Roman"/>
          <w:b/>
        </w:rPr>
        <w:t xml:space="preserve">. </w:t>
      </w:r>
      <w:proofErr w:type="gramStart"/>
      <w:r w:rsidRPr="009C2ADD">
        <w:rPr>
          <w:rFonts w:ascii="Times New Roman" w:eastAsia="MS Mincho" w:hAnsi="Times New Roman"/>
        </w:rPr>
        <w:t>Estimates of reduction in spawning potential due to fishing by region, and over all regions (lower right panel), attributed to various fishery groups (gear-types) for the diagnostic case model.</w:t>
      </w:r>
      <w:proofErr w:type="gramEnd"/>
    </w:p>
    <w:p w14:paraId="1740F9E6" w14:textId="77777777" w:rsidR="0014588F" w:rsidRPr="009C2ADD" w:rsidRDefault="0014588F" w:rsidP="0014588F">
      <w:pPr>
        <w:adjustRightInd w:val="0"/>
        <w:snapToGrid w:val="0"/>
        <w:spacing w:after="0"/>
        <w:jc w:val="left"/>
        <w:rPr>
          <w:rFonts w:ascii="Times New Roman" w:eastAsia="MS Mincho" w:hAnsi="Times New Roman"/>
        </w:rPr>
      </w:pPr>
    </w:p>
    <w:p w14:paraId="32BFA7F9" w14:textId="77777777" w:rsidR="0014588F" w:rsidRPr="009C2ADD" w:rsidRDefault="0014588F" w:rsidP="0014588F">
      <w:pPr>
        <w:adjustRightInd w:val="0"/>
        <w:snapToGrid w:val="0"/>
        <w:spacing w:after="0"/>
        <w:rPr>
          <w:rFonts w:ascii="Times New Roman" w:hAnsi="Times New Roman"/>
        </w:rPr>
      </w:pPr>
      <w:proofErr w:type="gramStart"/>
      <w:r w:rsidRPr="009C2ADD">
        <w:rPr>
          <w:rFonts w:ascii="Times New Roman" w:hAnsi="Times New Roman"/>
          <w:b/>
        </w:rPr>
        <w:t>Table BET-2.</w:t>
      </w:r>
      <w:proofErr w:type="gramEnd"/>
      <w:r w:rsidRPr="009C2ADD">
        <w:rPr>
          <w:rFonts w:ascii="Times New Roman" w:hAnsi="Times New Roman"/>
          <w:b/>
        </w:rPr>
        <w:t xml:space="preserve"> </w:t>
      </w:r>
      <w:r w:rsidRPr="009C2ADD">
        <w:rPr>
          <w:rFonts w:ascii="Times New Roman" w:hAnsi="Times New Roman"/>
        </w:rPr>
        <w:t xml:space="preserve">Summary of reference points over the 72 models in the structural uncertainty grid where the models using the new growth function are given three times the weighting of the models using the old growth function. Note that </w:t>
      </w:r>
      <w:r w:rsidRPr="009C2ADD">
        <w:rPr>
          <w:rFonts w:ascii="Times New Roman" w:hAnsi="Times New Roman"/>
          <w:i/>
        </w:rPr>
        <w:t>SB</w:t>
      </w:r>
      <w:r w:rsidRPr="0070772D">
        <w:rPr>
          <w:rFonts w:ascii="Times New Roman" w:hAnsi="Times New Roman"/>
          <w:i/>
          <w:vertAlign w:val="subscript"/>
        </w:rPr>
        <w:t>recent</w:t>
      </w:r>
      <w:r w:rsidRPr="009C2ADD">
        <w:rPr>
          <w:rFonts w:ascii="Times New Roman" w:hAnsi="Times New Roman"/>
          <w:i/>
        </w:rPr>
        <w:t>/</w:t>
      </w:r>
      <w:r w:rsidRPr="0070772D">
        <w:rPr>
          <w:rFonts w:ascii="Times New Roman" w:hAnsi="Times New Roman"/>
          <w:i/>
        </w:rPr>
        <w:t>SB</w:t>
      </w:r>
      <w:r w:rsidRPr="0070772D">
        <w:rPr>
          <w:rFonts w:ascii="Times New Roman" w:hAnsi="Times New Roman"/>
          <w:i/>
          <w:vertAlign w:val="subscript"/>
        </w:rPr>
        <w:t>F=0</w:t>
      </w:r>
      <w:r w:rsidRPr="009C2ADD">
        <w:rPr>
          <w:rFonts w:ascii="Times New Roman" w:hAnsi="Times New Roman"/>
        </w:rPr>
        <w:t xml:space="preserve"> is calculated where </w:t>
      </w:r>
      <w:r w:rsidRPr="009C2ADD">
        <w:rPr>
          <w:rFonts w:ascii="Times New Roman" w:hAnsi="Times New Roman"/>
          <w:i/>
        </w:rPr>
        <w:t>SB</w:t>
      </w:r>
      <w:r w:rsidRPr="0070772D">
        <w:rPr>
          <w:rFonts w:ascii="Times New Roman" w:hAnsi="Times New Roman"/>
          <w:i/>
          <w:vertAlign w:val="subscript"/>
        </w:rPr>
        <w:t>recent</w:t>
      </w:r>
      <w:r w:rsidRPr="009C2ADD">
        <w:rPr>
          <w:rFonts w:ascii="Times New Roman" w:hAnsi="Times New Roman"/>
        </w:rPr>
        <w:t xml:space="preserve"> is the mean</w:t>
      </w:r>
      <w:r w:rsidRPr="009C2ADD">
        <w:rPr>
          <w:rFonts w:ascii="Times New Roman" w:hAnsi="Times New Roman"/>
          <w:b/>
          <w:i/>
        </w:rPr>
        <w:t xml:space="preserve"> </w:t>
      </w:r>
      <w:r w:rsidRPr="009C2ADD">
        <w:rPr>
          <w:rFonts w:ascii="Times New Roman" w:hAnsi="Times New Roman"/>
          <w:i/>
        </w:rPr>
        <w:t>SB</w:t>
      </w:r>
      <w:r w:rsidRPr="009C2ADD">
        <w:rPr>
          <w:rFonts w:ascii="Times New Roman" w:hAnsi="Times New Roman"/>
        </w:rPr>
        <w:t xml:space="preserve"> over 2012-2015</w:t>
      </w:r>
      <w:r w:rsidRPr="009C2ADD">
        <w:rPr>
          <w:rFonts w:ascii="Times New Roman" w:hAnsi="Times New Roman"/>
          <w:b/>
        </w:rPr>
        <w:t xml:space="preserve"> </w:t>
      </w:r>
      <w:r w:rsidRPr="009C2ADD">
        <w:rPr>
          <w:rFonts w:ascii="Times New Roman" w:hAnsi="Times New Roman"/>
        </w:rPr>
        <w:t xml:space="preserve">instead of 2011-2014 (used in the stock assessment report), at the request of the Scientific Committee. </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14588F" w:rsidRPr="009C2ADD" w14:paraId="013A92F0" w14:textId="77777777" w:rsidTr="000E6616">
        <w:trPr>
          <w:cantSplit/>
        </w:trPr>
        <w:tc>
          <w:tcPr>
            <w:tcW w:w="1732" w:type="dxa"/>
            <w:tcBorders>
              <w:top w:val="single" w:sz="4" w:space="0" w:color="auto"/>
              <w:left w:val="nil"/>
              <w:bottom w:val="single" w:sz="4" w:space="0" w:color="auto"/>
              <w:right w:val="nil"/>
            </w:tcBorders>
            <w:shd w:val="clear" w:color="auto" w:fill="auto"/>
          </w:tcPr>
          <w:p w14:paraId="7D9BD6DE" w14:textId="77777777" w:rsidR="0014588F" w:rsidRPr="009C2ADD" w:rsidRDefault="0014588F" w:rsidP="000E6616">
            <w:pPr>
              <w:adjustRightInd w:val="0"/>
              <w:snapToGrid w:val="0"/>
              <w:spacing w:after="0"/>
              <w:rPr>
                <w:rFonts w:ascii="Times New Roman" w:eastAsia="MS Mincho" w:hAnsi="Times New Roman"/>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5E8EF39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2D22D153"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2BC53A3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48571A6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509C099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0D293749"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Max</w:t>
            </w:r>
          </w:p>
        </w:tc>
      </w:tr>
      <w:tr w:rsidR="0014588F" w:rsidRPr="009C2ADD" w14:paraId="44686208" w14:textId="77777777" w:rsidTr="000E6616">
        <w:trPr>
          <w:cantSplit/>
        </w:trPr>
        <w:tc>
          <w:tcPr>
            <w:tcW w:w="1732" w:type="dxa"/>
            <w:tcBorders>
              <w:top w:val="single" w:sz="4" w:space="0" w:color="auto"/>
              <w:left w:val="nil"/>
              <w:bottom w:val="nil"/>
              <w:right w:val="nil"/>
            </w:tcBorders>
            <w:shd w:val="clear" w:color="auto" w:fill="auto"/>
            <w:hideMark/>
          </w:tcPr>
          <w:p w14:paraId="3F23A321"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C</w:t>
            </w:r>
            <w:r w:rsidRPr="0070772D">
              <w:rPr>
                <w:rFonts w:ascii="Times New Roman" w:eastAsia="MS Mincho" w:hAnsi="Times New Roman"/>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55360DB1"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149,178</w:t>
            </w:r>
          </w:p>
        </w:tc>
        <w:tc>
          <w:tcPr>
            <w:tcW w:w="1265" w:type="dxa"/>
            <w:tcBorders>
              <w:top w:val="single" w:sz="4" w:space="0" w:color="auto"/>
              <w:left w:val="nil"/>
              <w:bottom w:val="nil"/>
              <w:right w:val="nil"/>
            </w:tcBorders>
            <w:shd w:val="clear" w:color="auto" w:fill="auto"/>
            <w:vAlign w:val="bottom"/>
            <w:hideMark/>
          </w:tcPr>
          <w:p w14:paraId="15B8296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153,137</w:t>
            </w:r>
          </w:p>
        </w:tc>
        <w:tc>
          <w:tcPr>
            <w:tcW w:w="1265" w:type="dxa"/>
            <w:tcBorders>
              <w:top w:val="single" w:sz="4" w:space="0" w:color="auto"/>
              <w:left w:val="nil"/>
              <w:bottom w:val="nil"/>
              <w:right w:val="nil"/>
            </w:tcBorders>
            <w:shd w:val="clear" w:color="auto" w:fill="auto"/>
            <w:vAlign w:val="bottom"/>
            <w:hideMark/>
          </w:tcPr>
          <w:p w14:paraId="55190FAF"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130,903</w:t>
            </w:r>
          </w:p>
        </w:tc>
        <w:tc>
          <w:tcPr>
            <w:tcW w:w="1265" w:type="dxa"/>
            <w:tcBorders>
              <w:top w:val="single" w:sz="4" w:space="0" w:color="auto"/>
              <w:left w:val="nil"/>
              <w:bottom w:val="nil"/>
              <w:right w:val="nil"/>
            </w:tcBorders>
            <w:shd w:val="clear" w:color="auto" w:fill="auto"/>
            <w:vAlign w:val="bottom"/>
            <w:hideMark/>
          </w:tcPr>
          <w:p w14:paraId="3D7BA06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131,597</w:t>
            </w:r>
          </w:p>
        </w:tc>
        <w:tc>
          <w:tcPr>
            <w:tcW w:w="1265" w:type="dxa"/>
            <w:tcBorders>
              <w:top w:val="single" w:sz="4" w:space="0" w:color="auto"/>
              <w:left w:val="nil"/>
              <w:bottom w:val="nil"/>
              <w:right w:val="nil"/>
            </w:tcBorders>
            <w:shd w:val="clear" w:color="auto" w:fill="auto"/>
            <w:vAlign w:val="bottom"/>
            <w:hideMark/>
          </w:tcPr>
          <w:p w14:paraId="4AC5D54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156,113</w:t>
            </w:r>
          </w:p>
        </w:tc>
        <w:tc>
          <w:tcPr>
            <w:tcW w:w="1265" w:type="dxa"/>
            <w:tcBorders>
              <w:top w:val="single" w:sz="4" w:space="0" w:color="auto"/>
              <w:left w:val="nil"/>
              <w:bottom w:val="nil"/>
              <w:right w:val="nil"/>
            </w:tcBorders>
            <w:shd w:val="clear" w:color="auto" w:fill="auto"/>
            <w:vAlign w:val="bottom"/>
            <w:hideMark/>
          </w:tcPr>
          <w:p w14:paraId="2294E02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157,725</w:t>
            </w:r>
          </w:p>
        </w:tc>
      </w:tr>
      <w:tr w:rsidR="0014588F" w:rsidRPr="009C2ADD" w14:paraId="1D9D2490" w14:textId="77777777" w:rsidTr="000E6616">
        <w:trPr>
          <w:cantSplit/>
        </w:trPr>
        <w:tc>
          <w:tcPr>
            <w:tcW w:w="1732" w:type="dxa"/>
            <w:tcBorders>
              <w:top w:val="nil"/>
              <w:left w:val="nil"/>
              <w:bottom w:val="nil"/>
              <w:right w:val="nil"/>
            </w:tcBorders>
            <w:shd w:val="clear" w:color="auto" w:fill="auto"/>
            <w:hideMark/>
          </w:tcPr>
          <w:p w14:paraId="73859E47"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MSY</w:t>
            </w:r>
          </w:p>
        </w:tc>
        <w:tc>
          <w:tcPr>
            <w:tcW w:w="1264" w:type="dxa"/>
            <w:tcBorders>
              <w:top w:val="nil"/>
              <w:left w:val="nil"/>
              <w:bottom w:val="nil"/>
              <w:right w:val="nil"/>
            </w:tcBorders>
            <w:shd w:val="clear" w:color="auto" w:fill="auto"/>
            <w:vAlign w:val="bottom"/>
            <w:hideMark/>
          </w:tcPr>
          <w:p w14:paraId="6815EDAC"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156,765</w:t>
            </w:r>
          </w:p>
        </w:tc>
        <w:tc>
          <w:tcPr>
            <w:tcW w:w="1265" w:type="dxa"/>
            <w:tcBorders>
              <w:top w:val="nil"/>
              <w:left w:val="nil"/>
              <w:bottom w:val="nil"/>
              <w:right w:val="nil"/>
            </w:tcBorders>
            <w:shd w:val="clear" w:color="auto" w:fill="auto"/>
            <w:vAlign w:val="bottom"/>
            <w:hideMark/>
          </w:tcPr>
          <w:p w14:paraId="2C4BBE4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158,040</w:t>
            </w:r>
          </w:p>
        </w:tc>
        <w:tc>
          <w:tcPr>
            <w:tcW w:w="1265" w:type="dxa"/>
            <w:tcBorders>
              <w:top w:val="nil"/>
              <w:left w:val="nil"/>
              <w:bottom w:val="nil"/>
              <w:right w:val="nil"/>
            </w:tcBorders>
            <w:shd w:val="clear" w:color="auto" w:fill="auto"/>
            <w:vAlign w:val="bottom"/>
            <w:hideMark/>
          </w:tcPr>
          <w:p w14:paraId="70CF2E49"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124,120</w:t>
            </w:r>
          </w:p>
        </w:tc>
        <w:tc>
          <w:tcPr>
            <w:tcW w:w="1265" w:type="dxa"/>
            <w:tcBorders>
              <w:top w:val="nil"/>
              <w:left w:val="nil"/>
              <w:bottom w:val="nil"/>
              <w:right w:val="nil"/>
            </w:tcBorders>
            <w:shd w:val="clear" w:color="auto" w:fill="auto"/>
            <w:vAlign w:val="bottom"/>
            <w:hideMark/>
          </w:tcPr>
          <w:p w14:paraId="572FA2D3"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137,644</w:t>
            </w:r>
          </w:p>
        </w:tc>
        <w:tc>
          <w:tcPr>
            <w:tcW w:w="1265" w:type="dxa"/>
            <w:tcBorders>
              <w:top w:val="nil"/>
              <w:left w:val="nil"/>
              <w:bottom w:val="nil"/>
              <w:right w:val="nil"/>
            </w:tcBorders>
            <w:shd w:val="clear" w:color="auto" w:fill="auto"/>
            <w:vAlign w:val="bottom"/>
            <w:hideMark/>
          </w:tcPr>
          <w:p w14:paraId="59865FA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180,656</w:t>
            </w:r>
          </w:p>
        </w:tc>
        <w:tc>
          <w:tcPr>
            <w:tcW w:w="1265" w:type="dxa"/>
            <w:tcBorders>
              <w:top w:val="nil"/>
              <w:left w:val="nil"/>
              <w:bottom w:val="nil"/>
              <w:right w:val="nil"/>
            </w:tcBorders>
            <w:shd w:val="clear" w:color="auto" w:fill="auto"/>
            <w:vAlign w:val="bottom"/>
            <w:hideMark/>
          </w:tcPr>
          <w:p w14:paraId="131166B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204,040</w:t>
            </w:r>
          </w:p>
        </w:tc>
      </w:tr>
      <w:tr w:rsidR="0014588F" w:rsidRPr="009C2ADD" w14:paraId="1525EB9A" w14:textId="77777777" w:rsidTr="000E6616">
        <w:trPr>
          <w:cantSplit/>
        </w:trPr>
        <w:tc>
          <w:tcPr>
            <w:tcW w:w="1732" w:type="dxa"/>
            <w:tcBorders>
              <w:top w:val="nil"/>
              <w:left w:val="nil"/>
              <w:bottom w:val="nil"/>
              <w:right w:val="nil"/>
            </w:tcBorders>
            <w:shd w:val="clear" w:color="auto" w:fill="auto"/>
            <w:hideMark/>
          </w:tcPr>
          <w:p w14:paraId="30906BC0"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Y</w:t>
            </w:r>
            <w:r w:rsidRPr="0070772D">
              <w:rPr>
                <w:rFonts w:ascii="Times New Roman" w:eastAsia="MS Mincho" w:hAnsi="Times New Roman"/>
                <w:i/>
                <w:vertAlign w:val="subscript"/>
                <w:lang w:val="en-AU"/>
              </w:rPr>
              <w:t>Frecent</w:t>
            </w:r>
          </w:p>
        </w:tc>
        <w:tc>
          <w:tcPr>
            <w:tcW w:w="1264" w:type="dxa"/>
            <w:tcBorders>
              <w:top w:val="nil"/>
              <w:left w:val="nil"/>
              <w:bottom w:val="nil"/>
              <w:right w:val="nil"/>
            </w:tcBorders>
            <w:shd w:val="clear" w:color="auto" w:fill="auto"/>
            <w:vAlign w:val="bottom"/>
            <w:hideMark/>
          </w:tcPr>
          <w:p w14:paraId="2F826A8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150,382</w:t>
            </w:r>
          </w:p>
        </w:tc>
        <w:tc>
          <w:tcPr>
            <w:tcW w:w="1265" w:type="dxa"/>
            <w:tcBorders>
              <w:top w:val="nil"/>
              <w:left w:val="nil"/>
              <w:bottom w:val="nil"/>
              <w:right w:val="nil"/>
            </w:tcBorders>
            <w:shd w:val="clear" w:color="auto" w:fill="auto"/>
            <w:vAlign w:val="bottom"/>
            <w:hideMark/>
          </w:tcPr>
          <w:p w14:paraId="393CDB3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148,920</w:t>
            </w:r>
          </w:p>
        </w:tc>
        <w:tc>
          <w:tcPr>
            <w:tcW w:w="1265" w:type="dxa"/>
            <w:tcBorders>
              <w:top w:val="nil"/>
              <w:left w:val="nil"/>
              <w:bottom w:val="nil"/>
              <w:right w:val="nil"/>
            </w:tcBorders>
            <w:shd w:val="clear" w:color="auto" w:fill="auto"/>
            <w:vAlign w:val="bottom"/>
            <w:hideMark/>
          </w:tcPr>
          <w:p w14:paraId="6EB191B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118,000</w:t>
            </w:r>
          </w:p>
        </w:tc>
        <w:tc>
          <w:tcPr>
            <w:tcW w:w="1265" w:type="dxa"/>
            <w:tcBorders>
              <w:top w:val="nil"/>
              <w:left w:val="nil"/>
              <w:bottom w:val="nil"/>
              <w:right w:val="nil"/>
            </w:tcBorders>
            <w:shd w:val="clear" w:color="auto" w:fill="auto"/>
            <w:vAlign w:val="bottom"/>
            <w:hideMark/>
          </w:tcPr>
          <w:p w14:paraId="2D30B63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133,400</w:t>
            </w:r>
          </w:p>
        </w:tc>
        <w:tc>
          <w:tcPr>
            <w:tcW w:w="1265" w:type="dxa"/>
            <w:tcBorders>
              <w:top w:val="nil"/>
              <w:left w:val="nil"/>
              <w:bottom w:val="nil"/>
              <w:right w:val="nil"/>
            </w:tcBorders>
            <w:shd w:val="clear" w:color="auto" w:fill="auto"/>
            <w:vAlign w:val="bottom"/>
            <w:hideMark/>
          </w:tcPr>
          <w:p w14:paraId="40CAF21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168,656</w:t>
            </w:r>
          </w:p>
        </w:tc>
        <w:tc>
          <w:tcPr>
            <w:tcW w:w="1265" w:type="dxa"/>
            <w:tcBorders>
              <w:top w:val="nil"/>
              <w:left w:val="nil"/>
              <w:bottom w:val="nil"/>
              <w:right w:val="nil"/>
            </w:tcBorders>
            <w:shd w:val="clear" w:color="auto" w:fill="auto"/>
            <w:vAlign w:val="bottom"/>
            <w:hideMark/>
          </w:tcPr>
          <w:p w14:paraId="44B5FFDF"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187,240</w:t>
            </w:r>
          </w:p>
        </w:tc>
      </w:tr>
      <w:tr w:rsidR="0014588F" w:rsidRPr="009C2ADD" w14:paraId="41D6A953" w14:textId="77777777" w:rsidTr="000E6616">
        <w:trPr>
          <w:cantSplit/>
        </w:trPr>
        <w:tc>
          <w:tcPr>
            <w:tcW w:w="1732" w:type="dxa"/>
            <w:tcBorders>
              <w:top w:val="nil"/>
              <w:left w:val="nil"/>
              <w:bottom w:val="nil"/>
              <w:right w:val="nil"/>
            </w:tcBorders>
            <w:shd w:val="clear" w:color="auto" w:fill="auto"/>
            <w:hideMark/>
          </w:tcPr>
          <w:p w14:paraId="6ACC2166"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Pr="0070772D">
              <w:rPr>
                <w:rFonts w:ascii="Times New Roman" w:eastAsia="MS Mincho" w:hAnsi="Times New Roman"/>
                <w:i/>
                <w:vertAlign w:val="subscript"/>
                <w:lang w:val="en-AU"/>
              </w:rPr>
              <w:t>mult</w:t>
            </w:r>
          </w:p>
        </w:tc>
        <w:tc>
          <w:tcPr>
            <w:tcW w:w="1264" w:type="dxa"/>
            <w:tcBorders>
              <w:top w:val="nil"/>
              <w:left w:val="nil"/>
              <w:bottom w:val="nil"/>
              <w:right w:val="nil"/>
            </w:tcBorders>
            <w:shd w:val="clear" w:color="auto" w:fill="auto"/>
            <w:vAlign w:val="bottom"/>
            <w:hideMark/>
          </w:tcPr>
          <w:p w14:paraId="342A379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1.21</w:t>
            </w:r>
          </w:p>
        </w:tc>
        <w:tc>
          <w:tcPr>
            <w:tcW w:w="1265" w:type="dxa"/>
            <w:tcBorders>
              <w:top w:val="nil"/>
              <w:left w:val="nil"/>
              <w:bottom w:val="nil"/>
              <w:right w:val="nil"/>
            </w:tcBorders>
            <w:shd w:val="clear" w:color="auto" w:fill="auto"/>
            <w:vAlign w:val="bottom"/>
            <w:hideMark/>
          </w:tcPr>
          <w:p w14:paraId="52A2BD1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1.20</w:t>
            </w:r>
          </w:p>
        </w:tc>
        <w:tc>
          <w:tcPr>
            <w:tcW w:w="1265" w:type="dxa"/>
            <w:tcBorders>
              <w:top w:val="nil"/>
              <w:left w:val="nil"/>
              <w:bottom w:val="nil"/>
              <w:right w:val="nil"/>
            </w:tcBorders>
            <w:shd w:val="clear" w:color="auto" w:fill="auto"/>
            <w:vAlign w:val="bottom"/>
            <w:hideMark/>
          </w:tcPr>
          <w:p w14:paraId="483C3DFF"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0.57</w:t>
            </w:r>
          </w:p>
        </w:tc>
        <w:tc>
          <w:tcPr>
            <w:tcW w:w="1265" w:type="dxa"/>
            <w:tcBorders>
              <w:top w:val="nil"/>
              <w:left w:val="nil"/>
              <w:bottom w:val="nil"/>
              <w:right w:val="nil"/>
            </w:tcBorders>
            <w:shd w:val="clear" w:color="auto" w:fill="auto"/>
            <w:vAlign w:val="bottom"/>
            <w:hideMark/>
          </w:tcPr>
          <w:p w14:paraId="4A232D0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0.76</w:t>
            </w:r>
          </w:p>
        </w:tc>
        <w:tc>
          <w:tcPr>
            <w:tcW w:w="1265" w:type="dxa"/>
            <w:tcBorders>
              <w:top w:val="nil"/>
              <w:left w:val="nil"/>
              <w:bottom w:val="nil"/>
              <w:right w:val="nil"/>
            </w:tcBorders>
            <w:shd w:val="clear" w:color="auto" w:fill="auto"/>
            <w:vAlign w:val="bottom"/>
            <w:hideMark/>
          </w:tcPr>
          <w:p w14:paraId="4283A47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1.63</w:t>
            </w:r>
          </w:p>
        </w:tc>
        <w:tc>
          <w:tcPr>
            <w:tcW w:w="1265" w:type="dxa"/>
            <w:tcBorders>
              <w:top w:val="nil"/>
              <w:left w:val="nil"/>
              <w:bottom w:val="nil"/>
              <w:right w:val="nil"/>
            </w:tcBorders>
            <w:shd w:val="clear" w:color="auto" w:fill="auto"/>
            <w:vAlign w:val="bottom"/>
            <w:hideMark/>
          </w:tcPr>
          <w:p w14:paraId="4F4915D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1.85</w:t>
            </w:r>
          </w:p>
        </w:tc>
      </w:tr>
      <w:tr w:rsidR="0014588F" w:rsidRPr="009C2ADD" w14:paraId="02072CB1" w14:textId="77777777" w:rsidTr="000E6616">
        <w:trPr>
          <w:cantSplit/>
        </w:trPr>
        <w:tc>
          <w:tcPr>
            <w:tcW w:w="1732" w:type="dxa"/>
            <w:tcBorders>
              <w:top w:val="nil"/>
              <w:left w:val="nil"/>
              <w:bottom w:val="nil"/>
              <w:right w:val="nil"/>
            </w:tcBorders>
            <w:shd w:val="clear" w:color="auto" w:fill="auto"/>
            <w:hideMark/>
          </w:tcPr>
          <w:p w14:paraId="632AAA0B"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76CA607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4CE42B8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6866694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0.04</w:t>
            </w:r>
          </w:p>
        </w:tc>
        <w:tc>
          <w:tcPr>
            <w:tcW w:w="1265" w:type="dxa"/>
            <w:tcBorders>
              <w:top w:val="nil"/>
              <w:left w:val="nil"/>
              <w:bottom w:val="nil"/>
              <w:right w:val="nil"/>
            </w:tcBorders>
            <w:shd w:val="clear" w:color="auto" w:fill="auto"/>
            <w:vAlign w:val="bottom"/>
            <w:hideMark/>
          </w:tcPr>
          <w:p w14:paraId="3BE0B79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0.04</w:t>
            </w:r>
          </w:p>
        </w:tc>
        <w:tc>
          <w:tcPr>
            <w:tcW w:w="1265" w:type="dxa"/>
            <w:tcBorders>
              <w:top w:val="nil"/>
              <w:left w:val="nil"/>
              <w:bottom w:val="nil"/>
              <w:right w:val="nil"/>
            </w:tcBorders>
            <w:shd w:val="clear" w:color="auto" w:fill="auto"/>
            <w:vAlign w:val="bottom"/>
            <w:hideMark/>
          </w:tcPr>
          <w:p w14:paraId="36EFA838"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2315451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0.06</w:t>
            </w:r>
          </w:p>
        </w:tc>
      </w:tr>
      <w:tr w:rsidR="0014588F" w:rsidRPr="009C2ADD" w14:paraId="4ED49A24" w14:textId="77777777" w:rsidTr="000E6616">
        <w:trPr>
          <w:cantSplit/>
        </w:trPr>
        <w:tc>
          <w:tcPr>
            <w:tcW w:w="1732" w:type="dxa"/>
            <w:tcBorders>
              <w:top w:val="nil"/>
              <w:left w:val="nil"/>
              <w:bottom w:val="nil"/>
              <w:right w:val="nil"/>
            </w:tcBorders>
            <w:shd w:val="clear" w:color="auto" w:fill="auto"/>
            <w:hideMark/>
          </w:tcPr>
          <w:p w14:paraId="684A266A"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/F</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7FB09F7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0.89</w:t>
            </w:r>
          </w:p>
        </w:tc>
        <w:tc>
          <w:tcPr>
            <w:tcW w:w="1265" w:type="dxa"/>
            <w:tcBorders>
              <w:top w:val="nil"/>
              <w:left w:val="nil"/>
              <w:bottom w:val="nil"/>
              <w:right w:val="nil"/>
            </w:tcBorders>
            <w:shd w:val="clear" w:color="auto" w:fill="auto"/>
            <w:vAlign w:val="bottom"/>
            <w:hideMark/>
          </w:tcPr>
          <w:p w14:paraId="35E2FC8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0.83</w:t>
            </w:r>
          </w:p>
        </w:tc>
        <w:tc>
          <w:tcPr>
            <w:tcW w:w="1265" w:type="dxa"/>
            <w:tcBorders>
              <w:top w:val="nil"/>
              <w:left w:val="nil"/>
              <w:bottom w:val="nil"/>
              <w:right w:val="nil"/>
            </w:tcBorders>
            <w:shd w:val="clear" w:color="auto" w:fill="auto"/>
            <w:vAlign w:val="bottom"/>
            <w:hideMark/>
          </w:tcPr>
          <w:p w14:paraId="5FFEFF4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0.54</w:t>
            </w:r>
          </w:p>
        </w:tc>
        <w:tc>
          <w:tcPr>
            <w:tcW w:w="1265" w:type="dxa"/>
            <w:tcBorders>
              <w:top w:val="nil"/>
              <w:left w:val="nil"/>
              <w:bottom w:val="nil"/>
              <w:right w:val="nil"/>
            </w:tcBorders>
            <w:shd w:val="clear" w:color="auto" w:fill="auto"/>
            <w:vAlign w:val="bottom"/>
            <w:hideMark/>
          </w:tcPr>
          <w:p w14:paraId="5494ACD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0.61</w:t>
            </w:r>
          </w:p>
        </w:tc>
        <w:tc>
          <w:tcPr>
            <w:tcW w:w="1265" w:type="dxa"/>
            <w:tcBorders>
              <w:top w:val="nil"/>
              <w:left w:val="nil"/>
              <w:bottom w:val="nil"/>
              <w:right w:val="nil"/>
            </w:tcBorders>
            <w:shd w:val="clear" w:color="auto" w:fill="auto"/>
            <w:vAlign w:val="bottom"/>
            <w:hideMark/>
          </w:tcPr>
          <w:p w14:paraId="66B6E68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1.32</w:t>
            </w:r>
          </w:p>
        </w:tc>
        <w:tc>
          <w:tcPr>
            <w:tcW w:w="1265" w:type="dxa"/>
            <w:tcBorders>
              <w:top w:val="nil"/>
              <w:left w:val="nil"/>
              <w:bottom w:val="nil"/>
              <w:right w:val="nil"/>
            </w:tcBorders>
            <w:shd w:val="clear" w:color="auto" w:fill="auto"/>
            <w:vAlign w:val="bottom"/>
            <w:hideMark/>
          </w:tcPr>
          <w:p w14:paraId="11B7AF81"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1.76</w:t>
            </w:r>
          </w:p>
        </w:tc>
      </w:tr>
      <w:tr w:rsidR="0014588F" w:rsidRPr="009C2ADD" w14:paraId="6942815F" w14:textId="77777777" w:rsidTr="000E6616">
        <w:trPr>
          <w:cantSplit/>
        </w:trPr>
        <w:tc>
          <w:tcPr>
            <w:tcW w:w="1732" w:type="dxa"/>
            <w:tcBorders>
              <w:top w:val="nil"/>
              <w:left w:val="nil"/>
              <w:bottom w:val="nil"/>
              <w:right w:val="nil"/>
            </w:tcBorders>
            <w:shd w:val="clear" w:color="auto" w:fill="auto"/>
            <w:hideMark/>
          </w:tcPr>
          <w:p w14:paraId="4D2A2C59"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65F420E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457,162</w:t>
            </w:r>
          </w:p>
        </w:tc>
        <w:tc>
          <w:tcPr>
            <w:tcW w:w="1265" w:type="dxa"/>
            <w:tcBorders>
              <w:top w:val="nil"/>
              <w:left w:val="nil"/>
              <w:bottom w:val="nil"/>
              <w:right w:val="nil"/>
            </w:tcBorders>
            <w:shd w:val="clear" w:color="auto" w:fill="auto"/>
            <w:vAlign w:val="bottom"/>
            <w:hideMark/>
          </w:tcPr>
          <w:p w14:paraId="61A0390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454,100</w:t>
            </w:r>
          </w:p>
        </w:tc>
        <w:tc>
          <w:tcPr>
            <w:tcW w:w="1265" w:type="dxa"/>
            <w:tcBorders>
              <w:top w:val="nil"/>
              <w:left w:val="nil"/>
              <w:bottom w:val="nil"/>
              <w:right w:val="nil"/>
            </w:tcBorders>
            <w:shd w:val="clear" w:color="auto" w:fill="auto"/>
            <w:vAlign w:val="bottom"/>
            <w:hideMark/>
          </w:tcPr>
          <w:p w14:paraId="5AB9ABD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219,500</w:t>
            </w:r>
          </w:p>
        </w:tc>
        <w:tc>
          <w:tcPr>
            <w:tcW w:w="1265" w:type="dxa"/>
            <w:tcBorders>
              <w:top w:val="nil"/>
              <w:left w:val="nil"/>
              <w:bottom w:val="nil"/>
              <w:right w:val="nil"/>
            </w:tcBorders>
            <w:shd w:val="clear" w:color="auto" w:fill="auto"/>
            <w:vAlign w:val="bottom"/>
            <w:hideMark/>
          </w:tcPr>
          <w:p w14:paraId="20017A0C"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285,530</w:t>
            </w:r>
          </w:p>
        </w:tc>
        <w:tc>
          <w:tcPr>
            <w:tcW w:w="1265" w:type="dxa"/>
            <w:tcBorders>
              <w:top w:val="nil"/>
              <w:left w:val="nil"/>
              <w:bottom w:val="nil"/>
              <w:right w:val="nil"/>
            </w:tcBorders>
            <w:shd w:val="clear" w:color="auto" w:fill="auto"/>
            <w:vAlign w:val="bottom"/>
            <w:hideMark/>
          </w:tcPr>
          <w:p w14:paraId="73B3E144"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598,210</w:t>
            </w:r>
          </w:p>
        </w:tc>
        <w:tc>
          <w:tcPr>
            <w:tcW w:w="1265" w:type="dxa"/>
            <w:tcBorders>
              <w:top w:val="nil"/>
              <w:left w:val="nil"/>
              <w:bottom w:val="nil"/>
              <w:right w:val="nil"/>
            </w:tcBorders>
            <w:shd w:val="clear" w:color="auto" w:fill="auto"/>
            <w:vAlign w:val="bottom"/>
            <w:hideMark/>
          </w:tcPr>
          <w:p w14:paraId="56D5F5C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710,000</w:t>
            </w:r>
          </w:p>
        </w:tc>
      </w:tr>
      <w:tr w:rsidR="0014588F" w:rsidRPr="009C2ADD" w14:paraId="1DF6FCC0" w14:textId="77777777" w:rsidTr="000E6616">
        <w:trPr>
          <w:cantSplit/>
        </w:trPr>
        <w:tc>
          <w:tcPr>
            <w:tcW w:w="1732" w:type="dxa"/>
            <w:tcBorders>
              <w:top w:val="nil"/>
              <w:left w:val="nil"/>
              <w:bottom w:val="nil"/>
              <w:right w:val="nil"/>
            </w:tcBorders>
            <w:shd w:val="clear" w:color="auto" w:fill="auto"/>
            <w:hideMark/>
          </w:tcPr>
          <w:p w14:paraId="376A0E8D"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7ABD066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1,730,410</w:t>
            </w:r>
          </w:p>
        </w:tc>
        <w:tc>
          <w:tcPr>
            <w:tcW w:w="1265" w:type="dxa"/>
            <w:tcBorders>
              <w:top w:val="nil"/>
              <w:left w:val="nil"/>
              <w:bottom w:val="nil"/>
              <w:right w:val="nil"/>
            </w:tcBorders>
            <w:shd w:val="clear" w:color="auto" w:fill="auto"/>
            <w:vAlign w:val="bottom"/>
            <w:hideMark/>
          </w:tcPr>
          <w:p w14:paraId="40AC36D9"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1,763,000</w:t>
            </w:r>
          </w:p>
        </w:tc>
        <w:tc>
          <w:tcPr>
            <w:tcW w:w="1265" w:type="dxa"/>
            <w:tcBorders>
              <w:top w:val="nil"/>
              <w:left w:val="nil"/>
              <w:bottom w:val="nil"/>
              <w:right w:val="nil"/>
            </w:tcBorders>
            <w:shd w:val="clear" w:color="auto" w:fill="auto"/>
            <w:vAlign w:val="bottom"/>
            <w:hideMark/>
          </w:tcPr>
          <w:p w14:paraId="29C105F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1,009,000</w:t>
            </w:r>
          </w:p>
        </w:tc>
        <w:tc>
          <w:tcPr>
            <w:tcW w:w="1265" w:type="dxa"/>
            <w:tcBorders>
              <w:top w:val="nil"/>
              <w:left w:val="nil"/>
              <w:bottom w:val="nil"/>
              <w:right w:val="nil"/>
            </w:tcBorders>
            <w:shd w:val="clear" w:color="auto" w:fill="auto"/>
            <w:vAlign w:val="bottom"/>
            <w:hideMark/>
          </w:tcPr>
          <w:p w14:paraId="6D0E941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1,279,300</w:t>
            </w:r>
          </w:p>
        </w:tc>
        <w:tc>
          <w:tcPr>
            <w:tcW w:w="1265" w:type="dxa"/>
            <w:tcBorders>
              <w:top w:val="nil"/>
              <w:left w:val="nil"/>
              <w:bottom w:val="nil"/>
              <w:right w:val="nil"/>
            </w:tcBorders>
            <w:shd w:val="clear" w:color="auto" w:fill="auto"/>
            <w:vAlign w:val="bottom"/>
            <w:hideMark/>
          </w:tcPr>
          <w:p w14:paraId="6355365C"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2,148,200</w:t>
            </w:r>
          </w:p>
        </w:tc>
        <w:tc>
          <w:tcPr>
            <w:tcW w:w="1265" w:type="dxa"/>
            <w:tcBorders>
              <w:top w:val="nil"/>
              <w:left w:val="nil"/>
              <w:bottom w:val="nil"/>
              <w:right w:val="nil"/>
            </w:tcBorders>
            <w:shd w:val="clear" w:color="auto" w:fill="auto"/>
            <w:vAlign w:val="bottom"/>
            <w:hideMark/>
          </w:tcPr>
          <w:p w14:paraId="5713642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2,509,000</w:t>
            </w:r>
          </w:p>
        </w:tc>
      </w:tr>
      <w:tr w:rsidR="0014588F" w:rsidRPr="009C2ADD" w14:paraId="12803003" w14:textId="77777777" w:rsidTr="000E6616">
        <w:trPr>
          <w:cantSplit/>
        </w:trPr>
        <w:tc>
          <w:tcPr>
            <w:tcW w:w="1732" w:type="dxa"/>
            <w:tcBorders>
              <w:top w:val="nil"/>
              <w:left w:val="nil"/>
              <w:bottom w:val="nil"/>
              <w:right w:val="nil"/>
            </w:tcBorders>
            <w:shd w:val="clear" w:color="auto" w:fill="auto"/>
            <w:hideMark/>
          </w:tcPr>
          <w:p w14:paraId="274B0288"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104C78">
              <w:rPr>
                <w:rFonts w:ascii="Times New Roman" w:hAnsi="Times New Roman"/>
                <w:vertAlign w:val="subscript"/>
                <w:lang w:val="en-AU"/>
              </w:rPr>
              <w:t>MSY</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03ACD86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0.26</w:t>
            </w:r>
          </w:p>
        </w:tc>
        <w:tc>
          <w:tcPr>
            <w:tcW w:w="1265" w:type="dxa"/>
            <w:tcBorders>
              <w:top w:val="nil"/>
              <w:left w:val="nil"/>
              <w:bottom w:val="nil"/>
              <w:right w:val="nil"/>
            </w:tcBorders>
            <w:shd w:val="clear" w:color="auto" w:fill="auto"/>
            <w:vAlign w:val="bottom"/>
            <w:hideMark/>
          </w:tcPr>
          <w:p w14:paraId="18F6955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0.26</w:t>
            </w:r>
          </w:p>
        </w:tc>
        <w:tc>
          <w:tcPr>
            <w:tcW w:w="1265" w:type="dxa"/>
            <w:tcBorders>
              <w:top w:val="nil"/>
              <w:left w:val="nil"/>
              <w:bottom w:val="nil"/>
              <w:right w:val="nil"/>
            </w:tcBorders>
            <w:shd w:val="clear" w:color="auto" w:fill="auto"/>
            <w:vAlign w:val="bottom"/>
            <w:hideMark/>
          </w:tcPr>
          <w:p w14:paraId="46CC5E6F"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0.22</w:t>
            </w:r>
          </w:p>
        </w:tc>
        <w:tc>
          <w:tcPr>
            <w:tcW w:w="1265" w:type="dxa"/>
            <w:tcBorders>
              <w:top w:val="nil"/>
              <w:left w:val="nil"/>
              <w:bottom w:val="nil"/>
              <w:right w:val="nil"/>
            </w:tcBorders>
            <w:shd w:val="clear" w:color="auto" w:fill="auto"/>
            <w:vAlign w:val="bottom"/>
            <w:hideMark/>
          </w:tcPr>
          <w:p w14:paraId="294F9FC4"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6EB0FB11"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c>
          <w:tcPr>
            <w:tcW w:w="1265" w:type="dxa"/>
            <w:tcBorders>
              <w:top w:val="nil"/>
              <w:left w:val="nil"/>
              <w:bottom w:val="nil"/>
              <w:right w:val="nil"/>
            </w:tcBorders>
            <w:shd w:val="clear" w:color="auto" w:fill="auto"/>
            <w:vAlign w:val="bottom"/>
            <w:hideMark/>
          </w:tcPr>
          <w:p w14:paraId="169CA55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r>
      <w:tr w:rsidR="0014588F" w:rsidRPr="009C2ADD" w14:paraId="60C27D11" w14:textId="77777777" w:rsidTr="000E6616">
        <w:trPr>
          <w:cantSplit/>
        </w:trPr>
        <w:tc>
          <w:tcPr>
            <w:tcW w:w="1732" w:type="dxa"/>
            <w:tcBorders>
              <w:top w:val="nil"/>
              <w:left w:val="nil"/>
              <w:bottom w:val="nil"/>
              <w:right w:val="nil"/>
            </w:tcBorders>
            <w:shd w:val="clear" w:color="auto" w:fill="auto"/>
            <w:hideMark/>
          </w:tcPr>
          <w:p w14:paraId="5ABE8D0C" w14:textId="77777777" w:rsidR="0014588F" w:rsidRPr="009C2ADD" w:rsidRDefault="0014588F" w:rsidP="000E6616">
            <w:pPr>
              <w:adjustRightInd w:val="0"/>
              <w:snapToGrid w:val="0"/>
              <w:spacing w:after="0"/>
              <w:rPr>
                <w:rFonts w:ascii="Times New Roman" w:eastAsia="MS Mincho" w:hAnsi="Times New Roman"/>
                <w:i/>
                <w:lang w:val="en-AU"/>
              </w:rPr>
            </w:pPr>
            <w:r w:rsidRPr="0070772D">
              <w:rPr>
                <w:rFonts w:ascii="Times New Roman" w:hAnsi="Times New Roman"/>
                <w:i/>
              </w:rPr>
              <w:t>SB</w:t>
            </w:r>
            <w:r w:rsidRPr="00104C78">
              <w:rPr>
                <w:rFonts w:ascii="Times New Roman" w:hAnsi="Times New Roman"/>
                <w:vertAlign w:val="subscript"/>
              </w:rPr>
              <w:t>F=0</w:t>
            </w:r>
          </w:p>
        </w:tc>
        <w:tc>
          <w:tcPr>
            <w:tcW w:w="1264" w:type="dxa"/>
            <w:tcBorders>
              <w:top w:val="nil"/>
              <w:left w:val="nil"/>
              <w:bottom w:val="nil"/>
              <w:right w:val="nil"/>
            </w:tcBorders>
            <w:shd w:val="clear" w:color="auto" w:fill="auto"/>
            <w:vAlign w:val="bottom"/>
            <w:hideMark/>
          </w:tcPr>
          <w:p w14:paraId="5B35FAC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1,915,184</w:t>
            </w:r>
          </w:p>
        </w:tc>
        <w:tc>
          <w:tcPr>
            <w:tcW w:w="1265" w:type="dxa"/>
            <w:tcBorders>
              <w:top w:val="nil"/>
              <w:left w:val="nil"/>
              <w:bottom w:val="nil"/>
              <w:right w:val="nil"/>
            </w:tcBorders>
            <w:shd w:val="clear" w:color="auto" w:fill="auto"/>
            <w:vAlign w:val="bottom"/>
            <w:hideMark/>
          </w:tcPr>
          <w:p w14:paraId="40E2499C"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1,953,841</w:t>
            </w:r>
          </w:p>
        </w:tc>
        <w:tc>
          <w:tcPr>
            <w:tcW w:w="1265" w:type="dxa"/>
            <w:tcBorders>
              <w:top w:val="nil"/>
              <w:left w:val="nil"/>
              <w:bottom w:val="nil"/>
              <w:right w:val="nil"/>
            </w:tcBorders>
            <w:shd w:val="clear" w:color="auto" w:fill="auto"/>
            <w:vAlign w:val="bottom"/>
            <w:hideMark/>
          </w:tcPr>
          <w:p w14:paraId="442EAAA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1,317,336</w:t>
            </w:r>
          </w:p>
        </w:tc>
        <w:tc>
          <w:tcPr>
            <w:tcW w:w="1265" w:type="dxa"/>
            <w:tcBorders>
              <w:top w:val="nil"/>
              <w:left w:val="nil"/>
              <w:bottom w:val="nil"/>
              <w:right w:val="nil"/>
            </w:tcBorders>
            <w:shd w:val="clear" w:color="auto" w:fill="auto"/>
            <w:vAlign w:val="bottom"/>
            <w:hideMark/>
          </w:tcPr>
          <w:p w14:paraId="4D56BA3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1,584,593</w:t>
            </w:r>
          </w:p>
        </w:tc>
        <w:tc>
          <w:tcPr>
            <w:tcW w:w="1265" w:type="dxa"/>
            <w:tcBorders>
              <w:top w:val="nil"/>
              <w:left w:val="nil"/>
              <w:bottom w:val="nil"/>
              <w:right w:val="nil"/>
            </w:tcBorders>
            <w:shd w:val="clear" w:color="auto" w:fill="auto"/>
            <w:vAlign w:val="bottom"/>
            <w:hideMark/>
          </w:tcPr>
          <w:p w14:paraId="1332A421"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2,170,899</w:t>
            </w:r>
          </w:p>
        </w:tc>
        <w:tc>
          <w:tcPr>
            <w:tcW w:w="1265" w:type="dxa"/>
            <w:tcBorders>
              <w:top w:val="nil"/>
              <w:left w:val="nil"/>
              <w:bottom w:val="nil"/>
              <w:right w:val="nil"/>
            </w:tcBorders>
            <w:shd w:val="clear" w:color="auto" w:fill="auto"/>
            <w:vAlign w:val="bottom"/>
            <w:hideMark/>
          </w:tcPr>
          <w:p w14:paraId="18CF38C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2,460,411</w:t>
            </w:r>
          </w:p>
        </w:tc>
      </w:tr>
      <w:tr w:rsidR="0014588F" w:rsidRPr="009C2ADD" w14:paraId="230EDB81" w14:textId="77777777" w:rsidTr="000E6616">
        <w:trPr>
          <w:cantSplit/>
        </w:trPr>
        <w:tc>
          <w:tcPr>
            <w:tcW w:w="1732" w:type="dxa"/>
            <w:tcBorders>
              <w:top w:val="nil"/>
              <w:left w:val="nil"/>
              <w:bottom w:val="nil"/>
              <w:right w:val="nil"/>
            </w:tcBorders>
            <w:shd w:val="clear" w:color="auto" w:fill="auto"/>
            <w:hideMark/>
          </w:tcPr>
          <w:p w14:paraId="2044CD4B"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104C78">
              <w:rPr>
                <w:rFonts w:ascii="Times New Roman" w:hAnsi="Times New Roman"/>
                <w:vertAlign w:val="subscript"/>
                <w:lang w:val="en-AU"/>
              </w:rPr>
              <w:t>MSY</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0A84811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18598788"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3DB13204"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0.17</w:t>
            </w:r>
          </w:p>
        </w:tc>
        <w:tc>
          <w:tcPr>
            <w:tcW w:w="1265" w:type="dxa"/>
            <w:tcBorders>
              <w:top w:val="nil"/>
              <w:left w:val="nil"/>
              <w:bottom w:val="nil"/>
              <w:right w:val="nil"/>
            </w:tcBorders>
            <w:shd w:val="clear" w:color="auto" w:fill="auto"/>
            <w:vAlign w:val="bottom"/>
            <w:hideMark/>
          </w:tcPr>
          <w:p w14:paraId="51D8937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0.18</w:t>
            </w:r>
          </w:p>
        </w:tc>
        <w:tc>
          <w:tcPr>
            <w:tcW w:w="1265" w:type="dxa"/>
            <w:tcBorders>
              <w:top w:val="nil"/>
              <w:left w:val="nil"/>
              <w:bottom w:val="nil"/>
              <w:right w:val="nil"/>
            </w:tcBorders>
            <w:shd w:val="clear" w:color="auto" w:fill="auto"/>
            <w:vAlign w:val="bottom"/>
            <w:hideMark/>
          </w:tcPr>
          <w:p w14:paraId="7C9E88D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0.27</w:t>
            </w:r>
          </w:p>
        </w:tc>
        <w:tc>
          <w:tcPr>
            <w:tcW w:w="1265" w:type="dxa"/>
            <w:tcBorders>
              <w:top w:val="nil"/>
              <w:left w:val="nil"/>
              <w:bottom w:val="nil"/>
              <w:right w:val="nil"/>
            </w:tcBorders>
            <w:shd w:val="clear" w:color="auto" w:fill="auto"/>
            <w:vAlign w:val="bottom"/>
            <w:hideMark/>
          </w:tcPr>
          <w:p w14:paraId="68F53C1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r>
      <w:tr w:rsidR="0014588F" w:rsidRPr="009C2ADD" w14:paraId="1868F380" w14:textId="77777777" w:rsidTr="000E6616">
        <w:trPr>
          <w:cantSplit/>
        </w:trPr>
        <w:tc>
          <w:tcPr>
            <w:tcW w:w="1732" w:type="dxa"/>
            <w:tcBorders>
              <w:top w:val="nil"/>
              <w:left w:val="nil"/>
              <w:bottom w:val="nil"/>
              <w:right w:val="nil"/>
            </w:tcBorders>
            <w:shd w:val="clear" w:color="auto" w:fill="auto"/>
            <w:hideMark/>
          </w:tcPr>
          <w:p w14:paraId="0C07B098"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1E0E6AB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0.37</w:t>
            </w:r>
          </w:p>
        </w:tc>
        <w:tc>
          <w:tcPr>
            <w:tcW w:w="1265" w:type="dxa"/>
            <w:tcBorders>
              <w:top w:val="nil"/>
              <w:left w:val="nil"/>
              <w:bottom w:val="nil"/>
              <w:right w:val="nil"/>
            </w:tcBorders>
            <w:shd w:val="clear" w:color="auto" w:fill="auto"/>
            <w:vAlign w:val="bottom"/>
            <w:hideMark/>
          </w:tcPr>
          <w:p w14:paraId="2A20005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0.40</w:t>
            </w:r>
          </w:p>
        </w:tc>
        <w:tc>
          <w:tcPr>
            <w:tcW w:w="1265" w:type="dxa"/>
            <w:tcBorders>
              <w:top w:val="nil"/>
              <w:left w:val="nil"/>
              <w:bottom w:val="nil"/>
              <w:right w:val="nil"/>
            </w:tcBorders>
            <w:shd w:val="clear" w:color="auto" w:fill="auto"/>
            <w:vAlign w:val="bottom"/>
            <w:hideMark/>
          </w:tcPr>
          <w:p w14:paraId="28B9BCA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0.11</w:t>
            </w:r>
          </w:p>
        </w:tc>
        <w:tc>
          <w:tcPr>
            <w:tcW w:w="1265" w:type="dxa"/>
            <w:tcBorders>
              <w:top w:val="nil"/>
              <w:left w:val="nil"/>
              <w:bottom w:val="nil"/>
              <w:right w:val="nil"/>
            </w:tcBorders>
            <w:shd w:val="clear" w:color="auto" w:fill="auto"/>
            <w:vAlign w:val="bottom"/>
            <w:hideMark/>
          </w:tcPr>
          <w:p w14:paraId="78866113"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0.19</w:t>
            </w:r>
          </w:p>
        </w:tc>
        <w:tc>
          <w:tcPr>
            <w:tcW w:w="1265" w:type="dxa"/>
            <w:tcBorders>
              <w:top w:val="nil"/>
              <w:left w:val="nil"/>
              <w:bottom w:val="nil"/>
              <w:right w:val="nil"/>
            </w:tcBorders>
            <w:shd w:val="clear" w:color="auto" w:fill="auto"/>
            <w:vAlign w:val="bottom"/>
            <w:hideMark/>
          </w:tcPr>
          <w:p w14:paraId="56470804"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0.49</w:t>
            </w:r>
          </w:p>
        </w:tc>
        <w:tc>
          <w:tcPr>
            <w:tcW w:w="1265" w:type="dxa"/>
            <w:tcBorders>
              <w:top w:val="nil"/>
              <w:left w:val="nil"/>
              <w:bottom w:val="nil"/>
              <w:right w:val="nil"/>
            </w:tcBorders>
            <w:shd w:val="clear" w:color="auto" w:fill="auto"/>
            <w:vAlign w:val="bottom"/>
            <w:hideMark/>
          </w:tcPr>
          <w:p w14:paraId="7E0B73D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0.53</w:t>
            </w:r>
          </w:p>
        </w:tc>
      </w:tr>
      <w:tr w:rsidR="0014588F" w:rsidRPr="009C2ADD" w14:paraId="00F56C3C" w14:textId="77777777" w:rsidTr="000E6616">
        <w:trPr>
          <w:cantSplit/>
        </w:trPr>
        <w:tc>
          <w:tcPr>
            <w:tcW w:w="1732" w:type="dxa"/>
            <w:tcBorders>
              <w:top w:val="nil"/>
              <w:left w:val="nil"/>
              <w:bottom w:val="nil"/>
              <w:right w:val="nil"/>
            </w:tcBorders>
            <w:shd w:val="clear" w:color="auto" w:fill="auto"/>
            <w:hideMark/>
          </w:tcPr>
          <w:p w14:paraId="0D5245E7"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28505E93"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0.34</w:t>
            </w:r>
          </w:p>
        </w:tc>
        <w:tc>
          <w:tcPr>
            <w:tcW w:w="1265" w:type="dxa"/>
            <w:tcBorders>
              <w:top w:val="nil"/>
              <w:left w:val="nil"/>
              <w:bottom w:val="nil"/>
              <w:right w:val="nil"/>
            </w:tcBorders>
            <w:shd w:val="clear" w:color="auto" w:fill="auto"/>
            <w:vAlign w:val="bottom"/>
            <w:hideMark/>
          </w:tcPr>
          <w:p w14:paraId="2E48F4F6"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0.37</w:t>
            </w:r>
          </w:p>
        </w:tc>
        <w:tc>
          <w:tcPr>
            <w:tcW w:w="1265" w:type="dxa"/>
            <w:tcBorders>
              <w:top w:val="nil"/>
              <w:left w:val="nil"/>
              <w:bottom w:val="nil"/>
              <w:right w:val="nil"/>
            </w:tcBorders>
            <w:shd w:val="clear" w:color="auto" w:fill="auto"/>
            <w:vAlign w:val="bottom"/>
            <w:hideMark/>
          </w:tcPr>
          <w:p w14:paraId="3FEA46C0"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0.08</w:t>
            </w:r>
          </w:p>
        </w:tc>
        <w:tc>
          <w:tcPr>
            <w:tcW w:w="1265" w:type="dxa"/>
            <w:tcBorders>
              <w:top w:val="nil"/>
              <w:left w:val="nil"/>
              <w:bottom w:val="nil"/>
              <w:right w:val="nil"/>
            </w:tcBorders>
            <w:shd w:val="clear" w:color="auto" w:fill="auto"/>
            <w:vAlign w:val="bottom"/>
            <w:hideMark/>
          </w:tcPr>
          <w:p w14:paraId="19A9153C"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0.15</w:t>
            </w:r>
          </w:p>
        </w:tc>
        <w:tc>
          <w:tcPr>
            <w:tcW w:w="1265" w:type="dxa"/>
            <w:tcBorders>
              <w:top w:val="nil"/>
              <w:left w:val="nil"/>
              <w:bottom w:val="nil"/>
              <w:right w:val="nil"/>
            </w:tcBorders>
            <w:shd w:val="clear" w:color="auto" w:fill="auto"/>
            <w:vAlign w:val="bottom"/>
            <w:hideMark/>
          </w:tcPr>
          <w:p w14:paraId="06A05E5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0.46</w:t>
            </w:r>
          </w:p>
        </w:tc>
        <w:tc>
          <w:tcPr>
            <w:tcW w:w="1265" w:type="dxa"/>
            <w:tcBorders>
              <w:top w:val="nil"/>
              <w:left w:val="nil"/>
              <w:bottom w:val="nil"/>
              <w:right w:val="nil"/>
            </w:tcBorders>
            <w:shd w:val="clear" w:color="auto" w:fill="auto"/>
            <w:vAlign w:val="bottom"/>
            <w:hideMark/>
          </w:tcPr>
          <w:p w14:paraId="514FE448"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0.49</w:t>
            </w:r>
          </w:p>
        </w:tc>
      </w:tr>
      <w:tr w:rsidR="0014588F" w:rsidRPr="009C2ADD" w14:paraId="15C2C26D" w14:textId="77777777" w:rsidTr="000E6616">
        <w:trPr>
          <w:cantSplit/>
        </w:trPr>
        <w:tc>
          <w:tcPr>
            <w:tcW w:w="1732" w:type="dxa"/>
            <w:tcBorders>
              <w:top w:val="nil"/>
              <w:left w:val="nil"/>
              <w:bottom w:val="nil"/>
              <w:right w:val="nil"/>
            </w:tcBorders>
            <w:shd w:val="clear" w:color="auto" w:fill="auto"/>
            <w:hideMark/>
          </w:tcPr>
          <w:p w14:paraId="6245F79C"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Pr="009C2ADD">
              <w:rPr>
                <w:rFonts w:ascii="Times New Roman" w:eastAsia="MS Mincho" w:hAnsi="Times New Roman"/>
                <w:i/>
                <w:lang w:val="en-AU"/>
              </w:rPr>
              <w:t>/SB</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31391642"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1.42</w:t>
            </w:r>
          </w:p>
        </w:tc>
        <w:tc>
          <w:tcPr>
            <w:tcW w:w="1265" w:type="dxa"/>
            <w:tcBorders>
              <w:top w:val="nil"/>
              <w:left w:val="nil"/>
              <w:bottom w:val="nil"/>
              <w:right w:val="nil"/>
            </w:tcBorders>
            <w:shd w:val="clear" w:color="auto" w:fill="auto"/>
            <w:vAlign w:val="bottom"/>
            <w:hideMark/>
          </w:tcPr>
          <w:p w14:paraId="7617A735"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1.45</w:t>
            </w:r>
          </w:p>
        </w:tc>
        <w:tc>
          <w:tcPr>
            <w:tcW w:w="1265" w:type="dxa"/>
            <w:tcBorders>
              <w:top w:val="nil"/>
              <w:left w:val="nil"/>
              <w:bottom w:val="nil"/>
              <w:right w:val="nil"/>
            </w:tcBorders>
            <w:shd w:val="clear" w:color="auto" w:fill="auto"/>
            <w:vAlign w:val="bottom"/>
            <w:hideMark/>
          </w:tcPr>
          <w:p w14:paraId="0476962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0.42</w:t>
            </w:r>
          </w:p>
        </w:tc>
        <w:tc>
          <w:tcPr>
            <w:tcW w:w="1265" w:type="dxa"/>
            <w:tcBorders>
              <w:top w:val="nil"/>
              <w:left w:val="nil"/>
              <w:bottom w:val="nil"/>
              <w:right w:val="nil"/>
            </w:tcBorders>
            <w:shd w:val="clear" w:color="auto" w:fill="auto"/>
            <w:vAlign w:val="bottom"/>
            <w:hideMark/>
          </w:tcPr>
          <w:p w14:paraId="546B911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0.86</w:t>
            </w:r>
          </w:p>
        </w:tc>
        <w:tc>
          <w:tcPr>
            <w:tcW w:w="1265" w:type="dxa"/>
            <w:tcBorders>
              <w:top w:val="nil"/>
              <w:left w:val="nil"/>
              <w:bottom w:val="nil"/>
              <w:right w:val="nil"/>
            </w:tcBorders>
            <w:shd w:val="clear" w:color="auto" w:fill="auto"/>
            <w:vAlign w:val="bottom"/>
            <w:hideMark/>
          </w:tcPr>
          <w:p w14:paraId="3DAAE6C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1.97</w:t>
            </w:r>
          </w:p>
        </w:tc>
        <w:tc>
          <w:tcPr>
            <w:tcW w:w="1265" w:type="dxa"/>
            <w:tcBorders>
              <w:top w:val="nil"/>
              <w:left w:val="nil"/>
              <w:bottom w:val="nil"/>
              <w:right w:val="nil"/>
            </w:tcBorders>
            <w:shd w:val="clear" w:color="auto" w:fill="auto"/>
            <w:vAlign w:val="bottom"/>
            <w:hideMark/>
          </w:tcPr>
          <w:p w14:paraId="6064CAB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2.12</w:t>
            </w:r>
          </w:p>
        </w:tc>
      </w:tr>
      <w:tr w:rsidR="0014588F" w:rsidRPr="009C2ADD" w14:paraId="439C74D2" w14:textId="77777777" w:rsidTr="000E6616">
        <w:trPr>
          <w:cantSplit/>
        </w:trPr>
        <w:tc>
          <w:tcPr>
            <w:tcW w:w="1732" w:type="dxa"/>
            <w:tcBorders>
              <w:top w:val="nil"/>
              <w:left w:val="nil"/>
              <w:bottom w:val="nil"/>
              <w:right w:val="nil"/>
            </w:tcBorders>
            <w:shd w:val="clear" w:color="auto" w:fill="auto"/>
            <w:hideMark/>
          </w:tcPr>
          <w:p w14:paraId="6BA99C8C"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64E7959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0.30</w:t>
            </w:r>
          </w:p>
        </w:tc>
        <w:tc>
          <w:tcPr>
            <w:tcW w:w="1265" w:type="dxa"/>
            <w:tcBorders>
              <w:top w:val="nil"/>
              <w:left w:val="nil"/>
              <w:bottom w:val="nil"/>
              <w:right w:val="nil"/>
            </w:tcBorders>
            <w:shd w:val="clear" w:color="auto" w:fill="auto"/>
            <w:vAlign w:val="bottom"/>
            <w:hideMark/>
          </w:tcPr>
          <w:p w14:paraId="2363209F"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0.32</w:t>
            </w:r>
          </w:p>
        </w:tc>
        <w:tc>
          <w:tcPr>
            <w:tcW w:w="1265" w:type="dxa"/>
            <w:tcBorders>
              <w:top w:val="nil"/>
              <w:left w:val="nil"/>
              <w:bottom w:val="nil"/>
              <w:right w:val="nil"/>
            </w:tcBorders>
            <w:shd w:val="clear" w:color="auto" w:fill="auto"/>
            <w:vAlign w:val="bottom"/>
            <w:hideMark/>
          </w:tcPr>
          <w:p w14:paraId="2CE727E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0.08</w:t>
            </w:r>
          </w:p>
        </w:tc>
        <w:tc>
          <w:tcPr>
            <w:tcW w:w="1265" w:type="dxa"/>
            <w:tcBorders>
              <w:top w:val="nil"/>
              <w:left w:val="nil"/>
              <w:bottom w:val="nil"/>
              <w:right w:val="nil"/>
            </w:tcBorders>
            <w:shd w:val="clear" w:color="auto" w:fill="auto"/>
            <w:vAlign w:val="bottom"/>
            <w:hideMark/>
          </w:tcPr>
          <w:p w14:paraId="3AF2FFAB"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0.15</w:t>
            </w:r>
          </w:p>
        </w:tc>
        <w:tc>
          <w:tcPr>
            <w:tcW w:w="1265" w:type="dxa"/>
            <w:tcBorders>
              <w:top w:val="nil"/>
              <w:left w:val="nil"/>
              <w:bottom w:val="nil"/>
              <w:right w:val="nil"/>
            </w:tcBorders>
            <w:shd w:val="clear" w:color="auto" w:fill="auto"/>
            <w:vAlign w:val="bottom"/>
            <w:hideMark/>
          </w:tcPr>
          <w:p w14:paraId="17471DCA"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0.41</w:t>
            </w:r>
          </w:p>
        </w:tc>
        <w:tc>
          <w:tcPr>
            <w:tcW w:w="1265" w:type="dxa"/>
            <w:tcBorders>
              <w:top w:val="nil"/>
              <w:left w:val="nil"/>
              <w:bottom w:val="nil"/>
              <w:right w:val="nil"/>
            </w:tcBorders>
            <w:shd w:val="clear" w:color="auto" w:fill="auto"/>
            <w:vAlign w:val="bottom"/>
            <w:hideMark/>
          </w:tcPr>
          <w:p w14:paraId="1E4E799E"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0.44</w:t>
            </w:r>
          </w:p>
        </w:tc>
      </w:tr>
      <w:tr w:rsidR="0014588F" w:rsidRPr="009C2ADD" w14:paraId="249080E1" w14:textId="77777777" w:rsidTr="000E6616">
        <w:trPr>
          <w:cantSplit/>
        </w:trPr>
        <w:tc>
          <w:tcPr>
            <w:tcW w:w="1732" w:type="dxa"/>
            <w:tcBorders>
              <w:top w:val="nil"/>
              <w:left w:val="nil"/>
              <w:bottom w:val="single" w:sz="4" w:space="0" w:color="auto"/>
              <w:right w:val="nil"/>
            </w:tcBorders>
            <w:shd w:val="clear" w:color="auto" w:fill="auto"/>
            <w:hideMark/>
          </w:tcPr>
          <w:p w14:paraId="643A6EA2" w14:textId="77777777" w:rsidR="0014588F" w:rsidRPr="009C2ADD" w:rsidRDefault="0014588F" w:rsidP="000E6616">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/SB</w:t>
            </w:r>
            <w:r w:rsidRPr="00104C78">
              <w:rPr>
                <w:rFonts w:ascii="Times New Roman" w:hAnsi="Times New Roman"/>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30B32E98"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1.21</w:t>
            </w:r>
          </w:p>
        </w:tc>
        <w:tc>
          <w:tcPr>
            <w:tcW w:w="1265" w:type="dxa"/>
            <w:tcBorders>
              <w:top w:val="nil"/>
              <w:left w:val="nil"/>
              <w:bottom w:val="single" w:sz="4" w:space="0" w:color="auto"/>
              <w:right w:val="nil"/>
            </w:tcBorders>
            <w:shd w:val="clear" w:color="auto" w:fill="auto"/>
            <w:vAlign w:val="bottom"/>
            <w:hideMark/>
          </w:tcPr>
          <w:p w14:paraId="650F4CB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1.23</w:t>
            </w:r>
          </w:p>
        </w:tc>
        <w:tc>
          <w:tcPr>
            <w:tcW w:w="1265" w:type="dxa"/>
            <w:tcBorders>
              <w:top w:val="nil"/>
              <w:left w:val="nil"/>
              <w:bottom w:val="single" w:sz="4" w:space="0" w:color="auto"/>
              <w:right w:val="nil"/>
            </w:tcBorders>
            <w:shd w:val="clear" w:color="auto" w:fill="auto"/>
            <w:vAlign w:val="bottom"/>
            <w:hideMark/>
          </w:tcPr>
          <w:p w14:paraId="16FEFDF9"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0.32</w:t>
            </w:r>
          </w:p>
        </w:tc>
        <w:tc>
          <w:tcPr>
            <w:tcW w:w="1265" w:type="dxa"/>
            <w:tcBorders>
              <w:top w:val="nil"/>
              <w:left w:val="nil"/>
              <w:bottom w:val="single" w:sz="4" w:space="0" w:color="auto"/>
              <w:right w:val="nil"/>
            </w:tcBorders>
            <w:shd w:val="clear" w:color="auto" w:fill="auto"/>
            <w:vAlign w:val="bottom"/>
            <w:hideMark/>
          </w:tcPr>
          <w:p w14:paraId="4F61E5BD"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0.63</w:t>
            </w:r>
          </w:p>
        </w:tc>
        <w:tc>
          <w:tcPr>
            <w:tcW w:w="1265" w:type="dxa"/>
            <w:tcBorders>
              <w:top w:val="nil"/>
              <w:left w:val="nil"/>
              <w:bottom w:val="single" w:sz="4" w:space="0" w:color="auto"/>
              <w:right w:val="nil"/>
            </w:tcBorders>
            <w:shd w:val="clear" w:color="auto" w:fill="auto"/>
            <w:vAlign w:val="bottom"/>
            <w:hideMark/>
          </w:tcPr>
          <w:p w14:paraId="79B76AE8"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1.66</w:t>
            </w:r>
          </w:p>
        </w:tc>
        <w:tc>
          <w:tcPr>
            <w:tcW w:w="1265" w:type="dxa"/>
            <w:tcBorders>
              <w:top w:val="nil"/>
              <w:left w:val="nil"/>
              <w:bottom w:val="single" w:sz="4" w:space="0" w:color="auto"/>
              <w:right w:val="nil"/>
            </w:tcBorders>
            <w:shd w:val="clear" w:color="auto" w:fill="auto"/>
            <w:vAlign w:val="bottom"/>
            <w:hideMark/>
          </w:tcPr>
          <w:p w14:paraId="0C8D5207" w14:textId="77777777" w:rsidR="0014588F" w:rsidRPr="009C2ADD" w:rsidRDefault="0014588F" w:rsidP="000E6616">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1.86</w:t>
            </w:r>
          </w:p>
        </w:tc>
      </w:tr>
    </w:tbl>
    <w:p w14:paraId="56AD0344" w14:textId="77777777" w:rsidR="0014588F" w:rsidRPr="009C2ADD" w:rsidRDefault="0014588F" w:rsidP="0014588F">
      <w:pPr>
        <w:adjustRightInd w:val="0"/>
        <w:snapToGrid w:val="0"/>
        <w:spacing w:after="0"/>
        <w:rPr>
          <w:rFonts w:ascii="Times New Roman" w:hAnsi="Times New Roman"/>
          <w:b/>
        </w:rPr>
      </w:pPr>
    </w:p>
    <w:p w14:paraId="4663252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spawning biomass under the selected new and old growth curve model weightings was median</w:t>
      </w:r>
      <w:r w:rsidRPr="009C2ADD">
        <w:rPr>
          <w:rFonts w:ascii="Times New Roman" w:hAnsi="Times New Roman"/>
          <w:b/>
          <w:lang w:val="en-AU"/>
        </w:rPr>
        <w:t xml:space="preserve">　</w:t>
      </w:r>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0.32 with a probable range of 0.15 to 0.41 (80% probability interval). This suggested that there was likely a buffer between recent spawning biomass and the LRP but that there was also some probability that recent spawning biomass was below the LRP.</w:t>
      </w:r>
    </w:p>
    <w:p w14:paraId="64949CF5"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34565CC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there was a roughly 16% probability (23 out of 144 model weight units) that the recent spawning biomass had breached the adopted LRP with </w:t>
      </w:r>
      <w:proofErr w:type="gramStart"/>
      <w:r>
        <w:rPr>
          <w:rFonts w:ascii="Times New Roman" w:hAnsi="Times New Roman"/>
          <w:b/>
          <w:lang w:val="en-AU"/>
        </w:rPr>
        <w:t>Prob</w:t>
      </w:r>
      <w:r w:rsidRPr="009C2ADD">
        <w:rPr>
          <w:rFonts w:ascii="Times New Roman" w:hAnsi="Times New Roman"/>
          <w:b/>
          <w:lang w:val="en-AU"/>
        </w:rPr>
        <w:t>(</w:t>
      </w:r>
      <w:proofErr w:type="gramEnd"/>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&lt; 0.2) = 0.16. This suggested that there was a high probability (roughly 5 out of 6) that recent bigeye tuna spawning biomass had not breached the adopted spawning biomass limit reference point of 0.2*SB</w:t>
      </w:r>
      <w:r w:rsidRPr="0070772D">
        <w:rPr>
          <w:rFonts w:ascii="Times New Roman" w:hAnsi="Times New Roman"/>
          <w:b/>
          <w:vertAlign w:val="subscript"/>
          <w:lang w:val="en-AU"/>
        </w:rPr>
        <w:t>F=0</w:t>
      </w:r>
      <w:r w:rsidRPr="009C2ADD">
        <w:rPr>
          <w:rFonts w:ascii="Times New Roman" w:hAnsi="Times New Roman"/>
          <w:b/>
          <w:lang w:val="en-AU"/>
        </w:rPr>
        <w:t>.</w:t>
      </w:r>
    </w:p>
    <w:p w14:paraId="7031850C"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6C9FFE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under the selected new and old growth curve model weightings was median(F</w:t>
      </w:r>
      <w:r w:rsidRPr="0070772D">
        <w:rPr>
          <w:rFonts w:ascii="Times New Roman" w:hAnsi="Times New Roman"/>
          <w:b/>
          <w:vertAlign w:val="subscript"/>
          <w:lang w:val="en-AU"/>
        </w:rPr>
        <w:t>recent</w:t>
      </w:r>
      <w:r w:rsidRPr="009C2ADD">
        <w:rPr>
          <w:rFonts w:ascii="Times New Roman" w:hAnsi="Times New Roman"/>
          <w:b/>
          <w:lang w:val="en-AU"/>
        </w:rPr>
        <w:t>/F</w:t>
      </w:r>
      <w:r w:rsidRPr="0070772D">
        <w:rPr>
          <w:rFonts w:ascii="Times New Roman" w:hAnsi="Times New Roman"/>
          <w:b/>
          <w:vertAlign w:val="subscript"/>
          <w:lang w:val="en-AU" w:eastAsia="ko-KR"/>
        </w:rPr>
        <w:t>MSY</w:t>
      </w:r>
      <w:r w:rsidRPr="009C2ADD">
        <w:rPr>
          <w:rFonts w:ascii="Times New Roman" w:hAnsi="Times New Roman"/>
          <w:b/>
          <w:lang w:val="en-AU"/>
        </w:rPr>
        <w:t xml:space="preserve">) = 0.83 with an 80% probability interval of 0.61 to 1.31. While this suggested that there was likely a buffer between recent fishing mortality and </w:t>
      </w:r>
      <w:r w:rsidRPr="00300F08">
        <w:rPr>
          <w:rFonts w:ascii="Times New Roman" w:hAnsi="Times New Roman"/>
          <w:b/>
          <w:lang w:val="en-AU"/>
        </w:rPr>
        <w:t>F</w:t>
      </w:r>
      <w:r w:rsidRPr="0070772D">
        <w:rPr>
          <w:rFonts w:ascii="Times New Roman" w:hAnsi="Times New Roman"/>
          <w:b/>
          <w:vertAlign w:val="subscript"/>
          <w:lang w:val="en-AU" w:eastAsia="ko-KR"/>
        </w:rPr>
        <w:t>MSY</w:t>
      </w:r>
      <w:r w:rsidRPr="009C2ADD">
        <w:rPr>
          <w:rFonts w:ascii="Times New Roman" w:hAnsi="Times New Roman"/>
          <w:b/>
          <w:lang w:val="en-AU"/>
        </w:rPr>
        <w:t>, it also showed that there was some probability that recent fishing mortality was above F</w:t>
      </w:r>
      <w:r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7E6AA245"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BE0261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there was a roughly 23% probability (33 out of 144 model weight units as described in para. 6) that the recent fishing mortality was above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r>
        <w:rPr>
          <w:rFonts w:ascii="Times New Roman" w:hAnsi="Times New Roman"/>
          <w:b/>
          <w:lang w:val="en-AU"/>
        </w:rPr>
        <w:t>Prob(</w:t>
      </w:r>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&gt; 1) = 0.23. While this suggested that recent fishing mortality was likely below F</w:t>
      </w:r>
      <w:r w:rsidRPr="00104C78">
        <w:rPr>
          <w:rFonts w:ascii="Times New Roman" w:hAnsi="Times New Roman" w:hint="eastAsia"/>
          <w:b/>
          <w:vertAlign w:val="subscript"/>
          <w:lang w:val="en-AU" w:eastAsia="ko-KR"/>
        </w:rPr>
        <w:t>MSY</w:t>
      </w:r>
      <w:r w:rsidRPr="009C2ADD">
        <w:rPr>
          <w:rFonts w:ascii="Times New Roman" w:hAnsi="Times New Roman"/>
          <w:b/>
          <w:lang w:val="en-AU"/>
        </w:rPr>
        <w:t>, there was also a moderate probability (~ 1 out of 4) that recent fishing mortality has exceeded F</w:t>
      </w:r>
      <w:r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4122A902"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9BA8B5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best available information on the stock status of WCPO bigeye tuna has changed in two ways from the previous assessment under the selected weighting of the 2017 assessment uncertainty grid. First, the stock status condition is more positive with a higher central tendency for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in the 2017 assessment (</w:t>
      </w:r>
      <w:proofErr w:type="gramStart"/>
      <w:r w:rsidRPr="009C2ADD">
        <w:rPr>
          <w:rFonts w:ascii="Times New Roman" w:hAnsi="Times New Roman"/>
          <w:b/>
          <w:lang w:val="en-AU"/>
        </w:rPr>
        <w:t>median(</w:t>
      </w:r>
      <w:proofErr w:type="gramEnd"/>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0.32) in comparison to the 2014 assessment ( (SB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0.20) and a lower ratio of relative recent F in the 2017 assessment  ( median(F</w:t>
      </w:r>
      <w:r w:rsidRPr="0070772D">
        <w:rPr>
          <w:rFonts w:ascii="Times New Roman" w:hAnsi="Times New Roman"/>
          <w:b/>
          <w:vertAlign w:val="subscript"/>
          <w:lang w:val="en-AU"/>
        </w:rPr>
        <w:t>recent</w:t>
      </w:r>
      <w:r w:rsidRPr="009C2ADD">
        <w:rPr>
          <w:rFonts w:ascii="Times New Roman" w:hAnsi="Times New Roman"/>
          <w:b/>
          <w:lang w:val="en-AU"/>
        </w:rPr>
        <w:t>/F</w:t>
      </w:r>
      <w:r w:rsidRPr="0070772D">
        <w:rPr>
          <w:rFonts w:ascii="Times New Roman" w:hAnsi="Times New Roman"/>
          <w:b/>
          <w:vertAlign w:val="subscript"/>
          <w:lang w:val="en-AU" w:eastAsia="ko-KR"/>
        </w:rPr>
        <w:t>MSY</w:t>
      </w:r>
      <w:r w:rsidRPr="009C2ADD">
        <w:rPr>
          <w:rFonts w:ascii="Times New Roman" w:hAnsi="Times New Roman"/>
          <w:b/>
          <w:lang w:val="en-AU"/>
        </w:rPr>
        <w:t>) = 0.83 ) in comparison to the 2014 assessment  ( F</w:t>
      </w:r>
      <w:r w:rsidRPr="0070772D">
        <w:rPr>
          <w:rFonts w:ascii="Times New Roman" w:hAnsi="Times New Roman"/>
          <w:b/>
          <w:vertAlign w:val="subscript"/>
          <w:lang w:val="en-AU"/>
        </w:rPr>
        <w:t>current</w:t>
      </w:r>
      <w:r w:rsidRPr="009C2ADD">
        <w:rPr>
          <w:rFonts w:ascii="Times New Roman" w:hAnsi="Times New Roman"/>
          <w:b/>
          <w:lang w:val="en-AU"/>
        </w:rPr>
        <w:t>/F</w:t>
      </w:r>
      <w:r>
        <w:rPr>
          <w:rFonts w:ascii="Times New Roman" w:hAnsi="Times New Roman" w:hint="eastAsia"/>
          <w:b/>
          <w:vertAlign w:val="subscript"/>
          <w:lang w:val="en-AU" w:eastAsia="ko-KR"/>
        </w:rPr>
        <w:t>MSY</w:t>
      </w:r>
      <w:r w:rsidRPr="009C2ADD">
        <w:rPr>
          <w:rFonts w:ascii="Times New Roman" w:hAnsi="Times New Roman"/>
          <w:b/>
          <w:lang w:val="en-AU"/>
        </w:rPr>
        <w:t xml:space="preserve"> = 1.57 ). Second, there is much greater uncertainty in the stock status of bigeye tuna in 2017 due to the fuller technical treatment of structural uncertainty through the use of the model uncertainty grid. </w:t>
      </w:r>
    </w:p>
    <w:p w14:paraId="34806BBD"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DB1F10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positive changes for bigeye tuna stock status in the 2017 assessment are primarily due to three factors: the inclusion of the new growth curve information, the inclusion of the new regional assessment structure, and the estimated increases in recruitment in recent years. In terms of the cause of the recent increases in recruitment, SC13 commented that it was unclear whether the recent improvement was due to positive oceanographic conditions, effective management measures to conserve spawning biomass, some combination of both, or other factors. SC13 also noted the recent recruitment improvements for yellowfin and skipjack tunas.  SC13 also noted recent recruitment improvements for bigeye tuna in the Eastern Pacific Ocean. </w:t>
      </w:r>
    </w:p>
    <w:p w14:paraId="6E794CD2"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E8510F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regardless of the choice of uncertainty grid, the assessment results show that the stock has been continuously declining for about 60 years since the late 1950’s, except for the recent small increase suggested in the new growth curve model grid.</w:t>
      </w:r>
    </w:p>
    <w:p w14:paraId="11E8DD87"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D8738F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the continued higher levels of depletion in the equatorial and western Pacific (specifically Regions 3, 4, </w:t>
      </w:r>
      <w:r>
        <w:rPr>
          <w:rFonts w:ascii="Times New Roman" w:hAnsi="Times New Roman" w:hint="eastAsia"/>
          <w:b/>
          <w:lang w:val="en-AU" w:eastAsia="ko-KR"/>
        </w:rPr>
        <w:t xml:space="preserve">7 and </w:t>
      </w:r>
      <w:r w:rsidRPr="009C2ADD">
        <w:rPr>
          <w:rFonts w:ascii="Times New Roman" w:hAnsi="Times New Roman"/>
          <w:b/>
          <w:lang w:val="en-AU"/>
        </w:rPr>
        <w:t>8</w:t>
      </w:r>
      <w:r>
        <w:rPr>
          <w:rFonts w:ascii="Times New Roman" w:hAnsi="Times New Roman" w:hint="eastAsia"/>
          <w:b/>
          <w:lang w:val="en-AU" w:eastAsia="ko-KR"/>
        </w:rPr>
        <w:t xml:space="preserve"> </w:t>
      </w:r>
      <w:r w:rsidRPr="009C2ADD">
        <w:rPr>
          <w:rFonts w:ascii="Times New Roman" w:hAnsi="Times New Roman"/>
          <w:b/>
          <w:lang w:val="en-AU"/>
        </w:rPr>
        <w:t xml:space="preserve">of the stock assessment) and the associated higher levels of impact, especially on juvenile </w:t>
      </w:r>
      <w:r>
        <w:rPr>
          <w:rFonts w:ascii="Times New Roman" w:hAnsi="Times New Roman"/>
          <w:b/>
          <w:lang w:val="en-AU"/>
        </w:rPr>
        <w:t>bigeye tuna</w:t>
      </w:r>
      <w:r w:rsidRPr="009C2ADD">
        <w:rPr>
          <w:rFonts w:ascii="Times New Roman" w:hAnsi="Times New Roman"/>
          <w:b/>
          <w:lang w:val="en-AU"/>
        </w:rPr>
        <w:t>, in these regions due to the associated purse-seine fisheries and the ‘other’ fisheries within the western Pacific (as shown in Figures 35 and 46 of SC13-SA-WP-05).</w:t>
      </w:r>
    </w:p>
    <w:p w14:paraId="37A05888"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1D71313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there has been a long-term increase in fishing mortality for both juvenile and adult bigeye tuna, consistent with previous assessments. </w:t>
      </w:r>
    </w:p>
    <w:p w14:paraId="1A7A2D0E"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C1F214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has been a long-term decrease in spawning biomass from the 1950s to the present for bigeye tuna and that this is consistent with previous assessments.</w:t>
      </w:r>
    </w:p>
    <w:p w14:paraId="314CFE5B"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1C6C72A" w14:textId="77777777" w:rsidR="0014588F" w:rsidRPr="009C2ADD" w:rsidRDefault="0014588F" w:rsidP="0014588F">
      <w:pPr>
        <w:pStyle w:val="ListParagraph"/>
        <w:numPr>
          <w:ilvl w:val="0"/>
          <w:numId w:val="21"/>
        </w:numPr>
        <w:autoSpaceDE w:val="0"/>
        <w:autoSpaceDN w:val="0"/>
        <w:adjustRightInd w:val="0"/>
        <w:snapToGrid w:val="0"/>
        <w:ind w:left="0" w:firstLine="0"/>
        <w:contextualSpacing w:val="0"/>
        <w:rPr>
          <w:rFonts w:ascii="Times New Roman" w:hAnsi="Times New Roman"/>
          <w:b/>
          <w:lang w:val="en-AU"/>
        </w:rPr>
      </w:pPr>
      <w:r w:rsidRPr="009C2ADD">
        <w:rPr>
          <w:rFonts w:ascii="Times New Roman" w:hAnsi="Times New Roman"/>
          <w:b/>
          <w:lang w:val="en-AU"/>
        </w:rPr>
        <w:t xml:space="preserve">Management advice and implications </w:t>
      </w:r>
    </w:p>
    <w:p w14:paraId="71D39BDA" w14:textId="77777777" w:rsidR="0014588F" w:rsidRPr="009C2ADD" w:rsidRDefault="0014588F" w:rsidP="0014588F">
      <w:pPr>
        <w:pStyle w:val="ListParagraph"/>
        <w:autoSpaceDE w:val="0"/>
        <w:autoSpaceDN w:val="0"/>
        <w:adjustRightInd w:val="0"/>
        <w:snapToGrid w:val="0"/>
        <w:ind w:firstLine="0"/>
        <w:contextualSpacing w:val="0"/>
        <w:rPr>
          <w:rFonts w:ascii="Times New Roman" w:hAnsi="Times New Roman"/>
          <w:b/>
          <w:lang w:val="en-AU"/>
        </w:rPr>
      </w:pPr>
    </w:p>
    <w:p w14:paraId="5E0EF54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Based on the uncertainty grid adopted by SC13, the WCPO </w:t>
      </w:r>
      <w:r>
        <w:rPr>
          <w:rFonts w:ascii="Times New Roman" w:hAnsi="Times New Roman"/>
          <w:b/>
          <w:lang w:val="en-AU"/>
        </w:rPr>
        <w:t>bigeye tuna</w:t>
      </w:r>
      <w:r w:rsidRPr="009C2ADD">
        <w:rPr>
          <w:rFonts w:ascii="Times New Roman" w:hAnsi="Times New Roman"/>
          <w:b/>
          <w:lang w:val="en-AU"/>
        </w:rPr>
        <w:t xml:space="preserve"> spawning biomass is likely above the biomass LRP and recent F is likely below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and therefore noting the level of uncertainties in the current assessment it appears that the stock is not experiencing overfishing (77% probability) and it appears that the stock is not in an overfished condition (84% probability).  </w:t>
      </w:r>
    </w:p>
    <w:p w14:paraId="7EE57598"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3DD344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Although SC13 considers that the new assessment is a significant improvement in relation to the previous one, SC13 advises that the amount of uncertainty in the stock status results for the 2017 assessment is higher than for the previous assessment due to the inclusion of new information on </w:t>
      </w:r>
      <w:r>
        <w:rPr>
          <w:rFonts w:ascii="Times New Roman" w:hAnsi="Times New Roman"/>
          <w:b/>
          <w:lang w:val="en-AU"/>
        </w:rPr>
        <w:t>bigeye tuna</w:t>
      </w:r>
      <w:r w:rsidRPr="009C2ADD">
        <w:rPr>
          <w:rFonts w:ascii="Times New Roman" w:hAnsi="Times New Roman"/>
          <w:b/>
          <w:lang w:val="en-AU"/>
        </w:rPr>
        <w:t xml:space="preserve"> growth and regional structures. </w:t>
      </w:r>
    </w:p>
    <w:p w14:paraId="182AEBB3"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1A0E11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levels of fishing mortality and depletion differ between regions, and that fishery impact was higher in the tropical region (Regions 3, 4, 7 and 8 in the stock assessment model), with particularly high fishing mortality on juvenile bigeye tuna in these regions.  SC13 therefore recommends that WCPFC14 could continue to consider measures to reduce fishing mortality from fisheries that take juveniles, with the goal to increase bigeye fishery yields and reduce any further impacts on the spawning potential for this stock in the tropical regions. </w:t>
      </w:r>
    </w:p>
    <w:p w14:paraId="53E7BF2A"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C9D949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those results, SC13 recommends as a precautionary approach that the fishing mortality on bigeye tuna stock should not be increased from current level to maintain current or increased spawning biomass until the Commission can agree on an appropriate target reference point (TRP).</w:t>
      </w:r>
    </w:p>
    <w:p w14:paraId="445B0328"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294F151" w14:textId="77777777" w:rsidR="0014588F" w:rsidRPr="009C2ADD" w:rsidRDefault="0014588F" w:rsidP="0014588F">
      <w:pPr>
        <w:autoSpaceDE w:val="0"/>
        <w:autoSpaceDN w:val="0"/>
        <w:adjustRightInd w:val="0"/>
        <w:snapToGrid w:val="0"/>
        <w:spacing w:after="0"/>
        <w:rPr>
          <w:rFonts w:ascii="Times New Roman" w:hAnsi="Times New Roman"/>
          <w:b/>
          <w:lang w:val="en-AU"/>
        </w:rPr>
      </w:pPr>
      <w:r w:rsidRPr="009C2ADD">
        <w:rPr>
          <w:rFonts w:ascii="Times New Roman" w:hAnsi="Times New Roman"/>
          <w:b/>
          <w:lang w:val="en-AU"/>
        </w:rPr>
        <w:t>Research Recommendations</w:t>
      </w:r>
    </w:p>
    <w:p w14:paraId="56FA9DD2"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6785629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recognized that future work is required to improve the assessment and to reduce uncertainty. Future research should concentrate on the two axes (e.g. growth, regional structure) of uncertainty which are the most influential. The growth analysis should continue with the emphasis on providing length at age estimates for larger fish between 130 and 180 cm FL. Additional research is also required for the regional structure uncertainty to consider options in addition to the structures used in the 2014 and 2017 assessments, for example, by using statistical approaches (e.g. tree models). </w:t>
      </w:r>
    </w:p>
    <w:p w14:paraId="032545BB"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7F0D3D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In addition, SC13 considers that the model ensemble or weighting will be increasingly important as SC moves to uncertainty grid approaches in stock assessments and requests the Scientific Services Provider to study those methods further. </w:t>
      </w:r>
    </w:p>
    <w:p w14:paraId="7CFC1F85"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F52338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requested that SPC undertake projections of potential changes in spawning biomass in the future under current levels of fishing mortality.  This would be similar to the projections delivered in SC13-SA-IP-22, but would be based on the weighted uncertainty grid as described above.</w:t>
      </w:r>
    </w:p>
    <w:p w14:paraId="3F90297F" w14:textId="77777777" w:rsidR="0014588F" w:rsidRPr="009C2ADD" w:rsidRDefault="0014588F" w:rsidP="0014588F">
      <w:pPr>
        <w:pStyle w:val="WCPFC"/>
        <w:numPr>
          <w:ilvl w:val="0"/>
          <w:numId w:val="0"/>
        </w:numPr>
        <w:adjustRightInd w:val="0"/>
        <w:spacing w:after="0"/>
        <w:ind w:left="567"/>
        <w:rPr>
          <w:b/>
        </w:rPr>
      </w:pPr>
    </w:p>
    <w:p w14:paraId="1894CA6D" w14:textId="77777777" w:rsidR="0014588F" w:rsidRPr="009C2ADD" w:rsidRDefault="0014588F" w:rsidP="0014588F">
      <w:pPr>
        <w:pStyle w:val="Heading3"/>
        <w:adjustRightInd w:val="0"/>
        <w:snapToGrid w:val="0"/>
        <w:spacing w:before="0"/>
        <w:rPr>
          <w:rFonts w:ascii="Times New Roman" w:hAnsi="Times New Roman" w:cs="Times New Roman"/>
        </w:rPr>
      </w:pPr>
      <w:bookmarkStart w:id="18" w:name="_Toc498688629"/>
      <w:r w:rsidRPr="009C2ADD">
        <w:rPr>
          <w:rFonts w:ascii="Times New Roman" w:hAnsi="Times New Roman" w:cs="Times New Roman"/>
        </w:rPr>
        <w:t xml:space="preserve">4.1.2 </w:t>
      </w:r>
      <w:r w:rsidRPr="009C2ADD">
        <w:rPr>
          <w:rFonts w:ascii="Times New Roman" w:hAnsi="Times New Roman" w:cs="Times New Roman"/>
        </w:rPr>
        <w:tab/>
        <w:t>WCPO yellowfin tuna (</w:t>
      </w:r>
      <w:r w:rsidRPr="00464B7F">
        <w:rPr>
          <w:rFonts w:ascii="Times New Roman" w:hAnsi="Times New Roman" w:cs="Times New Roman"/>
          <w:i/>
        </w:rPr>
        <w:t>Thunnus albacares</w:t>
      </w:r>
      <w:r w:rsidRPr="009C2ADD">
        <w:rPr>
          <w:rFonts w:ascii="Times New Roman" w:hAnsi="Times New Roman" w:cs="Times New Roman"/>
        </w:rPr>
        <w:t>)</w:t>
      </w:r>
      <w:bookmarkEnd w:id="18"/>
    </w:p>
    <w:p w14:paraId="1F26708C"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20B8602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endorsed the 2017 WCPO yellowfin tuna stock assessment as the most advanced and comprehensive assessment yet conducted for this species. </w:t>
      </w:r>
    </w:p>
    <w:p w14:paraId="5C4CD7CF"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0B0009C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endorsed the use of the assessment model uncertainty grid to characterize stock status and management advice and implications. </w:t>
      </w:r>
    </w:p>
    <w:p w14:paraId="1B83C826"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9A21DC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reached consensus on the weighting of assessment models in the uncertainty grid for yellowfin tuna. The consensus weighting considered all options within five axes of uncertainty for steepness, tagging dispersion, tag mixing, size frequency (with two levels), and regional structure to be equally likely. The resulting uncertainty grid was used to characterize stock status, to summarize reference points as provided in the assessment document SC13-SA-WP-06, and to calculate the probability of breaching the adopted spawning biomass limit reference point (0.2*SB</w:t>
      </w:r>
      <w:r w:rsidRPr="0070772D">
        <w:rPr>
          <w:rFonts w:ascii="Times New Roman" w:hAnsi="Times New Roman"/>
          <w:b/>
          <w:vertAlign w:val="subscript"/>
          <w:lang w:val="en-AU"/>
        </w:rPr>
        <w:t>F=0</w:t>
      </w:r>
      <w:r w:rsidRPr="009C2ADD">
        <w:rPr>
          <w:rFonts w:ascii="Times New Roman" w:hAnsi="Times New Roman"/>
          <w:b/>
          <w:lang w:val="en-AU"/>
        </w:rPr>
        <w:t>) and the probability of F</w:t>
      </w:r>
      <w:r w:rsidRPr="0070772D">
        <w:rPr>
          <w:rFonts w:ascii="Times New Roman" w:hAnsi="Times New Roman"/>
          <w:b/>
          <w:vertAlign w:val="subscript"/>
          <w:lang w:val="en-AU"/>
        </w:rPr>
        <w:t>recent</w:t>
      </w:r>
      <w:r w:rsidRPr="009C2ADD">
        <w:rPr>
          <w:rFonts w:ascii="Times New Roman" w:hAnsi="Times New Roman"/>
          <w:b/>
          <w:lang w:val="en-AU"/>
        </w:rPr>
        <w:t xml:space="preserve"> being greater than F</w:t>
      </w:r>
      <w:r w:rsidRPr="0070772D">
        <w:rPr>
          <w:rFonts w:ascii="Times New Roman" w:hAnsi="Times New Roman"/>
          <w:b/>
          <w:vertAlign w:val="subscript"/>
          <w:lang w:val="en-AU" w:eastAsia="ko-KR"/>
        </w:rPr>
        <w:t>MSY</w:t>
      </w:r>
      <w:r w:rsidRPr="009C2ADD">
        <w:rPr>
          <w:rFonts w:ascii="Times New Roman" w:hAnsi="Times New Roman"/>
          <w:b/>
          <w:lang w:val="en-AU"/>
        </w:rPr>
        <w:t>.</w:t>
      </w:r>
    </w:p>
    <w:p w14:paraId="4B5CB860"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F1A225A" w14:textId="0C5CF49D" w:rsidR="0014588F" w:rsidRPr="009C2ADD" w:rsidRDefault="0014588F" w:rsidP="0014588F">
      <w:pPr>
        <w:pStyle w:val="WCPFC"/>
        <w:numPr>
          <w:ilvl w:val="0"/>
          <w:numId w:val="22"/>
        </w:numPr>
        <w:adjustRightInd w:val="0"/>
        <w:spacing w:after="0"/>
        <w:ind w:left="0" w:firstLine="0"/>
        <w:rPr>
          <w:b/>
        </w:rPr>
      </w:pPr>
      <w:r w:rsidRPr="009C2ADD">
        <w:rPr>
          <w:b/>
        </w:rPr>
        <w:t>S</w:t>
      </w:r>
      <w:r w:rsidR="006F302A">
        <w:rPr>
          <w:b/>
        </w:rPr>
        <w:t>tock s</w:t>
      </w:r>
      <w:r w:rsidRPr="009C2ADD">
        <w:rPr>
          <w:b/>
        </w:rPr>
        <w:t xml:space="preserve">tatus and trends </w:t>
      </w:r>
    </w:p>
    <w:p w14:paraId="68A4AA9D" w14:textId="77777777" w:rsidR="0014588F" w:rsidRPr="009C2ADD" w:rsidRDefault="0014588F" w:rsidP="0014588F">
      <w:pPr>
        <w:pStyle w:val="WCPFC"/>
        <w:numPr>
          <w:ilvl w:val="0"/>
          <w:numId w:val="0"/>
        </w:numPr>
        <w:adjustRightInd w:val="0"/>
        <w:spacing w:after="0"/>
        <w:ind w:left="720"/>
        <w:rPr>
          <w:b/>
        </w:rPr>
      </w:pPr>
    </w:p>
    <w:p w14:paraId="103233A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spawning biomass (2012-2015)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w:t>
      </w:r>
    </w:p>
    <w:p w14:paraId="70F4A013"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73ADF64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Descriptions of the updated structural sensitivity grid used to characterize uncertainty in the assessment are provided in Table YFT-1. Catch </w:t>
      </w:r>
      <w:r>
        <w:rPr>
          <w:rFonts w:ascii="Times New Roman" w:hAnsi="Times New Roman" w:hint="eastAsia"/>
          <w:b/>
          <w:lang w:val="en-AU" w:eastAsia="ko-KR"/>
        </w:rPr>
        <w:t>t</w:t>
      </w:r>
      <w:r w:rsidRPr="009C2ADD">
        <w:rPr>
          <w:rFonts w:ascii="Times New Roman" w:hAnsi="Times New Roman"/>
          <w:b/>
          <w:lang w:val="en-AU"/>
        </w:rPr>
        <w:t xml:space="preserve">rend data is presented in Figure YFT-1.  Estimated annual average recruitment, biomass, fishing mortality and depletion are shown in Figures YFT-2 – YFT-5. Majuro plots summarizing the results for each of the models in the structural uncertainty grid retained for management advice are represented in Figures YFT-6 and YFT-7. Figure YFT-8 and YFT-9 present Kobe plots summarizing the results for each of the models in the structural uncertainty grid. </w:t>
      </w:r>
      <w:r w:rsidRPr="0048229F">
        <w:rPr>
          <w:rFonts w:ascii="Times New Roman" w:hAnsi="Times New Roman"/>
          <w:b/>
          <w:lang w:val="en-AU" w:eastAsia="ko-KR"/>
        </w:rPr>
        <w:t xml:space="preserve">Figure YFT-10 </w:t>
      </w:r>
      <w:r>
        <w:rPr>
          <w:rFonts w:ascii="Times New Roman" w:hAnsi="Times New Roman" w:hint="eastAsia"/>
          <w:b/>
          <w:lang w:val="en-AU" w:eastAsia="ko-KR"/>
        </w:rPr>
        <w:t xml:space="preserve">provides </w:t>
      </w:r>
      <w:r>
        <w:rPr>
          <w:rFonts w:ascii="Times New Roman" w:hAnsi="Times New Roman"/>
          <w:b/>
          <w:lang w:val="en-AU" w:eastAsia="ko-KR"/>
        </w:rPr>
        <w:t>estimated</w:t>
      </w:r>
      <w:r w:rsidRPr="0070772D">
        <w:rPr>
          <w:rFonts w:ascii="Times New Roman" w:hAnsi="Times New Roman"/>
          <w:b/>
        </w:rPr>
        <w:t xml:space="preserve"> time-series (or “dynamic”) Majuro and Kobe plots from the yellowfin ‘diagnostic case’ model run.</w:t>
      </w:r>
      <w:r>
        <w:rPr>
          <w:rFonts w:hint="eastAsia"/>
          <w:lang w:eastAsia="ko-KR"/>
        </w:rPr>
        <w:t xml:space="preserve"> </w:t>
      </w:r>
      <w:r w:rsidRPr="009C2ADD">
        <w:rPr>
          <w:rFonts w:ascii="Times New Roman" w:hAnsi="Times New Roman"/>
          <w:b/>
          <w:lang w:val="en-AU"/>
        </w:rPr>
        <w:t>Figure YFT-1</w:t>
      </w:r>
      <w:r>
        <w:rPr>
          <w:rFonts w:ascii="Times New Roman" w:hAnsi="Times New Roman" w:hint="eastAsia"/>
          <w:b/>
          <w:lang w:val="en-AU" w:eastAsia="ko-KR"/>
        </w:rPr>
        <w:t>1 shows</w:t>
      </w:r>
      <w:r w:rsidRPr="009C2ADD">
        <w:rPr>
          <w:rFonts w:ascii="Times New Roman" w:hAnsi="Times New Roman"/>
          <w:b/>
          <w:lang w:val="en-AU"/>
        </w:rPr>
        <w:t xml:space="preserve"> </w:t>
      </w:r>
      <w:r>
        <w:rPr>
          <w:rFonts w:ascii="Times New Roman" w:hAnsi="Times New Roman" w:hint="eastAsia"/>
          <w:b/>
          <w:lang w:val="en-AU" w:eastAsia="ko-KR"/>
        </w:rPr>
        <w:t>e</w:t>
      </w:r>
      <w:r w:rsidRPr="009C2ADD">
        <w:rPr>
          <w:rFonts w:ascii="Times New Roman" w:hAnsi="Times New Roman"/>
          <w:b/>
          <w:lang w:val="en-AU"/>
        </w:rPr>
        <w:t xml:space="preserve">stimates of reduction in spawning potential due to fishing by region, and over all regions attributed to various fishery groups (gear-types) for the diagnostic case model.  Table YFT-2 </w:t>
      </w:r>
      <w:r>
        <w:rPr>
          <w:rFonts w:ascii="Times New Roman" w:hAnsi="Times New Roman" w:hint="eastAsia"/>
          <w:b/>
          <w:lang w:val="en-AU" w:eastAsia="ko-KR"/>
        </w:rPr>
        <w:t>p</w:t>
      </w:r>
      <w:r w:rsidRPr="009C2ADD">
        <w:rPr>
          <w:rFonts w:ascii="Times New Roman" w:hAnsi="Times New Roman"/>
          <w:b/>
          <w:lang w:val="en-AU"/>
        </w:rPr>
        <w:t>rovides a summary of reference points over the 48 models in the structural uncertainty grid</w:t>
      </w:r>
      <w:r>
        <w:rPr>
          <w:rFonts w:ascii="Times New Roman" w:hAnsi="Times New Roman" w:hint="eastAsia"/>
          <w:b/>
          <w:lang w:val="en-AU" w:eastAsia="ko-KR"/>
        </w:rPr>
        <w:t xml:space="preserve"> </w:t>
      </w:r>
      <w:r>
        <w:rPr>
          <w:rFonts w:ascii="Times New Roman" w:hAnsi="Times New Roman"/>
          <w:b/>
          <w:lang w:val="en-AU"/>
        </w:rPr>
        <w:t>(based on the SC decision to include size frequency weighting levels 20 and 50 only)</w:t>
      </w:r>
      <w:r w:rsidRPr="009C2ADD">
        <w:rPr>
          <w:rFonts w:ascii="Times New Roman" w:hAnsi="Times New Roman"/>
          <w:b/>
          <w:lang w:val="en-AU"/>
        </w:rPr>
        <w:t>.</w:t>
      </w:r>
    </w:p>
    <w:p w14:paraId="73CD1778"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1E0A3A2D" w14:textId="77777777" w:rsidR="0014588F" w:rsidRPr="009C2ADD" w:rsidRDefault="0014588F" w:rsidP="0014588F">
      <w:pPr>
        <w:pStyle w:val="WCPFC"/>
        <w:numPr>
          <w:ilvl w:val="0"/>
          <w:numId w:val="0"/>
        </w:numPr>
        <w:adjustRightInd w:val="0"/>
        <w:spacing w:after="0"/>
        <w:jc w:val="left"/>
      </w:pPr>
      <w:r w:rsidRPr="009C2ADD">
        <w:rPr>
          <w:b/>
        </w:rPr>
        <w:t>Table YFT</w:t>
      </w:r>
      <w:r>
        <w:rPr>
          <w:b/>
        </w:rPr>
        <w:t>-</w:t>
      </w:r>
      <w:r w:rsidRPr="009C2ADD">
        <w:rPr>
          <w:b/>
        </w:rPr>
        <w:t xml:space="preserve">1: </w:t>
      </w:r>
      <w:r w:rsidRPr="009C2ADD">
        <w:t>Description of the updated structural sensitivity grid used to characterize uncertainty in the assessment</w:t>
      </w:r>
    </w:p>
    <w:tbl>
      <w:tblPr>
        <w:tblW w:w="5000" w:type="pct"/>
        <w:tblLook w:val="04A0" w:firstRow="1" w:lastRow="0" w:firstColumn="1" w:lastColumn="0" w:noHBand="0" w:noVBand="1"/>
      </w:tblPr>
      <w:tblGrid>
        <w:gridCol w:w="3238"/>
        <w:gridCol w:w="1408"/>
        <w:gridCol w:w="4930"/>
      </w:tblGrid>
      <w:tr w:rsidR="0014588F" w:rsidRPr="009C2ADD" w14:paraId="4E7C307E" w14:textId="77777777" w:rsidTr="000E6616">
        <w:tc>
          <w:tcPr>
            <w:tcW w:w="1691" w:type="pct"/>
            <w:tcBorders>
              <w:top w:val="single" w:sz="12" w:space="0" w:color="auto"/>
              <w:left w:val="nil"/>
              <w:bottom w:val="single" w:sz="12" w:space="0" w:color="auto"/>
              <w:right w:val="nil"/>
            </w:tcBorders>
            <w:shd w:val="clear" w:color="auto" w:fill="auto"/>
            <w:vAlign w:val="center"/>
            <w:hideMark/>
          </w:tcPr>
          <w:p w14:paraId="09669343" w14:textId="77777777" w:rsidR="0014588F" w:rsidRPr="009C2ADD" w:rsidRDefault="0014588F" w:rsidP="000E6616">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Axis</w:t>
            </w:r>
          </w:p>
        </w:tc>
        <w:tc>
          <w:tcPr>
            <w:tcW w:w="735" w:type="pct"/>
            <w:tcBorders>
              <w:top w:val="single" w:sz="12" w:space="0" w:color="auto"/>
              <w:left w:val="nil"/>
              <w:bottom w:val="single" w:sz="12" w:space="0" w:color="auto"/>
              <w:right w:val="nil"/>
            </w:tcBorders>
            <w:shd w:val="clear" w:color="auto" w:fill="auto"/>
            <w:vAlign w:val="center"/>
            <w:hideMark/>
          </w:tcPr>
          <w:p w14:paraId="3F2C2CAF" w14:textId="77777777" w:rsidR="0014588F" w:rsidRPr="009C2ADD" w:rsidRDefault="0014588F" w:rsidP="000E6616">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Levels</w:t>
            </w:r>
          </w:p>
        </w:tc>
        <w:tc>
          <w:tcPr>
            <w:tcW w:w="2573" w:type="pct"/>
            <w:tcBorders>
              <w:top w:val="single" w:sz="12" w:space="0" w:color="auto"/>
              <w:left w:val="nil"/>
              <w:bottom w:val="single" w:sz="12" w:space="0" w:color="auto"/>
              <w:right w:val="nil"/>
            </w:tcBorders>
            <w:shd w:val="clear" w:color="auto" w:fill="auto"/>
            <w:vAlign w:val="center"/>
            <w:hideMark/>
          </w:tcPr>
          <w:p w14:paraId="1CBB0A05" w14:textId="77777777" w:rsidR="0014588F" w:rsidRPr="009C2ADD" w:rsidRDefault="0014588F" w:rsidP="000E6616">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Option</w:t>
            </w:r>
          </w:p>
        </w:tc>
      </w:tr>
      <w:tr w:rsidR="0014588F" w:rsidRPr="009C2ADD" w14:paraId="5D2440DF" w14:textId="77777777" w:rsidTr="000E6616">
        <w:tc>
          <w:tcPr>
            <w:tcW w:w="1691" w:type="pct"/>
            <w:tcBorders>
              <w:top w:val="single" w:sz="12" w:space="0" w:color="auto"/>
              <w:left w:val="nil"/>
              <w:bottom w:val="nil"/>
              <w:right w:val="nil"/>
            </w:tcBorders>
            <w:shd w:val="clear" w:color="auto" w:fill="auto"/>
            <w:vAlign w:val="center"/>
            <w:hideMark/>
          </w:tcPr>
          <w:p w14:paraId="0D5D20FA"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Steepness</w:t>
            </w:r>
          </w:p>
        </w:tc>
        <w:tc>
          <w:tcPr>
            <w:tcW w:w="735" w:type="pct"/>
            <w:tcBorders>
              <w:top w:val="single" w:sz="12" w:space="0" w:color="auto"/>
              <w:left w:val="nil"/>
              <w:bottom w:val="nil"/>
              <w:right w:val="nil"/>
            </w:tcBorders>
            <w:shd w:val="clear" w:color="auto" w:fill="auto"/>
            <w:vAlign w:val="center"/>
            <w:hideMark/>
          </w:tcPr>
          <w:p w14:paraId="48C6CA12" w14:textId="77777777" w:rsidR="0014588F" w:rsidRPr="009C2ADD" w:rsidRDefault="0014588F" w:rsidP="000E6616">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3</w:t>
            </w:r>
          </w:p>
        </w:tc>
        <w:tc>
          <w:tcPr>
            <w:tcW w:w="2573" w:type="pct"/>
            <w:tcBorders>
              <w:top w:val="single" w:sz="12" w:space="0" w:color="auto"/>
              <w:left w:val="nil"/>
              <w:bottom w:val="nil"/>
              <w:right w:val="nil"/>
            </w:tcBorders>
            <w:shd w:val="clear" w:color="auto" w:fill="auto"/>
            <w:vAlign w:val="center"/>
            <w:hideMark/>
          </w:tcPr>
          <w:p w14:paraId="0D42F7AC"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0.65, 0.80, 0.95</w:t>
            </w:r>
          </w:p>
        </w:tc>
      </w:tr>
      <w:tr w:rsidR="0014588F" w:rsidRPr="009C2ADD" w14:paraId="03D84936" w14:textId="77777777" w:rsidTr="000E6616">
        <w:tc>
          <w:tcPr>
            <w:tcW w:w="1691" w:type="pct"/>
            <w:shd w:val="clear" w:color="auto" w:fill="auto"/>
            <w:vAlign w:val="center"/>
            <w:hideMark/>
          </w:tcPr>
          <w:p w14:paraId="52D99E7A"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Tagging overdispersion</w:t>
            </w:r>
          </w:p>
        </w:tc>
        <w:tc>
          <w:tcPr>
            <w:tcW w:w="735" w:type="pct"/>
            <w:shd w:val="clear" w:color="auto" w:fill="auto"/>
            <w:vAlign w:val="center"/>
            <w:hideMark/>
          </w:tcPr>
          <w:p w14:paraId="01A184A4" w14:textId="77777777" w:rsidR="0014588F" w:rsidRPr="009C2ADD" w:rsidRDefault="0014588F" w:rsidP="000E6616">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shd w:val="clear" w:color="auto" w:fill="auto"/>
            <w:vAlign w:val="center"/>
            <w:hideMark/>
          </w:tcPr>
          <w:p w14:paraId="2C6A44A5"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Default level (1), fixed (moderate) level</w:t>
            </w:r>
          </w:p>
        </w:tc>
      </w:tr>
      <w:tr w:rsidR="0014588F" w:rsidRPr="009C2ADD" w14:paraId="1DFA741E" w14:textId="77777777" w:rsidTr="000E6616">
        <w:tc>
          <w:tcPr>
            <w:tcW w:w="1691" w:type="pct"/>
            <w:shd w:val="clear" w:color="auto" w:fill="auto"/>
            <w:vAlign w:val="center"/>
            <w:hideMark/>
          </w:tcPr>
          <w:p w14:paraId="1B7D3E60"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Tag mixing</w:t>
            </w:r>
          </w:p>
        </w:tc>
        <w:tc>
          <w:tcPr>
            <w:tcW w:w="735" w:type="pct"/>
            <w:shd w:val="clear" w:color="auto" w:fill="auto"/>
            <w:vAlign w:val="center"/>
            <w:hideMark/>
          </w:tcPr>
          <w:p w14:paraId="2ECEA8FA" w14:textId="77777777" w:rsidR="0014588F" w:rsidRPr="009C2ADD" w:rsidRDefault="0014588F" w:rsidP="000E6616">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shd w:val="clear" w:color="auto" w:fill="auto"/>
            <w:vAlign w:val="center"/>
            <w:hideMark/>
          </w:tcPr>
          <w:p w14:paraId="49355493"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1 or 2 quarters</w:t>
            </w:r>
          </w:p>
        </w:tc>
      </w:tr>
      <w:tr w:rsidR="0014588F" w:rsidRPr="009C2ADD" w14:paraId="549A0F3C" w14:textId="77777777" w:rsidTr="000E6616">
        <w:tc>
          <w:tcPr>
            <w:tcW w:w="1691" w:type="pct"/>
            <w:shd w:val="clear" w:color="auto" w:fill="auto"/>
            <w:vAlign w:val="center"/>
            <w:hideMark/>
          </w:tcPr>
          <w:p w14:paraId="2C456390"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Size frequency weighting</w:t>
            </w:r>
          </w:p>
        </w:tc>
        <w:tc>
          <w:tcPr>
            <w:tcW w:w="735" w:type="pct"/>
            <w:shd w:val="clear" w:color="auto" w:fill="auto"/>
            <w:vAlign w:val="center"/>
            <w:hideMark/>
          </w:tcPr>
          <w:p w14:paraId="7D095BC8" w14:textId="77777777" w:rsidR="0014588F" w:rsidRPr="009C2ADD" w:rsidRDefault="0014588F" w:rsidP="000E6616">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3</w:t>
            </w:r>
          </w:p>
        </w:tc>
        <w:tc>
          <w:tcPr>
            <w:tcW w:w="2573" w:type="pct"/>
            <w:shd w:val="clear" w:color="auto" w:fill="auto"/>
            <w:vAlign w:val="center"/>
            <w:hideMark/>
          </w:tcPr>
          <w:p w14:paraId="6B130B01"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Sample sizes divided by 10, 20, 50</w:t>
            </w:r>
          </w:p>
        </w:tc>
      </w:tr>
      <w:tr w:rsidR="0014588F" w:rsidRPr="009C2ADD" w14:paraId="15FBED52" w14:textId="77777777" w:rsidTr="000E6616">
        <w:tc>
          <w:tcPr>
            <w:tcW w:w="1691" w:type="pct"/>
            <w:tcBorders>
              <w:top w:val="nil"/>
              <w:left w:val="nil"/>
              <w:bottom w:val="single" w:sz="12" w:space="0" w:color="auto"/>
              <w:right w:val="nil"/>
            </w:tcBorders>
            <w:shd w:val="clear" w:color="auto" w:fill="auto"/>
            <w:vAlign w:val="center"/>
            <w:hideMark/>
          </w:tcPr>
          <w:p w14:paraId="354763F6"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Regional structure</w:t>
            </w:r>
          </w:p>
        </w:tc>
        <w:tc>
          <w:tcPr>
            <w:tcW w:w="735" w:type="pct"/>
            <w:tcBorders>
              <w:top w:val="nil"/>
              <w:left w:val="nil"/>
              <w:bottom w:val="single" w:sz="12" w:space="0" w:color="auto"/>
              <w:right w:val="nil"/>
            </w:tcBorders>
            <w:shd w:val="clear" w:color="auto" w:fill="auto"/>
            <w:vAlign w:val="center"/>
            <w:hideMark/>
          </w:tcPr>
          <w:p w14:paraId="0ED2B52E" w14:textId="77777777" w:rsidR="0014588F" w:rsidRPr="009C2ADD" w:rsidRDefault="0014588F" w:rsidP="000E6616">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tcBorders>
              <w:top w:val="nil"/>
              <w:left w:val="nil"/>
              <w:bottom w:val="single" w:sz="12" w:space="0" w:color="auto"/>
              <w:right w:val="nil"/>
            </w:tcBorders>
            <w:shd w:val="clear" w:color="auto" w:fill="auto"/>
            <w:vAlign w:val="center"/>
            <w:hideMark/>
          </w:tcPr>
          <w:p w14:paraId="447D4CE6" w14:textId="77777777" w:rsidR="0014588F" w:rsidRPr="009C2ADD" w:rsidRDefault="0014588F" w:rsidP="000E6616">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2017 regions, 2014 regions</w:t>
            </w:r>
          </w:p>
        </w:tc>
      </w:tr>
    </w:tbl>
    <w:p w14:paraId="7CCC2D7D" w14:textId="77777777" w:rsidR="0014588F" w:rsidRPr="009C2ADD" w:rsidRDefault="0014588F" w:rsidP="0014588F">
      <w:pPr>
        <w:pStyle w:val="WCPFC"/>
        <w:numPr>
          <w:ilvl w:val="0"/>
          <w:numId w:val="0"/>
        </w:numPr>
        <w:adjustRightInd w:val="0"/>
        <w:spacing w:after="0"/>
        <w:ind w:left="567"/>
        <w:rPr>
          <w:b/>
        </w:rPr>
      </w:pPr>
    </w:p>
    <w:p w14:paraId="3FFA1849" w14:textId="77777777" w:rsidR="0014588F" w:rsidRPr="009C2ADD" w:rsidRDefault="0014588F" w:rsidP="0014588F">
      <w:pPr>
        <w:pStyle w:val="WCPFC"/>
        <w:numPr>
          <w:ilvl w:val="0"/>
          <w:numId w:val="0"/>
        </w:numPr>
        <w:adjustRightInd w:val="0"/>
        <w:spacing w:after="0"/>
        <w:ind w:left="567"/>
        <w:rPr>
          <w:b/>
        </w:rPr>
      </w:pPr>
    </w:p>
    <w:p w14:paraId="7882765E" w14:textId="77777777" w:rsidR="0014588F" w:rsidRPr="009C2ADD" w:rsidRDefault="0014588F" w:rsidP="0014588F">
      <w:pPr>
        <w:pStyle w:val="WCPFC"/>
        <w:numPr>
          <w:ilvl w:val="0"/>
          <w:numId w:val="0"/>
        </w:numPr>
        <w:adjustRightInd w:val="0"/>
        <w:spacing w:after="0"/>
        <w:ind w:left="567"/>
        <w:rPr>
          <w:b/>
        </w:rPr>
      </w:pPr>
    </w:p>
    <w:p w14:paraId="4003E9C9" w14:textId="77777777" w:rsidR="0014588F" w:rsidRDefault="0014588F" w:rsidP="0014588F">
      <w:pPr>
        <w:pStyle w:val="WCPFC"/>
        <w:numPr>
          <w:ilvl w:val="0"/>
          <w:numId w:val="0"/>
        </w:numPr>
        <w:adjustRightInd w:val="0"/>
        <w:spacing w:after="0"/>
        <w:ind w:left="567"/>
        <w:rPr>
          <w:b/>
        </w:rPr>
      </w:pPr>
    </w:p>
    <w:p w14:paraId="712CA499" w14:textId="77777777" w:rsidR="0014588F" w:rsidRDefault="0014588F" w:rsidP="0014588F">
      <w:pPr>
        <w:pStyle w:val="WCPFC"/>
        <w:numPr>
          <w:ilvl w:val="0"/>
          <w:numId w:val="0"/>
        </w:numPr>
        <w:adjustRightInd w:val="0"/>
        <w:spacing w:after="0"/>
        <w:ind w:left="567"/>
        <w:rPr>
          <w:b/>
        </w:rPr>
      </w:pPr>
    </w:p>
    <w:p w14:paraId="58B386F4" w14:textId="77777777" w:rsidR="0014588F" w:rsidRDefault="0014588F" w:rsidP="0014588F">
      <w:pPr>
        <w:pStyle w:val="WCPFC"/>
        <w:numPr>
          <w:ilvl w:val="0"/>
          <w:numId w:val="0"/>
        </w:numPr>
        <w:adjustRightInd w:val="0"/>
        <w:spacing w:after="0"/>
        <w:ind w:left="567"/>
        <w:rPr>
          <w:b/>
        </w:rPr>
      </w:pPr>
    </w:p>
    <w:p w14:paraId="7A4D24C4" w14:textId="77777777" w:rsidR="0014588F" w:rsidRDefault="0014588F" w:rsidP="0014588F">
      <w:pPr>
        <w:pStyle w:val="WCPFC"/>
        <w:numPr>
          <w:ilvl w:val="0"/>
          <w:numId w:val="0"/>
        </w:numPr>
        <w:adjustRightInd w:val="0"/>
        <w:spacing w:after="0"/>
        <w:ind w:left="567"/>
        <w:rPr>
          <w:b/>
        </w:rPr>
      </w:pPr>
    </w:p>
    <w:p w14:paraId="7C886325" w14:textId="77777777" w:rsidR="0014588F" w:rsidRDefault="0014588F" w:rsidP="0014588F">
      <w:pPr>
        <w:pStyle w:val="WCPFC"/>
        <w:numPr>
          <w:ilvl w:val="0"/>
          <w:numId w:val="0"/>
        </w:numPr>
        <w:adjustRightInd w:val="0"/>
        <w:spacing w:after="0"/>
        <w:ind w:left="567"/>
        <w:rPr>
          <w:b/>
        </w:rPr>
      </w:pPr>
    </w:p>
    <w:p w14:paraId="17506A85" w14:textId="77777777" w:rsidR="0014588F" w:rsidRDefault="0014588F" w:rsidP="0014588F">
      <w:pPr>
        <w:pStyle w:val="WCPFC"/>
        <w:numPr>
          <w:ilvl w:val="0"/>
          <w:numId w:val="0"/>
        </w:numPr>
        <w:adjustRightInd w:val="0"/>
        <w:spacing w:after="0"/>
        <w:ind w:left="567"/>
        <w:rPr>
          <w:b/>
        </w:rPr>
      </w:pPr>
    </w:p>
    <w:p w14:paraId="03132F56" w14:textId="77777777" w:rsidR="0014588F" w:rsidRDefault="0014588F" w:rsidP="0014588F">
      <w:pPr>
        <w:pStyle w:val="WCPFC"/>
        <w:numPr>
          <w:ilvl w:val="0"/>
          <w:numId w:val="0"/>
        </w:numPr>
        <w:adjustRightInd w:val="0"/>
        <w:spacing w:after="0"/>
        <w:ind w:left="567"/>
        <w:rPr>
          <w:b/>
        </w:rPr>
      </w:pPr>
    </w:p>
    <w:p w14:paraId="120BA081" w14:textId="77777777" w:rsidR="0014588F" w:rsidRDefault="0014588F" w:rsidP="0014588F">
      <w:pPr>
        <w:pStyle w:val="WCPFC"/>
        <w:numPr>
          <w:ilvl w:val="0"/>
          <w:numId w:val="0"/>
        </w:numPr>
        <w:adjustRightInd w:val="0"/>
        <w:spacing w:after="0"/>
        <w:ind w:left="567"/>
        <w:rPr>
          <w:b/>
        </w:rPr>
      </w:pPr>
    </w:p>
    <w:p w14:paraId="6319396C" w14:textId="77777777" w:rsidR="0014588F" w:rsidRDefault="0014588F" w:rsidP="0014588F">
      <w:pPr>
        <w:pStyle w:val="WCPFC"/>
        <w:numPr>
          <w:ilvl w:val="0"/>
          <w:numId w:val="0"/>
        </w:numPr>
        <w:adjustRightInd w:val="0"/>
        <w:spacing w:after="0"/>
        <w:ind w:left="567"/>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713"/>
      </w:tblGrid>
      <w:tr w:rsidR="0014588F" w14:paraId="6F4C67F6" w14:textId="77777777" w:rsidTr="000E6616">
        <w:tc>
          <w:tcPr>
            <w:tcW w:w="4951" w:type="dxa"/>
            <w:vAlign w:val="center"/>
          </w:tcPr>
          <w:p w14:paraId="59BCDCCB" w14:textId="77777777" w:rsidR="0014588F" w:rsidRDefault="0014588F" w:rsidP="000E6616">
            <w:pPr>
              <w:pStyle w:val="WCPFC"/>
              <w:numPr>
                <w:ilvl w:val="0"/>
                <w:numId w:val="0"/>
              </w:numPr>
              <w:adjustRightInd w:val="0"/>
              <w:spacing w:after="0"/>
              <w:jc w:val="center"/>
              <w:rPr>
                <w:b/>
              </w:rPr>
            </w:pPr>
            <w:r w:rsidRPr="009C2ADD">
              <w:rPr>
                <w:b/>
                <w:noProof/>
                <w:lang w:val="en-US" w:eastAsia="ko-KR"/>
              </w:rPr>
              <w:drawing>
                <wp:inline distT="0" distB="0" distL="0" distR="0" wp14:anchorId="39065FA8" wp14:editId="44907770">
                  <wp:extent cx="2952863" cy="2243469"/>
                  <wp:effectExtent l="0" t="0" r="0" b="4445"/>
                  <wp:docPr id="73" name="Picture 17" descr="YFT-CES-catch-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FT-CES-catch-overal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5015" cy="2245104"/>
                          </a:xfrm>
                          <a:prstGeom prst="rect">
                            <a:avLst/>
                          </a:prstGeom>
                          <a:noFill/>
                          <a:ln>
                            <a:noFill/>
                          </a:ln>
                        </pic:spPr>
                      </pic:pic>
                    </a:graphicData>
                  </a:graphic>
                </wp:inline>
              </w:drawing>
            </w:r>
          </w:p>
        </w:tc>
        <w:tc>
          <w:tcPr>
            <w:tcW w:w="4625" w:type="dxa"/>
            <w:vAlign w:val="center"/>
          </w:tcPr>
          <w:p w14:paraId="3D6F3B8D" w14:textId="77777777" w:rsidR="0014588F" w:rsidRDefault="0014588F" w:rsidP="000E6616">
            <w:pPr>
              <w:pStyle w:val="WCPFC"/>
              <w:numPr>
                <w:ilvl w:val="0"/>
                <w:numId w:val="0"/>
              </w:numPr>
              <w:adjustRightInd w:val="0"/>
              <w:spacing w:after="0"/>
              <w:jc w:val="center"/>
              <w:rPr>
                <w:b/>
              </w:rPr>
            </w:pPr>
            <w:r w:rsidRPr="009C2ADD">
              <w:rPr>
                <w:noProof/>
                <w:lang w:val="en-US" w:eastAsia="ko-KR"/>
              </w:rPr>
              <w:drawing>
                <wp:inline distT="0" distB="0" distL="0" distR="0" wp14:anchorId="7542E17F" wp14:editId="21D1AEDD">
                  <wp:extent cx="2881424" cy="1871330"/>
                  <wp:effectExtent l="0" t="0" r="0" b="0"/>
                  <wp:docPr id="74" name="Picture 18" descr="plot_biomass_stacked_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ot_biomass_stacked_Recruit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0457" cy="1883691"/>
                          </a:xfrm>
                          <a:prstGeom prst="rect">
                            <a:avLst/>
                          </a:prstGeom>
                          <a:noFill/>
                          <a:ln>
                            <a:noFill/>
                          </a:ln>
                        </pic:spPr>
                      </pic:pic>
                    </a:graphicData>
                  </a:graphic>
                </wp:inline>
              </w:drawing>
            </w:r>
          </w:p>
        </w:tc>
      </w:tr>
      <w:tr w:rsidR="0014588F" w14:paraId="7238E6DE" w14:textId="77777777" w:rsidTr="000E6616">
        <w:tc>
          <w:tcPr>
            <w:tcW w:w="4951" w:type="dxa"/>
          </w:tcPr>
          <w:p w14:paraId="613D3D1B" w14:textId="77777777" w:rsidR="0014588F" w:rsidRDefault="0014588F" w:rsidP="000E6616">
            <w:pPr>
              <w:pStyle w:val="WCPFC"/>
              <w:numPr>
                <w:ilvl w:val="0"/>
                <w:numId w:val="0"/>
              </w:numPr>
              <w:adjustRightInd w:val="0"/>
              <w:spacing w:after="0"/>
              <w:rPr>
                <w:b/>
              </w:rPr>
            </w:pPr>
            <w:r w:rsidRPr="009C2ADD">
              <w:rPr>
                <w:b/>
                <w:bCs/>
              </w:rPr>
              <w:t>Figure</w:t>
            </w:r>
            <w:r w:rsidRPr="009C2ADD">
              <w:rPr>
                <w:rFonts w:eastAsia="MS PMincho"/>
                <w:b/>
                <w:bCs/>
              </w:rPr>
              <w:t xml:space="preserve">　</w:t>
            </w:r>
            <w:r w:rsidRPr="009C2ADD">
              <w:rPr>
                <w:b/>
                <w:bCs/>
              </w:rPr>
              <w:t xml:space="preserve">YFT-1. </w:t>
            </w:r>
            <w:r w:rsidRPr="009C2ADD">
              <w:t>Time series of total annual catch (1000's mt) by fishing gear for the diagnostic case model over the full assessment period.</w:t>
            </w:r>
          </w:p>
        </w:tc>
        <w:tc>
          <w:tcPr>
            <w:tcW w:w="4625" w:type="dxa"/>
          </w:tcPr>
          <w:p w14:paraId="055E0E80" w14:textId="77777777" w:rsidR="0014588F" w:rsidRDefault="0014588F" w:rsidP="000E6616">
            <w:pPr>
              <w:pStyle w:val="NormalWeb"/>
              <w:adjustRightInd w:val="0"/>
              <w:snapToGrid w:val="0"/>
              <w:jc w:val="left"/>
              <w:rPr>
                <w:rFonts w:ascii="Times New Roman" w:hAnsi="Times New Roman" w:cs="Times New Roman"/>
              </w:rPr>
            </w:pPr>
            <w:r w:rsidRPr="009C2ADD">
              <w:rPr>
                <w:rFonts w:ascii="Times New Roman" w:hAnsi="Times New Roman" w:cs="Times New Roman"/>
                <w:b/>
                <w:bCs/>
              </w:rPr>
              <w:t>Figure</w:t>
            </w:r>
            <w:r w:rsidRPr="009C2ADD">
              <w:rPr>
                <w:rFonts w:ascii="Times New Roman" w:eastAsia="MS PMincho" w:hAnsi="Times New Roman" w:cs="Times New Roman"/>
                <w:b/>
                <w:bCs/>
              </w:rPr>
              <w:t xml:space="preserve">　</w:t>
            </w:r>
            <w:r w:rsidRPr="009C2ADD">
              <w:rPr>
                <w:rFonts w:ascii="Times New Roman" w:hAnsi="Times New Roman" w:cs="Times New Roman"/>
                <w:b/>
                <w:bCs/>
              </w:rPr>
              <w:t xml:space="preserve">YFT-2. </w:t>
            </w:r>
            <w:r w:rsidRPr="009C2ADD">
              <w:rPr>
                <w:rFonts w:ascii="Times New Roman" w:hAnsi="Times New Roman" w:cs="Times New Roman"/>
              </w:rPr>
              <w:t>Estimated annual average recruitment by model region for the diagnostic case model, showing the relative s</w:t>
            </w:r>
            <w:r>
              <w:rPr>
                <w:rFonts w:ascii="Times New Roman" w:hAnsi="Times New Roman" w:cs="Times New Roman"/>
              </w:rPr>
              <w:t>izes among regions.</w:t>
            </w:r>
          </w:p>
          <w:p w14:paraId="045F083D" w14:textId="77777777" w:rsidR="0014588F" w:rsidRDefault="0014588F" w:rsidP="000E6616">
            <w:pPr>
              <w:pStyle w:val="NormalWeb"/>
              <w:adjustRightInd w:val="0"/>
              <w:snapToGrid w:val="0"/>
              <w:jc w:val="left"/>
              <w:rPr>
                <w:rFonts w:ascii="Times New Roman" w:hAnsi="Times New Roman" w:cs="Times New Roman"/>
              </w:rPr>
            </w:pPr>
          </w:p>
          <w:p w14:paraId="4CCBC76E" w14:textId="77777777" w:rsidR="0014588F" w:rsidRDefault="0014588F" w:rsidP="000E6616">
            <w:pPr>
              <w:pStyle w:val="NormalWeb"/>
              <w:adjustRightInd w:val="0"/>
              <w:snapToGrid w:val="0"/>
              <w:jc w:val="left"/>
              <w:rPr>
                <w:rFonts w:ascii="Times New Roman" w:hAnsi="Times New Roman" w:cs="Times New Roman"/>
              </w:rPr>
            </w:pPr>
          </w:p>
          <w:p w14:paraId="40AE9470" w14:textId="77777777" w:rsidR="0014588F" w:rsidRDefault="0014588F" w:rsidP="000E6616">
            <w:pPr>
              <w:pStyle w:val="NormalWeb"/>
              <w:adjustRightInd w:val="0"/>
              <w:snapToGrid w:val="0"/>
              <w:jc w:val="left"/>
              <w:rPr>
                <w:rFonts w:ascii="Times New Roman" w:hAnsi="Times New Roman" w:cs="Times New Roman"/>
              </w:rPr>
            </w:pPr>
          </w:p>
          <w:p w14:paraId="04815F7D" w14:textId="77777777" w:rsidR="0014588F" w:rsidRPr="00775B7B" w:rsidRDefault="0014588F" w:rsidP="000E6616">
            <w:pPr>
              <w:pStyle w:val="NormalWeb"/>
              <w:adjustRightInd w:val="0"/>
              <w:snapToGrid w:val="0"/>
              <w:jc w:val="left"/>
              <w:rPr>
                <w:rFonts w:ascii="Times New Roman" w:hAnsi="Times New Roman" w:cs="Times New Roman"/>
              </w:rPr>
            </w:pPr>
          </w:p>
        </w:tc>
      </w:tr>
      <w:tr w:rsidR="0014588F" w14:paraId="2B8D1F19" w14:textId="77777777" w:rsidTr="000E6616">
        <w:tc>
          <w:tcPr>
            <w:tcW w:w="4951" w:type="dxa"/>
          </w:tcPr>
          <w:p w14:paraId="0BFDD627" w14:textId="77777777" w:rsidR="0014588F" w:rsidRDefault="0014588F" w:rsidP="000E6616">
            <w:pPr>
              <w:pStyle w:val="WCPFC"/>
              <w:numPr>
                <w:ilvl w:val="0"/>
                <w:numId w:val="0"/>
              </w:numPr>
              <w:adjustRightInd w:val="0"/>
              <w:spacing w:after="0"/>
              <w:rPr>
                <w:b/>
              </w:rPr>
            </w:pPr>
            <w:r w:rsidRPr="009C2ADD">
              <w:rPr>
                <w:noProof/>
                <w:lang w:val="en-US" w:eastAsia="ko-KR"/>
              </w:rPr>
              <w:drawing>
                <wp:inline distT="0" distB="0" distL="0" distR="0" wp14:anchorId="042E1327" wp14:editId="76A181DA">
                  <wp:extent cx="2977116" cy="1850065"/>
                  <wp:effectExtent l="0" t="0" r="0" b="0"/>
                  <wp:docPr id="75" name="Picture 1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ot_biomass_stacked_SS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86627" cy="1855975"/>
                          </a:xfrm>
                          <a:prstGeom prst="rect">
                            <a:avLst/>
                          </a:prstGeom>
                          <a:noFill/>
                          <a:ln>
                            <a:noFill/>
                          </a:ln>
                        </pic:spPr>
                      </pic:pic>
                    </a:graphicData>
                  </a:graphic>
                </wp:inline>
              </w:drawing>
            </w:r>
          </w:p>
        </w:tc>
        <w:tc>
          <w:tcPr>
            <w:tcW w:w="4625" w:type="dxa"/>
          </w:tcPr>
          <w:p w14:paraId="240D4141" w14:textId="77777777" w:rsidR="0014588F" w:rsidRDefault="0014588F" w:rsidP="000E6616">
            <w:pPr>
              <w:pStyle w:val="WCPFC"/>
              <w:numPr>
                <w:ilvl w:val="0"/>
                <w:numId w:val="0"/>
              </w:numPr>
              <w:adjustRightInd w:val="0"/>
              <w:spacing w:after="0"/>
              <w:rPr>
                <w:b/>
              </w:rPr>
            </w:pPr>
            <w:r w:rsidRPr="009C2ADD">
              <w:rPr>
                <w:b/>
                <w:noProof/>
                <w:lang w:val="en-US" w:eastAsia="ko-KR"/>
              </w:rPr>
              <w:drawing>
                <wp:inline distT="0" distB="0" distL="0" distR="0" wp14:anchorId="2CFF7B5D" wp14:editId="602C594D">
                  <wp:extent cx="2855520" cy="1988288"/>
                  <wp:effectExtent l="0" t="0" r="2540" b="0"/>
                  <wp:docPr id="76" name="Picture 20"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ot_temporal_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0852" cy="1992001"/>
                          </a:xfrm>
                          <a:prstGeom prst="rect">
                            <a:avLst/>
                          </a:prstGeom>
                          <a:noFill/>
                          <a:ln>
                            <a:noFill/>
                          </a:ln>
                        </pic:spPr>
                      </pic:pic>
                    </a:graphicData>
                  </a:graphic>
                </wp:inline>
              </w:drawing>
            </w:r>
          </w:p>
        </w:tc>
      </w:tr>
      <w:tr w:rsidR="0014588F" w14:paraId="00909815" w14:textId="77777777" w:rsidTr="000E6616">
        <w:tc>
          <w:tcPr>
            <w:tcW w:w="4951" w:type="dxa"/>
          </w:tcPr>
          <w:p w14:paraId="5FEEDCAB" w14:textId="77777777" w:rsidR="0014588F" w:rsidRPr="00775B7B" w:rsidRDefault="0014588F" w:rsidP="000E6616">
            <w:pPr>
              <w:pStyle w:val="NormalWeb"/>
              <w:adjustRightInd w:val="0"/>
              <w:snapToGrid w:val="0"/>
              <w:jc w:val="left"/>
              <w:rPr>
                <w:rFonts w:ascii="Times New Roman" w:hAnsi="Times New Roman" w:cs="Times New Roman"/>
              </w:rPr>
            </w:pPr>
            <w:r w:rsidRPr="009C2ADD">
              <w:rPr>
                <w:rFonts w:ascii="Times New Roman" w:hAnsi="Times New Roman" w:cs="Times New Roman"/>
                <w:b/>
                <w:bCs/>
              </w:rPr>
              <w:t>Figure</w:t>
            </w:r>
            <w:r w:rsidRPr="009C2ADD">
              <w:rPr>
                <w:rFonts w:ascii="Times New Roman" w:eastAsia="MS PMincho" w:hAnsi="Times New Roman" w:cs="Times New Roman"/>
                <w:b/>
                <w:bCs/>
              </w:rPr>
              <w:t xml:space="preserve">　</w:t>
            </w:r>
            <w:r w:rsidRPr="009C2ADD">
              <w:rPr>
                <w:rFonts w:ascii="Times New Roman" w:hAnsi="Times New Roman" w:cs="Times New Roman"/>
                <w:b/>
                <w:bCs/>
              </w:rPr>
              <w:t>YFT-3</w:t>
            </w:r>
            <w:r w:rsidRPr="009C2ADD">
              <w:rPr>
                <w:rFonts w:ascii="Times New Roman" w:eastAsia="MS PMincho" w:hAnsi="Times New Roman" w:cs="Times New Roman"/>
                <w:b/>
              </w:rPr>
              <w:t xml:space="preserve">. </w:t>
            </w:r>
            <w:r w:rsidRPr="009C2ADD">
              <w:rPr>
                <w:rFonts w:ascii="Times New Roman" w:hAnsi="Times New Roman" w:cs="Times New Roman"/>
              </w:rPr>
              <w:t>Estimated annual average spawning potential by model region for the diagnostic case model, showing th</w:t>
            </w:r>
            <w:r>
              <w:rPr>
                <w:rFonts w:ascii="Times New Roman" w:hAnsi="Times New Roman" w:cs="Times New Roman"/>
              </w:rPr>
              <w:t>e relative sizes among regions.</w:t>
            </w:r>
          </w:p>
        </w:tc>
        <w:tc>
          <w:tcPr>
            <w:tcW w:w="4625" w:type="dxa"/>
          </w:tcPr>
          <w:p w14:paraId="69947D1C" w14:textId="77777777" w:rsidR="0014588F" w:rsidRPr="00775B7B" w:rsidRDefault="0014588F" w:rsidP="000E6616">
            <w:pPr>
              <w:adjustRightInd w:val="0"/>
              <w:snapToGrid w:val="0"/>
              <w:spacing w:after="0"/>
              <w:jc w:val="left"/>
              <w:rPr>
                <w:rFonts w:ascii="Times New Roman" w:eastAsia="MS Mincho" w:hAnsi="Times New Roman"/>
                <w:lang w:val="en-AU"/>
              </w:rPr>
            </w:pPr>
            <w:r w:rsidRPr="009C2ADD">
              <w:rPr>
                <w:rFonts w:ascii="Times New Roman" w:eastAsia="MS Mincho" w:hAnsi="Times New Roman"/>
                <w:b/>
                <w:bCs/>
                <w:lang w:val="en-AU"/>
              </w:rPr>
              <w:t>Figure YFT-4</w:t>
            </w:r>
            <w:r w:rsidRPr="009C2ADD">
              <w:rPr>
                <w:rFonts w:ascii="Times New Roman" w:eastAsia="MS PMincho" w:hAnsi="Times New Roman"/>
                <w:b/>
                <w:lang w:val="en-US"/>
              </w:rPr>
              <w:t xml:space="preserve">. </w:t>
            </w:r>
            <w:r w:rsidRPr="009C2ADD">
              <w:rPr>
                <w:rFonts w:ascii="Times New Roman" w:eastAsia="MS Mincho" w:hAnsi="Times New Roman"/>
                <w:lang w:val="en-AU"/>
              </w:rPr>
              <w:t>Estimated annual average juvenile and adult fishing mortality for the</w:t>
            </w:r>
            <w:r>
              <w:rPr>
                <w:rFonts w:ascii="Times New Roman" w:eastAsia="MS Mincho" w:hAnsi="Times New Roman"/>
                <w:lang w:val="en-AU"/>
              </w:rPr>
              <w:t xml:space="preserve"> diagnostic case model.</w:t>
            </w:r>
          </w:p>
        </w:tc>
      </w:tr>
    </w:tbl>
    <w:p w14:paraId="4627093D" w14:textId="77777777" w:rsidR="0014588F" w:rsidRDefault="0014588F" w:rsidP="0014588F">
      <w:pPr>
        <w:adjustRightInd w:val="0"/>
        <w:snapToGrid w:val="0"/>
        <w:spacing w:after="0"/>
      </w:pPr>
    </w:p>
    <w:p w14:paraId="629A380F" w14:textId="77777777" w:rsidR="0014588F" w:rsidRDefault="0014588F" w:rsidP="0014588F">
      <w:pPr>
        <w:adjustRightInd w:val="0"/>
        <w:snapToGrid w:val="0"/>
        <w:spacing w:after="0"/>
        <w:jc w:val="left"/>
      </w:pPr>
      <w:r>
        <w:br w:type="page"/>
      </w:r>
    </w:p>
    <w:tbl>
      <w:tblPr>
        <w:tblStyle w:val="TableGrid"/>
        <w:tblW w:w="0" w:type="auto"/>
        <w:tblLook w:val="04A0" w:firstRow="1" w:lastRow="0" w:firstColumn="1" w:lastColumn="0" w:noHBand="0" w:noVBand="1"/>
      </w:tblPr>
      <w:tblGrid>
        <w:gridCol w:w="4706"/>
        <w:gridCol w:w="47"/>
        <w:gridCol w:w="4823"/>
      </w:tblGrid>
      <w:tr w:rsidR="0014588F" w14:paraId="3EF9900D" w14:textId="77777777" w:rsidTr="000E6616">
        <w:tc>
          <w:tcPr>
            <w:tcW w:w="9576" w:type="dxa"/>
            <w:gridSpan w:val="3"/>
            <w:tcBorders>
              <w:top w:val="nil"/>
              <w:left w:val="nil"/>
              <w:bottom w:val="nil"/>
              <w:right w:val="nil"/>
            </w:tcBorders>
            <w:vAlign w:val="center"/>
          </w:tcPr>
          <w:p w14:paraId="51658704" w14:textId="77777777" w:rsidR="0014588F" w:rsidRPr="009C2ADD" w:rsidRDefault="0014588F" w:rsidP="000E6616">
            <w:pPr>
              <w:adjustRightInd w:val="0"/>
              <w:snapToGrid w:val="0"/>
              <w:spacing w:after="0"/>
              <w:jc w:val="center"/>
              <w:rPr>
                <w:rFonts w:ascii="Times New Roman" w:eastAsia="MS Mincho" w:hAnsi="Times New Roman"/>
                <w:b/>
                <w:bCs/>
                <w:lang w:val="en-AU"/>
              </w:rPr>
            </w:pPr>
            <w:r w:rsidRPr="009C2ADD">
              <w:rPr>
                <w:noProof/>
                <w:lang w:val="en-US" w:eastAsia="ko-KR"/>
              </w:rPr>
              <w:drawing>
                <wp:inline distT="0" distB="0" distL="0" distR="0" wp14:anchorId="206AD9DB" wp14:editId="3E347C34">
                  <wp:extent cx="3472031" cy="2562446"/>
                  <wp:effectExtent l="0" t="0" r="0" b="0"/>
                  <wp:docPr id="77" name="Picture 21" descr="grid-depletion-size-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id-depletion-size-20-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79165" cy="2567711"/>
                          </a:xfrm>
                          <a:prstGeom prst="rect">
                            <a:avLst/>
                          </a:prstGeom>
                          <a:noFill/>
                          <a:ln>
                            <a:noFill/>
                          </a:ln>
                        </pic:spPr>
                      </pic:pic>
                    </a:graphicData>
                  </a:graphic>
                </wp:inline>
              </w:drawing>
            </w:r>
          </w:p>
        </w:tc>
      </w:tr>
      <w:tr w:rsidR="0014588F" w14:paraId="4BBAE544" w14:textId="77777777" w:rsidTr="000E6616">
        <w:tc>
          <w:tcPr>
            <w:tcW w:w="9576" w:type="dxa"/>
            <w:gridSpan w:val="3"/>
            <w:tcBorders>
              <w:top w:val="nil"/>
              <w:left w:val="nil"/>
              <w:bottom w:val="nil"/>
              <w:right w:val="nil"/>
            </w:tcBorders>
          </w:tcPr>
          <w:p w14:paraId="07181646" w14:textId="77777777" w:rsidR="0014588F" w:rsidRPr="008400C6" w:rsidRDefault="0014588F" w:rsidP="000E6616">
            <w:pPr>
              <w:pStyle w:val="WCPFC"/>
              <w:numPr>
                <w:ilvl w:val="0"/>
                <w:numId w:val="0"/>
              </w:numPr>
              <w:adjustRightInd w:val="0"/>
              <w:spacing w:after="0"/>
              <w:rPr>
                <w:rFonts w:eastAsia="MS PMincho"/>
              </w:rPr>
            </w:pPr>
            <w:r w:rsidRPr="008400C6">
              <w:rPr>
                <w:b/>
                <w:bCs/>
              </w:rPr>
              <w:t>Figure YFT-5</w:t>
            </w:r>
            <w:r w:rsidRPr="008400C6">
              <w:rPr>
                <w:rFonts w:eastAsia="MS PMincho"/>
                <w:lang w:val="en-US"/>
              </w:rPr>
              <w:t>：</w:t>
            </w:r>
            <w:r w:rsidRPr="008400C6">
              <w:rPr>
                <w:rFonts w:eastAsia="MS PMincho"/>
              </w:rPr>
              <w:t>Plot showing the trajectories of fishing depletion (of spawning potential) for the 48 model runs retained for the structural uncertainty grid used for management advice. The colours depict the models in the grid with the size composition weighting using divisors of 20 and 50.</w:t>
            </w:r>
          </w:p>
          <w:p w14:paraId="421B1CD9" w14:textId="77777777" w:rsidR="0014588F" w:rsidRDefault="0014588F" w:rsidP="000E6616">
            <w:pPr>
              <w:pStyle w:val="NormalWeb"/>
              <w:adjustRightInd w:val="0"/>
              <w:snapToGrid w:val="0"/>
              <w:rPr>
                <w:rFonts w:ascii="Times New Roman" w:eastAsia="MS PMincho" w:hAnsi="Times New Roman" w:cs="Times New Roman"/>
                <w:sz w:val="20"/>
                <w:szCs w:val="20"/>
              </w:rPr>
            </w:pPr>
          </w:p>
          <w:p w14:paraId="252E8B1F" w14:textId="77777777" w:rsidR="0014588F" w:rsidRDefault="0014588F" w:rsidP="000E6616">
            <w:pPr>
              <w:pStyle w:val="NormalWeb"/>
              <w:adjustRightInd w:val="0"/>
              <w:snapToGrid w:val="0"/>
              <w:rPr>
                <w:rFonts w:ascii="Times New Roman" w:eastAsia="MS PMincho" w:hAnsi="Times New Roman" w:cs="Times New Roman"/>
                <w:sz w:val="20"/>
                <w:szCs w:val="20"/>
              </w:rPr>
            </w:pPr>
          </w:p>
          <w:p w14:paraId="059BF962" w14:textId="77777777" w:rsidR="0014588F" w:rsidRPr="00B226B8" w:rsidRDefault="0014588F" w:rsidP="000E6616">
            <w:pPr>
              <w:adjustRightInd w:val="0"/>
              <w:snapToGrid w:val="0"/>
              <w:spacing w:after="0"/>
              <w:jc w:val="left"/>
              <w:rPr>
                <w:rFonts w:ascii="Times New Roman" w:eastAsia="MS Mincho" w:hAnsi="Times New Roman"/>
                <w:b/>
                <w:bCs/>
                <w:sz w:val="20"/>
                <w:szCs w:val="20"/>
                <w:lang w:val="en-AU"/>
              </w:rPr>
            </w:pPr>
          </w:p>
        </w:tc>
      </w:tr>
      <w:tr w:rsidR="0014588F" w14:paraId="169637AE" w14:textId="77777777" w:rsidTr="000E6616">
        <w:tc>
          <w:tcPr>
            <w:tcW w:w="4787" w:type="dxa"/>
            <w:gridSpan w:val="2"/>
            <w:tcBorders>
              <w:top w:val="nil"/>
              <w:left w:val="nil"/>
              <w:bottom w:val="nil"/>
              <w:right w:val="nil"/>
            </w:tcBorders>
            <w:vAlign w:val="center"/>
          </w:tcPr>
          <w:p w14:paraId="5BFA322D" w14:textId="77777777" w:rsidR="0014588F" w:rsidRPr="009C2ADD" w:rsidRDefault="0014588F" w:rsidP="000E6616">
            <w:pPr>
              <w:pStyle w:val="WCPFC"/>
              <w:numPr>
                <w:ilvl w:val="0"/>
                <w:numId w:val="0"/>
              </w:numPr>
              <w:adjustRightInd w:val="0"/>
              <w:spacing w:after="0"/>
              <w:jc w:val="center"/>
              <w:rPr>
                <w:b/>
                <w:bCs/>
              </w:rPr>
            </w:pPr>
            <w:r w:rsidRPr="009C2ADD">
              <w:rPr>
                <w:noProof/>
                <w:lang w:val="en-US" w:eastAsia="ko-KR"/>
              </w:rPr>
              <w:drawing>
                <wp:inline distT="0" distB="0" distL="0" distR="0" wp14:anchorId="7E8DA1F7" wp14:editId="1A8B8116">
                  <wp:extent cx="2960727" cy="2264735"/>
                  <wp:effectExtent l="0" t="0" r="0" b="2540"/>
                  <wp:docPr id="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7485" cy="2277554"/>
                          </a:xfrm>
                          <a:prstGeom prst="rect">
                            <a:avLst/>
                          </a:prstGeom>
                          <a:noFill/>
                          <a:ln>
                            <a:noFill/>
                          </a:ln>
                        </pic:spPr>
                      </pic:pic>
                    </a:graphicData>
                  </a:graphic>
                </wp:inline>
              </w:drawing>
            </w:r>
          </w:p>
        </w:tc>
        <w:tc>
          <w:tcPr>
            <w:tcW w:w="4789" w:type="dxa"/>
            <w:tcBorders>
              <w:top w:val="nil"/>
              <w:left w:val="nil"/>
              <w:bottom w:val="nil"/>
              <w:right w:val="nil"/>
            </w:tcBorders>
            <w:vAlign w:val="center"/>
          </w:tcPr>
          <w:p w14:paraId="2863C556" w14:textId="77777777" w:rsidR="0014588F" w:rsidRPr="009C2ADD" w:rsidRDefault="0014588F" w:rsidP="000E6616">
            <w:pPr>
              <w:pStyle w:val="NormalWeb"/>
              <w:adjustRightInd w:val="0"/>
              <w:snapToGrid w:val="0"/>
              <w:jc w:val="center"/>
              <w:rPr>
                <w:rFonts w:ascii="Times New Roman" w:hAnsi="Times New Roman" w:cs="Times New Roman"/>
                <w:b/>
                <w:bCs/>
              </w:rPr>
            </w:pPr>
            <w:r w:rsidRPr="009C2ADD">
              <w:rPr>
                <w:b/>
                <w:noProof/>
                <w:lang w:val="en-US" w:eastAsia="ko-KR"/>
              </w:rPr>
              <w:drawing>
                <wp:inline distT="0" distB="0" distL="0" distR="0" wp14:anchorId="74E3E24F" wp14:editId="656DEF2D">
                  <wp:extent cx="3001265" cy="2296633"/>
                  <wp:effectExtent l="0" t="0" r="8890" b="8890"/>
                  <wp:docPr id="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10526" cy="2303720"/>
                          </a:xfrm>
                          <a:prstGeom prst="rect">
                            <a:avLst/>
                          </a:prstGeom>
                          <a:noFill/>
                          <a:ln>
                            <a:noFill/>
                          </a:ln>
                        </pic:spPr>
                      </pic:pic>
                    </a:graphicData>
                  </a:graphic>
                </wp:inline>
              </w:drawing>
            </w:r>
          </w:p>
        </w:tc>
      </w:tr>
      <w:tr w:rsidR="0014588F" w14:paraId="314A7D62" w14:textId="77777777" w:rsidTr="000E6616">
        <w:tc>
          <w:tcPr>
            <w:tcW w:w="4787" w:type="dxa"/>
            <w:gridSpan w:val="2"/>
            <w:tcBorders>
              <w:top w:val="nil"/>
              <w:left w:val="nil"/>
              <w:bottom w:val="nil"/>
              <w:right w:val="nil"/>
            </w:tcBorders>
          </w:tcPr>
          <w:p w14:paraId="1BE2D3F9" w14:textId="77777777" w:rsidR="0014588F" w:rsidRPr="008400C6" w:rsidRDefault="0014588F" w:rsidP="000E6616">
            <w:pPr>
              <w:pStyle w:val="NormalWeb"/>
              <w:adjustRightInd w:val="0"/>
              <w:snapToGrid w:val="0"/>
              <w:rPr>
                <w:rFonts w:ascii="Times New Roman" w:eastAsia="MS PMincho" w:hAnsi="Times New Roman" w:cs="Times New Roman"/>
              </w:rPr>
            </w:pPr>
            <w:r w:rsidRPr="008400C6">
              <w:rPr>
                <w:rFonts w:ascii="Times New Roman" w:hAnsi="Times New Roman" w:cs="Times New Roman"/>
                <w:b/>
                <w:bCs/>
              </w:rPr>
              <w:t xml:space="preserve">Figure YFT-6. </w:t>
            </w:r>
            <w:r w:rsidRPr="008400C6">
              <w:rPr>
                <w:rFonts w:ascii="Times New Roman" w:hAnsi="Times New Roman" w:cs="Times New Roman"/>
              </w:rPr>
              <w:t xml:space="preserve">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8400C6">
              <w:rPr>
                <w:rFonts w:ascii="Times New Roman" w:hAnsi="Times New Roman" w:cs="Times New Roman"/>
                <w:vertAlign w:val="subscript"/>
              </w:rPr>
              <w:t>MSY</w:t>
            </w:r>
            <w:r w:rsidRPr="008400C6">
              <w:rPr>
                <w:rFonts w:ascii="Times New Roman" w:hAnsi="Times New Roman" w:cs="Times New Roman"/>
              </w:rPr>
              <w:t xml:space="preserve"> (F</w:t>
            </w:r>
            <w:r w:rsidRPr="008400C6">
              <w:rPr>
                <w:rFonts w:ascii="Times New Roman" w:hAnsi="Times New Roman" w:cs="Times New Roman"/>
                <w:vertAlign w:val="subscript"/>
              </w:rPr>
              <w:t>MSY</w:t>
            </w:r>
            <w:r w:rsidRPr="008400C6">
              <w:rPr>
                <w:rFonts w:ascii="Times New Roman" w:hAnsi="Times New Roman" w:cs="Times New Roman"/>
              </w:rPr>
              <w:t xml:space="preserve"> is marked with the black </w:t>
            </w:r>
            <w:r w:rsidRPr="008400C6">
              <w:rPr>
                <w:rFonts w:ascii="Times New Roman" w:eastAsiaTheme="minorEastAsia" w:hAnsi="Times New Roman" w:cs="Times New Roman"/>
                <w:lang w:eastAsia="ko-KR"/>
              </w:rPr>
              <w:t>horizontal</w:t>
            </w:r>
            <w:r w:rsidRPr="008400C6">
              <w:rPr>
                <w:rFonts w:ascii="Times New Roman" w:hAnsi="Times New Roman" w:cs="Times New Roman"/>
              </w:rPr>
              <w:t xml:space="preserve"> line). The points represent </w:t>
            </w:r>
            <w:r w:rsidRPr="008400C6">
              <w:rPr>
                <w:rFonts w:ascii="Times New Roman" w:hAnsi="Times New Roman" w:cs="Times New Roman"/>
                <w:u w:val="single"/>
              </w:rPr>
              <w:t>SB</w:t>
            </w:r>
            <w:r w:rsidRPr="008400C6">
              <w:rPr>
                <w:rFonts w:ascii="Times New Roman" w:hAnsi="Times New Roman" w:cs="Times New Roman"/>
                <w:u w:val="single"/>
                <w:vertAlign w:val="subscript"/>
              </w:rPr>
              <w:t>latest</w:t>
            </w:r>
            <w:r w:rsidRPr="008400C6">
              <w:rPr>
                <w:rFonts w:ascii="Times New Roman" w:hAnsi="Times New Roman" w:cs="Times New Roman"/>
                <w:u w:val="single"/>
              </w:rPr>
              <w:t>/SB</w:t>
            </w:r>
            <w:r w:rsidRPr="008400C6">
              <w:rPr>
                <w:rFonts w:ascii="Times New Roman" w:hAnsi="Times New Roman" w:cs="Times New Roman"/>
                <w:u w:val="single"/>
                <w:vertAlign w:val="subscript"/>
              </w:rPr>
              <w:t>F=</w:t>
            </w:r>
            <w:proofErr w:type="gramStart"/>
            <w:r w:rsidRPr="008400C6">
              <w:rPr>
                <w:rFonts w:ascii="Times New Roman" w:hAnsi="Times New Roman" w:cs="Times New Roman"/>
                <w:u w:val="single"/>
                <w:vertAlign w:val="subscript"/>
              </w:rPr>
              <w:t>0</w:t>
            </w:r>
            <w:r w:rsidRPr="008400C6">
              <w:rPr>
                <w:rFonts w:ascii="Times New Roman" w:hAnsi="Times New Roman" w:cs="Times New Roman"/>
              </w:rPr>
              <w:t>,</w:t>
            </w:r>
            <w:proofErr w:type="gramEnd"/>
            <w:r w:rsidRPr="008400C6">
              <w:rPr>
                <w:rFonts w:ascii="Times New Roman" w:hAnsi="Times New Roman" w:cs="Times New Roman"/>
              </w:rPr>
              <w:t xml:space="preserve"> and the colours depict the models in the grid </w:t>
            </w:r>
            <w:r w:rsidRPr="008400C6">
              <w:rPr>
                <w:rFonts w:ascii="Times New Roman" w:eastAsia="MS PMincho" w:hAnsi="Times New Roman" w:cs="Times New Roman"/>
              </w:rPr>
              <w:t>with the size composition weighting using divisors of 20 and 50.</w:t>
            </w:r>
          </w:p>
        </w:tc>
        <w:tc>
          <w:tcPr>
            <w:tcW w:w="4789" w:type="dxa"/>
            <w:tcBorders>
              <w:top w:val="nil"/>
              <w:left w:val="nil"/>
              <w:bottom w:val="nil"/>
              <w:right w:val="nil"/>
            </w:tcBorders>
          </w:tcPr>
          <w:p w14:paraId="67EAAF0D" w14:textId="77777777" w:rsidR="0014588F" w:rsidRPr="008400C6" w:rsidRDefault="0014588F" w:rsidP="000E6616">
            <w:pPr>
              <w:pStyle w:val="NormalWeb"/>
              <w:adjustRightInd w:val="0"/>
              <w:snapToGrid w:val="0"/>
              <w:rPr>
                <w:rFonts w:ascii="Times New Roman" w:hAnsi="Times New Roman" w:cs="Times New Roman"/>
                <w:b/>
                <w:bCs/>
              </w:rPr>
            </w:pPr>
            <w:r w:rsidRPr="008400C6">
              <w:rPr>
                <w:rFonts w:ascii="Times New Roman" w:hAnsi="Times New Roman" w:cs="Times New Roman"/>
                <w:b/>
                <w:bCs/>
              </w:rPr>
              <w:t>Figure YFT-7</w:t>
            </w:r>
            <w:r w:rsidRPr="008400C6">
              <w:rPr>
                <w:rFonts w:ascii="Times New Roman" w:hAnsi="Times New Roman" w:cs="Times New Roman"/>
                <w:b/>
              </w:rPr>
              <w:t xml:space="preserve">: </w:t>
            </w:r>
            <w:r w:rsidRPr="008400C6">
              <w:rPr>
                <w:rFonts w:ascii="Times New Roman" w:hAnsi="Times New Roman" w:cs="Times New Roman"/>
              </w:rPr>
              <w:t>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8400C6">
              <w:rPr>
                <w:rFonts w:ascii="Times New Roman" w:hAnsi="Times New Roman" w:cs="Times New Roman"/>
                <w:vertAlign w:val="subscript"/>
              </w:rPr>
              <w:t>MSY</w:t>
            </w:r>
            <w:r w:rsidRPr="008400C6">
              <w:rPr>
                <w:rFonts w:ascii="Times New Roman" w:hAnsi="Times New Roman" w:cs="Times New Roman"/>
              </w:rPr>
              <w:t xml:space="preserve"> (F</w:t>
            </w:r>
            <w:r w:rsidRPr="008400C6">
              <w:rPr>
                <w:rFonts w:ascii="Times New Roman" w:hAnsi="Times New Roman" w:cs="Times New Roman"/>
                <w:u w:val="single"/>
                <w:vertAlign w:val="subscript"/>
              </w:rPr>
              <w:t>MSY</w:t>
            </w:r>
            <w:r w:rsidRPr="008400C6">
              <w:rPr>
                <w:rFonts w:ascii="Times New Roman" w:hAnsi="Times New Roman" w:cs="Times New Roman"/>
              </w:rPr>
              <w:t xml:space="preserve"> is marked with the black </w:t>
            </w:r>
            <w:r w:rsidRPr="008400C6">
              <w:rPr>
                <w:rFonts w:ascii="Times New Roman" w:eastAsiaTheme="minorEastAsia" w:hAnsi="Times New Roman" w:cs="Times New Roman" w:hint="eastAsia"/>
                <w:lang w:eastAsia="ko-KR"/>
              </w:rPr>
              <w:t>horizontal</w:t>
            </w:r>
            <w:r w:rsidRPr="008400C6">
              <w:rPr>
                <w:rFonts w:ascii="Times New Roman" w:hAnsi="Times New Roman" w:cs="Times New Roman"/>
              </w:rPr>
              <w:t xml:space="preserve"> line). The points represent SB</w:t>
            </w:r>
            <w:r w:rsidRPr="008400C6">
              <w:rPr>
                <w:rFonts w:ascii="Times New Roman" w:hAnsi="Times New Roman" w:cs="Times New Roman"/>
                <w:i/>
                <w:vertAlign w:val="subscript"/>
              </w:rPr>
              <w:t>recent</w:t>
            </w:r>
            <w:r w:rsidRPr="008400C6">
              <w:rPr>
                <w:rFonts w:ascii="Times New Roman" w:hAnsi="Times New Roman" w:cs="Times New Roman"/>
              </w:rPr>
              <w:t>/SB</w:t>
            </w:r>
            <w:r w:rsidRPr="008400C6">
              <w:rPr>
                <w:rFonts w:ascii="Times New Roman" w:hAnsi="Times New Roman" w:cs="Times New Roman"/>
                <w:i/>
                <w:vertAlign w:val="subscript"/>
              </w:rPr>
              <w:t>F=</w:t>
            </w:r>
            <w:proofErr w:type="gramStart"/>
            <w:r w:rsidRPr="008400C6">
              <w:rPr>
                <w:rFonts w:ascii="Times New Roman" w:hAnsi="Times New Roman" w:cs="Times New Roman"/>
                <w:i/>
                <w:vertAlign w:val="subscript"/>
              </w:rPr>
              <w:t>0</w:t>
            </w:r>
            <w:r w:rsidRPr="008400C6">
              <w:rPr>
                <w:rFonts w:ascii="Times New Roman" w:hAnsi="Times New Roman" w:cs="Times New Roman"/>
              </w:rPr>
              <w:t>,</w:t>
            </w:r>
            <w:proofErr w:type="gramEnd"/>
            <w:r w:rsidRPr="008400C6">
              <w:rPr>
                <w:rFonts w:ascii="Times New Roman" w:hAnsi="Times New Roman" w:cs="Times New Roman"/>
              </w:rPr>
              <w:t xml:space="preserve"> and the colours depict the models in the grid </w:t>
            </w:r>
            <w:r w:rsidRPr="008400C6">
              <w:rPr>
                <w:rFonts w:ascii="Times New Roman" w:eastAsia="MS PMincho" w:hAnsi="Times New Roman" w:cs="Times New Roman"/>
              </w:rPr>
              <w:t>with the size composition weighting using divisors of 20 and 50.</w:t>
            </w:r>
          </w:p>
        </w:tc>
      </w:tr>
      <w:tr w:rsidR="0014588F" w14:paraId="30403215" w14:textId="77777777" w:rsidTr="000E6616">
        <w:trPr>
          <w:trHeight w:val="3366"/>
        </w:trPr>
        <w:tc>
          <w:tcPr>
            <w:tcW w:w="4711" w:type="dxa"/>
            <w:tcBorders>
              <w:top w:val="nil"/>
              <w:left w:val="nil"/>
              <w:bottom w:val="nil"/>
              <w:right w:val="nil"/>
            </w:tcBorders>
          </w:tcPr>
          <w:p w14:paraId="11B8F584" w14:textId="77777777" w:rsidR="0014588F" w:rsidRDefault="0014588F" w:rsidP="000E6616">
            <w:pPr>
              <w:pStyle w:val="WCPFC"/>
              <w:numPr>
                <w:ilvl w:val="0"/>
                <w:numId w:val="0"/>
              </w:numPr>
              <w:adjustRightInd w:val="0"/>
              <w:spacing w:after="0"/>
              <w:jc w:val="center"/>
              <w:rPr>
                <w:b/>
              </w:rPr>
            </w:pPr>
          </w:p>
          <w:p w14:paraId="7FAF856B" w14:textId="77777777" w:rsidR="0014588F" w:rsidRDefault="0014588F" w:rsidP="000E6616">
            <w:pPr>
              <w:pStyle w:val="NormalWeb"/>
              <w:adjustRightInd w:val="0"/>
              <w:snapToGrid w:val="0"/>
              <w:rPr>
                <w:rFonts w:eastAsia="Times New Roman"/>
                <w:b/>
              </w:rPr>
            </w:pPr>
            <w:r w:rsidRPr="009C2ADD">
              <w:rPr>
                <w:noProof/>
                <w:lang w:val="en-US" w:eastAsia="ko-KR"/>
              </w:rPr>
              <w:drawing>
                <wp:inline distT="0" distB="0" distL="0" distR="0" wp14:anchorId="457D8290" wp14:editId="7B06B9C2">
                  <wp:extent cx="2930351" cy="2243470"/>
                  <wp:effectExtent l="0" t="0" r="3810" b="4445"/>
                  <wp:docPr id="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7005" cy="2248565"/>
                          </a:xfrm>
                          <a:prstGeom prst="rect">
                            <a:avLst/>
                          </a:prstGeom>
                          <a:noFill/>
                          <a:ln>
                            <a:noFill/>
                          </a:ln>
                        </pic:spPr>
                      </pic:pic>
                    </a:graphicData>
                  </a:graphic>
                </wp:inline>
              </w:drawing>
            </w:r>
          </w:p>
        </w:tc>
        <w:tc>
          <w:tcPr>
            <w:tcW w:w="4865" w:type="dxa"/>
            <w:gridSpan w:val="2"/>
            <w:tcBorders>
              <w:top w:val="nil"/>
              <w:left w:val="nil"/>
              <w:bottom w:val="nil"/>
              <w:right w:val="nil"/>
            </w:tcBorders>
          </w:tcPr>
          <w:p w14:paraId="0B9E4A1E" w14:textId="77777777" w:rsidR="0014588F" w:rsidRDefault="0014588F" w:rsidP="000E6616">
            <w:pPr>
              <w:pStyle w:val="WCPFC"/>
              <w:numPr>
                <w:ilvl w:val="0"/>
                <w:numId w:val="0"/>
              </w:numPr>
              <w:adjustRightInd w:val="0"/>
              <w:spacing w:after="0"/>
              <w:rPr>
                <w:b/>
              </w:rPr>
            </w:pPr>
          </w:p>
          <w:p w14:paraId="528E181F" w14:textId="77777777" w:rsidR="0014588F" w:rsidRDefault="0014588F" w:rsidP="000E6616">
            <w:pPr>
              <w:pStyle w:val="WCPFC"/>
              <w:adjustRightInd w:val="0"/>
              <w:spacing w:after="0"/>
              <w:ind w:left="0"/>
              <w:rPr>
                <w:b/>
              </w:rPr>
            </w:pPr>
            <w:r w:rsidRPr="009C2ADD">
              <w:rPr>
                <w:noProof/>
                <w:lang w:val="en-US" w:eastAsia="ko-KR"/>
              </w:rPr>
              <w:drawing>
                <wp:inline distT="0" distB="0" distL="0" distR="0" wp14:anchorId="4C113373" wp14:editId="4AEF92E0">
                  <wp:extent cx="2929494" cy="2243470"/>
                  <wp:effectExtent l="0" t="0" r="4445" b="4445"/>
                  <wp:docPr id="8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9924" cy="2251457"/>
                          </a:xfrm>
                          <a:prstGeom prst="rect">
                            <a:avLst/>
                          </a:prstGeom>
                          <a:noFill/>
                          <a:ln>
                            <a:noFill/>
                          </a:ln>
                        </pic:spPr>
                      </pic:pic>
                    </a:graphicData>
                  </a:graphic>
                </wp:inline>
              </w:drawing>
            </w:r>
          </w:p>
        </w:tc>
      </w:tr>
      <w:tr w:rsidR="0014588F" w14:paraId="321E5690" w14:textId="77777777" w:rsidTr="000E6616">
        <w:tc>
          <w:tcPr>
            <w:tcW w:w="4711" w:type="dxa"/>
            <w:tcBorders>
              <w:top w:val="nil"/>
              <w:left w:val="nil"/>
              <w:bottom w:val="nil"/>
              <w:right w:val="nil"/>
            </w:tcBorders>
          </w:tcPr>
          <w:p w14:paraId="29CE1AC9" w14:textId="77777777" w:rsidR="0014588F" w:rsidRPr="00B515BA" w:rsidRDefault="0014588F" w:rsidP="000E6616">
            <w:pPr>
              <w:pStyle w:val="NormalWeb"/>
              <w:adjustRightInd w:val="0"/>
              <w:snapToGrid w:val="0"/>
              <w:rPr>
                <w:rFonts w:ascii="Times New Roman" w:eastAsia="MS PMincho" w:hAnsi="Times New Roman" w:cs="Times New Roman"/>
                <w:sz w:val="20"/>
                <w:szCs w:val="20"/>
              </w:rPr>
            </w:pPr>
            <w:r w:rsidRPr="00B226B8">
              <w:rPr>
                <w:rFonts w:ascii="Times New Roman" w:hAnsi="Times New Roman" w:cs="Times New Roman"/>
                <w:b/>
                <w:bCs/>
                <w:sz w:val="20"/>
                <w:szCs w:val="20"/>
              </w:rPr>
              <w:t xml:space="preserve">Figure YFT-8. </w:t>
            </w:r>
            <w:r w:rsidRPr="00B226B8">
              <w:rPr>
                <w:rFonts w:ascii="Times New Roman" w:hAnsi="Times New Roman" w:cs="Times New Roman"/>
                <w:sz w:val="20"/>
                <w:szCs w:val="20"/>
              </w:rPr>
              <w:t xml:space="preserve">Kobe plot summarising the results for each of the models in the structural uncertainty grid. The points represent </w:t>
            </w:r>
            <w:r w:rsidRPr="00B226B8">
              <w:rPr>
                <w:rFonts w:ascii="Times New Roman" w:hAnsi="Times New Roman" w:cs="Times New Roman"/>
                <w:sz w:val="20"/>
                <w:szCs w:val="20"/>
                <w:u w:val="single"/>
              </w:rPr>
              <w:t>SB</w:t>
            </w:r>
            <w:r w:rsidRPr="00B226B8">
              <w:rPr>
                <w:rFonts w:ascii="Times New Roman" w:hAnsi="Times New Roman" w:cs="Times New Roman"/>
                <w:sz w:val="20"/>
                <w:szCs w:val="20"/>
                <w:u w:val="single"/>
                <w:vertAlign w:val="subscript"/>
              </w:rPr>
              <w:t>latest</w:t>
            </w:r>
            <w:r w:rsidRPr="00B226B8">
              <w:rPr>
                <w:rFonts w:ascii="Times New Roman" w:hAnsi="Times New Roman" w:cs="Times New Roman"/>
                <w:sz w:val="20"/>
                <w:szCs w:val="20"/>
                <w:u w:val="single"/>
              </w:rPr>
              <w:t>/</w:t>
            </w:r>
            <w:proofErr w:type="gramStart"/>
            <w:r w:rsidRPr="00B226B8">
              <w:rPr>
                <w:rFonts w:ascii="Times New Roman" w:hAnsi="Times New Roman" w:cs="Times New Roman"/>
                <w:sz w:val="20"/>
                <w:szCs w:val="20"/>
                <w:u w:val="single"/>
              </w:rPr>
              <w:t>SB</w:t>
            </w:r>
            <w:r w:rsidRPr="00B226B8">
              <w:rPr>
                <w:rFonts w:ascii="Times New Roman" w:hAnsi="Times New Roman" w:cs="Times New Roman"/>
                <w:sz w:val="20"/>
                <w:szCs w:val="20"/>
                <w:u w:val="single"/>
                <w:vertAlign w:val="subscript"/>
              </w:rPr>
              <w:t>MSY</w:t>
            </w:r>
            <w:r w:rsidRPr="00B226B8">
              <w:rPr>
                <w:rFonts w:ascii="Times New Roman" w:hAnsi="Times New Roman" w:cs="Times New Roman"/>
                <w:sz w:val="20"/>
                <w:szCs w:val="20"/>
              </w:rPr>
              <w:t>,</w:t>
            </w:r>
            <w:proofErr w:type="gramEnd"/>
            <w:r w:rsidRPr="00B226B8">
              <w:rPr>
                <w:rFonts w:ascii="Times New Roman" w:hAnsi="Times New Roman" w:cs="Times New Roman"/>
                <w:sz w:val="20"/>
                <w:szCs w:val="20"/>
              </w:rPr>
              <w:t xml:space="preserve"> the colours depict the models in the grid </w:t>
            </w:r>
            <w:r w:rsidRPr="00B226B8">
              <w:rPr>
                <w:rFonts w:ascii="Times New Roman" w:eastAsia="MS PMincho" w:hAnsi="Times New Roman" w:cs="Times New Roman"/>
                <w:sz w:val="20"/>
                <w:szCs w:val="20"/>
              </w:rPr>
              <w:t>with the size composition weightin</w:t>
            </w:r>
            <w:r>
              <w:rPr>
                <w:rFonts w:ascii="Times New Roman" w:eastAsia="MS PMincho" w:hAnsi="Times New Roman" w:cs="Times New Roman"/>
                <w:sz w:val="20"/>
                <w:szCs w:val="20"/>
              </w:rPr>
              <w:t xml:space="preserve">g using divisors of 20 and 50. </w:t>
            </w:r>
          </w:p>
        </w:tc>
        <w:tc>
          <w:tcPr>
            <w:tcW w:w="4865" w:type="dxa"/>
            <w:gridSpan w:val="2"/>
            <w:tcBorders>
              <w:top w:val="nil"/>
              <w:left w:val="nil"/>
              <w:bottom w:val="nil"/>
              <w:right w:val="nil"/>
            </w:tcBorders>
          </w:tcPr>
          <w:p w14:paraId="62E64B9D" w14:textId="77777777" w:rsidR="0014588F" w:rsidRDefault="0014588F" w:rsidP="000E6616">
            <w:pPr>
              <w:pStyle w:val="NormalWeb"/>
              <w:adjustRightInd w:val="0"/>
              <w:snapToGrid w:val="0"/>
              <w:rPr>
                <w:rFonts w:ascii="Times New Roman" w:hAnsi="Times New Roman" w:cs="Times New Roman"/>
              </w:rPr>
            </w:pPr>
            <w:r w:rsidRPr="009C2ADD">
              <w:rPr>
                <w:rFonts w:ascii="Times New Roman" w:hAnsi="Times New Roman" w:cs="Times New Roman"/>
                <w:b/>
                <w:bCs/>
              </w:rPr>
              <w:t xml:space="preserve">Figure YFT-9. </w:t>
            </w:r>
            <w:r w:rsidRPr="009C2ADD">
              <w:rPr>
                <w:rFonts w:ascii="Times New Roman" w:hAnsi="Times New Roman" w:cs="Times New Roman"/>
              </w:rPr>
              <w:t>Kobe plot summarising the results for each of the models in the structural uncertainty grid. The points represent SB</w:t>
            </w:r>
            <w:r w:rsidRPr="0070772D">
              <w:rPr>
                <w:rFonts w:ascii="Times New Roman" w:hAnsi="Times New Roman" w:cs="Times New Roman"/>
                <w:i/>
                <w:vertAlign w:val="subscript"/>
              </w:rPr>
              <w:t>recent</w:t>
            </w:r>
            <w:r w:rsidRPr="009C2ADD">
              <w:rPr>
                <w:rFonts w:ascii="Times New Roman" w:hAnsi="Times New Roman" w:cs="Times New Roman"/>
              </w:rPr>
              <w:t>/</w:t>
            </w:r>
            <w:proofErr w:type="gramStart"/>
            <w:r w:rsidRPr="009C2ADD">
              <w:rPr>
                <w:rFonts w:ascii="Times New Roman" w:hAnsi="Times New Roman" w:cs="Times New Roman"/>
              </w:rPr>
              <w:t>SB</w:t>
            </w:r>
            <w:r w:rsidRPr="00104C78">
              <w:rPr>
                <w:rFonts w:ascii="Times New Roman" w:hAnsi="Times New Roman"/>
                <w:vertAlign w:val="subscript"/>
              </w:rPr>
              <w:t>MSY</w:t>
            </w:r>
            <w:r w:rsidRPr="009C2ADD">
              <w:rPr>
                <w:rFonts w:ascii="Times New Roman" w:hAnsi="Times New Roman" w:cs="Times New Roman"/>
              </w:rPr>
              <w:t>,</w:t>
            </w:r>
            <w:proofErr w:type="gramEnd"/>
            <w:r w:rsidRPr="009C2ADD">
              <w:rPr>
                <w:rFonts w:ascii="Times New Roman" w:hAnsi="Times New Roman" w:cs="Times New Roman"/>
              </w:rPr>
              <w:t xml:space="preserve"> the colours depict the models in the grid </w:t>
            </w:r>
            <w:r w:rsidRPr="009C2ADD">
              <w:rPr>
                <w:rFonts w:ascii="Times New Roman" w:eastAsia="MS PMincho" w:hAnsi="Times New Roman" w:cs="Times New Roman"/>
              </w:rPr>
              <w:t>with the size composition weighting using divisors of 20 and 50</w:t>
            </w:r>
            <w:r w:rsidRPr="009C2ADD">
              <w:rPr>
                <w:rFonts w:ascii="Times New Roman" w:hAnsi="Times New Roman" w:cs="Times New Roman"/>
              </w:rPr>
              <w:t>.</w:t>
            </w:r>
          </w:p>
          <w:p w14:paraId="37EFA186" w14:textId="77777777" w:rsidR="0014588F" w:rsidRDefault="0014588F" w:rsidP="000E6616">
            <w:pPr>
              <w:pStyle w:val="NormalWeb"/>
              <w:adjustRightInd w:val="0"/>
              <w:snapToGrid w:val="0"/>
              <w:rPr>
                <w:rFonts w:ascii="Times New Roman" w:hAnsi="Times New Roman" w:cs="Times New Roman"/>
              </w:rPr>
            </w:pPr>
          </w:p>
          <w:p w14:paraId="7F146333" w14:textId="77777777" w:rsidR="0014588F" w:rsidRDefault="0014588F" w:rsidP="000E6616">
            <w:pPr>
              <w:pStyle w:val="NormalWeb"/>
              <w:adjustRightInd w:val="0"/>
              <w:snapToGrid w:val="0"/>
              <w:rPr>
                <w:rFonts w:ascii="Times New Roman" w:hAnsi="Times New Roman" w:cs="Times New Roman"/>
              </w:rPr>
            </w:pPr>
          </w:p>
          <w:p w14:paraId="4C2E8D58" w14:textId="77777777" w:rsidR="0014588F" w:rsidRDefault="0014588F" w:rsidP="000E6616">
            <w:pPr>
              <w:pStyle w:val="NormalWeb"/>
              <w:adjustRightInd w:val="0"/>
              <w:snapToGrid w:val="0"/>
              <w:rPr>
                <w:rFonts w:ascii="Times New Roman" w:eastAsiaTheme="minorEastAsia" w:hAnsi="Times New Roman" w:cs="Times New Roman"/>
                <w:lang w:eastAsia="ko-KR"/>
              </w:rPr>
            </w:pPr>
          </w:p>
          <w:p w14:paraId="30F13F83" w14:textId="77777777" w:rsidR="0014588F" w:rsidRPr="00B515BA" w:rsidRDefault="0014588F" w:rsidP="000E6616">
            <w:pPr>
              <w:pStyle w:val="NormalWeb"/>
              <w:adjustRightInd w:val="0"/>
              <w:snapToGrid w:val="0"/>
              <w:rPr>
                <w:rFonts w:ascii="Times New Roman" w:eastAsiaTheme="minorEastAsia" w:hAnsi="Times New Roman" w:cs="Times New Roman"/>
                <w:lang w:eastAsia="ko-KR"/>
              </w:rPr>
            </w:pPr>
          </w:p>
        </w:tc>
      </w:tr>
      <w:tr w:rsidR="0014588F" w14:paraId="2CE81E76" w14:textId="77777777" w:rsidTr="000E6616">
        <w:tc>
          <w:tcPr>
            <w:tcW w:w="4711" w:type="dxa"/>
            <w:tcBorders>
              <w:top w:val="nil"/>
              <w:left w:val="nil"/>
              <w:bottom w:val="nil"/>
              <w:right w:val="nil"/>
            </w:tcBorders>
          </w:tcPr>
          <w:p w14:paraId="50EBA136" w14:textId="77777777" w:rsidR="0014588F" w:rsidRDefault="0014588F" w:rsidP="000E6616">
            <w:pPr>
              <w:pStyle w:val="WCPFC"/>
              <w:numPr>
                <w:ilvl w:val="0"/>
                <w:numId w:val="0"/>
              </w:numPr>
              <w:adjustRightInd w:val="0"/>
              <w:spacing w:after="0"/>
              <w:rPr>
                <w:b/>
              </w:rPr>
            </w:pPr>
            <w:r>
              <w:rPr>
                <w:noProof/>
                <w:lang w:val="en-US" w:eastAsia="ko-KR"/>
              </w:rPr>
              <w:drawing>
                <wp:inline distT="0" distB="0" distL="0" distR="0" wp14:anchorId="63E27BE1" wp14:editId="02B76525">
                  <wp:extent cx="2923954" cy="292395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Majuro_Temporal.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20440" cy="2920440"/>
                          </a:xfrm>
                          <a:prstGeom prst="rect">
                            <a:avLst/>
                          </a:prstGeom>
                        </pic:spPr>
                      </pic:pic>
                    </a:graphicData>
                  </a:graphic>
                </wp:inline>
              </w:drawing>
            </w:r>
          </w:p>
        </w:tc>
        <w:tc>
          <w:tcPr>
            <w:tcW w:w="4865" w:type="dxa"/>
            <w:gridSpan w:val="2"/>
            <w:tcBorders>
              <w:top w:val="nil"/>
              <w:left w:val="nil"/>
              <w:bottom w:val="nil"/>
              <w:right w:val="nil"/>
            </w:tcBorders>
          </w:tcPr>
          <w:p w14:paraId="7A9478B8" w14:textId="77777777" w:rsidR="0014588F" w:rsidRDefault="0014588F" w:rsidP="000E6616">
            <w:pPr>
              <w:pStyle w:val="WCPFC"/>
              <w:numPr>
                <w:ilvl w:val="0"/>
                <w:numId w:val="0"/>
              </w:numPr>
              <w:adjustRightInd w:val="0"/>
              <w:spacing w:after="0"/>
              <w:rPr>
                <w:b/>
              </w:rPr>
            </w:pPr>
            <w:r>
              <w:rPr>
                <w:noProof/>
                <w:lang w:val="en-US" w:eastAsia="ko-KR"/>
              </w:rPr>
              <w:drawing>
                <wp:inline distT="0" distB="0" distL="0" distR="0" wp14:anchorId="50B00053" wp14:editId="0B095FBA">
                  <wp:extent cx="2923954" cy="292395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Kobe_Temporal.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6966" cy="2916966"/>
                          </a:xfrm>
                          <a:prstGeom prst="rect">
                            <a:avLst/>
                          </a:prstGeom>
                        </pic:spPr>
                      </pic:pic>
                    </a:graphicData>
                  </a:graphic>
                </wp:inline>
              </w:drawing>
            </w:r>
          </w:p>
        </w:tc>
      </w:tr>
      <w:tr w:rsidR="0014588F" w14:paraId="7BA79788" w14:textId="77777777" w:rsidTr="000E6616">
        <w:tc>
          <w:tcPr>
            <w:tcW w:w="9576" w:type="dxa"/>
            <w:gridSpan w:val="3"/>
            <w:tcBorders>
              <w:top w:val="nil"/>
              <w:left w:val="nil"/>
              <w:bottom w:val="nil"/>
              <w:right w:val="nil"/>
            </w:tcBorders>
          </w:tcPr>
          <w:p w14:paraId="5FE552D5" w14:textId="77777777" w:rsidR="0014588F" w:rsidRPr="00B515BA" w:rsidRDefault="0014588F" w:rsidP="000E6616">
            <w:pPr>
              <w:pStyle w:val="NormalWeb"/>
              <w:adjustRightInd w:val="0"/>
              <w:snapToGrid w:val="0"/>
              <w:rPr>
                <w:rFonts w:ascii="Times New Roman" w:eastAsiaTheme="minorEastAsia" w:hAnsi="Times New Roman" w:cs="Times New Roman"/>
                <w:lang w:eastAsia="ko-KR"/>
              </w:rPr>
            </w:pPr>
            <w:r w:rsidRPr="0070772D">
              <w:rPr>
                <w:rFonts w:ascii="Times New Roman" w:eastAsiaTheme="minorEastAsia" w:hAnsi="Times New Roman" w:cs="Times New Roman"/>
                <w:b/>
                <w:bCs/>
                <w:lang w:eastAsia="ko-KR"/>
              </w:rPr>
              <w:t>Figure YFT-10.</w:t>
            </w:r>
            <w:r w:rsidRPr="0070772D">
              <w:rPr>
                <w:rFonts w:ascii="Times New Roman" w:eastAsiaTheme="minorEastAsia" w:hAnsi="Times New Roman" w:cs="Times New Roman"/>
                <w:lang w:eastAsia="ko-KR"/>
              </w:rPr>
              <w:t xml:space="preserve"> </w:t>
            </w:r>
            <w:r w:rsidRPr="0070772D">
              <w:rPr>
                <w:rFonts w:ascii="Times New Roman" w:hAnsi="Times New Roman" w:cs="Times New Roman"/>
              </w:rPr>
              <w:t>Estimated time-series (or “dynamic”) Majuro and Kobe plots from the yellowfin ‘diagnostic case’ model run.</w:t>
            </w:r>
          </w:p>
        </w:tc>
      </w:tr>
    </w:tbl>
    <w:p w14:paraId="676D3AA9" w14:textId="77777777" w:rsidR="0014588F" w:rsidRPr="009C2ADD" w:rsidRDefault="0014588F" w:rsidP="0014588F">
      <w:pPr>
        <w:pStyle w:val="WCPFC"/>
        <w:numPr>
          <w:ilvl w:val="0"/>
          <w:numId w:val="0"/>
        </w:numPr>
        <w:adjustRightInd w:val="0"/>
        <w:spacing w:after="0"/>
        <w:rPr>
          <w:b/>
        </w:rPr>
      </w:pPr>
    </w:p>
    <w:p w14:paraId="647041C7" w14:textId="77777777" w:rsidR="0014588F" w:rsidRPr="009C2ADD" w:rsidRDefault="0014588F" w:rsidP="0014588F">
      <w:pPr>
        <w:pStyle w:val="NormalWeb"/>
        <w:adjustRightInd w:val="0"/>
        <w:snapToGrid w:val="0"/>
        <w:jc w:val="left"/>
        <w:rPr>
          <w:rFonts w:ascii="Times New Roman" w:hAnsi="Times New Roman" w:cs="Times New Roman"/>
        </w:rPr>
      </w:pPr>
    </w:p>
    <w:p w14:paraId="41986E12" w14:textId="77777777" w:rsidR="0014588F" w:rsidRPr="009C2ADD" w:rsidRDefault="0014588F" w:rsidP="0014588F">
      <w:pPr>
        <w:pStyle w:val="NormalWeb"/>
        <w:adjustRightInd w:val="0"/>
        <w:snapToGrid w:val="0"/>
        <w:ind w:left="578"/>
        <w:jc w:val="left"/>
        <w:rPr>
          <w:rFonts w:ascii="Times New Roman" w:hAnsi="Times New Roman" w:cs="Times New Roman"/>
          <w:lang w:eastAsia="zh-TW"/>
        </w:rPr>
      </w:pPr>
    </w:p>
    <w:p w14:paraId="0FC38F45" w14:textId="77777777" w:rsidR="0014588F" w:rsidRPr="009C2ADD" w:rsidRDefault="0014588F" w:rsidP="0014588F">
      <w:pPr>
        <w:pStyle w:val="WCPFC"/>
        <w:numPr>
          <w:ilvl w:val="0"/>
          <w:numId w:val="0"/>
        </w:numPr>
        <w:adjustRightInd w:val="0"/>
        <w:spacing w:after="0"/>
        <w:jc w:val="center"/>
        <w:rPr>
          <w:b/>
        </w:rPr>
      </w:pPr>
    </w:p>
    <w:p w14:paraId="5C5BFEAA" w14:textId="77777777" w:rsidR="0014588F" w:rsidRPr="009C2ADD" w:rsidRDefault="0014588F" w:rsidP="0014588F">
      <w:pPr>
        <w:pStyle w:val="NormalWeb"/>
        <w:adjustRightInd w:val="0"/>
        <w:snapToGrid w:val="0"/>
        <w:ind w:left="578"/>
        <w:jc w:val="left"/>
        <w:rPr>
          <w:rFonts w:ascii="Times New Roman" w:hAnsi="Times New Roman" w:cs="Times New Roman"/>
        </w:rPr>
      </w:pPr>
    </w:p>
    <w:p w14:paraId="5045AD3A" w14:textId="77777777" w:rsidR="0014588F" w:rsidRPr="009C2ADD" w:rsidRDefault="0014588F" w:rsidP="0014588F">
      <w:pPr>
        <w:pStyle w:val="NormalWeb"/>
        <w:adjustRightInd w:val="0"/>
        <w:snapToGrid w:val="0"/>
        <w:ind w:left="578"/>
        <w:jc w:val="center"/>
        <w:rPr>
          <w:rFonts w:ascii="Times New Roman" w:hAnsi="Times New Roman" w:cs="Times New Roman"/>
          <w:b/>
          <w:bCs/>
        </w:rPr>
      </w:pPr>
    </w:p>
    <w:p w14:paraId="1C13725F" w14:textId="77777777" w:rsidR="0014588F" w:rsidRPr="009C2ADD" w:rsidRDefault="0014588F" w:rsidP="0014588F">
      <w:pPr>
        <w:pStyle w:val="WCPFC"/>
        <w:numPr>
          <w:ilvl w:val="0"/>
          <w:numId w:val="0"/>
        </w:numPr>
        <w:adjustRightInd w:val="0"/>
        <w:spacing w:after="0"/>
        <w:rPr>
          <w:b/>
        </w:rPr>
      </w:pPr>
    </w:p>
    <w:p w14:paraId="31177A5C" w14:textId="77777777" w:rsidR="0014588F" w:rsidRPr="009C2ADD" w:rsidRDefault="0014588F" w:rsidP="0014588F">
      <w:pPr>
        <w:pStyle w:val="NormalWeb"/>
        <w:adjustRightInd w:val="0"/>
        <w:snapToGrid w:val="0"/>
        <w:jc w:val="center"/>
        <w:rPr>
          <w:rFonts w:ascii="Times New Roman" w:hAnsi="Times New Roman" w:cs="Times New Roman"/>
          <w:b/>
          <w:bCs/>
        </w:rPr>
      </w:pPr>
      <w:r w:rsidRPr="009C2ADD">
        <w:rPr>
          <w:rFonts w:ascii="Times New Roman" w:hAnsi="Times New Roman" w:cs="Times New Roman"/>
          <w:b/>
          <w:noProof/>
          <w:lang w:val="en-US" w:eastAsia="ko-KR"/>
        </w:rPr>
        <w:drawing>
          <wp:inline distT="0" distB="0" distL="0" distR="0" wp14:anchorId="01AA1873" wp14:editId="757897E4">
            <wp:extent cx="3253563" cy="3253563"/>
            <wp:effectExtent l="0" t="0" r="4445" b="4445"/>
            <wp:docPr id="84" name="Picture 26" descr="plot_fishery_impact_YF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ot_fishery_impact_YFT-SSB"/>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49085" cy="3249085"/>
                    </a:xfrm>
                    <a:prstGeom prst="rect">
                      <a:avLst/>
                    </a:prstGeom>
                    <a:noFill/>
                    <a:ln>
                      <a:noFill/>
                    </a:ln>
                  </pic:spPr>
                </pic:pic>
              </a:graphicData>
            </a:graphic>
          </wp:inline>
        </w:drawing>
      </w:r>
    </w:p>
    <w:p w14:paraId="6CBDD8B6" w14:textId="77777777" w:rsidR="0014588F" w:rsidRPr="009C2ADD" w:rsidRDefault="0014588F" w:rsidP="0014588F">
      <w:pPr>
        <w:pStyle w:val="NormalWeb"/>
        <w:adjustRightInd w:val="0"/>
        <w:snapToGrid w:val="0"/>
        <w:jc w:val="left"/>
        <w:rPr>
          <w:rFonts w:ascii="Times New Roman" w:hAnsi="Times New Roman" w:cs="Times New Roman"/>
          <w:bCs/>
          <w:noProof/>
        </w:rPr>
      </w:pPr>
      <w:r w:rsidRPr="009C2ADD">
        <w:rPr>
          <w:rFonts w:ascii="Times New Roman" w:hAnsi="Times New Roman" w:cs="Times New Roman"/>
          <w:b/>
          <w:bCs/>
        </w:rPr>
        <w:t>Figure YFT-1</w:t>
      </w:r>
      <w:r>
        <w:rPr>
          <w:rFonts w:ascii="Times New Roman" w:eastAsiaTheme="minorEastAsia" w:hAnsi="Times New Roman" w:cs="Times New Roman" w:hint="eastAsia"/>
          <w:b/>
          <w:bCs/>
          <w:lang w:eastAsia="ko-KR"/>
        </w:rPr>
        <w:t>1</w:t>
      </w:r>
      <w:r w:rsidRPr="009C2ADD">
        <w:rPr>
          <w:rFonts w:ascii="Times New Roman" w:hAnsi="Times New Roman" w:cs="Times New Roman"/>
        </w:rPr>
        <w:t xml:space="preserve">. </w:t>
      </w:r>
      <w:proofErr w:type="gramStart"/>
      <w:r w:rsidRPr="009C2ADD">
        <w:rPr>
          <w:rFonts w:ascii="Times New Roman" w:hAnsi="Times New Roman" w:cs="Times New Roman"/>
        </w:rPr>
        <w:t>Estimates of reduction in spawning potential due to fishing by region, and over all regions (lower right panel), attributed to various fishery groups (gear-types) for the diagnostic case model.</w:t>
      </w:r>
      <w:proofErr w:type="gramEnd"/>
    </w:p>
    <w:p w14:paraId="4A2FAE49" w14:textId="77777777" w:rsidR="0014588F" w:rsidRDefault="0014588F" w:rsidP="0014588F">
      <w:pPr>
        <w:adjustRightInd w:val="0"/>
        <w:snapToGrid w:val="0"/>
        <w:spacing w:after="0"/>
        <w:jc w:val="left"/>
        <w:rPr>
          <w:rFonts w:ascii="Times New Roman" w:hAnsi="Times New Roman"/>
          <w:b/>
          <w:bCs/>
        </w:rPr>
      </w:pPr>
    </w:p>
    <w:p w14:paraId="223DFD37" w14:textId="77777777" w:rsidR="0014588F" w:rsidRPr="009C2ADD" w:rsidRDefault="0014588F" w:rsidP="0014588F">
      <w:pPr>
        <w:pStyle w:val="NormalWeb"/>
        <w:adjustRightInd w:val="0"/>
        <w:snapToGrid w:val="0"/>
        <w:rPr>
          <w:rFonts w:ascii="Times New Roman" w:hAnsi="Times New Roman" w:cs="Times New Roman"/>
          <w:lang w:eastAsia="zh-TW"/>
        </w:rPr>
      </w:pPr>
      <w:proofErr w:type="gramStart"/>
      <w:r w:rsidRPr="009C2ADD">
        <w:rPr>
          <w:rFonts w:ascii="Times New Roman" w:hAnsi="Times New Roman" w:cs="Times New Roman"/>
          <w:b/>
          <w:bCs/>
        </w:rPr>
        <w:t>Table YFT-2</w:t>
      </w:r>
      <w:r w:rsidRPr="009C2ADD">
        <w:rPr>
          <w:rFonts w:ascii="Times New Roman" w:hAnsi="Times New Roman" w:cs="Times New Roman"/>
        </w:rPr>
        <w:t>.</w:t>
      </w:r>
      <w:proofErr w:type="gramEnd"/>
      <w:r w:rsidRPr="009C2ADD">
        <w:rPr>
          <w:rFonts w:ascii="Times New Roman" w:hAnsi="Times New Roman" w:cs="Times New Roman"/>
        </w:rPr>
        <w:t xml:space="preserve">  Summary of reference points over the 48 models in the structural uncertainty grid retained for management advice using divisors of 20 and 50 for the weighting on the size composition data. Note that SB</w:t>
      </w:r>
      <w:r w:rsidRPr="009C2ADD">
        <w:rPr>
          <w:rFonts w:ascii="Times New Roman" w:hAnsi="Times New Roman" w:cs="Times New Roman"/>
          <w:i/>
          <w:vertAlign w:val="subscript"/>
        </w:rPr>
        <w:t>recent</w:t>
      </w:r>
      <w:r w:rsidRPr="009C2ADD">
        <w:rPr>
          <w:rFonts w:ascii="Times New Roman" w:hAnsi="Times New Roman" w:cs="Times New Roman"/>
        </w:rPr>
        <w:t>/SB</w:t>
      </w:r>
      <w:r w:rsidRPr="009C2ADD">
        <w:rPr>
          <w:rFonts w:ascii="Times New Roman" w:hAnsi="Times New Roman" w:cs="Times New Roman"/>
          <w:i/>
          <w:vertAlign w:val="subscript"/>
        </w:rPr>
        <w:t>F=0</w:t>
      </w:r>
      <w:r w:rsidRPr="009C2ADD">
        <w:rPr>
          <w:rFonts w:ascii="Times New Roman" w:hAnsi="Times New Roman" w:cs="Times New Roman"/>
          <w:i/>
        </w:rPr>
        <w:t xml:space="preserve"> </w:t>
      </w:r>
      <w:r w:rsidRPr="009C2ADD">
        <w:rPr>
          <w:rFonts w:ascii="Times New Roman" w:hAnsi="Times New Roman" w:cs="Times New Roman"/>
        </w:rPr>
        <w:t>is calculated where SB</w:t>
      </w:r>
      <w:r w:rsidRPr="009C2ADD">
        <w:rPr>
          <w:rFonts w:ascii="Times New Roman" w:hAnsi="Times New Roman" w:cs="Times New Roman"/>
          <w:i/>
          <w:vertAlign w:val="subscript"/>
        </w:rPr>
        <w:t>recent</w:t>
      </w:r>
      <w:r w:rsidRPr="009C2ADD">
        <w:rPr>
          <w:rFonts w:ascii="Times New Roman" w:hAnsi="Times New Roman" w:cs="Times New Roman"/>
        </w:rPr>
        <w:t xml:space="preserve"> is the mean SB over 2012-2015 instead of 2011-2014 (used in the stock assessment report), at the request of the Scientific Committee.</w:t>
      </w:r>
    </w:p>
    <w:tbl>
      <w:tblPr>
        <w:tblW w:w="0" w:type="auto"/>
        <w:tblBorders>
          <w:top w:val="single" w:sz="4" w:space="0" w:color="auto"/>
          <w:bottom w:val="single" w:sz="4" w:space="0" w:color="auto"/>
        </w:tblBorders>
        <w:tblLook w:val="04A0" w:firstRow="1" w:lastRow="0" w:firstColumn="1" w:lastColumn="0" w:noHBand="0" w:noVBand="1"/>
      </w:tblPr>
      <w:tblGrid>
        <w:gridCol w:w="1437"/>
        <w:gridCol w:w="1264"/>
        <w:gridCol w:w="1265"/>
        <w:gridCol w:w="1265"/>
        <w:gridCol w:w="1265"/>
        <w:gridCol w:w="1265"/>
        <w:gridCol w:w="1265"/>
      </w:tblGrid>
      <w:tr w:rsidR="0014588F" w:rsidRPr="009C2ADD" w14:paraId="4A85E735" w14:textId="77777777" w:rsidTr="000E6616">
        <w:tc>
          <w:tcPr>
            <w:tcW w:w="1437" w:type="dxa"/>
            <w:tcBorders>
              <w:top w:val="single" w:sz="4" w:space="0" w:color="auto"/>
              <w:left w:val="nil"/>
              <w:bottom w:val="single" w:sz="4" w:space="0" w:color="auto"/>
              <w:right w:val="nil"/>
            </w:tcBorders>
            <w:shd w:val="clear" w:color="auto" w:fill="auto"/>
          </w:tcPr>
          <w:p w14:paraId="3F27E087" w14:textId="77777777" w:rsidR="0014588F" w:rsidRPr="009C2ADD" w:rsidRDefault="0014588F" w:rsidP="000E6616">
            <w:pPr>
              <w:adjustRightInd w:val="0"/>
              <w:snapToGrid w:val="0"/>
              <w:spacing w:after="0"/>
              <w:rPr>
                <w:rFonts w:ascii="Times New Roman" w:eastAsia="PMingLiU" w:hAnsi="Times New Roman"/>
                <w:b/>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77DD61B3"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02F9F4E3"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4A34484F"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52C6E01C"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329061BF"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6802B27A" w14:textId="77777777" w:rsidR="0014588F" w:rsidRPr="009C2ADD" w:rsidRDefault="0014588F" w:rsidP="000E6616">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Max</w:t>
            </w:r>
          </w:p>
        </w:tc>
      </w:tr>
      <w:tr w:rsidR="0014588F" w:rsidRPr="009C2ADD" w14:paraId="7CB3CF4C" w14:textId="77777777" w:rsidTr="000E6616">
        <w:tc>
          <w:tcPr>
            <w:tcW w:w="1437" w:type="dxa"/>
            <w:tcBorders>
              <w:top w:val="single" w:sz="4" w:space="0" w:color="auto"/>
              <w:left w:val="nil"/>
              <w:bottom w:val="nil"/>
              <w:right w:val="nil"/>
            </w:tcBorders>
            <w:shd w:val="clear" w:color="auto" w:fill="auto"/>
            <w:hideMark/>
          </w:tcPr>
          <w:p w14:paraId="0E03C3E2"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C</w:t>
            </w:r>
            <w:r w:rsidRPr="0070772D">
              <w:rPr>
                <w:rFonts w:ascii="Times New Roman" w:eastAsia="PMingLiU" w:hAnsi="Times New Roman"/>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417E709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611,982</w:t>
            </w:r>
          </w:p>
        </w:tc>
        <w:tc>
          <w:tcPr>
            <w:tcW w:w="1265" w:type="dxa"/>
            <w:tcBorders>
              <w:top w:val="single" w:sz="4" w:space="0" w:color="auto"/>
              <w:left w:val="nil"/>
              <w:bottom w:val="nil"/>
              <w:right w:val="nil"/>
            </w:tcBorders>
            <w:shd w:val="clear" w:color="auto" w:fill="auto"/>
            <w:vAlign w:val="bottom"/>
            <w:hideMark/>
          </w:tcPr>
          <w:p w14:paraId="2AB2599A"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612,592</w:t>
            </w:r>
          </w:p>
        </w:tc>
        <w:tc>
          <w:tcPr>
            <w:tcW w:w="1265" w:type="dxa"/>
            <w:tcBorders>
              <w:top w:val="single" w:sz="4" w:space="0" w:color="auto"/>
              <w:left w:val="nil"/>
              <w:bottom w:val="nil"/>
              <w:right w:val="nil"/>
            </w:tcBorders>
            <w:shd w:val="clear" w:color="auto" w:fill="auto"/>
            <w:vAlign w:val="bottom"/>
            <w:hideMark/>
          </w:tcPr>
          <w:p w14:paraId="17242F6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606,762</w:t>
            </w:r>
          </w:p>
        </w:tc>
        <w:tc>
          <w:tcPr>
            <w:tcW w:w="1265" w:type="dxa"/>
            <w:tcBorders>
              <w:top w:val="single" w:sz="4" w:space="0" w:color="auto"/>
              <w:left w:val="nil"/>
              <w:bottom w:val="nil"/>
              <w:right w:val="nil"/>
            </w:tcBorders>
            <w:shd w:val="clear" w:color="auto" w:fill="auto"/>
            <w:vAlign w:val="bottom"/>
            <w:hideMark/>
          </w:tcPr>
          <w:p w14:paraId="623A6C2F"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607,517</w:t>
            </w:r>
          </w:p>
        </w:tc>
        <w:tc>
          <w:tcPr>
            <w:tcW w:w="1265" w:type="dxa"/>
            <w:tcBorders>
              <w:top w:val="single" w:sz="4" w:space="0" w:color="auto"/>
              <w:left w:val="nil"/>
              <w:bottom w:val="nil"/>
              <w:right w:val="nil"/>
            </w:tcBorders>
            <w:shd w:val="clear" w:color="auto" w:fill="auto"/>
            <w:vAlign w:val="bottom"/>
            <w:hideMark/>
          </w:tcPr>
          <w:p w14:paraId="7655400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614,237</w:t>
            </w:r>
          </w:p>
        </w:tc>
        <w:tc>
          <w:tcPr>
            <w:tcW w:w="1265" w:type="dxa"/>
            <w:tcBorders>
              <w:top w:val="single" w:sz="4" w:space="0" w:color="auto"/>
              <w:left w:val="nil"/>
              <w:bottom w:val="nil"/>
              <w:right w:val="nil"/>
            </w:tcBorders>
            <w:shd w:val="clear" w:color="auto" w:fill="auto"/>
            <w:vAlign w:val="bottom"/>
            <w:hideMark/>
          </w:tcPr>
          <w:p w14:paraId="3F856D0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614,801</w:t>
            </w:r>
          </w:p>
        </w:tc>
      </w:tr>
      <w:tr w:rsidR="0014588F" w:rsidRPr="009C2ADD" w14:paraId="29561829" w14:textId="77777777" w:rsidTr="000E6616">
        <w:tc>
          <w:tcPr>
            <w:tcW w:w="1437" w:type="dxa"/>
            <w:tcBorders>
              <w:top w:val="nil"/>
              <w:left w:val="nil"/>
              <w:bottom w:val="nil"/>
              <w:right w:val="nil"/>
            </w:tcBorders>
            <w:shd w:val="clear" w:color="auto" w:fill="auto"/>
            <w:hideMark/>
          </w:tcPr>
          <w:p w14:paraId="19249431"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MSY</w:t>
            </w:r>
          </w:p>
        </w:tc>
        <w:tc>
          <w:tcPr>
            <w:tcW w:w="1264" w:type="dxa"/>
            <w:tcBorders>
              <w:top w:val="nil"/>
              <w:left w:val="nil"/>
              <w:bottom w:val="nil"/>
              <w:right w:val="nil"/>
            </w:tcBorders>
            <w:shd w:val="clear" w:color="auto" w:fill="auto"/>
            <w:vAlign w:val="bottom"/>
            <w:hideMark/>
          </w:tcPr>
          <w:p w14:paraId="2B55DFC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670,658</w:t>
            </w:r>
          </w:p>
        </w:tc>
        <w:tc>
          <w:tcPr>
            <w:tcW w:w="1265" w:type="dxa"/>
            <w:tcBorders>
              <w:top w:val="nil"/>
              <w:left w:val="nil"/>
              <w:bottom w:val="nil"/>
              <w:right w:val="nil"/>
            </w:tcBorders>
            <w:shd w:val="clear" w:color="auto" w:fill="auto"/>
            <w:vAlign w:val="bottom"/>
            <w:hideMark/>
          </w:tcPr>
          <w:p w14:paraId="18760C0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670,800</w:t>
            </w:r>
          </w:p>
        </w:tc>
        <w:tc>
          <w:tcPr>
            <w:tcW w:w="1265" w:type="dxa"/>
            <w:tcBorders>
              <w:top w:val="nil"/>
              <w:left w:val="nil"/>
              <w:bottom w:val="nil"/>
              <w:right w:val="nil"/>
            </w:tcBorders>
            <w:shd w:val="clear" w:color="auto" w:fill="auto"/>
            <w:vAlign w:val="bottom"/>
            <w:hideMark/>
          </w:tcPr>
          <w:p w14:paraId="03B7B692"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539,200</w:t>
            </w:r>
          </w:p>
        </w:tc>
        <w:tc>
          <w:tcPr>
            <w:tcW w:w="1265" w:type="dxa"/>
            <w:tcBorders>
              <w:top w:val="nil"/>
              <w:left w:val="nil"/>
              <w:bottom w:val="nil"/>
              <w:right w:val="nil"/>
            </w:tcBorders>
            <w:shd w:val="clear" w:color="auto" w:fill="auto"/>
            <w:vAlign w:val="bottom"/>
            <w:hideMark/>
          </w:tcPr>
          <w:p w14:paraId="39E3AC9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601,480</w:t>
            </w:r>
          </w:p>
        </w:tc>
        <w:tc>
          <w:tcPr>
            <w:tcW w:w="1265" w:type="dxa"/>
            <w:tcBorders>
              <w:top w:val="nil"/>
              <w:left w:val="nil"/>
              <w:bottom w:val="nil"/>
              <w:right w:val="nil"/>
            </w:tcBorders>
            <w:shd w:val="clear" w:color="auto" w:fill="auto"/>
            <w:vAlign w:val="bottom"/>
            <w:hideMark/>
          </w:tcPr>
          <w:p w14:paraId="6E612DD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735,280</w:t>
            </w:r>
          </w:p>
        </w:tc>
        <w:tc>
          <w:tcPr>
            <w:tcW w:w="1265" w:type="dxa"/>
            <w:tcBorders>
              <w:top w:val="nil"/>
              <w:left w:val="nil"/>
              <w:bottom w:val="nil"/>
              <w:right w:val="nil"/>
            </w:tcBorders>
            <w:shd w:val="clear" w:color="auto" w:fill="auto"/>
            <w:vAlign w:val="bottom"/>
            <w:hideMark/>
          </w:tcPr>
          <w:p w14:paraId="21287D2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795,200</w:t>
            </w:r>
          </w:p>
        </w:tc>
      </w:tr>
      <w:tr w:rsidR="0014588F" w:rsidRPr="009C2ADD" w14:paraId="17E6343D" w14:textId="77777777" w:rsidTr="000E6616">
        <w:tc>
          <w:tcPr>
            <w:tcW w:w="1437" w:type="dxa"/>
            <w:tcBorders>
              <w:top w:val="nil"/>
              <w:left w:val="nil"/>
              <w:bottom w:val="nil"/>
              <w:right w:val="nil"/>
            </w:tcBorders>
            <w:shd w:val="clear" w:color="auto" w:fill="auto"/>
            <w:hideMark/>
          </w:tcPr>
          <w:p w14:paraId="66E9B250"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Y</w:t>
            </w:r>
            <w:r w:rsidRPr="0070772D">
              <w:rPr>
                <w:rFonts w:ascii="Times New Roman" w:eastAsia="PMingLiU" w:hAnsi="Times New Roman"/>
                <w:i/>
                <w:vertAlign w:val="subscript"/>
                <w:lang w:val="en-AU"/>
              </w:rPr>
              <w:t>Frecent</w:t>
            </w:r>
          </w:p>
        </w:tc>
        <w:tc>
          <w:tcPr>
            <w:tcW w:w="1264" w:type="dxa"/>
            <w:tcBorders>
              <w:top w:val="nil"/>
              <w:left w:val="nil"/>
              <w:bottom w:val="nil"/>
              <w:right w:val="nil"/>
            </w:tcBorders>
            <w:shd w:val="clear" w:color="auto" w:fill="auto"/>
            <w:vAlign w:val="bottom"/>
            <w:hideMark/>
          </w:tcPr>
          <w:p w14:paraId="2E6A839A"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646,075</w:t>
            </w:r>
          </w:p>
        </w:tc>
        <w:tc>
          <w:tcPr>
            <w:tcW w:w="1265" w:type="dxa"/>
            <w:tcBorders>
              <w:top w:val="nil"/>
              <w:left w:val="nil"/>
              <w:bottom w:val="nil"/>
              <w:right w:val="nil"/>
            </w:tcBorders>
            <w:shd w:val="clear" w:color="auto" w:fill="auto"/>
            <w:vAlign w:val="bottom"/>
            <w:hideMark/>
          </w:tcPr>
          <w:p w14:paraId="47476AEF"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643,400</w:t>
            </w:r>
          </w:p>
        </w:tc>
        <w:tc>
          <w:tcPr>
            <w:tcW w:w="1265" w:type="dxa"/>
            <w:tcBorders>
              <w:top w:val="nil"/>
              <w:left w:val="nil"/>
              <w:bottom w:val="nil"/>
              <w:right w:val="nil"/>
            </w:tcBorders>
            <w:shd w:val="clear" w:color="auto" w:fill="auto"/>
            <w:vAlign w:val="bottom"/>
            <w:hideMark/>
          </w:tcPr>
          <w:p w14:paraId="19DE3150"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534,400</w:t>
            </w:r>
          </w:p>
        </w:tc>
        <w:tc>
          <w:tcPr>
            <w:tcW w:w="1265" w:type="dxa"/>
            <w:tcBorders>
              <w:top w:val="nil"/>
              <w:left w:val="nil"/>
              <w:bottom w:val="nil"/>
              <w:right w:val="nil"/>
            </w:tcBorders>
            <w:shd w:val="clear" w:color="auto" w:fill="auto"/>
            <w:vAlign w:val="bottom"/>
            <w:hideMark/>
          </w:tcPr>
          <w:p w14:paraId="7C167F6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586,120</w:t>
            </w:r>
          </w:p>
        </w:tc>
        <w:tc>
          <w:tcPr>
            <w:tcW w:w="1265" w:type="dxa"/>
            <w:tcBorders>
              <w:top w:val="nil"/>
              <w:left w:val="nil"/>
              <w:bottom w:val="nil"/>
              <w:right w:val="nil"/>
            </w:tcBorders>
            <w:shd w:val="clear" w:color="auto" w:fill="auto"/>
            <w:vAlign w:val="bottom"/>
            <w:hideMark/>
          </w:tcPr>
          <w:p w14:paraId="0622C59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717,880</w:t>
            </w:r>
          </w:p>
        </w:tc>
        <w:tc>
          <w:tcPr>
            <w:tcW w:w="1265" w:type="dxa"/>
            <w:tcBorders>
              <w:top w:val="nil"/>
              <w:left w:val="nil"/>
              <w:bottom w:val="nil"/>
              <w:right w:val="nil"/>
            </w:tcBorders>
            <w:shd w:val="clear" w:color="auto" w:fill="auto"/>
            <w:vAlign w:val="bottom"/>
            <w:hideMark/>
          </w:tcPr>
          <w:p w14:paraId="7F025790"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739,600</w:t>
            </w:r>
          </w:p>
        </w:tc>
      </w:tr>
      <w:tr w:rsidR="0014588F" w:rsidRPr="009C2ADD" w14:paraId="1BECFD99" w14:textId="77777777" w:rsidTr="000E6616">
        <w:tc>
          <w:tcPr>
            <w:tcW w:w="1437" w:type="dxa"/>
            <w:tcBorders>
              <w:top w:val="nil"/>
              <w:left w:val="nil"/>
              <w:bottom w:val="nil"/>
              <w:right w:val="nil"/>
            </w:tcBorders>
            <w:shd w:val="clear" w:color="auto" w:fill="auto"/>
            <w:hideMark/>
          </w:tcPr>
          <w:p w14:paraId="756EC479"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Pr="0070772D">
              <w:rPr>
                <w:rFonts w:ascii="Times New Roman" w:eastAsia="PMingLiU" w:hAnsi="Times New Roman"/>
                <w:i/>
                <w:vertAlign w:val="subscript"/>
                <w:lang w:val="en-AU"/>
              </w:rPr>
              <w:t>mult</w:t>
            </w:r>
          </w:p>
        </w:tc>
        <w:tc>
          <w:tcPr>
            <w:tcW w:w="1264" w:type="dxa"/>
            <w:tcBorders>
              <w:top w:val="nil"/>
              <w:left w:val="nil"/>
              <w:bottom w:val="nil"/>
              <w:right w:val="nil"/>
            </w:tcBorders>
            <w:shd w:val="clear" w:color="auto" w:fill="auto"/>
            <w:vAlign w:val="bottom"/>
            <w:hideMark/>
          </w:tcPr>
          <w:p w14:paraId="35745EA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1.34</w:t>
            </w:r>
          </w:p>
        </w:tc>
        <w:tc>
          <w:tcPr>
            <w:tcW w:w="1265" w:type="dxa"/>
            <w:tcBorders>
              <w:top w:val="nil"/>
              <w:left w:val="nil"/>
              <w:bottom w:val="nil"/>
              <w:right w:val="nil"/>
            </w:tcBorders>
            <w:shd w:val="clear" w:color="auto" w:fill="auto"/>
            <w:vAlign w:val="bottom"/>
            <w:hideMark/>
          </w:tcPr>
          <w:p w14:paraId="4C5F05F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1.36</w:t>
            </w:r>
          </w:p>
        </w:tc>
        <w:tc>
          <w:tcPr>
            <w:tcW w:w="1265" w:type="dxa"/>
            <w:tcBorders>
              <w:top w:val="nil"/>
              <w:left w:val="nil"/>
              <w:bottom w:val="nil"/>
              <w:right w:val="nil"/>
            </w:tcBorders>
            <w:shd w:val="clear" w:color="auto" w:fill="auto"/>
            <w:vAlign w:val="bottom"/>
            <w:hideMark/>
          </w:tcPr>
          <w:p w14:paraId="747435B5"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0.88</w:t>
            </w:r>
          </w:p>
        </w:tc>
        <w:tc>
          <w:tcPr>
            <w:tcW w:w="1265" w:type="dxa"/>
            <w:tcBorders>
              <w:top w:val="nil"/>
              <w:left w:val="nil"/>
              <w:bottom w:val="nil"/>
              <w:right w:val="nil"/>
            </w:tcBorders>
            <w:shd w:val="clear" w:color="auto" w:fill="auto"/>
            <w:vAlign w:val="bottom"/>
            <w:hideMark/>
          </w:tcPr>
          <w:p w14:paraId="293D595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1.03</w:t>
            </w:r>
          </w:p>
        </w:tc>
        <w:tc>
          <w:tcPr>
            <w:tcW w:w="1265" w:type="dxa"/>
            <w:tcBorders>
              <w:top w:val="nil"/>
              <w:left w:val="nil"/>
              <w:bottom w:val="nil"/>
              <w:right w:val="nil"/>
            </w:tcBorders>
            <w:shd w:val="clear" w:color="auto" w:fill="auto"/>
            <w:vAlign w:val="bottom"/>
            <w:hideMark/>
          </w:tcPr>
          <w:p w14:paraId="319835F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1.61</w:t>
            </w:r>
          </w:p>
        </w:tc>
        <w:tc>
          <w:tcPr>
            <w:tcW w:w="1265" w:type="dxa"/>
            <w:tcBorders>
              <w:top w:val="nil"/>
              <w:left w:val="nil"/>
              <w:bottom w:val="nil"/>
              <w:right w:val="nil"/>
            </w:tcBorders>
            <w:shd w:val="clear" w:color="auto" w:fill="auto"/>
            <w:vAlign w:val="bottom"/>
            <w:hideMark/>
          </w:tcPr>
          <w:p w14:paraId="375A3D4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1.86</w:t>
            </w:r>
          </w:p>
        </w:tc>
      </w:tr>
      <w:tr w:rsidR="0014588F" w:rsidRPr="009C2ADD" w14:paraId="136ED535" w14:textId="77777777" w:rsidTr="000E6616">
        <w:tc>
          <w:tcPr>
            <w:tcW w:w="1437" w:type="dxa"/>
            <w:tcBorders>
              <w:top w:val="nil"/>
              <w:left w:val="nil"/>
              <w:bottom w:val="nil"/>
              <w:right w:val="nil"/>
            </w:tcBorders>
            <w:shd w:val="clear" w:color="auto" w:fill="auto"/>
            <w:hideMark/>
          </w:tcPr>
          <w:p w14:paraId="6DC98A48"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67CAD2BB"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0.12</w:t>
            </w:r>
          </w:p>
        </w:tc>
        <w:tc>
          <w:tcPr>
            <w:tcW w:w="1265" w:type="dxa"/>
            <w:tcBorders>
              <w:top w:val="nil"/>
              <w:left w:val="nil"/>
              <w:bottom w:val="nil"/>
              <w:right w:val="nil"/>
            </w:tcBorders>
            <w:shd w:val="clear" w:color="auto" w:fill="auto"/>
            <w:vAlign w:val="bottom"/>
            <w:hideMark/>
          </w:tcPr>
          <w:p w14:paraId="6B034365"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0.12</w:t>
            </w:r>
          </w:p>
        </w:tc>
        <w:tc>
          <w:tcPr>
            <w:tcW w:w="1265" w:type="dxa"/>
            <w:tcBorders>
              <w:top w:val="nil"/>
              <w:left w:val="nil"/>
              <w:bottom w:val="nil"/>
              <w:right w:val="nil"/>
            </w:tcBorders>
            <w:shd w:val="clear" w:color="auto" w:fill="auto"/>
            <w:vAlign w:val="bottom"/>
            <w:hideMark/>
          </w:tcPr>
          <w:p w14:paraId="773D765E"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0.07</w:t>
            </w:r>
          </w:p>
        </w:tc>
        <w:tc>
          <w:tcPr>
            <w:tcW w:w="1265" w:type="dxa"/>
            <w:tcBorders>
              <w:top w:val="nil"/>
              <w:left w:val="nil"/>
              <w:bottom w:val="nil"/>
              <w:right w:val="nil"/>
            </w:tcBorders>
            <w:shd w:val="clear" w:color="auto" w:fill="auto"/>
            <w:vAlign w:val="bottom"/>
            <w:hideMark/>
          </w:tcPr>
          <w:p w14:paraId="0BF2FDF2"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0.10</w:t>
            </w:r>
          </w:p>
        </w:tc>
        <w:tc>
          <w:tcPr>
            <w:tcW w:w="1265" w:type="dxa"/>
            <w:tcBorders>
              <w:top w:val="nil"/>
              <w:left w:val="nil"/>
              <w:bottom w:val="nil"/>
              <w:right w:val="nil"/>
            </w:tcBorders>
            <w:shd w:val="clear" w:color="auto" w:fill="auto"/>
            <w:vAlign w:val="bottom"/>
            <w:hideMark/>
          </w:tcPr>
          <w:p w14:paraId="0404E1E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0.14</w:t>
            </w:r>
          </w:p>
        </w:tc>
        <w:tc>
          <w:tcPr>
            <w:tcW w:w="1265" w:type="dxa"/>
            <w:tcBorders>
              <w:top w:val="nil"/>
              <w:left w:val="nil"/>
              <w:bottom w:val="nil"/>
              <w:right w:val="nil"/>
            </w:tcBorders>
            <w:shd w:val="clear" w:color="auto" w:fill="auto"/>
            <w:vAlign w:val="bottom"/>
            <w:hideMark/>
          </w:tcPr>
          <w:p w14:paraId="4A5AAB6A"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r>
      <w:tr w:rsidR="0014588F" w:rsidRPr="009C2ADD" w14:paraId="63A122FF" w14:textId="77777777" w:rsidTr="000E6616">
        <w:tc>
          <w:tcPr>
            <w:tcW w:w="1437" w:type="dxa"/>
            <w:tcBorders>
              <w:top w:val="nil"/>
              <w:left w:val="nil"/>
              <w:bottom w:val="nil"/>
              <w:right w:val="nil"/>
            </w:tcBorders>
            <w:shd w:val="clear" w:color="auto" w:fill="auto"/>
            <w:hideMark/>
          </w:tcPr>
          <w:p w14:paraId="1DF6019C"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/F</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01A88FB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0.77</w:t>
            </w:r>
          </w:p>
        </w:tc>
        <w:tc>
          <w:tcPr>
            <w:tcW w:w="1265" w:type="dxa"/>
            <w:tcBorders>
              <w:top w:val="nil"/>
              <w:left w:val="nil"/>
              <w:bottom w:val="nil"/>
              <w:right w:val="nil"/>
            </w:tcBorders>
            <w:shd w:val="clear" w:color="auto" w:fill="auto"/>
            <w:vAlign w:val="bottom"/>
            <w:hideMark/>
          </w:tcPr>
          <w:p w14:paraId="3A9E5BB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0.74</w:t>
            </w:r>
          </w:p>
        </w:tc>
        <w:tc>
          <w:tcPr>
            <w:tcW w:w="1265" w:type="dxa"/>
            <w:tcBorders>
              <w:top w:val="nil"/>
              <w:left w:val="nil"/>
              <w:bottom w:val="nil"/>
              <w:right w:val="nil"/>
            </w:tcBorders>
            <w:shd w:val="clear" w:color="auto" w:fill="auto"/>
            <w:vAlign w:val="bottom"/>
            <w:hideMark/>
          </w:tcPr>
          <w:p w14:paraId="6831351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0.54</w:t>
            </w:r>
          </w:p>
        </w:tc>
        <w:tc>
          <w:tcPr>
            <w:tcW w:w="1265" w:type="dxa"/>
            <w:tcBorders>
              <w:top w:val="nil"/>
              <w:left w:val="nil"/>
              <w:bottom w:val="nil"/>
              <w:right w:val="nil"/>
            </w:tcBorders>
            <w:shd w:val="clear" w:color="auto" w:fill="auto"/>
            <w:vAlign w:val="bottom"/>
            <w:hideMark/>
          </w:tcPr>
          <w:p w14:paraId="42CEFF8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0.62</w:t>
            </w:r>
          </w:p>
        </w:tc>
        <w:tc>
          <w:tcPr>
            <w:tcW w:w="1265" w:type="dxa"/>
            <w:tcBorders>
              <w:top w:val="nil"/>
              <w:left w:val="nil"/>
              <w:bottom w:val="nil"/>
              <w:right w:val="nil"/>
            </w:tcBorders>
            <w:shd w:val="clear" w:color="auto" w:fill="auto"/>
            <w:vAlign w:val="bottom"/>
            <w:hideMark/>
          </w:tcPr>
          <w:p w14:paraId="1A2E037D"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0.97</w:t>
            </w:r>
          </w:p>
        </w:tc>
        <w:tc>
          <w:tcPr>
            <w:tcW w:w="1265" w:type="dxa"/>
            <w:tcBorders>
              <w:top w:val="nil"/>
              <w:left w:val="nil"/>
              <w:bottom w:val="nil"/>
              <w:right w:val="nil"/>
            </w:tcBorders>
            <w:shd w:val="clear" w:color="auto" w:fill="auto"/>
            <w:vAlign w:val="bottom"/>
            <w:hideMark/>
          </w:tcPr>
          <w:p w14:paraId="7248884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1.13</w:t>
            </w:r>
          </w:p>
        </w:tc>
      </w:tr>
      <w:tr w:rsidR="0014588F" w:rsidRPr="009C2ADD" w14:paraId="3C810BBB" w14:textId="77777777" w:rsidTr="000E6616">
        <w:tc>
          <w:tcPr>
            <w:tcW w:w="1437" w:type="dxa"/>
            <w:tcBorders>
              <w:top w:val="nil"/>
              <w:left w:val="nil"/>
              <w:bottom w:val="nil"/>
              <w:right w:val="nil"/>
            </w:tcBorders>
            <w:shd w:val="clear" w:color="auto" w:fill="auto"/>
            <w:hideMark/>
          </w:tcPr>
          <w:p w14:paraId="37C87F9B"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21D4378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544,762</w:t>
            </w:r>
          </w:p>
        </w:tc>
        <w:tc>
          <w:tcPr>
            <w:tcW w:w="1265" w:type="dxa"/>
            <w:tcBorders>
              <w:top w:val="nil"/>
              <w:left w:val="nil"/>
              <w:bottom w:val="nil"/>
              <w:right w:val="nil"/>
            </w:tcBorders>
            <w:shd w:val="clear" w:color="auto" w:fill="auto"/>
            <w:vAlign w:val="bottom"/>
            <w:hideMark/>
          </w:tcPr>
          <w:p w14:paraId="6562DDD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581,400</w:t>
            </w:r>
          </w:p>
        </w:tc>
        <w:tc>
          <w:tcPr>
            <w:tcW w:w="1265" w:type="dxa"/>
            <w:tcBorders>
              <w:top w:val="nil"/>
              <w:left w:val="nil"/>
              <w:bottom w:val="nil"/>
              <w:right w:val="nil"/>
            </w:tcBorders>
            <w:shd w:val="clear" w:color="auto" w:fill="auto"/>
            <w:vAlign w:val="bottom"/>
            <w:hideMark/>
          </w:tcPr>
          <w:p w14:paraId="1CE4F92A"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186,800</w:t>
            </w:r>
          </w:p>
        </w:tc>
        <w:tc>
          <w:tcPr>
            <w:tcW w:w="1265" w:type="dxa"/>
            <w:tcBorders>
              <w:top w:val="nil"/>
              <w:left w:val="nil"/>
              <w:bottom w:val="nil"/>
              <w:right w:val="nil"/>
            </w:tcBorders>
            <w:shd w:val="clear" w:color="auto" w:fill="auto"/>
            <w:vAlign w:val="bottom"/>
            <w:hideMark/>
          </w:tcPr>
          <w:p w14:paraId="1737905C"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253,320</w:t>
            </w:r>
          </w:p>
        </w:tc>
        <w:tc>
          <w:tcPr>
            <w:tcW w:w="1265" w:type="dxa"/>
            <w:tcBorders>
              <w:top w:val="nil"/>
              <w:left w:val="nil"/>
              <w:bottom w:val="nil"/>
              <w:right w:val="nil"/>
            </w:tcBorders>
            <w:shd w:val="clear" w:color="auto" w:fill="auto"/>
            <w:vAlign w:val="bottom"/>
            <w:hideMark/>
          </w:tcPr>
          <w:p w14:paraId="49A9D39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786,260</w:t>
            </w:r>
          </w:p>
        </w:tc>
        <w:tc>
          <w:tcPr>
            <w:tcW w:w="1265" w:type="dxa"/>
            <w:tcBorders>
              <w:top w:val="nil"/>
              <w:left w:val="nil"/>
              <w:bottom w:val="nil"/>
              <w:right w:val="nil"/>
            </w:tcBorders>
            <w:shd w:val="clear" w:color="auto" w:fill="auto"/>
            <w:vAlign w:val="bottom"/>
            <w:hideMark/>
          </w:tcPr>
          <w:p w14:paraId="132639B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946,800</w:t>
            </w:r>
          </w:p>
        </w:tc>
      </w:tr>
      <w:tr w:rsidR="0014588F" w:rsidRPr="009C2ADD" w14:paraId="68B4C6F7" w14:textId="77777777" w:rsidTr="000E6616">
        <w:tc>
          <w:tcPr>
            <w:tcW w:w="1437" w:type="dxa"/>
            <w:tcBorders>
              <w:top w:val="nil"/>
              <w:left w:val="nil"/>
              <w:bottom w:val="nil"/>
              <w:right w:val="nil"/>
            </w:tcBorders>
            <w:shd w:val="clear" w:color="auto" w:fill="auto"/>
            <w:hideMark/>
          </w:tcPr>
          <w:p w14:paraId="3DABCE24"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0310005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2,199,750</w:t>
            </w:r>
          </w:p>
        </w:tc>
        <w:tc>
          <w:tcPr>
            <w:tcW w:w="1265" w:type="dxa"/>
            <w:tcBorders>
              <w:top w:val="nil"/>
              <w:left w:val="nil"/>
              <w:bottom w:val="nil"/>
              <w:right w:val="nil"/>
            </w:tcBorders>
            <w:shd w:val="clear" w:color="auto" w:fill="auto"/>
            <w:vAlign w:val="bottom"/>
            <w:hideMark/>
          </w:tcPr>
          <w:p w14:paraId="17E8D09C"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2,290,000</w:t>
            </w:r>
          </w:p>
        </w:tc>
        <w:tc>
          <w:tcPr>
            <w:tcW w:w="1265" w:type="dxa"/>
            <w:tcBorders>
              <w:top w:val="nil"/>
              <w:left w:val="nil"/>
              <w:bottom w:val="nil"/>
              <w:right w:val="nil"/>
            </w:tcBorders>
            <w:shd w:val="clear" w:color="auto" w:fill="auto"/>
            <w:vAlign w:val="bottom"/>
            <w:hideMark/>
          </w:tcPr>
          <w:p w14:paraId="5997B87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1,197,000</w:t>
            </w:r>
          </w:p>
        </w:tc>
        <w:tc>
          <w:tcPr>
            <w:tcW w:w="1265" w:type="dxa"/>
            <w:tcBorders>
              <w:top w:val="nil"/>
              <w:left w:val="nil"/>
              <w:bottom w:val="nil"/>
              <w:right w:val="nil"/>
            </w:tcBorders>
            <w:shd w:val="clear" w:color="auto" w:fill="auto"/>
            <w:vAlign w:val="bottom"/>
            <w:hideMark/>
          </w:tcPr>
          <w:p w14:paraId="2C8C2B6F"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1,366,600</w:t>
            </w:r>
          </w:p>
        </w:tc>
        <w:tc>
          <w:tcPr>
            <w:tcW w:w="1265" w:type="dxa"/>
            <w:tcBorders>
              <w:top w:val="nil"/>
              <w:left w:val="nil"/>
              <w:bottom w:val="nil"/>
              <w:right w:val="nil"/>
            </w:tcBorders>
            <w:shd w:val="clear" w:color="auto" w:fill="auto"/>
            <w:vAlign w:val="bottom"/>
            <w:hideMark/>
          </w:tcPr>
          <w:p w14:paraId="186B0D6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2,784,500</w:t>
            </w:r>
          </w:p>
        </w:tc>
        <w:tc>
          <w:tcPr>
            <w:tcW w:w="1265" w:type="dxa"/>
            <w:tcBorders>
              <w:top w:val="nil"/>
              <w:left w:val="nil"/>
              <w:bottom w:val="nil"/>
              <w:right w:val="nil"/>
            </w:tcBorders>
            <w:shd w:val="clear" w:color="auto" w:fill="auto"/>
            <w:vAlign w:val="bottom"/>
            <w:hideMark/>
          </w:tcPr>
          <w:p w14:paraId="5DED03B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3,256,000</w:t>
            </w:r>
          </w:p>
        </w:tc>
      </w:tr>
      <w:tr w:rsidR="0014588F" w:rsidRPr="009C2ADD" w14:paraId="4DC896D7" w14:textId="77777777" w:rsidTr="000E6616">
        <w:tc>
          <w:tcPr>
            <w:tcW w:w="1437" w:type="dxa"/>
            <w:tcBorders>
              <w:top w:val="nil"/>
              <w:left w:val="nil"/>
              <w:bottom w:val="nil"/>
              <w:right w:val="nil"/>
            </w:tcBorders>
            <w:shd w:val="clear" w:color="auto" w:fill="auto"/>
            <w:hideMark/>
          </w:tcPr>
          <w:p w14:paraId="7A41EE1C"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104C78">
              <w:rPr>
                <w:rFonts w:ascii="Times New Roman" w:hAnsi="Times New Roman"/>
                <w:vertAlign w:val="subscript"/>
                <w:lang w:val="en-AU"/>
              </w:rPr>
              <w:t>MSY</w:t>
            </w:r>
            <w:r w:rsidRPr="009C2ADD">
              <w:rPr>
                <w:rFonts w:ascii="Times New Roman" w:eastAsia="PMingLiU" w:hAnsi="Times New Roman"/>
                <w:i/>
                <w:lang w:val="en-AU"/>
              </w:rPr>
              <w:t>/SB</w:t>
            </w:r>
            <w:r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4E58961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0.24</w:t>
            </w:r>
          </w:p>
        </w:tc>
        <w:tc>
          <w:tcPr>
            <w:tcW w:w="1265" w:type="dxa"/>
            <w:tcBorders>
              <w:top w:val="nil"/>
              <w:left w:val="nil"/>
              <w:bottom w:val="nil"/>
              <w:right w:val="nil"/>
            </w:tcBorders>
            <w:shd w:val="clear" w:color="auto" w:fill="auto"/>
            <w:vAlign w:val="bottom"/>
            <w:hideMark/>
          </w:tcPr>
          <w:p w14:paraId="3782DC2E"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0.24</w:t>
            </w:r>
          </w:p>
        </w:tc>
        <w:tc>
          <w:tcPr>
            <w:tcW w:w="1265" w:type="dxa"/>
            <w:tcBorders>
              <w:top w:val="nil"/>
              <w:left w:val="nil"/>
              <w:bottom w:val="nil"/>
              <w:right w:val="nil"/>
            </w:tcBorders>
            <w:shd w:val="clear" w:color="auto" w:fill="auto"/>
            <w:vAlign w:val="bottom"/>
            <w:hideMark/>
          </w:tcPr>
          <w:p w14:paraId="324592CD"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0.15</w:t>
            </w:r>
          </w:p>
        </w:tc>
        <w:tc>
          <w:tcPr>
            <w:tcW w:w="1265" w:type="dxa"/>
            <w:tcBorders>
              <w:top w:val="nil"/>
              <w:left w:val="nil"/>
              <w:bottom w:val="nil"/>
              <w:right w:val="nil"/>
            </w:tcBorders>
            <w:shd w:val="clear" w:color="auto" w:fill="auto"/>
            <w:vAlign w:val="bottom"/>
            <w:hideMark/>
          </w:tcPr>
          <w:p w14:paraId="321D7DE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0.18</w:t>
            </w:r>
          </w:p>
        </w:tc>
        <w:tc>
          <w:tcPr>
            <w:tcW w:w="1265" w:type="dxa"/>
            <w:tcBorders>
              <w:top w:val="nil"/>
              <w:left w:val="nil"/>
              <w:bottom w:val="nil"/>
              <w:right w:val="nil"/>
            </w:tcBorders>
            <w:shd w:val="clear" w:color="auto" w:fill="auto"/>
            <w:vAlign w:val="bottom"/>
            <w:hideMark/>
          </w:tcPr>
          <w:p w14:paraId="30736F3E"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0.28</w:t>
            </w:r>
          </w:p>
        </w:tc>
        <w:tc>
          <w:tcPr>
            <w:tcW w:w="1265" w:type="dxa"/>
            <w:tcBorders>
              <w:top w:val="nil"/>
              <w:left w:val="nil"/>
              <w:bottom w:val="nil"/>
              <w:right w:val="nil"/>
            </w:tcBorders>
            <w:shd w:val="clear" w:color="auto" w:fill="auto"/>
            <w:vAlign w:val="bottom"/>
            <w:hideMark/>
          </w:tcPr>
          <w:p w14:paraId="577F681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0.34</w:t>
            </w:r>
          </w:p>
        </w:tc>
      </w:tr>
      <w:tr w:rsidR="0014588F" w:rsidRPr="009C2ADD" w14:paraId="5ED2E41A" w14:textId="77777777" w:rsidTr="000E6616">
        <w:tc>
          <w:tcPr>
            <w:tcW w:w="1437" w:type="dxa"/>
            <w:tcBorders>
              <w:top w:val="nil"/>
              <w:left w:val="nil"/>
              <w:bottom w:val="nil"/>
              <w:right w:val="nil"/>
            </w:tcBorders>
            <w:shd w:val="clear" w:color="auto" w:fill="auto"/>
            <w:hideMark/>
          </w:tcPr>
          <w:p w14:paraId="234F8C33"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3DC24F0D"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2,083,477</w:t>
            </w:r>
          </w:p>
        </w:tc>
        <w:tc>
          <w:tcPr>
            <w:tcW w:w="1265" w:type="dxa"/>
            <w:tcBorders>
              <w:top w:val="nil"/>
              <w:left w:val="nil"/>
              <w:bottom w:val="nil"/>
              <w:right w:val="nil"/>
            </w:tcBorders>
            <w:shd w:val="clear" w:color="auto" w:fill="auto"/>
            <w:vAlign w:val="bottom"/>
            <w:hideMark/>
          </w:tcPr>
          <w:p w14:paraId="625F8D5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2,178,220</w:t>
            </w:r>
          </w:p>
        </w:tc>
        <w:tc>
          <w:tcPr>
            <w:tcW w:w="1265" w:type="dxa"/>
            <w:tcBorders>
              <w:top w:val="nil"/>
              <w:left w:val="nil"/>
              <w:bottom w:val="nil"/>
              <w:right w:val="nil"/>
            </w:tcBorders>
            <w:shd w:val="clear" w:color="auto" w:fill="auto"/>
            <w:vAlign w:val="bottom"/>
            <w:hideMark/>
          </w:tcPr>
          <w:p w14:paraId="06BE713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1,193,336</w:t>
            </w:r>
          </w:p>
        </w:tc>
        <w:tc>
          <w:tcPr>
            <w:tcW w:w="1265" w:type="dxa"/>
            <w:tcBorders>
              <w:top w:val="nil"/>
              <w:left w:val="nil"/>
              <w:bottom w:val="nil"/>
              <w:right w:val="nil"/>
            </w:tcBorders>
            <w:shd w:val="clear" w:color="auto" w:fill="auto"/>
            <w:vAlign w:val="bottom"/>
            <w:hideMark/>
          </w:tcPr>
          <w:p w14:paraId="530920D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1,351,946</w:t>
            </w:r>
          </w:p>
        </w:tc>
        <w:tc>
          <w:tcPr>
            <w:tcW w:w="1265" w:type="dxa"/>
            <w:tcBorders>
              <w:top w:val="nil"/>
              <w:left w:val="nil"/>
              <w:bottom w:val="nil"/>
              <w:right w:val="nil"/>
            </w:tcBorders>
            <w:shd w:val="clear" w:color="auto" w:fill="auto"/>
            <w:vAlign w:val="bottom"/>
            <w:hideMark/>
          </w:tcPr>
          <w:p w14:paraId="203CDEB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2,643,390</w:t>
            </w:r>
          </w:p>
        </w:tc>
        <w:tc>
          <w:tcPr>
            <w:tcW w:w="1265" w:type="dxa"/>
            <w:tcBorders>
              <w:top w:val="nil"/>
              <w:left w:val="nil"/>
              <w:bottom w:val="nil"/>
              <w:right w:val="nil"/>
            </w:tcBorders>
            <w:shd w:val="clear" w:color="auto" w:fill="auto"/>
            <w:vAlign w:val="bottom"/>
            <w:hideMark/>
          </w:tcPr>
          <w:p w14:paraId="5A392F2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2,845,244</w:t>
            </w:r>
          </w:p>
        </w:tc>
      </w:tr>
      <w:tr w:rsidR="0014588F" w:rsidRPr="009C2ADD" w14:paraId="211CE0C9" w14:textId="77777777" w:rsidTr="000E6616">
        <w:tc>
          <w:tcPr>
            <w:tcW w:w="1437" w:type="dxa"/>
            <w:tcBorders>
              <w:top w:val="nil"/>
              <w:left w:val="nil"/>
              <w:bottom w:val="nil"/>
              <w:right w:val="nil"/>
            </w:tcBorders>
            <w:shd w:val="clear" w:color="auto" w:fill="auto"/>
            <w:hideMark/>
          </w:tcPr>
          <w:p w14:paraId="5B8599BA"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104C78">
              <w:rPr>
                <w:rFonts w:ascii="Times New Roman" w:hAnsi="Times New Roman"/>
                <w:vertAlign w:val="subscript"/>
                <w:lang w:val="en-AU"/>
              </w:rPr>
              <w:t>MSY</w:t>
            </w: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2F675E12"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0.25</w:t>
            </w:r>
          </w:p>
        </w:tc>
        <w:tc>
          <w:tcPr>
            <w:tcW w:w="1265" w:type="dxa"/>
            <w:tcBorders>
              <w:top w:val="nil"/>
              <w:left w:val="nil"/>
              <w:bottom w:val="nil"/>
              <w:right w:val="nil"/>
            </w:tcBorders>
            <w:shd w:val="clear" w:color="auto" w:fill="auto"/>
            <w:vAlign w:val="bottom"/>
            <w:hideMark/>
          </w:tcPr>
          <w:p w14:paraId="2B90A8CA"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0.26</w:t>
            </w:r>
          </w:p>
        </w:tc>
        <w:tc>
          <w:tcPr>
            <w:tcW w:w="1265" w:type="dxa"/>
            <w:tcBorders>
              <w:top w:val="nil"/>
              <w:left w:val="nil"/>
              <w:bottom w:val="nil"/>
              <w:right w:val="nil"/>
            </w:tcBorders>
            <w:shd w:val="clear" w:color="auto" w:fill="auto"/>
            <w:vAlign w:val="bottom"/>
            <w:hideMark/>
          </w:tcPr>
          <w:p w14:paraId="67A8157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c>
          <w:tcPr>
            <w:tcW w:w="1265" w:type="dxa"/>
            <w:tcBorders>
              <w:top w:val="nil"/>
              <w:left w:val="nil"/>
              <w:bottom w:val="nil"/>
              <w:right w:val="nil"/>
            </w:tcBorders>
            <w:shd w:val="clear" w:color="auto" w:fill="auto"/>
            <w:vAlign w:val="bottom"/>
            <w:hideMark/>
          </w:tcPr>
          <w:p w14:paraId="364C460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0.19</w:t>
            </w:r>
          </w:p>
        </w:tc>
        <w:tc>
          <w:tcPr>
            <w:tcW w:w="1265" w:type="dxa"/>
            <w:tcBorders>
              <w:top w:val="nil"/>
              <w:left w:val="nil"/>
              <w:bottom w:val="nil"/>
              <w:right w:val="nil"/>
            </w:tcBorders>
            <w:shd w:val="clear" w:color="auto" w:fill="auto"/>
            <w:vAlign w:val="bottom"/>
            <w:hideMark/>
          </w:tcPr>
          <w:p w14:paraId="2727658B"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0.30</w:t>
            </w:r>
          </w:p>
        </w:tc>
        <w:tc>
          <w:tcPr>
            <w:tcW w:w="1265" w:type="dxa"/>
            <w:tcBorders>
              <w:top w:val="nil"/>
              <w:left w:val="nil"/>
              <w:bottom w:val="nil"/>
              <w:right w:val="nil"/>
            </w:tcBorders>
            <w:shd w:val="clear" w:color="auto" w:fill="auto"/>
            <w:vAlign w:val="bottom"/>
            <w:hideMark/>
          </w:tcPr>
          <w:p w14:paraId="2D6F47A9"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0.35</w:t>
            </w:r>
          </w:p>
        </w:tc>
      </w:tr>
      <w:tr w:rsidR="0014588F" w:rsidRPr="009C2ADD" w14:paraId="6842F554" w14:textId="77777777" w:rsidTr="000E6616">
        <w:tc>
          <w:tcPr>
            <w:tcW w:w="1437" w:type="dxa"/>
            <w:tcBorders>
              <w:top w:val="nil"/>
              <w:left w:val="nil"/>
              <w:bottom w:val="nil"/>
              <w:right w:val="nil"/>
            </w:tcBorders>
            <w:shd w:val="clear" w:color="auto" w:fill="auto"/>
            <w:hideMark/>
          </w:tcPr>
          <w:p w14:paraId="6BE82FF2"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Pr="009C2ADD">
              <w:rPr>
                <w:rFonts w:ascii="Times New Roman" w:eastAsia="PMingLiU" w:hAnsi="Times New Roman"/>
                <w:i/>
                <w:lang w:val="en-AU"/>
              </w:rPr>
              <w:t>/SB</w:t>
            </w:r>
            <w:r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45844835"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0.33</w:t>
            </w:r>
          </w:p>
        </w:tc>
        <w:tc>
          <w:tcPr>
            <w:tcW w:w="1265" w:type="dxa"/>
            <w:tcBorders>
              <w:top w:val="nil"/>
              <w:left w:val="nil"/>
              <w:bottom w:val="nil"/>
              <w:right w:val="nil"/>
            </w:tcBorders>
            <w:shd w:val="clear" w:color="auto" w:fill="auto"/>
            <w:vAlign w:val="bottom"/>
            <w:hideMark/>
          </w:tcPr>
          <w:p w14:paraId="7ED2E54D"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0.34</w:t>
            </w:r>
          </w:p>
        </w:tc>
        <w:tc>
          <w:tcPr>
            <w:tcW w:w="1265" w:type="dxa"/>
            <w:tcBorders>
              <w:top w:val="nil"/>
              <w:left w:val="nil"/>
              <w:bottom w:val="nil"/>
              <w:right w:val="nil"/>
            </w:tcBorders>
            <w:shd w:val="clear" w:color="auto" w:fill="auto"/>
            <w:vAlign w:val="bottom"/>
            <w:hideMark/>
          </w:tcPr>
          <w:p w14:paraId="7BB3C92F"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0.18</w:t>
            </w:r>
          </w:p>
        </w:tc>
        <w:tc>
          <w:tcPr>
            <w:tcW w:w="1265" w:type="dxa"/>
            <w:tcBorders>
              <w:top w:val="nil"/>
              <w:left w:val="nil"/>
              <w:bottom w:val="nil"/>
              <w:right w:val="nil"/>
            </w:tcBorders>
            <w:shd w:val="clear" w:color="auto" w:fill="auto"/>
            <w:vAlign w:val="bottom"/>
            <w:hideMark/>
          </w:tcPr>
          <w:p w14:paraId="3B3A06D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0.23</w:t>
            </w:r>
          </w:p>
        </w:tc>
        <w:tc>
          <w:tcPr>
            <w:tcW w:w="1265" w:type="dxa"/>
            <w:tcBorders>
              <w:top w:val="nil"/>
              <w:left w:val="nil"/>
              <w:bottom w:val="nil"/>
              <w:right w:val="nil"/>
            </w:tcBorders>
            <w:shd w:val="clear" w:color="auto" w:fill="auto"/>
            <w:vAlign w:val="bottom"/>
            <w:hideMark/>
          </w:tcPr>
          <w:p w14:paraId="3C2515D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0.42</w:t>
            </w:r>
          </w:p>
        </w:tc>
        <w:tc>
          <w:tcPr>
            <w:tcW w:w="1265" w:type="dxa"/>
            <w:tcBorders>
              <w:top w:val="nil"/>
              <w:left w:val="nil"/>
              <w:bottom w:val="nil"/>
              <w:right w:val="nil"/>
            </w:tcBorders>
            <w:shd w:val="clear" w:color="auto" w:fill="auto"/>
            <w:vAlign w:val="bottom"/>
            <w:hideMark/>
          </w:tcPr>
          <w:p w14:paraId="75C3814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0.45</w:t>
            </w:r>
          </w:p>
        </w:tc>
      </w:tr>
      <w:tr w:rsidR="0014588F" w:rsidRPr="009C2ADD" w14:paraId="15A38292" w14:textId="77777777" w:rsidTr="000E6616">
        <w:tc>
          <w:tcPr>
            <w:tcW w:w="1437" w:type="dxa"/>
            <w:tcBorders>
              <w:top w:val="nil"/>
              <w:left w:val="nil"/>
              <w:bottom w:val="nil"/>
              <w:right w:val="nil"/>
            </w:tcBorders>
            <w:shd w:val="clear" w:color="auto" w:fill="auto"/>
            <w:hideMark/>
          </w:tcPr>
          <w:p w14:paraId="6BCA7972"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51A1F3C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0.35</w:t>
            </w:r>
          </w:p>
        </w:tc>
        <w:tc>
          <w:tcPr>
            <w:tcW w:w="1265" w:type="dxa"/>
            <w:tcBorders>
              <w:top w:val="nil"/>
              <w:left w:val="nil"/>
              <w:bottom w:val="nil"/>
              <w:right w:val="nil"/>
            </w:tcBorders>
            <w:shd w:val="clear" w:color="auto" w:fill="auto"/>
            <w:vAlign w:val="bottom"/>
            <w:hideMark/>
          </w:tcPr>
          <w:p w14:paraId="4D11688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0.37</w:t>
            </w:r>
          </w:p>
        </w:tc>
        <w:tc>
          <w:tcPr>
            <w:tcW w:w="1265" w:type="dxa"/>
            <w:tcBorders>
              <w:top w:val="nil"/>
              <w:left w:val="nil"/>
              <w:bottom w:val="nil"/>
              <w:right w:val="nil"/>
            </w:tcBorders>
            <w:shd w:val="clear" w:color="auto" w:fill="auto"/>
            <w:vAlign w:val="bottom"/>
            <w:hideMark/>
          </w:tcPr>
          <w:p w14:paraId="2FE3604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c>
          <w:tcPr>
            <w:tcW w:w="1265" w:type="dxa"/>
            <w:tcBorders>
              <w:top w:val="nil"/>
              <w:left w:val="nil"/>
              <w:bottom w:val="nil"/>
              <w:right w:val="nil"/>
            </w:tcBorders>
            <w:shd w:val="clear" w:color="auto" w:fill="auto"/>
            <w:vAlign w:val="bottom"/>
            <w:hideMark/>
          </w:tcPr>
          <w:p w14:paraId="40F152D8"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0.22</w:t>
            </w:r>
          </w:p>
        </w:tc>
        <w:tc>
          <w:tcPr>
            <w:tcW w:w="1265" w:type="dxa"/>
            <w:tcBorders>
              <w:top w:val="nil"/>
              <w:left w:val="nil"/>
              <w:bottom w:val="nil"/>
              <w:right w:val="nil"/>
            </w:tcBorders>
            <w:shd w:val="clear" w:color="auto" w:fill="auto"/>
            <w:vAlign w:val="bottom"/>
            <w:hideMark/>
          </w:tcPr>
          <w:p w14:paraId="0503F426"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0.46</w:t>
            </w:r>
          </w:p>
        </w:tc>
        <w:tc>
          <w:tcPr>
            <w:tcW w:w="1265" w:type="dxa"/>
            <w:tcBorders>
              <w:top w:val="nil"/>
              <w:left w:val="nil"/>
              <w:bottom w:val="nil"/>
              <w:right w:val="nil"/>
            </w:tcBorders>
            <w:shd w:val="clear" w:color="auto" w:fill="auto"/>
            <w:vAlign w:val="bottom"/>
            <w:hideMark/>
          </w:tcPr>
          <w:p w14:paraId="03BA1AD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0.50</w:t>
            </w:r>
          </w:p>
        </w:tc>
      </w:tr>
      <w:tr w:rsidR="0014588F" w:rsidRPr="009C2ADD" w14:paraId="20788415" w14:textId="77777777" w:rsidTr="000E6616">
        <w:tc>
          <w:tcPr>
            <w:tcW w:w="1437" w:type="dxa"/>
            <w:tcBorders>
              <w:top w:val="nil"/>
              <w:left w:val="nil"/>
              <w:bottom w:val="nil"/>
              <w:right w:val="nil"/>
            </w:tcBorders>
            <w:shd w:val="clear" w:color="auto" w:fill="auto"/>
            <w:hideMark/>
          </w:tcPr>
          <w:p w14:paraId="3CD4C8D2"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Pr="009C2ADD">
              <w:rPr>
                <w:rFonts w:ascii="Times New Roman" w:eastAsia="PMingLiU" w:hAnsi="Times New Roman"/>
                <w:i/>
                <w:lang w:val="en-AU"/>
              </w:rPr>
              <w:t>/SB</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4A28F97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1.40</w:t>
            </w:r>
          </w:p>
        </w:tc>
        <w:tc>
          <w:tcPr>
            <w:tcW w:w="1265" w:type="dxa"/>
            <w:tcBorders>
              <w:top w:val="nil"/>
              <w:left w:val="nil"/>
              <w:bottom w:val="nil"/>
              <w:right w:val="nil"/>
            </w:tcBorders>
            <w:shd w:val="clear" w:color="auto" w:fill="auto"/>
            <w:vAlign w:val="bottom"/>
            <w:hideMark/>
          </w:tcPr>
          <w:p w14:paraId="20F6B6D4"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1.39</w:t>
            </w:r>
          </w:p>
        </w:tc>
        <w:tc>
          <w:tcPr>
            <w:tcW w:w="1265" w:type="dxa"/>
            <w:tcBorders>
              <w:top w:val="nil"/>
              <w:left w:val="nil"/>
              <w:bottom w:val="nil"/>
              <w:right w:val="nil"/>
            </w:tcBorders>
            <w:shd w:val="clear" w:color="auto" w:fill="auto"/>
            <w:vAlign w:val="bottom"/>
            <w:hideMark/>
          </w:tcPr>
          <w:p w14:paraId="33D094C5"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0.80</w:t>
            </w:r>
          </w:p>
        </w:tc>
        <w:tc>
          <w:tcPr>
            <w:tcW w:w="1265" w:type="dxa"/>
            <w:tcBorders>
              <w:top w:val="nil"/>
              <w:left w:val="nil"/>
              <w:bottom w:val="nil"/>
              <w:right w:val="nil"/>
            </w:tcBorders>
            <w:shd w:val="clear" w:color="auto" w:fill="auto"/>
            <w:vAlign w:val="bottom"/>
            <w:hideMark/>
          </w:tcPr>
          <w:p w14:paraId="63E8146B"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1.02</w:t>
            </w:r>
          </w:p>
        </w:tc>
        <w:tc>
          <w:tcPr>
            <w:tcW w:w="1265" w:type="dxa"/>
            <w:tcBorders>
              <w:top w:val="nil"/>
              <w:left w:val="nil"/>
              <w:bottom w:val="nil"/>
              <w:right w:val="nil"/>
            </w:tcBorders>
            <w:shd w:val="clear" w:color="auto" w:fill="auto"/>
            <w:vAlign w:val="bottom"/>
            <w:hideMark/>
          </w:tcPr>
          <w:p w14:paraId="5964385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1.80</w:t>
            </w:r>
          </w:p>
        </w:tc>
        <w:tc>
          <w:tcPr>
            <w:tcW w:w="1265" w:type="dxa"/>
            <w:tcBorders>
              <w:top w:val="nil"/>
              <w:left w:val="nil"/>
              <w:bottom w:val="nil"/>
              <w:right w:val="nil"/>
            </w:tcBorders>
            <w:shd w:val="clear" w:color="auto" w:fill="auto"/>
            <w:vAlign w:val="bottom"/>
            <w:hideMark/>
          </w:tcPr>
          <w:p w14:paraId="74D16765"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1.91</w:t>
            </w:r>
          </w:p>
        </w:tc>
      </w:tr>
      <w:tr w:rsidR="0014588F" w:rsidRPr="009C2ADD" w14:paraId="29A8A1EF" w14:textId="77777777" w:rsidTr="000E6616">
        <w:tc>
          <w:tcPr>
            <w:tcW w:w="1437" w:type="dxa"/>
            <w:tcBorders>
              <w:top w:val="nil"/>
              <w:left w:val="nil"/>
              <w:bottom w:val="nil"/>
              <w:right w:val="nil"/>
            </w:tcBorders>
            <w:shd w:val="clear" w:color="auto" w:fill="auto"/>
            <w:hideMark/>
          </w:tcPr>
          <w:p w14:paraId="4A6FCCCE"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3E10D700"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0.32</w:t>
            </w:r>
          </w:p>
        </w:tc>
        <w:tc>
          <w:tcPr>
            <w:tcW w:w="1265" w:type="dxa"/>
            <w:tcBorders>
              <w:top w:val="nil"/>
              <w:left w:val="nil"/>
              <w:bottom w:val="nil"/>
              <w:right w:val="nil"/>
            </w:tcBorders>
            <w:shd w:val="clear" w:color="auto" w:fill="auto"/>
            <w:vAlign w:val="bottom"/>
            <w:hideMark/>
          </w:tcPr>
          <w:p w14:paraId="2714DE8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0.33</w:t>
            </w:r>
          </w:p>
        </w:tc>
        <w:tc>
          <w:tcPr>
            <w:tcW w:w="1265" w:type="dxa"/>
            <w:tcBorders>
              <w:top w:val="nil"/>
              <w:left w:val="nil"/>
              <w:bottom w:val="nil"/>
              <w:right w:val="nil"/>
            </w:tcBorders>
            <w:shd w:val="clear" w:color="auto" w:fill="auto"/>
            <w:vAlign w:val="bottom"/>
            <w:hideMark/>
          </w:tcPr>
          <w:p w14:paraId="66A91450"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0.15</w:t>
            </w:r>
          </w:p>
        </w:tc>
        <w:tc>
          <w:tcPr>
            <w:tcW w:w="1265" w:type="dxa"/>
            <w:tcBorders>
              <w:top w:val="nil"/>
              <w:left w:val="nil"/>
              <w:bottom w:val="nil"/>
              <w:right w:val="nil"/>
            </w:tcBorders>
            <w:shd w:val="clear" w:color="auto" w:fill="auto"/>
            <w:vAlign w:val="bottom"/>
            <w:hideMark/>
          </w:tcPr>
          <w:p w14:paraId="7F7D414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0.20</w:t>
            </w:r>
          </w:p>
        </w:tc>
        <w:tc>
          <w:tcPr>
            <w:tcW w:w="1265" w:type="dxa"/>
            <w:tcBorders>
              <w:top w:val="nil"/>
              <w:left w:val="nil"/>
              <w:bottom w:val="nil"/>
              <w:right w:val="nil"/>
            </w:tcBorders>
            <w:shd w:val="clear" w:color="auto" w:fill="auto"/>
            <w:vAlign w:val="bottom"/>
            <w:hideMark/>
          </w:tcPr>
          <w:p w14:paraId="033D9F61"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0.41</w:t>
            </w:r>
          </w:p>
        </w:tc>
        <w:tc>
          <w:tcPr>
            <w:tcW w:w="1265" w:type="dxa"/>
            <w:tcBorders>
              <w:top w:val="nil"/>
              <w:left w:val="nil"/>
              <w:bottom w:val="nil"/>
              <w:right w:val="nil"/>
            </w:tcBorders>
            <w:shd w:val="clear" w:color="auto" w:fill="auto"/>
            <w:vAlign w:val="bottom"/>
            <w:hideMark/>
          </w:tcPr>
          <w:p w14:paraId="6E17FF4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0.46</w:t>
            </w:r>
          </w:p>
        </w:tc>
      </w:tr>
      <w:tr w:rsidR="0014588F" w:rsidRPr="009C2ADD" w14:paraId="04A42A8B" w14:textId="77777777" w:rsidTr="000E6616">
        <w:tc>
          <w:tcPr>
            <w:tcW w:w="1437" w:type="dxa"/>
            <w:tcBorders>
              <w:top w:val="nil"/>
              <w:left w:val="nil"/>
              <w:bottom w:val="single" w:sz="4" w:space="0" w:color="auto"/>
              <w:right w:val="nil"/>
            </w:tcBorders>
            <w:shd w:val="clear" w:color="auto" w:fill="auto"/>
            <w:hideMark/>
          </w:tcPr>
          <w:p w14:paraId="45590A24" w14:textId="77777777" w:rsidR="0014588F" w:rsidRPr="009C2ADD" w:rsidRDefault="0014588F" w:rsidP="000E6616">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/SB</w:t>
            </w:r>
            <w:r w:rsidRPr="00104C78">
              <w:rPr>
                <w:rFonts w:ascii="Times New Roman" w:hAnsi="Times New Roman"/>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03E6E96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1.40</w:t>
            </w:r>
          </w:p>
        </w:tc>
        <w:tc>
          <w:tcPr>
            <w:tcW w:w="1265" w:type="dxa"/>
            <w:tcBorders>
              <w:top w:val="nil"/>
              <w:left w:val="nil"/>
              <w:bottom w:val="single" w:sz="4" w:space="0" w:color="auto"/>
              <w:right w:val="nil"/>
            </w:tcBorders>
            <w:shd w:val="clear" w:color="auto" w:fill="auto"/>
            <w:vAlign w:val="bottom"/>
            <w:hideMark/>
          </w:tcPr>
          <w:p w14:paraId="4C943A6E"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1.41</w:t>
            </w:r>
          </w:p>
        </w:tc>
        <w:tc>
          <w:tcPr>
            <w:tcW w:w="1265" w:type="dxa"/>
            <w:tcBorders>
              <w:top w:val="nil"/>
              <w:left w:val="nil"/>
              <w:bottom w:val="single" w:sz="4" w:space="0" w:color="auto"/>
              <w:right w:val="nil"/>
            </w:tcBorders>
            <w:shd w:val="clear" w:color="auto" w:fill="auto"/>
            <w:vAlign w:val="bottom"/>
            <w:hideMark/>
          </w:tcPr>
          <w:p w14:paraId="6D926207"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0.81</w:t>
            </w:r>
          </w:p>
        </w:tc>
        <w:tc>
          <w:tcPr>
            <w:tcW w:w="1265" w:type="dxa"/>
            <w:tcBorders>
              <w:top w:val="nil"/>
              <w:left w:val="nil"/>
              <w:bottom w:val="single" w:sz="4" w:space="0" w:color="auto"/>
              <w:right w:val="nil"/>
            </w:tcBorders>
            <w:shd w:val="clear" w:color="auto" w:fill="auto"/>
            <w:vAlign w:val="bottom"/>
            <w:hideMark/>
          </w:tcPr>
          <w:p w14:paraId="23C79F1B"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1.05</w:t>
            </w:r>
          </w:p>
        </w:tc>
        <w:tc>
          <w:tcPr>
            <w:tcW w:w="1265" w:type="dxa"/>
            <w:tcBorders>
              <w:top w:val="nil"/>
              <w:left w:val="nil"/>
              <w:bottom w:val="single" w:sz="4" w:space="0" w:color="auto"/>
              <w:right w:val="nil"/>
            </w:tcBorders>
            <w:shd w:val="clear" w:color="auto" w:fill="auto"/>
            <w:vAlign w:val="bottom"/>
            <w:hideMark/>
          </w:tcPr>
          <w:p w14:paraId="3C2F8C53"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1.71</w:t>
            </w:r>
          </w:p>
        </w:tc>
        <w:tc>
          <w:tcPr>
            <w:tcW w:w="1265" w:type="dxa"/>
            <w:tcBorders>
              <w:top w:val="nil"/>
              <w:left w:val="nil"/>
              <w:bottom w:val="single" w:sz="4" w:space="0" w:color="auto"/>
              <w:right w:val="nil"/>
            </w:tcBorders>
            <w:shd w:val="clear" w:color="auto" w:fill="auto"/>
            <w:vAlign w:val="bottom"/>
            <w:hideMark/>
          </w:tcPr>
          <w:p w14:paraId="07272ADE" w14:textId="77777777" w:rsidR="0014588F" w:rsidRPr="009C2ADD" w:rsidRDefault="0014588F" w:rsidP="000E6616">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1.93</w:t>
            </w:r>
          </w:p>
        </w:tc>
      </w:tr>
    </w:tbl>
    <w:p w14:paraId="2900CA33" w14:textId="77777777" w:rsidR="0014588F" w:rsidRPr="009C2ADD" w:rsidRDefault="0014588F" w:rsidP="0014588F">
      <w:pPr>
        <w:pStyle w:val="WCPFC"/>
        <w:numPr>
          <w:ilvl w:val="0"/>
          <w:numId w:val="0"/>
        </w:numPr>
        <w:adjustRightInd w:val="0"/>
        <w:spacing w:after="0"/>
        <w:ind w:left="567"/>
        <w:rPr>
          <w:b/>
        </w:rPr>
      </w:pPr>
    </w:p>
    <w:p w14:paraId="1E59C6BE" w14:textId="77777777" w:rsidR="0014588F" w:rsidRPr="008761D4" w:rsidRDefault="0014588F" w:rsidP="0014588F">
      <w:pPr>
        <w:pStyle w:val="WCPFC"/>
        <w:numPr>
          <w:ilvl w:val="0"/>
          <w:numId w:val="176"/>
        </w:numPr>
        <w:spacing w:after="0"/>
        <w:ind w:left="0" w:firstLine="0"/>
        <w:rPr>
          <w:b/>
          <w:bCs/>
          <w:lang w:val="en-AU"/>
        </w:rPr>
      </w:pPr>
      <w:r w:rsidRPr="008761D4">
        <w:rPr>
          <w:b/>
          <w:bCs/>
          <w:lang w:val="en-AU"/>
        </w:rPr>
        <w:t>SC13 noted that the central tendency of relative recent spawning biomass was median (SB</w:t>
      </w:r>
      <w:r w:rsidRPr="008761D4">
        <w:rPr>
          <w:b/>
          <w:bCs/>
          <w:vertAlign w:val="subscript"/>
          <w:lang w:val="en-AU"/>
        </w:rPr>
        <w:t>recent</w:t>
      </w:r>
      <w:r w:rsidRPr="008761D4">
        <w:rPr>
          <w:b/>
          <w:bCs/>
          <w:lang w:val="en-AU"/>
        </w:rPr>
        <w:t>/SB</w:t>
      </w:r>
      <w:r w:rsidRPr="008761D4">
        <w:rPr>
          <w:b/>
          <w:bCs/>
          <w:vertAlign w:val="subscript"/>
          <w:lang w:val="en-AU"/>
        </w:rPr>
        <w:t>F=0</w:t>
      </w:r>
      <w:r w:rsidRPr="008761D4">
        <w:rPr>
          <w:b/>
          <w:bCs/>
          <w:lang w:val="en-AU"/>
        </w:rPr>
        <w:t xml:space="preserve">) = 0.33 with a probable range of 0.20 to 0.41 (80% probable range), and there was a roughly 8% probability (4 out of 48 models) that the recent spawning biomass had breached the adopted LRP with </w:t>
      </w:r>
      <w:proofErr w:type="gramStart"/>
      <w:r w:rsidRPr="008761D4">
        <w:rPr>
          <w:b/>
          <w:bCs/>
          <w:lang w:val="en-AU"/>
        </w:rPr>
        <w:t>Prob(</w:t>
      </w:r>
      <w:proofErr w:type="gramEnd"/>
      <w:r w:rsidRPr="008761D4">
        <w:rPr>
          <w:b/>
          <w:bCs/>
          <w:lang w:val="en-AU"/>
        </w:rPr>
        <w:t>(SB</w:t>
      </w:r>
      <w:r w:rsidRPr="008761D4">
        <w:rPr>
          <w:b/>
          <w:bCs/>
          <w:vertAlign w:val="subscript"/>
          <w:lang w:val="en-AU"/>
        </w:rPr>
        <w:t>recent</w:t>
      </w:r>
      <w:r w:rsidRPr="008761D4">
        <w:rPr>
          <w:b/>
          <w:bCs/>
          <w:lang w:val="en-AU"/>
        </w:rPr>
        <w:t>/SB</w:t>
      </w:r>
      <w:r w:rsidRPr="008761D4">
        <w:rPr>
          <w:b/>
          <w:bCs/>
          <w:vertAlign w:val="subscript"/>
          <w:lang w:val="en-AU"/>
        </w:rPr>
        <w:t>F=0</w:t>
      </w:r>
      <w:r w:rsidRPr="008761D4">
        <w:rPr>
          <w:b/>
          <w:bCs/>
          <w:lang w:val="en-AU"/>
        </w:rPr>
        <w:t>)&lt;0.2) = 0.08. The median estimate (0.33) is</w:t>
      </w:r>
      <w:r w:rsidRPr="008761D4">
        <w:rPr>
          <w:b/>
          <w:bCs/>
          <w:lang w:val="en-AU"/>
        </w:rPr>
        <w:t xml:space="preserve">　</w:t>
      </w:r>
      <w:r w:rsidRPr="008761D4">
        <w:rPr>
          <w:b/>
          <w:bCs/>
          <w:lang w:val="en-AU"/>
        </w:rPr>
        <w:t>below that estimated from the 2014 assessment grid</w:t>
      </w:r>
      <w:r w:rsidRPr="008761D4">
        <w:rPr>
          <w:rFonts w:hint="eastAsia"/>
          <w:b/>
          <w:bCs/>
          <w:lang w:val="en-AU" w:eastAsia="ko-KR"/>
        </w:rPr>
        <w:t xml:space="preserve"> </w:t>
      </w:r>
      <w:r w:rsidRPr="008761D4">
        <w:rPr>
          <w:b/>
          <w:bCs/>
          <w:lang w:val="en-AU"/>
        </w:rPr>
        <w:t>((SB</w:t>
      </w:r>
      <w:r w:rsidRPr="008761D4">
        <w:rPr>
          <w:b/>
          <w:bCs/>
          <w:vertAlign w:val="subscript"/>
          <w:lang w:val="en-AU"/>
        </w:rPr>
        <w:t>current</w:t>
      </w:r>
      <w:r w:rsidRPr="008761D4">
        <w:rPr>
          <w:b/>
          <w:bCs/>
          <w:lang w:val="en-AU"/>
        </w:rPr>
        <w:t>/SB</w:t>
      </w:r>
      <w:r w:rsidRPr="008761D4">
        <w:rPr>
          <w:b/>
          <w:bCs/>
          <w:vertAlign w:val="subscript"/>
          <w:lang w:val="en-AU"/>
        </w:rPr>
        <w:t>F=0</w:t>
      </w:r>
      <w:r w:rsidRPr="008761D4">
        <w:rPr>
          <w:b/>
          <w:bCs/>
          <w:lang w:val="en-AU"/>
        </w:rPr>
        <w:t xml:space="preserve">) = 0.41, see SC10-SA-WP-04), noting the differences in grid uncertainty axes used in that assessment. </w:t>
      </w:r>
    </w:p>
    <w:p w14:paraId="752A340C"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6F1BA61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was median (F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 0.74 with an 80% probability interval of 0.62 to 0.97, and there was a roughly 4% probability (2 out of 48 models) that the recent fishing mortality was above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proofErr w:type="gramStart"/>
      <w:r w:rsidRPr="009C2ADD">
        <w:rPr>
          <w:rFonts w:ascii="Times New Roman" w:hAnsi="Times New Roman"/>
          <w:b/>
          <w:lang w:val="en-AU"/>
        </w:rPr>
        <w:t>Prob(</w:t>
      </w:r>
      <w:proofErr w:type="gramEnd"/>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)&gt;1) = 0.04. The median estimate (0.74) is also comparable to that estimated from the 2014 assessment grid (F</w:t>
      </w:r>
      <w:r w:rsidRPr="0070772D">
        <w:rPr>
          <w:rFonts w:ascii="Times New Roman" w:hAnsi="Times New Roman"/>
          <w:b/>
          <w:vertAlign w:val="subscript"/>
          <w:lang w:val="en-AU"/>
        </w:rPr>
        <w:t>current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 0.76</w:t>
      </w:r>
      <w:r>
        <w:rPr>
          <w:rFonts w:ascii="Times New Roman" w:hAnsi="Times New Roman"/>
          <w:b/>
          <w:lang w:val="en-AU"/>
        </w:rPr>
        <w:t>, s</w:t>
      </w:r>
      <w:r w:rsidRPr="009C2ADD">
        <w:rPr>
          <w:rFonts w:ascii="Times New Roman" w:hAnsi="Times New Roman"/>
          <w:b/>
          <w:lang w:val="en-AU"/>
        </w:rPr>
        <w:t>ee SC10-SA-WP-04)</w:t>
      </w:r>
      <w:r>
        <w:rPr>
          <w:rFonts w:ascii="Times New Roman" w:hAnsi="Times New Roman" w:hint="eastAsia"/>
          <w:b/>
          <w:lang w:val="en-AU" w:eastAsia="ko-KR"/>
        </w:rPr>
        <w:t>.</w:t>
      </w:r>
      <w:r w:rsidRPr="009C2ADD">
        <w:rPr>
          <w:rFonts w:ascii="Times New Roman" w:hAnsi="Times New Roman"/>
          <w:b/>
          <w:lang w:val="en-AU"/>
        </w:rPr>
        <w:t xml:space="preserve"> </w:t>
      </w:r>
    </w:p>
    <w:p w14:paraId="12BEE82B"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40DD753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assessment results show that the stock has been continuously declining for about 50 years since the late 1960’s. </w:t>
      </w:r>
    </w:p>
    <w:p w14:paraId="0AE59BCA"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59656B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(as shown in Figure 44 of SC13-SA-WP-06).</w:t>
      </w:r>
    </w:p>
    <w:p w14:paraId="1388BAFD"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F7A4AF5" w14:textId="77777777" w:rsidR="0014588F" w:rsidRPr="009C2ADD" w:rsidRDefault="0014588F" w:rsidP="0014588F">
      <w:pPr>
        <w:pStyle w:val="WCPFC"/>
        <w:numPr>
          <w:ilvl w:val="0"/>
          <w:numId w:val="22"/>
        </w:numPr>
        <w:adjustRightInd w:val="0"/>
        <w:spacing w:after="0"/>
        <w:ind w:left="0" w:firstLine="0"/>
        <w:rPr>
          <w:b/>
        </w:rPr>
      </w:pPr>
      <w:r w:rsidRPr="009C2ADD">
        <w:rPr>
          <w:b/>
        </w:rPr>
        <w:t>Management advice and implications</w:t>
      </w:r>
    </w:p>
    <w:p w14:paraId="119A8B0C" w14:textId="77777777" w:rsidR="0014588F" w:rsidRPr="009C2ADD" w:rsidRDefault="0014588F" w:rsidP="0014588F">
      <w:pPr>
        <w:pStyle w:val="WCPFC"/>
        <w:numPr>
          <w:ilvl w:val="0"/>
          <w:numId w:val="0"/>
        </w:numPr>
        <w:adjustRightInd w:val="0"/>
        <w:spacing w:after="0"/>
        <w:ind w:left="720"/>
        <w:rPr>
          <w:b/>
        </w:rPr>
      </w:pPr>
    </w:p>
    <w:p w14:paraId="70D5105E" w14:textId="6A86EC5B"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uncertainty grid adopted by SC13 the spawning biomass is highly likely above the biomass LRP and recent F is highly likely below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and therefore noting the level of uncertainties in the current assessment </w:t>
      </w:r>
      <w:r w:rsidR="008D4FE9">
        <w:rPr>
          <w:rFonts w:ascii="Times New Roman" w:hAnsi="Times New Roman" w:hint="eastAsia"/>
          <w:b/>
          <w:lang w:val="en-AU" w:eastAsia="ko-KR"/>
        </w:rPr>
        <w:t>it</w:t>
      </w:r>
      <w:r w:rsidR="008D4FE9" w:rsidRPr="009C2ADD">
        <w:rPr>
          <w:rFonts w:ascii="Times New Roman" w:hAnsi="Times New Roman"/>
          <w:b/>
          <w:lang w:val="en-AU"/>
        </w:rPr>
        <w:t xml:space="preserve"> </w:t>
      </w:r>
      <w:r w:rsidRPr="009C2ADD">
        <w:rPr>
          <w:rFonts w:ascii="Times New Roman" w:hAnsi="Times New Roman"/>
          <w:b/>
          <w:lang w:val="en-AU"/>
        </w:rPr>
        <w:t>appears that the stock is not experiencing overfishing 96% probability) and it appears that the stock is not in an overfished condition (92% probability).</w:t>
      </w:r>
    </w:p>
    <w:p w14:paraId="38E1CB27"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93B6B5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diagnostic case, both juvenile and adult fishing mortality show a steady increase since the 1970s. Adult fishing mortality has increased continuously over most of the time series, while juvenile fishing mortality has stabilized since the late 1990s at a level similar to that now estimated for adult yellowfin.</w:t>
      </w:r>
    </w:p>
    <w:p w14:paraId="0790B53B"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58551C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reiterates its previous advice from SC10 that WCPFC could consider measures to reduce fishing mortality from fisheries that take juveniles, with the goal to increase to maximum fishery yields and reduce any further impacts on the spawning potential for this stock in the tropical regions.</w:t>
      </w:r>
    </w:p>
    <w:p w14:paraId="769E313A"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DD36F4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reiterates its previous advice from SC10 that measures should be implemented to maintain current spawning biomass levels until the Commission can agree on an appropriate target reference point (TRP).</w:t>
      </w:r>
    </w:p>
    <w:p w14:paraId="23612F0B"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2568592" w14:textId="77777777" w:rsidR="0014588F" w:rsidRPr="009C2ADD" w:rsidRDefault="0014588F" w:rsidP="0014588F">
      <w:pPr>
        <w:pStyle w:val="WCPFC"/>
        <w:numPr>
          <w:ilvl w:val="0"/>
          <w:numId w:val="0"/>
        </w:numPr>
        <w:adjustRightInd w:val="0"/>
        <w:spacing w:after="0"/>
        <w:rPr>
          <w:b/>
        </w:rPr>
      </w:pPr>
      <w:r w:rsidRPr="009C2ADD">
        <w:rPr>
          <w:b/>
        </w:rPr>
        <w:t>Research Recommendations</w:t>
      </w:r>
    </w:p>
    <w:p w14:paraId="2C4F244E" w14:textId="77777777" w:rsidR="0014588F" w:rsidRPr="009C2ADD" w:rsidRDefault="0014588F" w:rsidP="0014588F">
      <w:pPr>
        <w:pStyle w:val="WCPFC"/>
        <w:numPr>
          <w:ilvl w:val="0"/>
          <w:numId w:val="0"/>
        </w:numPr>
        <w:adjustRightInd w:val="0"/>
        <w:spacing w:after="0"/>
        <w:ind w:left="720"/>
        <w:rPr>
          <w:b/>
        </w:rPr>
      </w:pPr>
    </w:p>
    <w:p w14:paraId="73309E3F"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recognized that reviewing yellowfin growth through a study of yellowfin otoliths collected from the WCPO and incorporating this into future assessments should be encouraged.</w:t>
      </w:r>
    </w:p>
    <w:p w14:paraId="2B33D5E4" w14:textId="77777777" w:rsidR="0014588F" w:rsidRPr="009C2ADD" w:rsidRDefault="0014588F" w:rsidP="0014588F">
      <w:pPr>
        <w:pStyle w:val="Heading3"/>
        <w:adjustRightInd w:val="0"/>
        <w:snapToGrid w:val="0"/>
        <w:spacing w:before="0"/>
        <w:rPr>
          <w:rFonts w:ascii="Times New Roman" w:hAnsi="Times New Roman" w:cs="Times New Roman"/>
        </w:rPr>
      </w:pPr>
    </w:p>
    <w:p w14:paraId="7EA1612B" w14:textId="77777777" w:rsidR="0014588F" w:rsidRPr="009C2ADD" w:rsidRDefault="0014588F" w:rsidP="0014588F">
      <w:pPr>
        <w:pStyle w:val="Heading3"/>
        <w:adjustRightInd w:val="0"/>
        <w:snapToGrid w:val="0"/>
        <w:spacing w:before="0"/>
        <w:rPr>
          <w:rFonts w:ascii="Times New Roman" w:hAnsi="Times New Roman" w:cs="Times New Roman"/>
        </w:rPr>
      </w:pPr>
      <w:bookmarkStart w:id="19" w:name="_Toc498688630"/>
      <w:r w:rsidRPr="009C2ADD">
        <w:rPr>
          <w:rFonts w:ascii="Times New Roman" w:hAnsi="Times New Roman" w:cs="Times New Roman"/>
        </w:rPr>
        <w:t xml:space="preserve">4.1.3 </w:t>
      </w:r>
      <w:r w:rsidRPr="009C2ADD">
        <w:rPr>
          <w:rFonts w:ascii="Times New Roman" w:hAnsi="Times New Roman" w:cs="Times New Roman"/>
        </w:rPr>
        <w:tab/>
        <w:t>WCPO skipjack tuna (</w:t>
      </w:r>
      <w:r w:rsidRPr="009C2ADD">
        <w:rPr>
          <w:rFonts w:ascii="Times New Roman" w:hAnsi="Times New Roman" w:cs="Times New Roman"/>
          <w:i/>
        </w:rPr>
        <w:t>Katsuwonus pelamis</w:t>
      </w:r>
      <w:r w:rsidRPr="009C2ADD">
        <w:rPr>
          <w:rFonts w:ascii="Times New Roman" w:hAnsi="Times New Roman" w:cs="Times New Roman"/>
        </w:rPr>
        <w:t>)</w:t>
      </w:r>
      <w:bookmarkEnd w:id="19"/>
    </w:p>
    <w:p w14:paraId="1019AA8E" w14:textId="77777777" w:rsidR="0014588F" w:rsidRPr="009C2ADD" w:rsidRDefault="0014588F" w:rsidP="0014588F">
      <w:pPr>
        <w:adjustRightInd w:val="0"/>
        <w:snapToGrid w:val="0"/>
        <w:spacing w:after="0"/>
        <w:rPr>
          <w:rFonts w:ascii="Times New Roman" w:hAnsi="Times New Roman"/>
        </w:rPr>
      </w:pPr>
    </w:p>
    <w:p w14:paraId="43B0CDB2" w14:textId="046E0907" w:rsidR="0014588F" w:rsidRPr="009C2ADD" w:rsidRDefault="0014588F" w:rsidP="0014588F">
      <w:pPr>
        <w:pStyle w:val="WCPFC"/>
        <w:numPr>
          <w:ilvl w:val="0"/>
          <w:numId w:val="23"/>
        </w:numPr>
        <w:adjustRightInd w:val="0"/>
        <w:spacing w:after="0"/>
        <w:ind w:left="0" w:firstLine="0"/>
        <w:rPr>
          <w:b/>
        </w:rPr>
      </w:pPr>
      <w:r w:rsidRPr="009C2ADD">
        <w:rPr>
          <w:b/>
        </w:rPr>
        <w:t>S</w:t>
      </w:r>
      <w:r w:rsidR="006F302A">
        <w:rPr>
          <w:b/>
        </w:rPr>
        <w:t>tock s</w:t>
      </w:r>
      <w:r w:rsidRPr="009C2ADD">
        <w:rPr>
          <w:b/>
        </w:rPr>
        <w:t xml:space="preserve">tatus and trends </w:t>
      </w:r>
    </w:p>
    <w:p w14:paraId="70D003C5" w14:textId="77777777" w:rsidR="0014588F" w:rsidRPr="009C2ADD" w:rsidRDefault="0014588F" w:rsidP="0014588F">
      <w:pPr>
        <w:pStyle w:val="WCPFC"/>
        <w:numPr>
          <w:ilvl w:val="0"/>
          <w:numId w:val="0"/>
        </w:numPr>
        <w:adjustRightInd w:val="0"/>
        <w:spacing w:after="0"/>
        <w:ind w:left="720"/>
        <w:rPr>
          <w:b/>
        </w:rPr>
      </w:pPr>
    </w:p>
    <w:p w14:paraId="772DA229" w14:textId="77777777" w:rsidR="0014588F" w:rsidRPr="00464B7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the total catch in 2016 (1,816,76</w:t>
      </w:r>
      <w:r>
        <w:rPr>
          <w:rFonts w:ascii="Times New Roman" w:hAnsi="Times New Roman"/>
          <w:b/>
          <w:lang w:val="en-AU"/>
        </w:rPr>
        <w:t>2 mt</w:t>
      </w:r>
      <w:r w:rsidRPr="00464B7F">
        <w:rPr>
          <w:rFonts w:ascii="Times New Roman" w:hAnsi="Times New Roman"/>
          <w:b/>
          <w:lang w:val="en-AU"/>
        </w:rPr>
        <w:t>) was comparable to that in 2015 and a 2% increase over 2011-</w:t>
      </w:r>
      <w:r>
        <w:rPr>
          <w:rFonts w:ascii="Times New Roman" w:hAnsi="Times New Roman" w:hint="eastAsia"/>
          <w:b/>
          <w:lang w:val="en-AU" w:eastAsia="ko-KR"/>
        </w:rPr>
        <w:t>20</w:t>
      </w:r>
      <w:r w:rsidRPr="00464B7F">
        <w:rPr>
          <w:rFonts w:ascii="Times New Roman" w:hAnsi="Times New Roman"/>
          <w:b/>
          <w:lang w:val="en-AU"/>
        </w:rPr>
        <w:t>15. (see SC13-SA-WP-02)</w:t>
      </w:r>
    </w:p>
    <w:p w14:paraId="2CB2FA01" w14:textId="77777777" w:rsidR="0014588F" w:rsidRPr="00464B7F" w:rsidRDefault="0014588F" w:rsidP="0014588F">
      <w:pPr>
        <w:pStyle w:val="ListParagraph"/>
        <w:adjustRightInd w:val="0"/>
        <w:snapToGrid w:val="0"/>
        <w:contextualSpacing w:val="0"/>
        <w:rPr>
          <w:rFonts w:ascii="Times New Roman" w:hAnsi="Times New Roman"/>
          <w:b/>
          <w:lang w:val="en-AU"/>
        </w:rPr>
      </w:pPr>
    </w:p>
    <w:p w14:paraId="692DBC9F" w14:textId="77777777" w:rsidR="0014588F" w:rsidRPr="00464B7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Purse seine catch (1,408,11</w:t>
      </w:r>
      <w:r>
        <w:rPr>
          <w:rFonts w:ascii="Times New Roman" w:hAnsi="Times New Roman"/>
          <w:b/>
          <w:lang w:val="en-AU"/>
        </w:rPr>
        <w:t>0 mt</w:t>
      </w:r>
      <w:r w:rsidRPr="00464B7F">
        <w:rPr>
          <w:rFonts w:ascii="Times New Roman" w:hAnsi="Times New Roman"/>
          <w:b/>
          <w:lang w:val="en-AU"/>
        </w:rPr>
        <w:t>) was comparable to both 2015 and the 2011-</w:t>
      </w:r>
      <w:r>
        <w:rPr>
          <w:rFonts w:ascii="Times New Roman" w:hAnsi="Times New Roman" w:hint="eastAsia"/>
          <w:b/>
          <w:lang w:val="en-AU" w:eastAsia="ko-KR"/>
        </w:rPr>
        <w:t>20</w:t>
      </w:r>
      <w:r w:rsidRPr="00464B7F">
        <w:rPr>
          <w:rFonts w:ascii="Times New Roman" w:hAnsi="Times New Roman"/>
          <w:b/>
          <w:lang w:val="en-AU"/>
        </w:rPr>
        <w:t>15 average. Pole</w:t>
      </w:r>
      <w:r>
        <w:rPr>
          <w:rFonts w:ascii="Times New Roman" w:hAnsi="Times New Roman" w:hint="eastAsia"/>
          <w:b/>
          <w:lang w:val="en-AU" w:eastAsia="ko-KR"/>
        </w:rPr>
        <w:t xml:space="preserve"> </w:t>
      </w:r>
      <w:r w:rsidRPr="00464B7F">
        <w:rPr>
          <w:rFonts w:ascii="Times New Roman" w:hAnsi="Times New Roman"/>
          <w:b/>
          <w:lang w:val="en-AU"/>
        </w:rPr>
        <w:t>and</w:t>
      </w:r>
      <w:r>
        <w:rPr>
          <w:rFonts w:ascii="Times New Roman" w:hAnsi="Times New Roman" w:hint="eastAsia"/>
          <w:b/>
          <w:lang w:val="en-AU" w:eastAsia="ko-KR"/>
        </w:rPr>
        <w:t xml:space="preserve"> </w:t>
      </w:r>
      <w:r w:rsidRPr="00464B7F">
        <w:rPr>
          <w:rFonts w:ascii="Times New Roman" w:hAnsi="Times New Roman"/>
          <w:b/>
          <w:lang w:val="en-AU"/>
        </w:rPr>
        <w:t>line catch (151,44</w:t>
      </w:r>
      <w:r>
        <w:rPr>
          <w:rFonts w:ascii="Times New Roman" w:hAnsi="Times New Roman"/>
          <w:b/>
          <w:lang w:val="en-AU"/>
        </w:rPr>
        <w:t>1 mt</w:t>
      </w:r>
      <w:r w:rsidRPr="00464B7F">
        <w:rPr>
          <w:rFonts w:ascii="Times New Roman" w:hAnsi="Times New Roman"/>
          <w:b/>
          <w:lang w:val="en-AU"/>
        </w:rPr>
        <w:t>) was a 1% decrease from 2015 and an 11% decrease from 2011-</w:t>
      </w:r>
      <w:r>
        <w:rPr>
          <w:rFonts w:ascii="Times New Roman" w:hAnsi="Times New Roman" w:hint="eastAsia"/>
          <w:b/>
          <w:lang w:val="en-AU" w:eastAsia="ko-KR"/>
        </w:rPr>
        <w:t>20</w:t>
      </w:r>
      <w:r w:rsidRPr="00464B7F">
        <w:rPr>
          <w:rFonts w:ascii="Times New Roman" w:hAnsi="Times New Roman"/>
          <w:b/>
          <w:lang w:val="en-AU"/>
        </w:rPr>
        <w:t>15 average. Catches by other fisheries (251,47</w:t>
      </w:r>
      <w:r>
        <w:rPr>
          <w:rFonts w:ascii="Times New Roman" w:hAnsi="Times New Roman"/>
          <w:b/>
          <w:lang w:val="en-AU"/>
        </w:rPr>
        <w:t>0 mt</w:t>
      </w:r>
      <w:r w:rsidRPr="00464B7F">
        <w:rPr>
          <w:rFonts w:ascii="Times New Roman" w:hAnsi="Times New Roman"/>
          <w:b/>
          <w:lang w:val="en-AU"/>
        </w:rPr>
        <w:t>) were 2% higher than in 2015 and 26% higher than 2011-</w:t>
      </w:r>
      <w:r>
        <w:rPr>
          <w:rFonts w:ascii="Times New Roman" w:hAnsi="Times New Roman" w:hint="eastAsia"/>
          <w:b/>
          <w:lang w:val="en-AU" w:eastAsia="ko-KR"/>
        </w:rPr>
        <w:t>20</w:t>
      </w:r>
      <w:r w:rsidRPr="00464B7F">
        <w:rPr>
          <w:rFonts w:ascii="Times New Roman" w:hAnsi="Times New Roman"/>
          <w:b/>
          <w:lang w:val="en-AU"/>
        </w:rPr>
        <w:t xml:space="preserve">15 average. </w:t>
      </w:r>
    </w:p>
    <w:p w14:paraId="1AAA0BD0" w14:textId="77777777" w:rsidR="0014588F" w:rsidRPr="00464B7F" w:rsidRDefault="0014588F" w:rsidP="0014588F">
      <w:pPr>
        <w:pStyle w:val="ListParagraph"/>
        <w:adjustRightInd w:val="0"/>
        <w:snapToGrid w:val="0"/>
        <w:contextualSpacing w:val="0"/>
        <w:rPr>
          <w:rFonts w:ascii="Times New Roman" w:hAnsi="Times New Roman"/>
          <w:b/>
          <w:lang w:val="en-AU"/>
        </w:rPr>
      </w:pPr>
    </w:p>
    <w:p w14:paraId="0893DB32" w14:textId="77777777" w:rsidR="0014588F" w:rsidRPr="00464B7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 xml:space="preserve">SC13 noted that under recent fishery conditions (2016 catch level for LL and other fisheries and effort level for </w:t>
      </w:r>
      <w:r>
        <w:rPr>
          <w:rFonts w:ascii="Times New Roman" w:hAnsi="Times New Roman" w:hint="eastAsia"/>
          <w:b/>
          <w:lang w:val="en-AU" w:eastAsia="ko-KR"/>
        </w:rPr>
        <w:t>purse seine</w:t>
      </w:r>
      <w:r w:rsidRPr="00464B7F">
        <w:rPr>
          <w:rFonts w:ascii="Times New Roman" w:hAnsi="Times New Roman"/>
          <w:b/>
          <w:lang w:val="en-AU"/>
        </w:rPr>
        <w:t>), the skipjack stock was initially projected to decrease for a short period and then to increase as recent relatively high recruitments move through the stock. Median F</w:t>
      </w:r>
      <w:r w:rsidRPr="0070772D">
        <w:rPr>
          <w:rFonts w:ascii="Times New Roman" w:hAnsi="Times New Roman"/>
          <w:b/>
          <w:vertAlign w:val="subscript"/>
          <w:lang w:val="en-AU"/>
        </w:rPr>
        <w:t>2018</w:t>
      </w:r>
      <w:r w:rsidRPr="00464B7F">
        <w:rPr>
          <w:rFonts w:ascii="Times New Roman" w:hAnsi="Times New Roman"/>
          <w:b/>
          <w:lang w:val="en-AU"/>
        </w:rPr>
        <w:t>/F</w:t>
      </w:r>
      <w:r w:rsidRPr="0070772D">
        <w:rPr>
          <w:rFonts w:ascii="Times New Roman" w:hAnsi="Times New Roman"/>
          <w:b/>
          <w:vertAlign w:val="subscript"/>
          <w:lang w:val="en-AU"/>
        </w:rPr>
        <w:t>MSY</w:t>
      </w:r>
      <w:r w:rsidRPr="00464B7F">
        <w:rPr>
          <w:rFonts w:ascii="Times New Roman" w:hAnsi="Times New Roman"/>
          <w:b/>
          <w:lang w:val="en-AU"/>
        </w:rPr>
        <w:t xml:space="preserve"> = 0.37; median SB</w:t>
      </w:r>
      <w:r w:rsidRPr="0070772D">
        <w:rPr>
          <w:rFonts w:ascii="Times New Roman" w:hAnsi="Times New Roman"/>
          <w:b/>
          <w:vertAlign w:val="subscript"/>
          <w:lang w:val="en-AU"/>
        </w:rPr>
        <w:t>2018</w:t>
      </w:r>
      <w:r w:rsidRPr="00464B7F">
        <w:rPr>
          <w:rFonts w:ascii="Times New Roman" w:hAnsi="Times New Roman"/>
          <w:b/>
          <w:lang w:val="en-AU"/>
        </w:rPr>
        <w:t>/SB</w:t>
      </w:r>
      <w:r w:rsidRPr="0070772D">
        <w:rPr>
          <w:rFonts w:ascii="Times New Roman" w:hAnsi="Times New Roman"/>
          <w:b/>
          <w:vertAlign w:val="subscript"/>
          <w:lang w:val="en-AU"/>
        </w:rPr>
        <w:t>F=0</w:t>
      </w:r>
      <w:r w:rsidRPr="00464B7F">
        <w:rPr>
          <w:rFonts w:ascii="Times New Roman" w:hAnsi="Times New Roman"/>
          <w:b/>
          <w:lang w:val="en-AU"/>
        </w:rPr>
        <w:t xml:space="preserve"> = 0.47. </w:t>
      </w:r>
    </w:p>
    <w:p w14:paraId="2B4CBC38" w14:textId="77777777" w:rsidR="0014588F" w:rsidRPr="00464B7F" w:rsidRDefault="0014588F" w:rsidP="0014588F">
      <w:pPr>
        <w:pStyle w:val="ListParagraph"/>
        <w:adjustRightInd w:val="0"/>
        <w:snapToGrid w:val="0"/>
        <w:contextualSpacing w:val="0"/>
        <w:rPr>
          <w:rFonts w:ascii="Times New Roman" w:hAnsi="Times New Roman"/>
          <w:lang w:val="en-AU"/>
        </w:rPr>
      </w:pPr>
    </w:p>
    <w:p w14:paraId="39DD8CE2" w14:textId="77777777" w:rsidR="0014588F" w:rsidRPr="00464B7F" w:rsidRDefault="0014588F" w:rsidP="0014588F">
      <w:pPr>
        <w:pStyle w:val="WCPFC"/>
        <w:numPr>
          <w:ilvl w:val="0"/>
          <w:numId w:val="23"/>
        </w:numPr>
        <w:adjustRightInd w:val="0"/>
        <w:spacing w:after="0"/>
        <w:ind w:left="0" w:firstLine="0"/>
        <w:rPr>
          <w:b/>
        </w:rPr>
      </w:pPr>
      <w:r w:rsidRPr="00464B7F">
        <w:rPr>
          <w:b/>
        </w:rPr>
        <w:t>Management advice and implications</w:t>
      </w:r>
    </w:p>
    <w:p w14:paraId="03727A18" w14:textId="77777777" w:rsidR="0014588F" w:rsidRPr="00464B7F" w:rsidRDefault="0014588F" w:rsidP="0014588F">
      <w:pPr>
        <w:pStyle w:val="WCPFC"/>
        <w:numPr>
          <w:ilvl w:val="0"/>
          <w:numId w:val="0"/>
        </w:numPr>
        <w:adjustRightInd w:val="0"/>
        <w:spacing w:after="0"/>
        <w:ind w:left="720"/>
        <w:rPr>
          <w:b/>
        </w:rPr>
      </w:pPr>
    </w:p>
    <w:p w14:paraId="59C2A2D7" w14:textId="77777777" w:rsidR="0014588F" w:rsidRDefault="0014588F" w:rsidP="0014588F">
      <w:pPr>
        <w:pStyle w:val="WCPFC"/>
        <w:adjustRightInd w:val="0"/>
        <w:spacing w:after="0"/>
        <w:ind w:left="0" w:firstLine="0"/>
        <w:rPr>
          <w:b/>
          <w:bCs/>
          <w:lang w:val="en-AU"/>
        </w:rPr>
      </w:pPr>
      <w:r w:rsidRPr="00D80EAC">
        <w:rPr>
          <w:b/>
          <w:bCs/>
          <w:lang w:val="en-AU"/>
        </w:rPr>
        <w:t>SC13 noted that no stock assessment has been conducted since SC12. Therefore, the advice from SC12 should be maintained, pending a new assessment or other new information. For further information on the management advice and implications from SC12, please see</w:t>
      </w:r>
      <w:r w:rsidRPr="00D80EAC">
        <w:rPr>
          <w:rFonts w:hint="eastAsia"/>
          <w:b/>
          <w:bCs/>
          <w:lang w:val="en-AU" w:eastAsia="ko-KR"/>
        </w:rPr>
        <w:t xml:space="preserve"> </w:t>
      </w:r>
      <w:hyperlink r:id="rId36" w:history="1">
        <w:r w:rsidRPr="00D80EAC">
          <w:rPr>
            <w:rStyle w:val="Hyperlink"/>
            <w:b/>
            <w:bCs/>
            <w:lang w:val="en-AU" w:eastAsia="ko-KR"/>
          </w:rPr>
          <w:t>https://www.wcpfc.int/node/27769</w:t>
        </w:r>
      </w:hyperlink>
      <w:r w:rsidRPr="00D80EAC">
        <w:rPr>
          <w:rFonts w:hint="eastAsia"/>
          <w:b/>
          <w:bCs/>
          <w:lang w:val="en-AU" w:eastAsia="ko-KR"/>
        </w:rPr>
        <w:t xml:space="preserve"> </w:t>
      </w:r>
    </w:p>
    <w:p w14:paraId="2E6277C8" w14:textId="77777777" w:rsidR="00EA5F74" w:rsidRPr="00D80EAC" w:rsidRDefault="00EA5F74" w:rsidP="00EA5F74">
      <w:pPr>
        <w:pStyle w:val="WCPFC"/>
        <w:numPr>
          <w:ilvl w:val="0"/>
          <w:numId w:val="0"/>
        </w:numPr>
        <w:adjustRightInd w:val="0"/>
        <w:spacing w:after="0"/>
        <w:rPr>
          <w:b/>
          <w:bCs/>
          <w:lang w:val="en-AU"/>
        </w:rPr>
      </w:pPr>
    </w:p>
    <w:p w14:paraId="1AEDEDD2" w14:textId="77777777" w:rsidR="0014588F" w:rsidRPr="00464B7F" w:rsidRDefault="0014588F" w:rsidP="0014588F">
      <w:pPr>
        <w:pStyle w:val="Heading3"/>
        <w:adjustRightInd w:val="0"/>
        <w:snapToGrid w:val="0"/>
        <w:spacing w:before="0"/>
        <w:rPr>
          <w:rFonts w:ascii="Times New Roman" w:hAnsi="Times New Roman" w:cs="Times New Roman"/>
        </w:rPr>
      </w:pPr>
      <w:bookmarkStart w:id="20" w:name="_Toc498688631"/>
      <w:r w:rsidRPr="00464B7F">
        <w:rPr>
          <w:rFonts w:ascii="Times New Roman" w:hAnsi="Times New Roman" w:cs="Times New Roman"/>
        </w:rPr>
        <w:t xml:space="preserve">4.1.4 </w:t>
      </w:r>
      <w:r w:rsidRPr="00464B7F">
        <w:rPr>
          <w:rFonts w:ascii="Times New Roman" w:hAnsi="Times New Roman" w:cs="Times New Roman"/>
        </w:rPr>
        <w:tab/>
        <w:t>South Pacific albacore tuna (</w:t>
      </w:r>
      <w:r w:rsidRPr="00464B7F">
        <w:rPr>
          <w:rFonts w:ascii="Times New Roman" w:hAnsi="Times New Roman" w:cs="Times New Roman"/>
          <w:i/>
        </w:rPr>
        <w:t>Thunnus alalunga</w:t>
      </w:r>
      <w:r w:rsidRPr="00464B7F">
        <w:rPr>
          <w:rFonts w:ascii="Times New Roman" w:hAnsi="Times New Roman" w:cs="Times New Roman"/>
        </w:rPr>
        <w:t>)</w:t>
      </w:r>
      <w:bookmarkEnd w:id="20"/>
    </w:p>
    <w:p w14:paraId="34C9515B" w14:textId="77777777" w:rsidR="0014588F" w:rsidRPr="00464B7F" w:rsidRDefault="0014588F" w:rsidP="0014588F">
      <w:pPr>
        <w:pStyle w:val="WCPFC"/>
        <w:numPr>
          <w:ilvl w:val="0"/>
          <w:numId w:val="0"/>
        </w:numPr>
        <w:adjustRightInd w:val="0"/>
        <w:spacing w:after="0"/>
        <w:ind w:left="567" w:hanging="567"/>
        <w:rPr>
          <w:b/>
          <w:lang w:eastAsia="ko-KR"/>
        </w:rPr>
      </w:pPr>
    </w:p>
    <w:p w14:paraId="2A42CF26" w14:textId="47723BD4" w:rsidR="0014588F" w:rsidRPr="00464B7F" w:rsidRDefault="0014588F" w:rsidP="0014588F">
      <w:pPr>
        <w:pStyle w:val="WCPFC"/>
        <w:numPr>
          <w:ilvl w:val="0"/>
          <w:numId w:val="24"/>
        </w:numPr>
        <w:adjustRightInd w:val="0"/>
        <w:spacing w:after="0"/>
        <w:ind w:left="0" w:firstLine="0"/>
        <w:rPr>
          <w:b/>
        </w:rPr>
      </w:pPr>
      <w:r w:rsidRPr="009C2ADD">
        <w:rPr>
          <w:b/>
        </w:rPr>
        <w:t>S</w:t>
      </w:r>
      <w:r w:rsidR="006F302A">
        <w:rPr>
          <w:b/>
        </w:rPr>
        <w:t>tock s</w:t>
      </w:r>
      <w:r w:rsidRPr="009C2ADD">
        <w:rPr>
          <w:b/>
        </w:rPr>
        <w:t xml:space="preserve">tatus and </w:t>
      </w:r>
      <w:r w:rsidRPr="00464B7F">
        <w:rPr>
          <w:b/>
        </w:rPr>
        <w:t xml:space="preserve">trends </w:t>
      </w:r>
    </w:p>
    <w:p w14:paraId="6011BC65" w14:textId="77777777" w:rsidR="0014588F" w:rsidRPr="00464B7F" w:rsidRDefault="0014588F" w:rsidP="0014588F">
      <w:pPr>
        <w:pStyle w:val="WCPFC"/>
        <w:numPr>
          <w:ilvl w:val="0"/>
          <w:numId w:val="0"/>
        </w:numPr>
        <w:adjustRightInd w:val="0"/>
        <w:spacing w:after="0"/>
        <w:rPr>
          <w:b/>
        </w:rPr>
      </w:pPr>
    </w:p>
    <w:p w14:paraId="2375557F" w14:textId="77777777" w:rsidR="0014588F" w:rsidRPr="00464B7F"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464B7F">
        <w:rPr>
          <w:rFonts w:ascii="Times New Roman" w:hAnsi="Times New Roman"/>
          <w:lang w:val="en-AU"/>
        </w:rPr>
        <w:t xml:space="preserve">SC13 noted that no stock assessment was conducted for South Pacific albacore tuna in 2017. Therefore, the stock status description from SC11 is still current. For further information on the stock status and trends from SC11, please see </w:t>
      </w:r>
      <w:hyperlink r:id="rId37" w:history="1">
        <w:r w:rsidRPr="007D41F6">
          <w:rPr>
            <w:rStyle w:val="Hyperlink"/>
            <w:rFonts w:ascii="Times New Roman" w:hAnsi="Times New Roman"/>
            <w:lang w:val="en-AU"/>
          </w:rPr>
          <w:t>http://www.wcpfc.int/node/2692</w:t>
        </w:r>
        <w:r w:rsidRPr="007D41F6">
          <w:rPr>
            <w:rStyle w:val="Hyperlink"/>
            <w:rFonts w:ascii="Times New Roman" w:hAnsi="Times New Roman" w:hint="eastAsia"/>
            <w:lang w:val="en-AU" w:eastAsia="ko-KR"/>
          </w:rPr>
          <w:t xml:space="preserve">2 </w:t>
        </w:r>
      </w:hyperlink>
      <w:r>
        <w:rPr>
          <w:rFonts w:ascii="Times New Roman" w:hAnsi="Times New Roman" w:hint="eastAsia"/>
          <w:lang w:val="en-AU" w:eastAsia="ko-KR"/>
        </w:rPr>
        <w:t xml:space="preserve">   </w:t>
      </w:r>
    </w:p>
    <w:p w14:paraId="675DA4B4"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0E8476BE" w14:textId="77777777" w:rsidR="0014588F" w:rsidRPr="00B801A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B801AF">
        <w:rPr>
          <w:rFonts w:ascii="Times New Roman" w:hAnsi="Times New Roman"/>
          <w:b/>
          <w:lang w:val="en-AU"/>
        </w:rPr>
        <w:t xml:space="preserve">SC13 considered an update of trends in South Pacific albacore fisheries (SC13-SA-WP-08) and noted that there had been reductions in longline effort in the WCPF Convention </w:t>
      </w:r>
      <w:r w:rsidRPr="00B801AF">
        <w:rPr>
          <w:rFonts w:ascii="Times New Roman" w:hAnsi="Times New Roman"/>
          <w:b/>
          <w:lang w:val="en-AU" w:eastAsia="ko-KR"/>
        </w:rPr>
        <w:t xml:space="preserve">Area </w:t>
      </w:r>
      <w:r w:rsidRPr="00B801AF">
        <w:rPr>
          <w:rFonts w:ascii="Times New Roman" w:hAnsi="Times New Roman"/>
          <w:b/>
          <w:lang w:val="en-AU"/>
        </w:rPr>
        <w:t>south of 10</w:t>
      </w:r>
      <w:r w:rsidRPr="00B801AF">
        <w:rPr>
          <w:rFonts w:ascii="Times New Roman" w:hAnsi="Times New Roman"/>
          <w:b/>
          <w:vertAlign w:val="superscript"/>
          <w:lang w:val="en-AU"/>
        </w:rPr>
        <w:t>ᴼ</w:t>
      </w:r>
      <w:r w:rsidRPr="00B801AF">
        <w:rPr>
          <w:rFonts w:ascii="Times New Roman" w:hAnsi="Times New Roman"/>
          <w:b/>
          <w:lang w:val="en-AU"/>
        </w:rPr>
        <w:t>S through 2014-2016 (</w:t>
      </w:r>
      <w:r w:rsidRPr="0070772D">
        <w:rPr>
          <w:rFonts w:ascii="Times New Roman" w:hAnsi="Times New Roman"/>
          <w:b/>
          <w:bCs/>
          <w:sz w:val="24"/>
          <w:szCs w:val="24"/>
          <w:lang w:val="en-AU"/>
        </w:rPr>
        <w:t>declining from about 300 million hooks in 2013 to around 254 million in 2015, and 200 million hooks in 2016</w:t>
      </w:r>
      <w:r w:rsidRPr="00B801AF">
        <w:rPr>
          <w:rFonts w:ascii="Times New Roman" w:hAnsi="Times New Roman"/>
          <w:b/>
          <w:bCs/>
          <w:sz w:val="24"/>
          <w:szCs w:val="24"/>
          <w:lang w:val="en-GB"/>
        </w:rPr>
        <w:t xml:space="preserve"> </w:t>
      </w:r>
      <w:r w:rsidRPr="00B801AF">
        <w:rPr>
          <w:rFonts w:ascii="Times New Roman" w:hAnsi="Times New Roman"/>
          <w:b/>
          <w:lang w:val="en-GB"/>
        </w:rPr>
        <w:t>– with the 2016 value being provisional</w:t>
      </w:r>
      <w:r w:rsidRPr="00B801AF">
        <w:rPr>
          <w:rFonts w:ascii="Times New Roman" w:hAnsi="Times New Roman"/>
          <w:b/>
          <w:lang w:val="en-AU"/>
        </w:rPr>
        <w:t>)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sidRPr="00B801AF">
        <w:rPr>
          <w:rFonts w:ascii="Times New Roman" w:hAnsi="Times New Roman"/>
          <w:b/>
          <w:lang w:val="en-AU" w:eastAsia="ko-KR"/>
        </w:rPr>
        <w:t>-</w:t>
      </w:r>
      <w:r w:rsidRPr="00B801AF">
        <w:rPr>
          <w:rFonts w:ascii="Times New Roman" w:hAnsi="Times New Roman"/>
          <w:b/>
          <w:lang w:val="en-AU"/>
        </w:rPr>
        <w:t>1). If 2015 fishing effort levels continue into the future, the stock is predicted to continue to decline on average, falling to SB</w:t>
      </w:r>
      <w:r w:rsidRPr="0070772D">
        <w:rPr>
          <w:rFonts w:ascii="Times New Roman" w:hAnsi="Times New Roman"/>
          <w:b/>
          <w:vertAlign w:val="subscript"/>
          <w:lang w:val="en-AU"/>
        </w:rPr>
        <w:t>current</w:t>
      </w:r>
      <w:r w:rsidRPr="00B801AF">
        <w:rPr>
          <w:rFonts w:ascii="Times New Roman" w:hAnsi="Times New Roman"/>
          <w:b/>
          <w:lang w:val="en-AU"/>
        </w:rPr>
        <w:t>/SB</w:t>
      </w:r>
      <w:r w:rsidRPr="0070772D">
        <w:rPr>
          <w:rFonts w:ascii="Times New Roman" w:hAnsi="Times New Roman"/>
          <w:b/>
          <w:vertAlign w:val="subscript"/>
          <w:lang w:val="en-AU"/>
        </w:rPr>
        <w:t>F=0</w:t>
      </w:r>
      <w:r w:rsidRPr="00B801AF">
        <w:rPr>
          <w:rFonts w:ascii="Times New Roman" w:hAnsi="Times New Roman"/>
          <w:b/>
          <w:lang w:val="en-AU"/>
        </w:rPr>
        <w:t xml:space="preserve"> = 0.35 in 2033 with a 7% predicted probability of being below the LRP. Overall vulnerable biomass (a CPUE proxy) in longline fisheries is estimated to decrease by 7% from 2013-2033. </w:t>
      </w:r>
    </w:p>
    <w:p w14:paraId="0ACC1957" w14:textId="77777777" w:rsidR="0014588F" w:rsidRPr="009C2ADD" w:rsidRDefault="0014588F" w:rsidP="0014588F">
      <w:pPr>
        <w:pStyle w:val="WCPFC"/>
        <w:numPr>
          <w:ilvl w:val="0"/>
          <w:numId w:val="0"/>
        </w:numPr>
        <w:adjustRightInd w:val="0"/>
        <w:spacing w:after="0"/>
        <w:jc w:val="center"/>
      </w:pPr>
      <w:r w:rsidRPr="009C2ADD">
        <w:rPr>
          <w:noProof/>
          <w:lang w:val="en-US" w:eastAsia="ko-KR"/>
        </w:rPr>
        <w:drawing>
          <wp:inline distT="0" distB="0" distL="0" distR="0" wp14:anchorId="2E67F4CD" wp14:editId="65271BC9">
            <wp:extent cx="3147237" cy="2706942"/>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6104" cy="2705967"/>
                    </a:xfrm>
                    <a:prstGeom prst="rect">
                      <a:avLst/>
                    </a:prstGeom>
                    <a:noFill/>
                    <a:ln>
                      <a:noFill/>
                    </a:ln>
                  </pic:spPr>
                </pic:pic>
              </a:graphicData>
            </a:graphic>
          </wp:inline>
        </w:drawing>
      </w:r>
    </w:p>
    <w:p w14:paraId="52F4C891" w14:textId="77777777" w:rsidR="0014588F" w:rsidRPr="009C2ADD" w:rsidRDefault="0014588F" w:rsidP="0014588F">
      <w:pPr>
        <w:pStyle w:val="WCPFC"/>
        <w:numPr>
          <w:ilvl w:val="0"/>
          <w:numId w:val="0"/>
        </w:numPr>
        <w:adjustRightInd w:val="0"/>
        <w:spacing w:after="0"/>
      </w:pPr>
      <w:r w:rsidRPr="009C2ADD">
        <w:rPr>
          <w:b/>
        </w:rPr>
        <w:t xml:space="preserve">Figure </w:t>
      </w:r>
      <w:r w:rsidRPr="009C2ADD">
        <w:rPr>
          <w:b/>
          <w:lang w:eastAsia="ko-KR"/>
        </w:rPr>
        <w:t xml:space="preserve">SPA-1. </w:t>
      </w:r>
      <w:r w:rsidRPr="009C2ADD">
        <w:t>Stochastic projections of adult stock status under 2014 longline and troll effort levels. The limit reference point (20% SB</w:t>
      </w:r>
      <w:r w:rsidRPr="0070772D">
        <w:rPr>
          <w:vertAlign w:val="subscript"/>
        </w:rPr>
        <w:t>F=0</w:t>
      </w:r>
      <w:r w:rsidRPr="009C2ADD">
        <w:t>) is indicated by</w:t>
      </w:r>
      <w:r>
        <w:rPr>
          <w:rFonts w:hint="eastAsia"/>
          <w:lang w:eastAsia="ko-KR"/>
        </w:rPr>
        <w:t xml:space="preserve"> the</w:t>
      </w:r>
      <w:r w:rsidRPr="009C2ADD">
        <w:t xml:space="preserve"> horizontal dashed red line. Note: from 1960 up to 2013 inclusive the line represents the median across the 9 assessment model runs (structural uncertainty only); uncertainty after 2013 represents both structural uncertainty and stochastic recruitment (1800 simulation runs).</w:t>
      </w:r>
    </w:p>
    <w:p w14:paraId="13BF31BA" w14:textId="77777777" w:rsidR="0014588F" w:rsidRPr="009C2ADD" w:rsidRDefault="0014588F" w:rsidP="0014588F">
      <w:pPr>
        <w:pStyle w:val="WCPFC"/>
        <w:numPr>
          <w:ilvl w:val="0"/>
          <w:numId w:val="0"/>
        </w:numPr>
        <w:adjustRightInd w:val="0"/>
        <w:spacing w:after="0"/>
        <w:ind w:left="567"/>
        <w:jc w:val="center"/>
      </w:pPr>
    </w:p>
    <w:p w14:paraId="28E37840" w14:textId="77777777" w:rsidR="0014588F" w:rsidRPr="009C2ADD" w:rsidRDefault="0014588F" w:rsidP="0014588F">
      <w:pPr>
        <w:pStyle w:val="WCPFC"/>
        <w:numPr>
          <w:ilvl w:val="0"/>
          <w:numId w:val="24"/>
        </w:numPr>
        <w:adjustRightInd w:val="0"/>
        <w:spacing w:after="0"/>
        <w:ind w:left="0" w:firstLine="0"/>
        <w:rPr>
          <w:b/>
        </w:rPr>
      </w:pPr>
      <w:r w:rsidRPr="009C2ADD">
        <w:rPr>
          <w:b/>
        </w:rPr>
        <w:t xml:space="preserve">Management advice and implications </w:t>
      </w:r>
    </w:p>
    <w:p w14:paraId="3988F442" w14:textId="77777777" w:rsidR="0014588F" w:rsidRPr="009C2ADD" w:rsidRDefault="0014588F" w:rsidP="0014588F">
      <w:pPr>
        <w:pStyle w:val="WCPFC"/>
        <w:numPr>
          <w:ilvl w:val="0"/>
          <w:numId w:val="0"/>
        </w:numPr>
        <w:adjustRightInd w:val="0"/>
        <w:spacing w:after="0"/>
        <w:ind w:left="720"/>
        <w:rPr>
          <w:b/>
        </w:rPr>
      </w:pPr>
    </w:p>
    <w:p w14:paraId="560F6CFB" w14:textId="5526408A" w:rsidR="0014588F" w:rsidRPr="008761D4" w:rsidRDefault="0014588F" w:rsidP="0014588F">
      <w:pPr>
        <w:pStyle w:val="WCPFC"/>
        <w:adjustRightInd w:val="0"/>
        <w:spacing w:after="0"/>
        <w:ind w:left="0" w:firstLine="0"/>
        <w:rPr>
          <w:lang w:val="en-AU"/>
        </w:rPr>
      </w:pPr>
      <w:r w:rsidRPr="00464B7F">
        <w:rPr>
          <w:lang w:val="en-AU"/>
        </w:rPr>
        <w:t xml:space="preserve">SC13 noted that no stock assessment was conducted for South Pacific albacore tuna in 2017. Therefore, </w:t>
      </w:r>
      <w:r w:rsidR="002439DD" w:rsidRPr="00DA53CE">
        <w:rPr>
          <w:lang w:val="en-AU"/>
        </w:rPr>
        <w:t>the advice from SC1</w:t>
      </w:r>
      <w:r w:rsidR="002439DD">
        <w:rPr>
          <w:rFonts w:hint="eastAsia"/>
          <w:lang w:val="en-AU" w:eastAsia="ko-KR"/>
        </w:rPr>
        <w:t>1</w:t>
      </w:r>
      <w:r w:rsidR="002439DD" w:rsidRPr="00DA53CE">
        <w:rPr>
          <w:lang w:val="en-AU"/>
        </w:rPr>
        <w:t xml:space="preserve"> should be maintained</w:t>
      </w:r>
      <w:r w:rsidRPr="00464B7F">
        <w:rPr>
          <w:lang w:val="en-AU"/>
        </w:rPr>
        <w:t xml:space="preserve">. For further information on the stock status and trends from SC11, please see </w:t>
      </w:r>
      <w:hyperlink r:id="rId39" w:history="1">
        <w:r w:rsidRPr="00401B5D">
          <w:rPr>
            <w:rStyle w:val="Hyperlink"/>
            <w:bCs/>
            <w:lang w:val="en-AU" w:eastAsia="en-US"/>
          </w:rPr>
          <w:t>https://www.wcpfc.int/node/26922</w:t>
        </w:r>
      </w:hyperlink>
      <w:r w:rsidRPr="00401B5D">
        <w:rPr>
          <w:rFonts w:hint="eastAsia"/>
          <w:bCs/>
          <w:lang w:val="en-AU" w:eastAsia="ko-KR"/>
        </w:rPr>
        <w:t xml:space="preserve"> </w:t>
      </w:r>
    </w:p>
    <w:p w14:paraId="28D4AD54" w14:textId="77777777" w:rsidR="0014588F" w:rsidRPr="00464B7F" w:rsidRDefault="0014588F" w:rsidP="0014588F">
      <w:pPr>
        <w:pStyle w:val="WCPFC"/>
        <w:numPr>
          <w:ilvl w:val="0"/>
          <w:numId w:val="0"/>
        </w:numPr>
        <w:adjustRightInd w:val="0"/>
        <w:spacing w:after="0"/>
        <w:rPr>
          <w:lang w:val="en-AU"/>
        </w:rPr>
      </w:pPr>
    </w:p>
    <w:p w14:paraId="020A48AF"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the preliminary estimate of total catch of south Pacific albacore (within the WCPF Convention Area south of the equator) for 2016 was</w:t>
      </w:r>
      <w:r w:rsidRPr="009C2ADD">
        <w:rPr>
          <w:rFonts w:ascii="Times New Roman" w:hAnsi="Times New Roman"/>
          <w:b/>
          <w:lang w:val="en-AU"/>
        </w:rPr>
        <w:t xml:space="preserve"> 58,03</w:t>
      </w:r>
      <w:r>
        <w:rPr>
          <w:rFonts w:ascii="Times New Roman" w:hAnsi="Times New Roman"/>
          <w:b/>
          <w:lang w:val="en-AU"/>
        </w:rPr>
        <w:t>3 mt</w:t>
      </w:r>
      <w:r w:rsidRPr="009C2ADD">
        <w:rPr>
          <w:rFonts w:ascii="Times New Roman" w:hAnsi="Times New Roman"/>
          <w:b/>
          <w:lang w:val="en-AU"/>
        </w:rPr>
        <w:t xml:space="preserve"> which was an 8% decrease from 2015 and a 13% decrease over 2011-2015. (</w:t>
      </w:r>
      <w:proofErr w:type="gramStart"/>
      <w:r w:rsidRPr="009C2ADD">
        <w:rPr>
          <w:rFonts w:ascii="Times New Roman" w:hAnsi="Times New Roman"/>
          <w:b/>
          <w:lang w:val="en-AU"/>
        </w:rPr>
        <w:t>see</w:t>
      </w:r>
      <w:proofErr w:type="gramEnd"/>
      <w:r w:rsidRPr="009C2ADD">
        <w:rPr>
          <w:rFonts w:ascii="Times New Roman" w:hAnsi="Times New Roman"/>
          <w:b/>
          <w:lang w:val="en-AU"/>
        </w:rPr>
        <w:t xml:space="preserve"> SC13-SA-WP-02).</w:t>
      </w:r>
    </w:p>
    <w:p w14:paraId="5F931AE5"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97B9B5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Preliminary longline catch in 2016 (55,63</w:t>
      </w:r>
      <w:r>
        <w:rPr>
          <w:rFonts w:ascii="Times New Roman" w:hAnsi="Times New Roman"/>
          <w:b/>
          <w:lang w:val="en-AU"/>
        </w:rPr>
        <w:t>5 mt</w:t>
      </w:r>
      <w:r w:rsidRPr="009C2ADD">
        <w:rPr>
          <w:rFonts w:ascii="Times New Roman" w:hAnsi="Times New Roman"/>
          <w:b/>
          <w:lang w:val="en-AU"/>
        </w:rPr>
        <w:t>) was 8% lower compared with 2015 and a 13% decrease over 2011-2015.  Preliminary troll catch in 2016 (2,37</w:t>
      </w:r>
      <w:r>
        <w:rPr>
          <w:rFonts w:ascii="Times New Roman" w:hAnsi="Times New Roman"/>
          <w:b/>
          <w:lang w:val="en-AU"/>
        </w:rPr>
        <w:t>2 mt</w:t>
      </w:r>
      <w:r w:rsidRPr="009C2ADD">
        <w:rPr>
          <w:rFonts w:ascii="Times New Roman" w:hAnsi="Times New Roman"/>
          <w:b/>
          <w:lang w:val="en-AU"/>
        </w:rPr>
        <w:t>) was 17% lower compared with 2015 and a 24% decrease over 2011-2015. (</w:t>
      </w:r>
      <w:proofErr w:type="gramStart"/>
      <w:r w:rsidRPr="009C2ADD">
        <w:rPr>
          <w:rFonts w:ascii="Times New Roman" w:hAnsi="Times New Roman"/>
          <w:b/>
          <w:lang w:val="en-AU"/>
        </w:rPr>
        <w:t>see</w:t>
      </w:r>
      <w:proofErr w:type="gramEnd"/>
      <w:r w:rsidRPr="009C2ADD">
        <w:rPr>
          <w:rFonts w:ascii="Times New Roman" w:hAnsi="Times New Roman"/>
          <w:b/>
          <w:lang w:val="en-AU"/>
        </w:rPr>
        <w:t xml:space="preserve"> SC13-</w:t>
      </w:r>
      <w:r w:rsidRPr="009C2ADD" w:rsidDel="00D35815">
        <w:rPr>
          <w:rFonts w:ascii="Times New Roman" w:hAnsi="Times New Roman"/>
          <w:b/>
          <w:lang w:val="en-AU"/>
        </w:rPr>
        <w:t xml:space="preserve"> </w:t>
      </w:r>
      <w:r w:rsidRPr="009C2ADD">
        <w:rPr>
          <w:rFonts w:ascii="Times New Roman" w:hAnsi="Times New Roman"/>
          <w:b/>
          <w:lang w:val="en-AU"/>
        </w:rPr>
        <w:t xml:space="preserve">SA-WP-02). </w:t>
      </w:r>
    </w:p>
    <w:p w14:paraId="0602078F"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16E8B4F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considered an update of trends in South Pacific albacore fisheries (SC13-SA-WP-08) and noted that there had been reductions in longline effort in the WCPF Convention </w:t>
      </w:r>
      <w:r>
        <w:rPr>
          <w:rFonts w:ascii="Times New Roman" w:hAnsi="Times New Roman" w:hint="eastAsia"/>
          <w:b/>
          <w:lang w:val="en-AU" w:eastAsia="ko-KR"/>
        </w:rPr>
        <w:t xml:space="preserve">Area </w:t>
      </w:r>
      <w:r w:rsidRPr="009C2ADD">
        <w:rPr>
          <w:rFonts w:ascii="Times New Roman" w:hAnsi="Times New Roman"/>
          <w:b/>
          <w:lang w:val="en-AU"/>
        </w:rPr>
        <w:t>south of 10</w:t>
      </w:r>
      <w:r>
        <w:rPr>
          <w:rFonts w:ascii="Times New Roman" w:hAnsi="Times New Roman"/>
          <w:b/>
          <w:lang w:val="en-AU"/>
        </w:rPr>
        <w:t>ᴼ</w:t>
      </w:r>
      <w:r>
        <w:rPr>
          <w:rFonts w:ascii="Times New Roman" w:hAnsi="Times New Roman" w:hint="eastAsia"/>
          <w:b/>
          <w:lang w:val="en-AU" w:eastAsia="ko-KR"/>
        </w:rPr>
        <w:t>S</w:t>
      </w:r>
      <w:r w:rsidRPr="009C2ADD">
        <w:rPr>
          <w:rFonts w:ascii="Times New Roman" w:hAnsi="Times New Roman"/>
          <w:b/>
          <w:lang w:val="en-AU"/>
        </w:rPr>
        <w:t xml:space="preserve"> through 2014-2016 (by approximately 15%)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Pr>
          <w:rFonts w:ascii="Times New Roman" w:hAnsi="Times New Roman" w:hint="eastAsia"/>
          <w:b/>
          <w:lang w:val="en-AU" w:eastAsia="ko-KR"/>
        </w:rPr>
        <w:t>-</w:t>
      </w:r>
      <w:r w:rsidRPr="009C2ADD">
        <w:rPr>
          <w:rFonts w:ascii="Times New Roman" w:hAnsi="Times New Roman"/>
          <w:b/>
          <w:lang w:val="en-AU"/>
        </w:rPr>
        <w:t>1). If 2015 fishing effort levels continue into the future, the stock is predicted to continue to decline on average, falling to 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 0.35 in 2033 with a 7% predicted probability of being below the LRP. Overall vulnerable biomass (a CPUE proxy) in longline fisheries is estimated to decrease by 7% from 2013-2033.  </w:t>
      </w:r>
    </w:p>
    <w:p w14:paraId="78735486"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7B7E8EF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Pending a new assessment in 2018, SC13 recalls its previous advice from SC11 and SC12 that longline fishing mortality and longline catch be reduced to avoid further decline in the vulnerable biomass so that economically viable catch rates can be maintained, especially for longline catches of adult albacore. SC13 recommends that this advice be taken into consideration when the TRP for South Pacific albacore is discussed at WCPFC14.</w:t>
      </w:r>
    </w:p>
    <w:p w14:paraId="414078EB" w14:textId="77777777" w:rsidR="0014588F" w:rsidRPr="009C2ADD" w:rsidRDefault="0014588F" w:rsidP="0014588F">
      <w:pPr>
        <w:adjustRightInd w:val="0"/>
        <w:snapToGrid w:val="0"/>
        <w:spacing w:after="0"/>
        <w:rPr>
          <w:rFonts w:ascii="Times New Roman" w:eastAsia="바탕" w:hAnsi="Times New Roman"/>
          <w:b/>
          <w:bCs/>
          <w:lang w:eastAsia="ko-KR"/>
        </w:rPr>
      </w:pPr>
    </w:p>
    <w:p w14:paraId="616BB6B2" w14:textId="77777777" w:rsidR="0014588F" w:rsidRPr="009C2ADD" w:rsidRDefault="0014588F" w:rsidP="0014588F">
      <w:pPr>
        <w:pStyle w:val="Heading2"/>
        <w:adjustRightInd w:val="0"/>
        <w:snapToGrid w:val="0"/>
        <w:rPr>
          <w:color w:val="auto"/>
          <w:szCs w:val="22"/>
        </w:rPr>
      </w:pPr>
      <w:bookmarkStart w:id="21" w:name="_Toc498688632"/>
      <w:r w:rsidRPr="009C2ADD">
        <w:rPr>
          <w:color w:val="auto"/>
          <w:szCs w:val="22"/>
        </w:rPr>
        <w:t xml:space="preserve">4.2 </w:t>
      </w:r>
      <w:r w:rsidRPr="009C2ADD">
        <w:rPr>
          <w:color w:val="auto"/>
          <w:szCs w:val="22"/>
        </w:rPr>
        <w:tab/>
        <w:t>Northern stocks</w:t>
      </w:r>
      <w:bookmarkEnd w:id="21"/>
      <w:r w:rsidRPr="009C2ADD">
        <w:rPr>
          <w:color w:val="auto"/>
          <w:szCs w:val="22"/>
        </w:rPr>
        <w:t xml:space="preserve"> </w:t>
      </w:r>
    </w:p>
    <w:p w14:paraId="7C4CB702" w14:textId="77777777" w:rsidR="0014588F" w:rsidRPr="009C2ADD" w:rsidRDefault="0014588F" w:rsidP="0014588F">
      <w:pPr>
        <w:autoSpaceDE w:val="0"/>
        <w:autoSpaceDN w:val="0"/>
        <w:adjustRightInd w:val="0"/>
        <w:snapToGrid w:val="0"/>
        <w:spacing w:after="0"/>
        <w:rPr>
          <w:rFonts w:ascii="Times New Roman" w:eastAsia="Calibri" w:hAnsi="Times New Roman"/>
          <w:lang w:val="en-AU"/>
        </w:rPr>
      </w:pPr>
    </w:p>
    <w:p w14:paraId="2615BA98"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2" w:name="_Toc498688633"/>
      <w:r w:rsidRPr="009C2ADD">
        <w:rPr>
          <w:rFonts w:ascii="Times New Roman" w:eastAsia="바탕" w:hAnsi="Times New Roman" w:cs="Times New Roman"/>
          <w:lang w:eastAsia="ko-KR"/>
        </w:rPr>
        <w:t xml:space="preserve">4.2.1 </w:t>
      </w:r>
      <w:r w:rsidRPr="009C2ADD">
        <w:rPr>
          <w:rFonts w:ascii="Times New Roman" w:eastAsia="바탕" w:hAnsi="Times New Roman" w:cs="Times New Roman"/>
          <w:lang w:eastAsia="ko-KR"/>
        </w:rPr>
        <w:tab/>
        <w:t>North Pacific albacore (</w:t>
      </w:r>
      <w:r w:rsidRPr="009C2ADD">
        <w:rPr>
          <w:rFonts w:ascii="Times New Roman" w:eastAsia="바탕" w:hAnsi="Times New Roman" w:cs="Times New Roman"/>
          <w:i/>
          <w:lang w:eastAsia="ko-KR"/>
        </w:rPr>
        <w:t>Thunnus alalunga</w:t>
      </w:r>
      <w:r w:rsidRPr="009C2ADD">
        <w:rPr>
          <w:rFonts w:ascii="Times New Roman" w:eastAsia="바탕" w:hAnsi="Times New Roman" w:cs="Times New Roman"/>
          <w:lang w:eastAsia="ko-KR"/>
        </w:rPr>
        <w:t>)</w:t>
      </w:r>
      <w:bookmarkEnd w:id="22"/>
      <w:r w:rsidRPr="009C2ADD">
        <w:rPr>
          <w:rFonts w:ascii="Times New Roman" w:eastAsia="바탕" w:hAnsi="Times New Roman" w:cs="Times New Roman"/>
          <w:lang w:eastAsia="ko-KR"/>
        </w:rPr>
        <w:t xml:space="preserve"> </w:t>
      </w:r>
    </w:p>
    <w:p w14:paraId="2AA41E3B" w14:textId="77777777" w:rsidR="0014588F" w:rsidRPr="009C2ADD" w:rsidRDefault="0014588F" w:rsidP="0014588F">
      <w:pPr>
        <w:adjustRightInd w:val="0"/>
        <w:snapToGrid w:val="0"/>
        <w:spacing w:after="0"/>
        <w:rPr>
          <w:rFonts w:ascii="Times New Roman" w:eastAsia="바탕" w:hAnsi="Times New Roman"/>
          <w:b/>
          <w:lang w:eastAsia="ko-KR"/>
        </w:rPr>
      </w:pPr>
    </w:p>
    <w:p w14:paraId="75287C12" w14:textId="3786D409" w:rsidR="0014588F" w:rsidRPr="009C2ADD" w:rsidRDefault="006F302A" w:rsidP="0014588F">
      <w:pPr>
        <w:pStyle w:val="ListParagraph"/>
        <w:numPr>
          <w:ilvl w:val="0"/>
          <w:numId w:val="26"/>
        </w:numPr>
        <w:adjustRightInd w:val="0"/>
        <w:snapToGrid w:val="0"/>
        <w:ind w:left="0" w:firstLine="0"/>
        <w:contextualSpacing w:val="0"/>
        <w:rPr>
          <w:rFonts w:ascii="Times New Roman" w:eastAsia="바탕" w:hAnsi="Times New Roman"/>
          <w:b/>
          <w:lang w:eastAsia="ko-KR"/>
        </w:rPr>
      </w:pPr>
      <w:r>
        <w:rPr>
          <w:rFonts w:ascii="Times New Roman" w:eastAsia="바탕" w:hAnsi="Times New Roman"/>
          <w:b/>
          <w:lang w:eastAsia="ko-KR"/>
        </w:rPr>
        <w:t>Stcok status</w:t>
      </w:r>
      <w:r w:rsidRPr="009C2ADD">
        <w:rPr>
          <w:rFonts w:ascii="Times New Roman" w:eastAsia="바탕" w:hAnsi="Times New Roman"/>
          <w:b/>
          <w:lang w:eastAsia="ko-KR"/>
        </w:rPr>
        <w:t xml:space="preserve"> </w:t>
      </w:r>
      <w:r w:rsidR="0014588F" w:rsidRPr="009C2ADD">
        <w:rPr>
          <w:rFonts w:ascii="Times New Roman" w:eastAsia="바탕" w:hAnsi="Times New Roman"/>
          <w:b/>
          <w:lang w:eastAsia="ko-KR"/>
        </w:rPr>
        <w:t xml:space="preserve">and trends </w:t>
      </w:r>
    </w:p>
    <w:p w14:paraId="2D2CB90C" w14:textId="77777777" w:rsidR="0014588F" w:rsidRPr="009C2ADD" w:rsidRDefault="0014588F" w:rsidP="0014588F">
      <w:pPr>
        <w:adjustRightInd w:val="0"/>
        <w:snapToGrid w:val="0"/>
        <w:spacing w:after="0"/>
        <w:ind w:left="1440"/>
        <w:rPr>
          <w:rFonts w:ascii="Times New Roman" w:eastAsia="바탕" w:hAnsi="Times New Roman"/>
          <w:highlight w:val="green"/>
          <w:lang w:eastAsia="ko-KR"/>
        </w:rPr>
      </w:pPr>
    </w:p>
    <w:p w14:paraId="27C3DA9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ISC provided the following conclusions on the stock status of North Pacific albacore.</w:t>
      </w:r>
    </w:p>
    <w:p w14:paraId="1FA6063C"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3F49FFCB" w14:textId="4A81384F"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Stock status is depicted in relation to the limit reference point (LRP; 20%SSB</w:t>
      </w:r>
      <w:r w:rsidRPr="0070772D">
        <w:rPr>
          <w:rFonts w:ascii="Times New Roman" w:hAnsi="Times New Roman"/>
          <w:vertAlign w:val="subscript"/>
          <w:lang w:val="en-AU"/>
        </w:rPr>
        <w:t>current, F=0</w:t>
      </w:r>
      <w:r w:rsidRPr="009C2ADD">
        <w:rPr>
          <w:rFonts w:ascii="Times New Roman" w:hAnsi="Times New Roman"/>
          <w:lang w:val="en-AU"/>
        </w:rPr>
        <w:t>) for the stock and the equivalent fishing intensity (F</w:t>
      </w:r>
      <w:r w:rsidRPr="00007081">
        <w:rPr>
          <w:rFonts w:ascii="Times New Roman" w:hAnsi="Times New Roman"/>
          <w:vertAlign w:val="subscript"/>
          <w:lang w:val="en-AU"/>
        </w:rPr>
        <w:t>20%</w:t>
      </w:r>
      <w:r w:rsidRPr="009C2ADD">
        <w:rPr>
          <w:rFonts w:ascii="Times New Roman" w:hAnsi="Times New Roman"/>
          <w:lang w:val="en-AU"/>
        </w:rPr>
        <w:t>; calculated as 1-SPR</w:t>
      </w:r>
      <w:r w:rsidRPr="00007081">
        <w:rPr>
          <w:rFonts w:ascii="Times New Roman" w:hAnsi="Times New Roman"/>
          <w:vertAlign w:val="subscript"/>
          <w:lang w:val="en-AU"/>
        </w:rPr>
        <w:t>20%</w:t>
      </w:r>
      <w:r w:rsidRPr="009C2ADD">
        <w:rPr>
          <w:rFonts w:ascii="Times New Roman" w:hAnsi="Times New Roman"/>
          <w:lang w:val="en-AU"/>
        </w:rPr>
        <w:t>) (Fig</w:t>
      </w:r>
      <w:r w:rsidR="00047EC8">
        <w:rPr>
          <w:rFonts w:ascii="Times New Roman" w:hAnsi="Times New Roman"/>
          <w:lang w:val="en-AU"/>
        </w:rPr>
        <w:t>ure</w:t>
      </w:r>
      <w:r w:rsidRPr="009C2ADD">
        <w:rPr>
          <w:rFonts w:ascii="Times New Roman" w:hAnsi="Times New Roman"/>
          <w:lang w:val="en-AU"/>
        </w:rPr>
        <w:t xml:space="preserv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70772D">
        <w:rPr>
          <w:rFonts w:ascii="Times New Roman" w:hAnsi="Times New Roman"/>
          <w:vertAlign w:val="subscript"/>
          <w:lang w:val="en-AU"/>
        </w:rPr>
        <w:t>0</w:t>
      </w:r>
      <w:r w:rsidRPr="009C2ADD">
        <w:rPr>
          <w:rFonts w:ascii="Times New Roman" w:hAnsi="Times New Roman"/>
          <w:lang w:val="en-AU"/>
        </w:rPr>
        <w:t xml:space="preserve"> over the long run. Fishing intensity is considered a proxy of fishing mortality.</w:t>
      </w:r>
    </w:p>
    <w:p w14:paraId="14E6D9FA"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77450D61" w14:textId="3852657D" w:rsidR="0014588F" w:rsidRPr="00032768" w:rsidRDefault="0014588F" w:rsidP="0079145C">
      <w:pPr>
        <w:numPr>
          <w:ilvl w:val="0"/>
          <w:numId w:val="1"/>
        </w:numPr>
        <w:autoSpaceDE w:val="0"/>
        <w:autoSpaceDN w:val="0"/>
        <w:adjustRightInd w:val="0"/>
        <w:snapToGrid w:val="0"/>
        <w:spacing w:after="0"/>
        <w:ind w:left="0" w:firstLine="0"/>
        <w:rPr>
          <w:rFonts w:ascii="Times New Roman" w:hAnsi="Times New Roman"/>
          <w:lang w:val="en-AU"/>
        </w:rPr>
      </w:pPr>
      <w:r w:rsidRPr="00032768">
        <w:rPr>
          <w:rFonts w:ascii="Times New Roman" w:hAnsi="Times New Roman"/>
          <w:lang w:val="en-AU"/>
        </w:rPr>
        <w:t>The Kobe plot shows that the estimated female SSB has never fallen below the LRP since 1993, albeit with large uncertainty in the terminal year (2015) estimates. Even when alternative hypotheses about key model uncertainties such as natural mortality and growth were evaluated, the point estimate of female SSB in 2015 (SSB</w:t>
      </w:r>
      <w:r w:rsidRPr="00032768">
        <w:rPr>
          <w:rFonts w:ascii="Times New Roman" w:hAnsi="Times New Roman"/>
          <w:vertAlign w:val="subscript"/>
          <w:lang w:val="en-AU"/>
        </w:rPr>
        <w:t>2015</w:t>
      </w:r>
      <w:r w:rsidRPr="00032768">
        <w:rPr>
          <w:rFonts w:ascii="Times New Roman" w:hAnsi="Times New Roman"/>
          <w:lang w:val="en-AU"/>
        </w:rPr>
        <w:t>) did not fall below the LRP, although the risk increases with these more extreme assumptions (Figure NPALB-1). The SSB</w:t>
      </w:r>
      <w:r w:rsidRPr="00032768">
        <w:rPr>
          <w:rFonts w:ascii="Times New Roman" w:hAnsi="Times New Roman"/>
          <w:vertAlign w:val="subscript"/>
          <w:lang w:val="en-AU"/>
        </w:rPr>
        <w:t>2015</w:t>
      </w:r>
      <w:r w:rsidRPr="00032768">
        <w:rPr>
          <w:rFonts w:ascii="Times New Roman" w:hAnsi="Times New Roman"/>
          <w:lang w:val="en-AU"/>
        </w:rPr>
        <w:t xml:space="preserve"> was estimated to be 80,618 mt and was 2.47 times greater than the LRP threshold of 32,614 mt (Table </w:t>
      </w:r>
      <w:r w:rsidR="00047EC8" w:rsidRPr="00032768">
        <w:rPr>
          <w:rFonts w:ascii="Times New Roman" w:hAnsi="Times New Roman"/>
          <w:lang w:val="en-AU"/>
        </w:rPr>
        <w:t>NPALB-1</w:t>
      </w:r>
      <w:r w:rsidRPr="00032768">
        <w:rPr>
          <w:rFonts w:ascii="Times New Roman" w:hAnsi="Times New Roman"/>
          <w:lang w:val="en-AU"/>
        </w:rPr>
        <w:t>). Current fishing intensity, F</w:t>
      </w:r>
      <w:r w:rsidRPr="00032768">
        <w:rPr>
          <w:rFonts w:ascii="Times New Roman" w:hAnsi="Times New Roman"/>
          <w:vertAlign w:val="subscript"/>
          <w:lang w:val="en-AU"/>
        </w:rPr>
        <w:t>2012-2014</w:t>
      </w:r>
      <w:r w:rsidRPr="00032768">
        <w:rPr>
          <w:rFonts w:ascii="Times New Roman" w:hAnsi="Times New Roman"/>
          <w:lang w:val="en-AU"/>
        </w:rPr>
        <w:t xml:space="preserve"> (calculated as 1- SPR</w:t>
      </w:r>
      <w:r w:rsidRPr="00032768">
        <w:rPr>
          <w:rFonts w:ascii="Times New Roman" w:hAnsi="Times New Roman"/>
          <w:vertAlign w:val="subscript"/>
          <w:lang w:val="en-AU"/>
        </w:rPr>
        <w:t>2012-2014</w:t>
      </w:r>
      <w:r w:rsidRPr="00032768">
        <w:rPr>
          <w:rFonts w:ascii="Times New Roman" w:hAnsi="Times New Roman"/>
          <w:lang w:val="en-AU"/>
        </w:rPr>
        <w:t>), was lower than potential F-based reference points identified for the north Pacific albacore stock, except F</w:t>
      </w:r>
      <w:r w:rsidRPr="00032768">
        <w:rPr>
          <w:rFonts w:ascii="Times New Roman" w:hAnsi="Times New Roman"/>
          <w:vertAlign w:val="subscript"/>
          <w:lang w:val="en-AU"/>
        </w:rPr>
        <w:t>50%</w:t>
      </w:r>
      <w:r w:rsidRPr="00032768">
        <w:rPr>
          <w:rFonts w:ascii="Times New Roman" w:hAnsi="Times New Roman"/>
          <w:lang w:val="en-AU"/>
        </w:rPr>
        <w:t xml:space="preserve"> (calculated as 1-SPR</w:t>
      </w:r>
      <w:r w:rsidRPr="00032768">
        <w:rPr>
          <w:rFonts w:ascii="Times New Roman" w:hAnsi="Times New Roman"/>
          <w:vertAlign w:val="subscript"/>
          <w:lang w:val="en-AU"/>
        </w:rPr>
        <w:t>50%</w:t>
      </w:r>
      <w:r w:rsidRPr="00032768">
        <w:rPr>
          <w:rFonts w:ascii="Times New Roman" w:hAnsi="Times New Roman"/>
          <w:lang w:val="en-AU"/>
        </w:rPr>
        <w:t xml:space="preserve">) (Table NPALB-1). Based on these findings, the following information on the status of the </w:t>
      </w:r>
      <w:r w:rsidR="0079145C" w:rsidRPr="00032768">
        <w:rPr>
          <w:rFonts w:ascii="Times New Roman" w:hAnsi="Times New Roman"/>
          <w:lang w:val="en-AU"/>
        </w:rPr>
        <w:t>N</w:t>
      </w:r>
      <w:r w:rsidRPr="00032768">
        <w:rPr>
          <w:rFonts w:ascii="Times New Roman" w:hAnsi="Times New Roman"/>
          <w:lang w:val="en-AU"/>
        </w:rPr>
        <w:t>orth Pacific albacore stock is provided:</w:t>
      </w:r>
    </w:p>
    <w:p w14:paraId="2F1F3FF8" w14:textId="31F7D188" w:rsidR="0014588F" w:rsidRPr="009C2ADD" w:rsidRDefault="0014588F" w:rsidP="00032768">
      <w:pPr>
        <w:numPr>
          <w:ilvl w:val="0"/>
          <w:numId w:val="12"/>
        </w:numPr>
        <w:autoSpaceDE w:val="0"/>
        <w:autoSpaceDN w:val="0"/>
        <w:adjustRightInd w:val="0"/>
        <w:snapToGrid w:val="0"/>
        <w:spacing w:after="0"/>
        <w:ind w:left="1080" w:hanging="357"/>
        <w:rPr>
          <w:rFonts w:ascii="Times New Roman" w:hAnsi="Times New Roman"/>
          <w:lang w:val="en-AU"/>
        </w:rPr>
      </w:pPr>
      <w:r w:rsidRPr="009C2ADD">
        <w:rPr>
          <w:rFonts w:ascii="Times New Roman" w:hAnsi="Times New Roman"/>
          <w:lang w:val="en-AU"/>
        </w:rPr>
        <w:t xml:space="preserve">The stock is likely not overfished relative to the limit reference point adopted by the </w:t>
      </w:r>
      <w:r>
        <w:rPr>
          <w:rFonts w:ascii="Times New Roman" w:hAnsi="Times New Roman" w:hint="eastAsia"/>
          <w:lang w:val="en-AU" w:eastAsia="ko-KR"/>
        </w:rPr>
        <w:t>WCPFC</w:t>
      </w:r>
      <w:r w:rsidRPr="009C2ADD">
        <w:rPr>
          <w:rFonts w:ascii="Times New Roman" w:hAnsi="Times New Roman"/>
          <w:lang w:val="en-AU"/>
        </w:rPr>
        <w:t xml:space="preserve"> (20%SSB</w:t>
      </w:r>
      <w:r w:rsidRPr="0070772D">
        <w:rPr>
          <w:rFonts w:ascii="Times New Roman" w:hAnsi="Times New Roman"/>
          <w:vertAlign w:val="subscript"/>
          <w:lang w:val="en-AU"/>
        </w:rPr>
        <w:t>current</w:t>
      </w:r>
      <w:r w:rsidR="0079145C">
        <w:rPr>
          <w:rFonts w:ascii="Times New Roman" w:hAnsi="Times New Roman"/>
          <w:vertAlign w:val="subscript"/>
          <w:lang w:val="en-AU"/>
        </w:rPr>
        <w:t>,</w:t>
      </w:r>
      <w:r w:rsidRPr="0070772D">
        <w:rPr>
          <w:rFonts w:ascii="Times New Roman" w:hAnsi="Times New Roman"/>
          <w:vertAlign w:val="subscript"/>
          <w:lang w:val="en-AU"/>
        </w:rPr>
        <w:t xml:space="preserve"> F=0</w:t>
      </w:r>
      <w:r w:rsidRPr="009C2ADD">
        <w:rPr>
          <w:rFonts w:ascii="Times New Roman" w:hAnsi="Times New Roman"/>
          <w:lang w:val="en-AU"/>
        </w:rPr>
        <w:t xml:space="preserve">), and </w:t>
      </w:r>
    </w:p>
    <w:p w14:paraId="5CE5DEFD" w14:textId="2E9A3265" w:rsidR="0014588F" w:rsidRPr="009C2ADD" w:rsidRDefault="0014588F" w:rsidP="00032768">
      <w:pPr>
        <w:numPr>
          <w:ilvl w:val="0"/>
          <w:numId w:val="12"/>
        </w:numPr>
        <w:autoSpaceDE w:val="0"/>
        <w:autoSpaceDN w:val="0"/>
        <w:adjustRightInd w:val="0"/>
        <w:snapToGrid w:val="0"/>
        <w:spacing w:after="0"/>
        <w:ind w:left="1080" w:hanging="357"/>
        <w:rPr>
          <w:rFonts w:ascii="Times New Roman" w:hAnsi="Times New Roman"/>
          <w:lang w:val="en-AU"/>
        </w:rPr>
      </w:pPr>
      <w:r w:rsidRPr="009C2ADD">
        <w:rPr>
          <w:rFonts w:ascii="Times New Roman" w:hAnsi="Times New Roman"/>
          <w:lang w:val="en-AU"/>
        </w:rPr>
        <w:t>No F-based reference points have been adopted to evaluate overfishing. Stock status was evaluated against seven potential reference points. Current fishing intensity (F</w:t>
      </w:r>
      <w:r w:rsidRPr="0070772D">
        <w:rPr>
          <w:rFonts w:ascii="Times New Roman" w:hAnsi="Times New Roman"/>
          <w:vertAlign w:val="subscript"/>
          <w:lang w:val="en-AU"/>
        </w:rPr>
        <w:t>2012-2014</w:t>
      </w:r>
      <w:r w:rsidRPr="009C2ADD">
        <w:rPr>
          <w:rFonts w:ascii="Times New Roman" w:hAnsi="Times New Roman"/>
          <w:lang w:val="en-AU"/>
        </w:rPr>
        <w:t xml:space="preserve">) is below six of the seven reference points (see ratios in Table </w:t>
      </w:r>
      <w:r w:rsidR="00047EC8" w:rsidRPr="009C2ADD">
        <w:rPr>
          <w:rFonts w:ascii="Times New Roman" w:hAnsi="Times New Roman"/>
          <w:lang w:val="en-AU"/>
        </w:rPr>
        <w:t>NPALB-1</w:t>
      </w:r>
      <w:r w:rsidRPr="009C2ADD">
        <w:rPr>
          <w:rFonts w:ascii="Times New Roman" w:hAnsi="Times New Roman"/>
          <w:lang w:val="en-AU"/>
        </w:rPr>
        <w:t xml:space="preserve">), except </w:t>
      </w:r>
      <w:r>
        <w:rPr>
          <w:rFonts w:ascii="Times New Roman" w:hAnsi="Times New Roman" w:hint="eastAsia"/>
          <w:lang w:val="en-AU" w:eastAsia="ko-KR"/>
        </w:rPr>
        <w:t xml:space="preserve">for </w:t>
      </w:r>
      <w:r w:rsidRPr="009C2ADD">
        <w:rPr>
          <w:rFonts w:ascii="Times New Roman" w:hAnsi="Times New Roman"/>
          <w:lang w:val="en-AU"/>
        </w:rPr>
        <w:t>F</w:t>
      </w:r>
      <w:r w:rsidRPr="00007081">
        <w:rPr>
          <w:rFonts w:ascii="Times New Roman" w:hAnsi="Times New Roman"/>
          <w:vertAlign w:val="subscript"/>
          <w:lang w:val="en-AU"/>
        </w:rPr>
        <w:t>50%</w:t>
      </w:r>
      <w:r w:rsidRPr="009C2ADD">
        <w:rPr>
          <w:rFonts w:ascii="Times New Roman" w:hAnsi="Times New Roman"/>
          <w:lang w:val="en-AU"/>
        </w:rPr>
        <w:t>.</w:t>
      </w:r>
    </w:p>
    <w:p w14:paraId="79A87E34" w14:textId="77777777" w:rsidR="0014588F" w:rsidRDefault="0014588F" w:rsidP="0014588F">
      <w:pPr>
        <w:adjustRightInd w:val="0"/>
        <w:snapToGrid w:val="0"/>
        <w:spacing w:after="0"/>
        <w:rPr>
          <w:rFonts w:ascii="Times New Roman" w:eastAsia="바탕" w:hAnsi="Times New Roman"/>
          <w:b/>
          <w:lang w:eastAsia="ko-KR"/>
        </w:rPr>
      </w:pPr>
    </w:p>
    <w:tbl>
      <w:tblPr>
        <w:tblW w:w="0" w:type="auto"/>
        <w:tblLook w:val="04A0" w:firstRow="1" w:lastRow="0" w:firstColumn="1" w:lastColumn="0" w:noHBand="0" w:noVBand="1"/>
      </w:tblPr>
      <w:tblGrid>
        <w:gridCol w:w="9468"/>
      </w:tblGrid>
      <w:tr w:rsidR="00047EC8" w:rsidRPr="009C2ADD" w14:paraId="6A8F4B9C" w14:textId="77777777" w:rsidTr="0079145C">
        <w:tc>
          <w:tcPr>
            <w:tcW w:w="9468" w:type="dxa"/>
            <w:shd w:val="clear" w:color="auto" w:fill="auto"/>
            <w:vAlign w:val="center"/>
          </w:tcPr>
          <w:p w14:paraId="53010E52" w14:textId="77777777" w:rsidR="00047EC8" w:rsidRPr="009C2ADD" w:rsidRDefault="00047EC8" w:rsidP="0079145C">
            <w:pPr>
              <w:pStyle w:val="ListParagraph"/>
              <w:adjustRightInd w:val="0"/>
              <w:snapToGrid w:val="0"/>
              <w:ind w:left="-68"/>
              <w:contextualSpacing w:val="0"/>
              <w:jc w:val="right"/>
              <w:rPr>
                <w:rFonts w:ascii="Times New Roman" w:eastAsia="바탕" w:hAnsi="Times New Roman"/>
                <w:bCs/>
                <w:lang w:eastAsia="ko-KR" w:bidi="th-TH"/>
              </w:rPr>
            </w:pPr>
            <w:r>
              <w:rPr>
                <w:rFonts w:ascii="Times New Roman" w:eastAsia="바탕" w:hAnsi="Times New Roman"/>
                <w:bCs/>
                <w:noProof/>
                <w:lang w:val="en-US" w:eastAsia="ko-KR"/>
              </w:rPr>
              <w:drawing>
                <wp:inline distT="0" distB="0" distL="0" distR="0" wp14:anchorId="733D5468" wp14:editId="16DD78E8">
                  <wp:extent cx="5943600" cy="30556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1.jpg"/>
                          <pic:cNvPicPr/>
                        </pic:nvPicPr>
                        <pic:blipFill>
                          <a:blip r:embed="rId40">
                            <a:extLst>
                              <a:ext uri="{28A0092B-C50C-407E-A947-70E740481C1C}">
                                <a14:useLocalDpi xmlns:a14="http://schemas.microsoft.com/office/drawing/2010/main" val="0"/>
                              </a:ext>
                            </a:extLst>
                          </a:blip>
                          <a:stretch>
                            <a:fillRect/>
                          </a:stretch>
                        </pic:blipFill>
                        <pic:spPr>
                          <a:xfrm>
                            <a:off x="0" y="0"/>
                            <a:ext cx="5943600" cy="3055620"/>
                          </a:xfrm>
                          <a:prstGeom prst="rect">
                            <a:avLst/>
                          </a:prstGeom>
                        </pic:spPr>
                      </pic:pic>
                    </a:graphicData>
                  </a:graphic>
                </wp:inline>
              </w:drawing>
            </w:r>
          </w:p>
        </w:tc>
      </w:tr>
      <w:tr w:rsidR="00047EC8" w:rsidRPr="009C2ADD" w14:paraId="43F6EF0B" w14:textId="77777777" w:rsidTr="0079145C">
        <w:tc>
          <w:tcPr>
            <w:tcW w:w="9468" w:type="dxa"/>
            <w:shd w:val="clear" w:color="auto" w:fill="auto"/>
          </w:tcPr>
          <w:p w14:paraId="16548820" w14:textId="77777777" w:rsidR="00047EC8" w:rsidRPr="009C2ADD" w:rsidRDefault="00047EC8" w:rsidP="0079145C">
            <w:pPr>
              <w:adjustRightInd w:val="0"/>
              <w:snapToGrid w:val="0"/>
              <w:spacing w:after="0"/>
              <w:rPr>
                <w:rFonts w:ascii="Times New Roman" w:eastAsia="바탕" w:hAnsi="Times New Roman"/>
                <w:bCs/>
                <w:lang w:eastAsia="ko-KR" w:bidi="th-TH"/>
              </w:rPr>
            </w:pPr>
            <w:r w:rsidRPr="009C2ADD">
              <w:rPr>
                <w:rFonts w:ascii="Times New Roman" w:eastAsia="바탕" w:hAnsi="Times New Roman"/>
                <w:b/>
                <w:bCs/>
                <w:lang w:eastAsia="ko-KR" w:bidi="th-TH"/>
              </w:rPr>
              <w:t xml:space="preserve">Figure NPALB-1. </w:t>
            </w:r>
            <w:r w:rsidRPr="009C2ADD">
              <w:rPr>
                <w:rFonts w:ascii="Times New Roman" w:eastAsia="바탕" w:hAnsi="Times New Roman"/>
                <w:bCs/>
                <w:lang w:eastAsia="ko-KR" w:bidi="th-TH"/>
              </w:rPr>
              <w:t xml:space="preserve">(A) </w:t>
            </w:r>
            <w:r w:rsidRPr="009C2ADD">
              <w:rPr>
                <w:rFonts w:ascii="Times New Roman" w:eastAsia="바탕" w:hAnsi="Times New Roman"/>
                <w:lang w:eastAsia="ko-KR" w:bidi="th-TH"/>
              </w:rPr>
              <w:t xml:space="preserve">Kobe plot showing the status of the north Pacific albacore </w:t>
            </w:r>
            <w:r w:rsidRPr="009C2ADD">
              <w:rPr>
                <w:rFonts w:ascii="Times New Roman" w:eastAsia="바탕" w:hAnsi="Times New Roman"/>
                <w:bCs/>
                <w:lang w:eastAsia="ko-KR" w:bidi="th-TH"/>
              </w:rPr>
              <w:t>(</w:t>
            </w:r>
            <w:r w:rsidRPr="009C2ADD">
              <w:rPr>
                <w:rFonts w:ascii="Times New Roman" w:eastAsia="바탕" w:hAnsi="Times New Roman"/>
                <w:bCs/>
                <w:i/>
                <w:lang w:eastAsia="ko-KR" w:bidi="th-TH"/>
              </w:rPr>
              <w:t>Thunnus alalunga</w:t>
            </w:r>
            <w:r w:rsidRPr="009C2ADD">
              <w:rPr>
                <w:rFonts w:ascii="Times New Roman" w:eastAsia="바탕" w:hAnsi="Times New Roman"/>
                <w:bCs/>
                <w:lang w:eastAsia="ko-KR" w:bidi="th-TH"/>
              </w:rPr>
              <w:t xml:space="preserve">) </w:t>
            </w:r>
            <w:r w:rsidRPr="009C2ADD">
              <w:rPr>
                <w:rFonts w:ascii="Times New Roman" w:eastAsia="바탕" w:hAnsi="Times New Roman"/>
                <w:lang w:eastAsia="ko-KR" w:bidi="th-TH"/>
              </w:rPr>
              <w:t>stock relative to the 20%SSB</w:t>
            </w:r>
            <w:r w:rsidRPr="00007081">
              <w:rPr>
                <w:rFonts w:ascii="Times New Roman" w:eastAsia="바탕" w:hAnsi="Times New Roman"/>
                <w:vertAlign w:val="subscript"/>
                <w:lang w:eastAsia="ko-KR" w:bidi="th-TH"/>
              </w:rPr>
              <w:t>current</w:t>
            </w:r>
            <w:r w:rsidRPr="006C6D33">
              <w:rPr>
                <w:rFonts w:ascii="Times New Roman" w:eastAsia="바탕" w:hAnsi="Times New Roman"/>
                <w:vertAlign w:val="subscript"/>
                <w:lang w:eastAsia="ko-KR" w:bidi="th-TH"/>
              </w:rPr>
              <w:t xml:space="preserve">, </w:t>
            </w:r>
            <w:r w:rsidRPr="009C2ADD">
              <w:rPr>
                <w:rFonts w:ascii="Times New Roman" w:eastAsia="바탕" w:hAnsi="Times New Roman"/>
                <w:vertAlign w:val="subscript"/>
                <w:lang w:eastAsia="ko-KR" w:bidi="th-TH"/>
              </w:rPr>
              <w:t>F=0</w:t>
            </w:r>
            <w:r w:rsidRPr="009C2ADD">
              <w:rPr>
                <w:rFonts w:ascii="Times New Roman" w:eastAsia="바탕" w:hAnsi="Times New Roman"/>
                <w:lang w:eastAsia="ko-KR" w:bidi="th-TH"/>
              </w:rPr>
              <w:t xml:space="preserve"> biomass-based limit reference point, and equivalent fishing intensity (F</w:t>
            </w:r>
            <w:r w:rsidRPr="0070772D">
              <w:rPr>
                <w:rFonts w:ascii="Times New Roman" w:eastAsia="바탕" w:hAnsi="Times New Roman"/>
                <w:i/>
                <w:vertAlign w:val="subscript"/>
                <w:lang w:eastAsia="ko-KR" w:bidi="th-TH"/>
              </w:rPr>
              <w:t>20%</w:t>
            </w:r>
            <w:r w:rsidRPr="009C2ADD">
              <w:rPr>
                <w:rFonts w:ascii="Times New Roman" w:eastAsia="바탕" w:hAnsi="Times New Roman"/>
                <w:lang w:eastAsia="ko-KR" w:bidi="th-TH"/>
              </w:rPr>
              <w:t>; calculated as 1-SPR</w:t>
            </w:r>
            <w:r w:rsidRPr="0070772D">
              <w:rPr>
                <w:rFonts w:ascii="Times New Roman" w:eastAsia="바탕" w:hAnsi="Times New Roman"/>
                <w:i/>
                <w:vertAlign w:val="subscript"/>
                <w:lang w:eastAsia="ko-KR" w:bidi="th-TH"/>
              </w:rPr>
              <w:t>20%</w:t>
            </w:r>
            <w:r w:rsidRPr="009C2ADD">
              <w:rPr>
                <w:rFonts w:ascii="Times New Roman" w:eastAsia="바탕" w:hAnsi="Times New Roman"/>
                <w:lang w:eastAsia="ko-KR" w:bidi="th-TH"/>
              </w:rPr>
              <w:t>) over the base case modelling period (1993-2015). Blue triangle indicates the start year (1993) and black circle with 95% confidence intervals indicates the terminal year (2015). (B) Kobe plot showing stock status and 95% confidence intervals in the terminal year (2015) of the base case model (black; closed circle) and important sensitivity runs with M = 0.3 y</w:t>
            </w:r>
            <w:r w:rsidRPr="009C2ADD">
              <w:rPr>
                <w:rFonts w:ascii="Times New Roman" w:eastAsia="바탕" w:hAnsi="Times New Roman"/>
                <w:vertAlign w:val="superscript"/>
                <w:lang w:eastAsia="ko-KR" w:bidi="th-TH"/>
              </w:rPr>
              <w:t>-1</w:t>
            </w:r>
            <w:r w:rsidRPr="009C2ADD">
              <w:rPr>
                <w:rFonts w:ascii="Times New Roman" w:eastAsia="바탕" w:hAnsi="Times New Roman"/>
                <w:lang w:eastAsia="ko-KR" w:bidi="th-TH"/>
              </w:rPr>
              <w:t xml:space="preserve"> for both sexes (blue; open square), and CV = 0.06 for L</w:t>
            </w:r>
            <w:r w:rsidRPr="00007081">
              <w:rPr>
                <w:rFonts w:ascii="Times New Roman" w:eastAsia="바탕" w:hAnsi="Times New Roman"/>
                <w:vertAlign w:val="subscript"/>
                <w:lang w:eastAsia="ko-KR" w:bidi="th-TH"/>
              </w:rPr>
              <w:t>inf</w:t>
            </w:r>
            <w:r w:rsidRPr="009C2ADD">
              <w:rPr>
                <w:rFonts w:ascii="Times New Roman" w:eastAsia="바탕" w:hAnsi="Times New Roman"/>
                <w:lang w:eastAsia="ko-KR" w:bidi="th-TH"/>
              </w:rPr>
              <w:t xml:space="preserve"> in the growth model (white; open triangle). Fs in this figure are not based on instantaneous fishing mortality. Instead, the Fs are indicators of fishing intensity based on SPR and calculated as 1-SPR so that the Fs reflect changes in fishing mortality. SPR is the equilibrium SSB per recruit that would result from the current year’s pattern and intensity of fishing mortality.</w:t>
            </w:r>
          </w:p>
        </w:tc>
      </w:tr>
    </w:tbl>
    <w:p w14:paraId="4F4CDE82" w14:textId="77777777" w:rsidR="00047EC8" w:rsidRDefault="00047EC8" w:rsidP="0014588F">
      <w:pPr>
        <w:adjustRightInd w:val="0"/>
        <w:snapToGrid w:val="0"/>
        <w:spacing w:after="0"/>
        <w:rPr>
          <w:rFonts w:ascii="Times New Roman" w:eastAsia="바탕" w:hAnsi="Times New Roman"/>
          <w:b/>
          <w:lang w:eastAsia="ko-KR"/>
        </w:rPr>
      </w:pPr>
    </w:p>
    <w:p w14:paraId="10F64645" w14:textId="77777777" w:rsidR="00047EC8" w:rsidRDefault="00047EC8" w:rsidP="00047EC8">
      <w:pPr>
        <w:autoSpaceDE w:val="0"/>
        <w:autoSpaceDN w:val="0"/>
        <w:adjustRightInd w:val="0"/>
        <w:snapToGrid w:val="0"/>
        <w:spacing w:after="0"/>
        <w:rPr>
          <w:rFonts w:ascii="Times New Roman" w:eastAsia="바탕" w:hAnsi="Times New Roman"/>
          <w:lang w:eastAsia="ko-KR" w:bidi="th-TH"/>
        </w:rPr>
      </w:pPr>
      <w:proofErr w:type="gramStart"/>
      <w:r w:rsidRPr="009C2ADD">
        <w:rPr>
          <w:rFonts w:ascii="Times New Roman" w:eastAsia="바탕" w:hAnsi="Times New Roman"/>
          <w:b/>
          <w:lang w:eastAsia="ko-KR" w:bidi="th-TH"/>
        </w:rPr>
        <w:t>Table NPALB-1</w:t>
      </w:r>
      <w:r w:rsidRPr="009C2ADD">
        <w:rPr>
          <w:rFonts w:ascii="Times New Roman" w:eastAsia="바탕" w:hAnsi="Times New Roman"/>
          <w:lang w:eastAsia="ko-KR" w:bidi="th-TH"/>
        </w:rPr>
        <w:t>.</w:t>
      </w:r>
      <w:proofErr w:type="gramEnd"/>
      <w:r w:rsidRPr="009C2ADD">
        <w:rPr>
          <w:rFonts w:ascii="Times New Roman" w:eastAsia="바탕" w:hAnsi="Times New Roman"/>
          <w:lang w:eastAsia="ko-KR" w:bidi="th-TH"/>
        </w:rPr>
        <w:t xml:space="preserve"> Estimates of maximum sustainable yield (MSY), female spawning biomass (SSB) quantities, and fishing intensity (F) based reference point ratios for north Pacific albacore tuna for the base case assessment and important sensitivity analyses. SSB</w:t>
      </w:r>
      <w:r w:rsidRPr="0070772D">
        <w:rPr>
          <w:rFonts w:ascii="Times New Roman" w:eastAsia="바탕" w:hAnsi="Times New Roman"/>
          <w:i/>
          <w:vertAlign w:val="subscript"/>
          <w:lang w:eastAsia="ko-KR" w:bidi="th-TH"/>
        </w:rPr>
        <w:t>0</w:t>
      </w:r>
      <w:r w:rsidRPr="009C2ADD">
        <w:rPr>
          <w:rFonts w:ascii="Times New Roman" w:eastAsia="바탕" w:hAnsi="Times New Roman"/>
          <w:lang w:eastAsia="ko-KR" w:bidi="th-TH"/>
        </w:rPr>
        <w:t xml:space="preserve"> and SSB</w:t>
      </w:r>
      <w:r w:rsidRPr="00104C78">
        <w:rPr>
          <w:rFonts w:ascii="Times New Roman" w:hAnsi="Times New Roman"/>
          <w:vertAlign w:val="subscript"/>
          <w:lang w:val="en-AU"/>
        </w:rPr>
        <w:t>MSY</w:t>
      </w:r>
      <w:r w:rsidRPr="009C2ADD">
        <w:rPr>
          <w:rFonts w:ascii="Times New Roman" w:eastAsia="바탕" w:hAnsi="Times New Roman"/>
          <w:lang w:eastAsia="ko-KR" w:bidi="th-TH"/>
        </w:rPr>
        <w:t xml:space="preserve"> are the unfished biomass of mature female fish and at MSY, respectively. The Fs in this table are not based on instantaneous fishing mortality. Instead, the Fs are indicators of fishing intensity based on SPR and calculated </w:t>
      </w:r>
      <w:r>
        <w:rPr>
          <w:rFonts w:ascii="Times New Roman" w:eastAsia="바탕" w:hAnsi="Times New Roman"/>
          <w:lang w:eastAsia="ko-KR" w:bidi="th-TH"/>
        </w:rPr>
        <w:t>as 1-SPR so that the Fs reflect</w:t>
      </w:r>
      <w:r w:rsidRPr="009C2ADD">
        <w:rPr>
          <w:rFonts w:ascii="Times New Roman" w:eastAsia="바탕" w:hAnsi="Times New Roman"/>
          <w:lang w:eastAsia="ko-KR" w:bidi="th-TH"/>
        </w:rPr>
        <w:t xml:space="preserve"> changes in fishing mortality. SPR is the equilibrium SSB per recruit that would result from the current year’s pattern and intensity of fishing mortality. Current fishing intensity is based on the average fishing intensity during 2012-2014 (F</w:t>
      </w:r>
      <w:r w:rsidRPr="00007081">
        <w:rPr>
          <w:rFonts w:ascii="Times New Roman" w:eastAsia="바탕" w:hAnsi="Times New Roman"/>
          <w:iCs/>
          <w:vertAlign w:val="subscript"/>
          <w:lang w:eastAsia="ko-KR" w:bidi="th-TH"/>
        </w:rPr>
        <w:t>2012-2014</w:t>
      </w:r>
      <w:r w:rsidRPr="009C2ADD">
        <w:rPr>
          <w:rFonts w:ascii="Times New Roman" w:eastAsia="바탕" w:hAnsi="Times New Roman"/>
          <w:lang w:eastAsia="ko-KR" w:bidi="th-TH"/>
        </w:rPr>
        <w:t>).</w:t>
      </w:r>
    </w:p>
    <w:tbl>
      <w:tblPr>
        <w:tblW w:w="0" w:type="auto"/>
        <w:jc w:val="center"/>
        <w:tblInd w:w="-2682" w:type="dxa"/>
        <w:tblLook w:val="04A0" w:firstRow="1" w:lastRow="0" w:firstColumn="1" w:lastColumn="0" w:noHBand="0" w:noVBand="1"/>
      </w:tblPr>
      <w:tblGrid>
        <w:gridCol w:w="3782"/>
        <w:gridCol w:w="1350"/>
        <w:gridCol w:w="1350"/>
        <w:gridCol w:w="1869"/>
      </w:tblGrid>
      <w:tr w:rsidR="00047EC8" w:rsidRPr="009C2ADD" w14:paraId="0485C717" w14:textId="77777777" w:rsidTr="0079145C">
        <w:trPr>
          <w:jc w:val="center"/>
        </w:trPr>
        <w:tc>
          <w:tcPr>
            <w:tcW w:w="3782" w:type="dxa"/>
            <w:tcBorders>
              <w:top w:val="single" w:sz="12" w:space="0" w:color="auto"/>
              <w:bottom w:val="single" w:sz="12" w:space="0" w:color="auto"/>
            </w:tcBorders>
            <w:shd w:val="clear" w:color="auto" w:fill="auto"/>
            <w:vAlign w:val="center"/>
          </w:tcPr>
          <w:p w14:paraId="3BB3B669"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Quantity</w:t>
            </w:r>
          </w:p>
        </w:tc>
        <w:tc>
          <w:tcPr>
            <w:tcW w:w="1350" w:type="dxa"/>
            <w:tcBorders>
              <w:top w:val="single" w:sz="12" w:space="0" w:color="auto"/>
              <w:bottom w:val="single" w:sz="12" w:space="0" w:color="auto"/>
            </w:tcBorders>
            <w:shd w:val="clear" w:color="auto" w:fill="auto"/>
            <w:vAlign w:val="center"/>
          </w:tcPr>
          <w:p w14:paraId="7869A272" w14:textId="77777777" w:rsidR="00047EC8" w:rsidRPr="009C2ADD" w:rsidRDefault="00047EC8"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Base Case</w:t>
            </w:r>
          </w:p>
        </w:tc>
        <w:tc>
          <w:tcPr>
            <w:tcW w:w="1350" w:type="dxa"/>
            <w:tcBorders>
              <w:top w:val="single" w:sz="12" w:space="0" w:color="auto"/>
              <w:bottom w:val="single" w:sz="12" w:space="0" w:color="auto"/>
            </w:tcBorders>
            <w:shd w:val="clear" w:color="auto" w:fill="auto"/>
            <w:vAlign w:val="center"/>
          </w:tcPr>
          <w:p w14:paraId="0789FA7C" w14:textId="77777777" w:rsidR="00047EC8" w:rsidRPr="009C2ADD" w:rsidRDefault="00047EC8"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M = 0.3 y</w:t>
            </w:r>
            <w:r w:rsidRPr="009C2ADD">
              <w:rPr>
                <w:rFonts w:ascii="Times New Roman" w:eastAsia="바탕" w:hAnsi="Times New Roman"/>
                <w:vertAlign w:val="superscript"/>
                <w:lang w:eastAsia="ko-KR" w:bidi="th-TH"/>
              </w:rPr>
              <w:t>-1</w:t>
            </w:r>
          </w:p>
        </w:tc>
        <w:tc>
          <w:tcPr>
            <w:tcW w:w="1869" w:type="dxa"/>
            <w:tcBorders>
              <w:top w:val="single" w:sz="12" w:space="0" w:color="auto"/>
              <w:bottom w:val="single" w:sz="12" w:space="0" w:color="auto"/>
            </w:tcBorders>
            <w:shd w:val="clear" w:color="auto" w:fill="auto"/>
            <w:vAlign w:val="center"/>
          </w:tcPr>
          <w:p w14:paraId="535B1F51" w14:textId="77777777" w:rsidR="00047EC8" w:rsidRPr="009C2ADD" w:rsidRDefault="00047EC8"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Growth</w:t>
            </w:r>
          </w:p>
          <w:p w14:paraId="69CD5013" w14:textId="77777777" w:rsidR="00047EC8" w:rsidRPr="009C2ADD" w:rsidRDefault="00047EC8"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 xml:space="preserve"> CV = 0.06 for L</w:t>
            </w:r>
            <w:r w:rsidRPr="009C2ADD">
              <w:rPr>
                <w:rFonts w:ascii="Times New Roman" w:eastAsia="바탕" w:hAnsi="Times New Roman"/>
                <w:vertAlign w:val="subscript"/>
                <w:lang w:eastAsia="ko-KR" w:bidi="th-TH"/>
              </w:rPr>
              <w:t>inf</w:t>
            </w:r>
            <w:r w:rsidRPr="009C2ADD">
              <w:rPr>
                <w:rFonts w:ascii="Times New Roman" w:eastAsia="바탕" w:hAnsi="Times New Roman"/>
                <w:lang w:eastAsia="ko-KR" w:bidi="th-TH"/>
              </w:rPr>
              <w:t xml:space="preserve"> </w:t>
            </w:r>
          </w:p>
        </w:tc>
      </w:tr>
      <w:tr w:rsidR="00047EC8" w:rsidRPr="009C2ADD" w14:paraId="4A83EF7A" w14:textId="77777777" w:rsidTr="0079145C">
        <w:trPr>
          <w:jc w:val="center"/>
        </w:trPr>
        <w:tc>
          <w:tcPr>
            <w:tcW w:w="3782" w:type="dxa"/>
            <w:tcBorders>
              <w:top w:val="single" w:sz="12" w:space="0" w:color="auto"/>
            </w:tcBorders>
            <w:shd w:val="clear" w:color="auto" w:fill="auto"/>
          </w:tcPr>
          <w:p w14:paraId="1B337D32"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 xml:space="preserve">MSY (t) </w:t>
            </w:r>
            <w:r w:rsidRPr="009C2ADD">
              <w:rPr>
                <w:rFonts w:ascii="Times New Roman" w:eastAsia="바탕" w:hAnsi="Times New Roman"/>
                <w:vertAlign w:val="superscript"/>
                <w:lang w:eastAsia="ko-KR" w:bidi="th-TH"/>
              </w:rPr>
              <w:t>A</w:t>
            </w:r>
          </w:p>
        </w:tc>
        <w:tc>
          <w:tcPr>
            <w:tcW w:w="1350" w:type="dxa"/>
            <w:tcBorders>
              <w:top w:val="single" w:sz="12" w:space="0" w:color="auto"/>
            </w:tcBorders>
            <w:shd w:val="clear" w:color="auto" w:fill="auto"/>
          </w:tcPr>
          <w:p w14:paraId="2156B7B7" w14:textId="77777777" w:rsidR="00047EC8" w:rsidRPr="009C2ADD" w:rsidRDefault="00047EC8"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132,072</w:t>
            </w:r>
          </w:p>
        </w:tc>
        <w:tc>
          <w:tcPr>
            <w:tcW w:w="1350" w:type="dxa"/>
            <w:tcBorders>
              <w:top w:val="single" w:sz="12" w:space="0" w:color="auto"/>
            </w:tcBorders>
            <w:shd w:val="clear" w:color="auto" w:fill="auto"/>
          </w:tcPr>
          <w:p w14:paraId="16D2A513"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92,027</w:t>
            </w:r>
          </w:p>
        </w:tc>
        <w:tc>
          <w:tcPr>
            <w:tcW w:w="1869" w:type="dxa"/>
            <w:tcBorders>
              <w:top w:val="single" w:sz="12" w:space="0" w:color="auto"/>
            </w:tcBorders>
            <w:shd w:val="clear" w:color="auto" w:fill="auto"/>
          </w:tcPr>
          <w:p w14:paraId="2A138938"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118,836</w:t>
            </w:r>
          </w:p>
        </w:tc>
      </w:tr>
      <w:tr w:rsidR="00047EC8" w:rsidRPr="009C2ADD" w14:paraId="03CCAF20" w14:textId="77777777" w:rsidTr="0079145C">
        <w:trPr>
          <w:jc w:val="center"/>
        </w:trPr>
        <w:tc>
          <w:tcPr>
            <w:tcW w:w="3782" w:type="dxa"/>
            <w:shd w:val="clear" w:color="auto" w:fill="auto"/>
          </w:tcPr>
          <w:p w14:paraId="4286F5C2"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MSY</w:t>
            </w:r>
            <w:r w:rsidRPr="009C2ADD">
              <w:rPr>
                <w:rFonts w:ascii="Times New Roman" w:eastAsia="바탕" w:hAnsi="Times New Roman"/>
                <w:lang w:eastAsia="ko-KR" w:bidi="th-TH"/>
              </w:rPr>
              <w:t xml:space="preserve"> (t)</w:t>
            </w:r>
            <w:r w:rsidRPr="009C2ADD">
              <w:rPr>
                <w:rFonts w:ascii="Times New Roman" w:eastAsia="바탕" w:hAnsi="Times New Roman"/>
                <w:vertAlign w:val="subscript"/>
                <w:lang w:eastAsia="ko-KR" w:bidi="th-TH"/>
              </w:rPr>
              <w:t xml:space="preserve"> </w:t>
            </w:r>
            <w:r w:rsidRPr="009C2ADD">
              <w:rPr>
                <w:rFonts w:ascii="Times New Roman" w:eastAsia="바탕" w:hAnsi="Times New Roman"/>
                <w:vertAlign w:val="superscript"/>
                <w:lang w:eastAsia="ko-KR" w:bidi="th-TH"/>
              </w:rPr>
              <w:t>B</w:t>
            </w:r>
          </w:p>
        </w:tc>
        <w:tc>
          <w:tcPr>
            <w:tcW w:w="1350" w:type="dxa"/>
            <w:shd w:val="clear" w:color="auto" w:fill="auto"/>
          </w:tcPr>
          <w:p w14:paraId="4E8EF688" w14:textId="77777777" w:rsidR="00047EC8" w:rsidRPr="009C2ADD" w:rsidRDefault="00047EC8"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24,770</w:t>
            </w:r>
          </w:p>
        </w:tc>
        <w:tc>
          <w:tcPr>
            <w:tcW w:w="1350" w:type="dxa"/>
            <w:shd w:val="clear" w:color="auto" w:fill="auto"/>
          </w:tcPr>
          <w:p w14:paraId="5D949E30"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42,098</w:t>
            </w:r>
          </w:p>
        </w:tc>
        <w:tc>
          <w:tcPr>
            <w:tcW w:w="1869" w:type="dxa"/>
            <w:shd w:val="clear" w:color="auto" w:fill="auto"/>
          </w:tcPr>
          <w:p w14:paraId="29858F06"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22,351</w:t>
            </w:r>
          </w:p>
        </w:tc>
      </w:tr>
      <w:tr w:rsidR="00047EC8" w:rsidRPr="009C2ADD" w14:paraId="72F5C592" w14:textId="77777777" w:rsidTr="0079145C">
        <w:trPr>
          <w:jc w:val="center"/>
        </w:trPr>
        <w:tc>
          <w:tcPr>
            <w:tcW w:w="3782" w:type="dxa"/>
            <w:shd w:val="clear" w:color="auto" w:fill="auto"/>
          </w:tcPr>
          <w:p w14:paraId="5E671F36" w14:textId="77777777" w:rsidR="00047EC8" w:rsidRPr="009C2ADD" w:rsidRDefault="00047EC8" w:rsidP="0079145C">
            <w:pPr>
              <w:adjustRightInd w:val="0"/>
              <w:snapToGrid w:val="0"/>
              <w:spacing w:after="0"/>
              <w:rPr>
                <w:rFonts w:ascii="Times New Roman" w:eastAsia="바탕" w:hAnsi="Times New Roman"/>
                <w:vertAlign w:val="subscript"/>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0</w:t>
            </w:r>
            <w:r w:rsidRPr="009C2ADD">
              <w:rPr>
                <w:rFonts w:ascii="Times New Roman" w:eastAsia="바탕" w:hAnsi="Times New Roman"/>
                <w:lang w:eastAsia="ko-KR" w:bidi="th-TH"/>
              </w:rPr>
              <w:t xml:space="preserve"> (t)</w:t>
            </w:r>
            <w:r w:rsidRPr="009C2ADD">
              <w:rPr>
                <w:rFonts w:ascii="Times New Roman" w:eastAsia="바탕" w:hAnsi="Times New Roman"/>
                <w:vertAlign w:val="subscript"/>
                <w:lang w:eastAsia="ko-KR" w:bidi="th-TH"/>
              </w:rPr>
              <w:t xml:space="preserve"> </w:t>
            </w:r>
            <w:r w:rsidRPr="009C2ADD">
              <w:rPr>
                <w:rFonts w:ascii="Times New Roman" w:eastAsia="바탕" w:hAnsi="Times New Roman"/>
                <w:vertAlign w:val="superscript"/>
                <w:lang w:eastAsia="ko-KR" w:bidi="th-TH"/>
              </w:rPr>
              <w:t>B</w:t>
            </w:r>
          </w:p>
        </w:tc>
        <w:tc>
          <w:tcPr>
            <w:tcW w:w="1350" w:type="dxa"/>
            <w:shd w:val="clear" w:color="auto" w:fill="auto"/>
          </w:tcPr>
          <w:p w14:paraId="35254A7C" w14:textId="77777777" w:rsidR="00047EC8" w:rsidRPr="009C2ADD" w:rsidRDefault="00047EC8"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171,869</w:t>
            </w:r>
          </w:p>
        </w:tc>
        <w:tc>
          <w:tcPr>
            <w:tcW w:w="1350" w:type="dxa"/>
            <w:shd w:val="clear" w:color="auto" w:fill="auto"/>
          </w:tcPr>
          <w:p w14:paraId="72A75827"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270,879</w:t>
            </w:r>
          </w:p>
        </w:tc>
        <w:tc>
          <w:tcPr>
            <w:tcW w:w="1869" w:type="dxa"/>
            <w:shd w:val="clear" w:color="auto" w:fill="auto"/>
          </w:tcPr>
          <w:p w14:paraId="18EDB998"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156,336</w:t>
            </w:r>
          </w:p>
        </w:tc>
      </w:tr>
      <w:tr w:rsidR="00047EC8" w:rsidRPr="009C2ADD" w14:paraId="6976A58C" w14:textId="77777777" w:rsidTr="0079145C">
        <w:trPr>
          <w:jc w:val="center"/>
        </w:trPr>
        <w:tc>
          <w:tcPr>
            <w:tcW w:w="3782" w:type="dxa"/>
            <w:shd w:val="clear" w:color="auto" w:fill="auto"/>
          </w:tcPr>
          <w:p w14:paraId="59A96B92"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2015</w:t>
            </w:r>
            <w:r w:rsidRPr="009C2ADD">
              <w:rPr>
                <w:rFonts w:ascii="Times New Roman" w:eastAsia="바탕" w:hAnsi="Times New Roman"/>
                <w:lang w:eastAsia="ko-KR" w:bidi="th-TH"/>
              </w:rPr>
              <w:t xml:space="preserve"> (t) </w:t>
            </w:r>
            <w:r w:rsidRPr="009C2ADD">
              <w:rPr>
                <w:rFonts w:ascii="Times New Roman" w:eastAsia="바탕" w:hAnsi="Times New Roman"/>
                <w:vertAlign w:val="superscript"/>
                <w:lang w:eastAsia="ko-KR" w:bidi="th-TH"/>
              </w:rPr>
              <w:t>B</w:t>
            </w:r>
          </w:p>
        </w:tc>
        <w:tc>
          <w:tcPr>
            <w:tcW w:w="1350" w:type="dxa"/>
            <w:shd w:val="clear" w:color="auto" w:fill="auto"/>
          </w:tcPr>
          <w:p w14:paraId="5390B1B4" w14:textId="77777777" w:rsidR="00047EC8" w:rsidRPr="009C2ADD" w:rsidRDefault="00047EC8"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80,618</w:t>
            </w:r>
          </w:p>
        </w:tc>
        <w:tc>
          <w:tcPr>
            <w:tcW w:w="1350" w:type="dxa"/>
            <w:shd w:val="clear" w:color="auto" w:fill="auto"/>
          </w:tcPr>
          <w:p w14:paraId="70FE3548"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68,169</w:t>
            </w:r>
          </w:p>
        </w:tc>
        <w:tc>
          <w:tcPr>
            <w:tcW w:w="1869" w:type="dxa"/>
            <w:shd w:val="clear" w:color="auto" w:fill="auto"/>
          </w:tcPr>
          <w:p w14:paraId="634F04C3"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63,719</w:t>
            </w:r>
          </w:p>
        </w:tc>
      </w:tr>
      <w:tr w:rsidR="00047EC8" w:rsidRPr="009C2ADD" w14:paraId="47D62502" w14:textId="77777777" w:rsidTr="0079145C">
        <w:trPr>
          <w:jc w:val="center"/>
        </w:trPr>
        <w:tc>
          <w:tcPr>
            <w:tcW w:w="3782" w:type="dxa"/>
            <w:shd w:val="clear" w:color="auto" w:fill="auto"/>
          </w:tcPr>
          <w:p w14:paraId="07B9DD9B"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2015</w:t>
            </w:r>
            <w:r w:rsidRPr="009C2ADD">
              <w:rPr>
                <w:rFonts w:ascii="Times New Roman" w:eastAsia="바탕" w:hAnsi="Times New Roman"/>
                <w:lang w:eastAsia="ko-KR" w:bidi="th-TH"/>
              </w:rPr>
              <w:t>/20%SSB</w:t>
            </w:r>
            <w:r w:rsidRPr="009C2ADD">
              <w:rPr>
                <w:rFonts w:ascii="Times New Roman" w:eastAsia="바탕" w:hAnsi="Times New Roman"/>
                <w:vertAlign w:val="subscript"/>
                <w:lang w:eastAsia="ko-KR" w:bidi="th-TH"/>
              </w:rPr>
              <w:t xml:space="preserve">current, F=0 </w:t>
            </w:r>
            <w:r w:rsidRPr="009C2ADD">
              <w:rPr>
                <w:rFonts w:ascii="Times New Roman" w:eastAsia="바탕" w:hAnsi="Times New Roman"/>
                <w:vertAlign w:val="superscript"/>
                <w:lang w:eastAsia="ko-KR" w:bidi="th-TH"/>
              </w:rPr>
              <w:t>B</w:t>
            </w:r>
          </w:p>
        </w:tc>
        <w:tc>
          <w:tcPr>
            <w:tcW w:w="1350" w:type="dxa"/>
            <w:shd w:val="clear" w:color="auto" w:fill="auto"/>
          </w:tcPr>
          <w:p w14:paraId="00772C73" w14:textId="77777777" w:rsidR="00047EC8" w:rsidRPr="009C2ADD" w:rsidRDefault="00047EC8"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2.47</w:t>
            </w:r>
          </w:p>
        </w:tc>
        <w:tc>
          <w:tcPr>
            <w:tcW w:w="1350" w:type="dxa"/>
            <w:shd w:val="clear" w:color="auto" w:fill="auto"/>
          </w:tcPr>
          <w:p w14:paraId="76F0E089"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1.31</w:t>
            </w:r>
          </w:p>
        </w:tc>
        <w:tc>
          <w:tcPr>
            <w:tcW w:w="1869" w:type="dxa"/>
            <w:shd w:val="clear" w:color="auto" w:fill="auto"/>
          </w:tcPr>
          <w:p w14:paraId="11E2E0C8"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2.15</w:t>
            </w:r>
          </w:p>
        </w:tc>
      </w:tr>
      <w:tr w:rsidR="00047EC8" w:rsidRPr="009C2ADD" w14:paraId="4372372E" w14:textId="77777777" w:rsidTr="0079145C">
        <w:trPr>
          <w:jc w:val="center"/>
        </w:trPr>
        <w:tc>
          <w:tcPr>
            <w:tcW w:w="3782" w:type="dxa"/>
            <w:shd w:val="clear" w:color="auto" w:fill="auto"/>
          </w:tcPr>
          <w:p w14:paraId="7D569B15"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p>
        </w:tc>
        <w:tc>
          <w:tcPr>
            <w:tcW w:w="1350" w:type="dxa"/>
            <w:shd w:val="clear" w:color="auto" w:fill="auto"/>
          </w:tcPr>
          <w:p w14:paraId="7E888144" w14:textId="77777777" w:rsidR="00047EC8" w:rsidRPr="009C2ADD" w:rsidRDefault="00047EC8" w:rsidP="0079145C">
            <w:pPr>
              <w:widowControl w:val="0"/>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0.51</w:t>
            </w:r>
          </w:p>
        </w:tc>
        <w:tc>
          <w:tcPr>
            <w:tcW w:w="1350" w:type="dxa"/>
            <w:shd w:val="clear" w:color="auto" w:fill="auto"/>
          </w:tcPr>
          <w:p w14:paraId="55D40BA8"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0.74</w:t>
            </w:r>
          </w:p>
        </w:tc>
        <w:tc>
          <w:tcPr>
            <w:tcW w:w="1869" w:type="dxa"/>
            <w:shd w:val="clear" w:color="auto" w:fill="auto"/>
          </w:tcPr>
          <w:p w14:paraId="42D012E8"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0.57</w:t>
            </w:r>
          </w:p>
        </w:tc>
      </w:tr>
      <w:tr w:rsidR="00047EC8" w:rsidRPr="009C2ADD" w14:paraId="1FDE65E7" w14:textId="77777777" w:rsidTr="0079145C">
        <w:trPr>
          <w:jc w:val="center"/>
        </w:trPr>
        <w:tc>
          <w:tcPr>
            <w:tcW w:w="3782" w:type="dxa"/>
            <w:shd w:val="clear" w:color="auto" w:fill="auto"/>
          </w:tcPr>
          <w:p w14:paraId="0FBBC4F1"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MSY</w:t>
            </w:r>
            <w:r w:rsidRPr="009C2ADD">
              <w:rPr>
                <w:rFonts w:ascii="Times New Roman" w:eastAsia="바탕" w:hAnsi="Times New Roman"/>
                <w:lang w:eastAsia="ko-KR" w:bidi="th-TH"/>
              </w:rPr>
              <w:t xml:space="preserve"> </w:t>
            </w:r>
          </w:p>
        </w:tc>
        <w:tc>
          <w:tcPr>
            <w:tcW w:w="1350" w:type="dxa"/>
            <w:shd w:val="clear" w:color="auto" w:fill="auto"/>
          </w:tcPr>
          <w:p w14:paraId="317F143D"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0.61</w:t>
            </w:r>
          </w:p>
        </w:tc>
        <w:tc>
          <w:tcPr>
            <w:tcW w:w="1350" w:type="dxa"/>
            <w:shd w:val="clear" w:color="auto" w:fill="auto"/>
          </w:tcPr>
          <w:p w14:paraId="733834F5"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0.89</w:t>
            </w:r>
          </w:p>
        </w:tc>
        <w:tc>
          <w:tcPr>
            <w:tcW w:w="1869" w:type="dxa"/>
            <w:shd w:val="clear" w:color="auto" w:fill="auto"/>
          </w:tcPr>
          <w:p w14:paraId="4E54A22D"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0.68</w:t>
            </w:r>
          </w:p>
        </w:tc>
      </w:tr>
      <w:tr w:rsidR="00047EC8" w:rsidRPr="009C2ADD" w14:paraId="25440EDD" w14:textId="77777777" w:rsidTr="0079145C">
        <w:trPr>
          <w:jc w:val="center"/>
        </w:trPr>
        <w:tc>
          <w:tcPr>
            <w:tcW w:w="3782" w:type="dxa"/>
            <w:shd w:val="clear" w:color="auto" w:fill="auto"/>
          </w:tcPr>
          <w:p w14:paraId="31F80252"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0.1</w:t>
            </w:r>
          </w:p>
        </w:tc>
        <w:tc>
          <w:tcPr>
            <w:tcW w:w="1350" w:type="dxa"/>
            <w:shd w:val="clear" w:color="auto" w:fill="auto"/>
          </w:tcPr>
          <w:p w14:paraId="127DCE7F"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0.58</w:t>
            </w:r>
          </w:p>
        </w:tc>
        <w:tc>
          <w:tcPr>
            <w:tcW w:w="1350" w:type="dxa"/>
            <w:shd w:val="clear" w:color="auto" w:fill="auto"/>
          </w:tcPr>
          <w:p w14:paraId="7F679548"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0.90</w:t>
            </w:r>
          </w:p>
        </w:tc>
        <w:tc>
          <w:tcPr>
            <w:tcW w:w="1869" w:type="dxa"/>
            <w:shd w:val="clear" w:color="auto" w:fill="auto"/>
          </w:tcPr>
          <w:p w14:paraId="43D6DF5F"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0.65</w:t>
            </w:r>
          </w:p>
        </w:tc>
      </w:tr>
      <w:tr w:rsidR="00047EC8" w:rsidRPr="009C2ADD" w14:paraId="5D44EE6C" w14:textId="77777777" w:rsidTr="0079145C">
        <w:trPr>
          <w:jc w:val="center"/>
        </w:trPr>
        <w:tc>
          <w:tcPr>
            <w:tcW w:w="3782" w:type="dxa"/>
            <w:shd w:val="clear" w:color="auto" w:fill="auto"/>
          </w:tcPr>
          <w:p w14:paraId="3EFAF579"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10%</w:t>
            </w:r>
          </w:p>
        </w:tc>
        <w:tc>
          <w:tcPr>
            <w:tcW w:w="1350" w:type="dxa"/>
            <w:shd w:val="clear" w:color="auto" w:fill="auto"/>
          </w:tcPr>
          <w:p w14:paraId="3CA7FDD8"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0.56</w:t>
            </w:r>
          </w:p>
        </w:tc>
        <w:tc>
          <w:tcPr>
            <w:tcW w:w="1350" w:type="dxa"/>
            <w:shd w:val="clear" w:color="auto" w:fill="auto"/>
          </w:tcPr>
          <w:p w14:paraId="13C22DF9"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0.81</w:t>
            </w:r>
          </w:p>
        </w:tc>
        <w:tc>
          <w:tcPr>
            <w:tcW w:w="1869" w:type="dxa"/>
            <w:shd w:val="clear" w:color="auto" w:fill="auto"/>
          </w:tcPr>
          <w:p w14:paraId="1B6A6F84"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0.63</w:t>
            </w:r>
          </w:p>
        </w:tc>
      </w:tr>
      <w:tr w:rsidR="00047EC8" w:rsidRPr="009C2ADD" w14:paraId="3D0051C3" w14:textId="77777777" w:rsidTr="0079145C">
        <w:trPr>
          <w:jc w:val="center"/>
        </w:trPr>
        <w:tc>
          <w:tcPr>
            <w:tcW w:w="3782" w:type="dxa"/>
            <w:shd w:val="clear" w:color="auto" w:fill="auto"/>
          </w:tcPr>
          <w:p w14:paraId="387B8C69"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w:t>
            </w:r>
          </w:p>
        </w:tc>
        <w:tc>
          <w:tcPr>
            <w:tcW w:w="1350" w:type="dxa"/>
            <w:shd w:val="clear" w:color="auto" w:fill="auto"/>
          </w:tcPr>
          <w:p w14:paraId="76C6768D"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0.63</w:t>
            </w:r>
          </w:p>
        </w:tc>
        <w:tc>
          <w:tcPr>
            <w:tcW w:w="1350" w:type="dxa"/>
            <w:shd w:val="clear" w:color="auto" w:fill="auto"/>
          </w:tcPr>
          <w:p w14:paraId="36BEFA55"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0.91</w:t>
            </w:r>
          </w:p>
        </w:tc>
        <w:tc>
          <w:tcPr>
            <w:tcW w:w="1869" w:type="dxa"/>
            <w:shd w:val="clear" w:color="auto" w:fill="auto"/>
          </w:tcPr>
          <w:p w14:paraId="57965323"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0.71</w:t>
            </w:r>
          </w:p>
        </w:tc>
      </w:tr>
      <w:tr w:rsidR="00047EC8" w:rsidRPr="009C2ADD" w14:paraId="7ED895BA" w14:textId="77777777" w:rsidTr="0079145C">
        <w:trPr>
          <w:jc w:val="center"/>
        </w:trPr>
        <w:tc>
          <w:tcPr>
            <w:tcW w:w="3782" w:type="dxa"/>
            <w:shd w:val="clear" w:color="auto" w:fill="auto"/>
          </w:tcPr>
          <w:p w14:paraId="504D7CD5"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30%</w:t>
            </w:r>
          </w:p>
        </w:tc>
        <w:tc>
          <w:tcPr>
            <w:tcW w:w="1350" w:type="dxa"/>
            <w:shd w:val="clear" w:color="auto" w:fill="auto"/>
          </w:tcPr>
          <w:p w14:paraId="47BACCCC"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0.72</w:t>
            </w:r>
          </w:p>
        </w:tc>
        <w:tc>
          <w:tcPr>
            <w:tcW w:w="1350" w:type="dxa"/>
            <w:shd w:val="clear" w:color="auto" w:fill="auto"/>
          </w:tcPr>
          <w:p w14:paraId="644F8AA5"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1.04</w:t>
            </w:r>
          </w:p>
        </w:tc>
        <w:tc>
          <w:tcPr>
            <w:tcW w:w="1869" w:type="dxa"/>
            <w:shd w:val="clear" w:color="auto" w:fill="auto"/>
          </w:tcPr>
          <w:p w14:paraId="5A86C24B"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0.81</w:t>
            </w:r>
          </w:p>
        </w:tc>
      </w:tr>
      <w:tr w:rsidR="00047EC8" w:rsidRPr="009C2ADD" w14:paraId="121EA2A6" w14:textId="77777777" w:rsidTr="0079145C">
        <w:trPr>
          <w:jc w:val="center"/>
        </w:trPr>
        <w:tc>
          <w:tcPr>
            <w:tcW w:w="3782" w:type="dxa"/>
            <w:shd w:val="clear" w:color="auto" w:fill="auto"/>
          </w:tcPr>
          <w:p w14:paraId="55F502A5"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40%</w:t>
            </w:r>
          </w:p>
        </w:tc>
        <w:tc>
          <w:tcPr>
            <w:tcW w:w="1350" w:type="dxa"/>
            <w:shd w:val="clear" w:color="auto" w:fill="auto"/>
          </w:tcPr>
          <w:p w14:paraId="33735A5F"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0.85</w:t>
            </w:r>
          </w:p>
        </w:tc>
        <w:tc>
          <w:tcPr>
            <w:tcW w:w="1350" w:type="dxa"/>
            <w:shd w:val="clear" w:color="auto" w:fill="auto"/>
          </w:tcPr>
          <w:p w14:paraId="6B5EAD99"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1.21</w:t>
            </w:r>
          </w:p>
        </w:tc>
        <w:tc>
          <w:tcPr>
            <w:tcW w:w="1869" w:type="dxa"/>
            <w:shd w:val="clear" w:color="auto" w:fill="auto"/>
          </w:tcPr>
          <w:p w14:paraId="2A36C48A"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0.96</w:t>
            </w:r>
          </w:p>
        </w:tc>
      </w:tr>
      <w:tr w:rsidR="00047EC8" w:rsidRPr="009C2ADD" w14:paraId="1B14803A" w14:textId="77777777" w:rsidTr="0079145C">
        <w:trPr>
          <w:jc w:val="center"/>
        </w:trPr>
        <w:tc>
          <w:tcPr>
            <w:tcW w:w="3782" w:type="dxa"/>
            <w:tcBorders>
              <w:bottom w:val="single" w:sz="12" w:space="0" w:color="auto"/>
            </w:tcBorders>
            <w:shd w:val="clear" w:color="auto" w:fill="auto"/>
          </w:tcPr>
          <w:p w14:paraId="3C527CD7"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50%</w:t>
            </w:r>
          </w:p>
        </w:tc>
        <w:tc>
          <w:tcPr>
            <w:tcW w:w="1350" w:type="dxa"/>
            <w:tcBorders>
              <w:bottom w:val="single" w:sz="12" w:space="0" w:color="auto"/>
            </w:tcBorders>
            <w:shd w:val="clear" w:color="auto" w:fill="auto"/>
          </w:tcPr>
          <w:p w14:paraId="438C2955" w14:textId="77777777" w:rsidR="00047EC8" w:rsidRPr="009C2ADD" w:rsidRDefault="00047EC8"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1.01</w:t>
            </w:r>
          </w:p>
        </w:tc>
        <w:tc>
          <w:tcPr>
            <w:tcW w:w="1350" w:type="dxa"/>
            <w:tcBorders>
              <w:bottom w:val="single" w:sz="12" w:space="0" w:color="auto"/>
            </w:tcBorders>
            <w:shd w:val="clear" w:color="auto" w:fill="auto"/>
          </w:tcPr>
          <w:p w14:paraId="731A8AED" w14:textId="77777777" w:rsidR="00047EC8" w:rsidRPr="009C2ADD" w:rsidRDefault="00047EC8"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1.47</w:t>
            </w:r>
          </w:p>
        </w:tc>
        <w:tc>
          <w:tcPr>
            <w:tcW w:w="1869" w:type="dxa"/>
            <w:tcBorders>
              <w:bottom w:val="single" w:sz="12" w:space="0" w:color="auto"/>
            </w:tcBorders>
            <w:shd w:val="clear" w:color="auto" w:fill="auto"/>
          </w:tcPr>
          <w:p w14:paraId="5C509943" w14:textId="77777777" w:rsidR="00047EC8" w:rsidRPr="009C2ADD" w:rsidRDefault="00047EC8"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1.16</w:t>
            </w:r>
          </w:p>
        </w:tc>
      </w:tr>
      <w:tr w:rsidR="00047EC8" w:rsidRPr="009C2ADD" w14:paraId="1B2EFCA3" w14:textId="77777777" w:rsidTr="0079145C">
        <w:trPr>
          <w:jc w:val="center"/>
        </w:trPr>
        <w:tc>
          <w:tcPr>
            <w:tcW w:w="8351" w:type="dxa"/>
            <w:gridSpan w:val="4"/>
            <w:tcBorders>
              <w:top w:val="single" w:sz="12" w:space="0" w:color="auto"/>
            </w:tcBorders>
            <w:shd w:val="clear" w:color="auto" w:fill="auto"/>
          </w:tcPr>
          <w:p w14:paraId="7C87DF39"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 xml:space="preserve">A – MSY includes male and female juvenile and adult fish </w:t>
            </w:r>
          </w:p>
          <w:p w14:paraId="038B89B8" w14:textId="77777777" w:rsidR="00047EC8" w:rsidRPr="009C2ADD" w:rsidRDefault="00047EC8"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B – Spawning stock biomass (SSB) in this assessment refers to mature female biomass only.</w:t>
            </w:r>
          </w:p>
        </w:tc>
      </w:tr>
    </w:tbl>
    <w:p w14:paraId="347BEB15" w14:textId="77777777" w:rsidR="00047EC8" w:rsidRPr="009C2ADD" w:rsidRDefault="00047EC8" w:rsidP="0014588F">
      <w:pPr>
        <w:adjustRightInd w:val="0"/>
        <w:snapToGrid w:val="0"/>
        <w:spacing w:after="0"/>
        <w:rPr>
          <w:rFonts w:ascii="Times New Roman" w:eastAsia="바탕" w:hAnsi="Times New Roman"/>
          <w:b/>
          <w:lang w:eastAsia="ko-KR"/>
        </w:rPr>
      </w:pPr>
    </w:p>
    <w:p w14:paraId="4FFE791E" w14:textId="77777777" w:rsidR="0014588F" w:rsidRPr="009C2ADD" w:rsidRDefault="0014588F" w:rsidP="0014588F">
      <w:pPr>
        <w:pStyle w:val="ListParagraph"/>
        <w:numPr>
          <w:ilvl w:val="0"/>
          <w:numId w:val="26"/>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 xml:space="preserve">Management advice and implications </w:t>
      </w:r>
    </w:p>
    <w:p w14:paraId="707940D9" w14:textId="77777777" w:rsidR="0014588F" w:rsidRPr="009C2ADD" w:rsidRDefault="0014588F" w:rsidP="0014588F">
      <w:pPr>
        <w:adjustRightInd w:val="0"/>
        <w:snapToGrid w:val="0"/>
        <w:spacing w:after="0"/>
        <w:rPr>
          <w:rFonts w:ascii="Times New Roman" w:eastAsia="맑은 고딕" w:hAnsi="Times New Roman"/>
          <w:lang w:eastAsia="ko-KR"/>
        </w:rPr>
      </w:pPr>
    </w:p>
    <w:p w14:paraId="76B9B393" w14:textId="77777777" w:rsidR="0014588F" w:rsidRPr="00007081" w:rsidRDefault="0014588F" w:rsidP="0014588F">
      <w:pPr>
        <w:numPr>
          <w:ilvl w:val="0"/>
          <w:numId w:val="1"/>
        </w:numPr>
        <w:autoSpaceDE w:val="0"/>
        <w:autoSpaceDN w:val="0"/>
        <w:adjustRightInd w:val="0"/>
        <w:snapToGrid w:val="0"/>
        <w:spacing w:after="0"/>
        <w:ind w:left="0" w:firstLine="0"/>
        <w:rPr>
          <w:rFonts w:ascii="Times New Roman" w:hAnsi="Times New Roman"/>
          <w:b/>
          <w:bCs/>
          <w:lang w:val="en-AU"/>
        </w:rPr>
      </w:pPr>
      <w:r w:rsidRPr="00007081">
        <w:rPr>
          <w:rFonts w:ascii="Times New Roman" w:hAnsi="Times New Roman"/>
          <w:b/>
          <w:bCs/>
          <w:lang w:val="en-AU"/>
        </w:rPr>
        <w:t>SC13 noted the following conservation information from the ISC.</w:t>
      </w:r>
    </w:p>
    <w:p w14:paraId="4D2AFA13"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5B24B48D" w14:textId="665882E8" w:rsidR="00047EC8" w:rsidRPr="000B0D15" w:rsidRDefault="00047EC8" w:rsidP="00047EC8">
      <w:pPr>
        <w:numPr>
          <w:ilvl w:val="0"/>
          <w:numId w:val="1"/>
        </w:numPr>
        <w:autoSpaceDE w:val="0"/>
        <w:autoSpaceDN w:val="0"/>
        <w:adjustRightInd w:val="0"/>
        <w:snapToGrid w:val="0"/>
        <w:spacing w:after="0"/>
        <w:ind w:left="0" w:firstLine="0"/>
        <w:rPr>
          <w:rFonts w:ascii="Times New Roman" w:hAnsi="Times New Roman"/>
          <w:lang w:eastAsia="ko-KR"/>
        </w:rPr>
      </w:pPr>
      <w:r w:rsidRPr="000B0D15">
        <w:rPr>
          <w:rFonts w:ascii="Times New Roman" w:hAnsi="Times New Roman"/>
        </w:rPr>
        <w:t>Two harvest scenarios were projected to evaluate impacts on future female SSB: F at the 2012-2014 rate over 10 years (F</w:t>
      </w:r>
      <w:r w:rsidRPr="000B0D15">
        <w:rPr>
          <w:rFonts w:ascii="Times New Roman" w:hAnsi="Times New Roman"/>
          <w:vertAlign w:val="subscript"/>
        </w:rPr>
        <w:t>2012-2014</w:t>
      </w:r>
      <w:r w:rsidRPr="000B0D15">
        <w:rPr>
          <w:rFonts w:ascii="Times New Roman" w:hAnsi="Times New Roman"/>
        </w:rPr>
        <w:t>) and constant catch</w:t>
      </w:r>
      <w:r w:rsidRPr="00047EC8">
        <w:rPr>
          <w:rStyle w:val="FootnoteReference"/>
          <w:rFonts w:ascii="Times New Roman" w:hAnsi="Times New Roman"/>
        </w:rPr>
        <w:footnoteReference w:id="1"/>
      </w:r>
      <w:r w:rsidRPr="000B0D15">
        <w:rPr>
          <w:rFonts w:ascii="Times New Roman" w:hAnsi="Times New Roman"/>
        </w:rPr>
        <w:t xml:space="preserve"> (average of 2010-2014 = 82,432 </w:t>
      </w:r>
      <w:r w:rsidRPr="000B0D15">
        <w:rPr>
          <w:rFonts w:ascii="Times New Roman" w:eastAsia="맑은 고딕" w:hAnsi="Times New Roman" w:hint="eastAsia"/>
          <w:lang w:eastAsia="ko-KR"/>
        </w:rPr>
        <w:t>m</w:t>
      </w:r>
      <w:r w:rsidRPr="000B0D15">
        <w:rPr>
          <w:rFonts w:ascii="Times New Roman" w:hAnsi="Times New Roman"/>
        </w:rPr>
        <w:t xml:space="preserve">t) over 10 years. Median female SSB is expected to decline to 63,483 </w:t>
      </w:r>
      <w:r w:rsidRPr="000B0D15">
        <w:rPr>
          <w:rFonts w:ascii="Times New Roman" w:eastAsia="맑은 고딕" w:hAnsi="Times New Roman" w:hint="eastAsia"/>
          <w:lang w:eastAsia="ko-KR"/>
        </w:rPr>
        <w:t>m</w:t>
      </w:r>
      <w:r w:rsidRPr="000B0D15">
        <w:rPr>
          <w:rFonts w:ascii="Times New Roman" w:hAnsi="Times New Roman"/>
        </w:rPr>
        <w:t xml:space="preserve">t (95% CI: 36,046 - 90,921 </w:t>
      </w:r>
      <w:r w:rsidRPr="000B0D15">
        <w:rPr>
          <w:rFonts w:ascii="Times New Roman" w:eastAsia="맑은 고딕" w:hAnsi="Times New Roman" w:hint="eastAsia"/>
          <w:lang w:eastAsia="ko-KR"/>
        </w:rPr>
        <w:t>m</w:t>
      </w:r>
      <w:r w:rsidRPr="000B0D15">
        <w:rPr>
          <w:rFonts w:ascii="Times New Roman" w:hAnsi="Times New Roman"/>
        </w:rPr>
        <w:t>t) by 2025, with a 0.2 and &lt;0.01 % probability of being below the LRP by 2020 and 2025, respectively, if fishing intensity remains at the 2012-2014 level</w:t>
      </w:r>
      <w:r w:rsidRPr="00047EC8">
        <w:rPr>
          <w:rStyle w:val="FootnoteReference"/>
          <w:rFonts w:ascii="Times New Roman" w:hAnsi="Times New Roman"/>
        </w:rPr>
        <w:footnoteReference w:id="2"/>
      </w:r>
      <w:r w:rsidRPr="000B0D15">
        <w:rPr>
          <w:rFonts w:ascii="Times New Roman" w:hAnsi="Times New Roman"/>
        </w:rPr>
        <w:t xml:space="preserve"> (Figure </w:t>
      </w:r>
      <w:r w:rsidRPr="000B0D15">
        <w:rPr>
          <w:rFonts w:ascii="Times New Roman" w:eastAsia="맑은 고딕" w:hAnsi="Times New Roman" w:hint="eastAsia"/>
          <w:lang w:eastAsia="ko-KR"/>
        </w:rPr>
        <w:t>NPALB-2</w:t>
      </w:r>
      <w:r w:rsidRPr="000B0D15">
        <w:rPr>
          <w:rFonts w:ascii="Times New Roman" w:hAnsi="Times New Roman"/>
        </w:rPr>
        <w:t xml:space="preserve">). In contrast, employing the constant catch harvest scenario is expected to reduce female SSB to 47,591 t (95% CI: 5,223 - 89,958 t) by 2025 and increases the probability that female SSB will be below the LRP to about 3.5 and 30 % in 2020 and 2025, respectively (Figure </w:t>
      </w:r>
      <w:r w:rsidRPr="000B0D15">
        <w:rPr>
          <w:rFonts w:ascii="Times New Roman" w:eastAsia="맑은 고딕" w:hAnsi="Times New Roman" w:hint="eastAsia"/>
          <w:lang w:eastAsia="ko-KR"/>
        </w:rPr>
        <w:t>NPALB-3</w:t>
      </w:r>
      <w:r w:rsidRPr="000B0D15">
        <w:rPr>
          <w:rFonts w:ascii="Times New Roman" w:hAnsi="Times New Roman"/>
        </w:rPr>
        <w:t xml:space="preserve">). In addition, as biomass declines during the projection period the fishing intensity approximately doubles by 2025. The probabilities of declining below the LRP in both harvest scenarios are likely higher in the future because projection results did not capture the full envelope of uncertainty. The ALBWG notes that the lack of sex-specific size data, uncertainty in growth and natural mortality, and the simplified treatment of the spatial structure of </w:t>
      </w:r>
      <w:r w:rsidRPr="000B0D15">
        <w:rPr>
          <w:rFonts w:ascii="Times New Roman" w:eastAsia="맑은 고딕" w:hAnsi="Times New Roman" w:hint="eastAsia"/>
          <w:lang w:eastAsia="ko-KR"/>
        </w:rPr>
        <w:t>N</w:t>
      </w:r>
      <w:r w:rsidRPr="000B0D15">
        <w:rPr>
          <w:rFonts w:ascii="Times New Roman" w:hAnsi="Times New Roman"/>
        </w:rPr>
        <w:t>orth Pacific albacore population dynamics are important sources of uncertainty in the assessment.</w:t>
      </w:r>
      <w:r w:rsidR="000B0D15" w:rsidRPr="000B0D15">
        <w:rPr>
          <w:rFonts w:ascii="Times New Roman" w:hAnsi="Times New Roman"/>
        </w:rPr>
        <w:t xml:space="preserve"> </w:t>
      </w:r>
      <w:r w:rsidRPr="000B0D15">
        <w:rPr>
          <w:rFonts w:ascii="Times New Roman" w:hAnsi="Times New Roman"/>
        </w:rPr>
        <w:t>Based on these findings, the following information is provided:</w:t>
      </w:r>
    </w:p>
    <w:p w14:paraId="2A2F5E9D" w14:textId="77777777" w:rsidR="00047EC8" w:rsidRPr="00047EC8" w:rsidRDefault="00047EC8" w:rsidP="00047EC8">
      <w:pPr>
        <w:pStyle w:val="Default"/>
        <w:numPr>
          <w:ilvl w:val="0"/>
          <w:numId w:val="198"/>
        </w:numPr>
        <w:adjustRightInd w:val="0"/>
        <w:snapToGrid w:val="0"/>
        <w:jc w:val="left"/>
        <w:rPr>
          <w:rFonts w:ascii="Times New Roman" w:hAnsi="Times New Roman" w:cs="Times New Roman"/>
          <w:sz w:val="22"/>
          <w:szCs w:val="22"/>
        </w:rPr>
      </w:pPr>
      <w:r w:rsidRPr="00047EC8">
        <w:rPr>
          <w:rFonts w:ascii="Times New Roman" w:hAnsi="Times New Roman" w:cs="Times New Roman"/>
          <w:sz w:val="22"/>
          <w:szCs w:val="22"/>
        </w:rPr>
        <w:t>If a constant fishing intensity (F</w:t>
      </w:r>
      <w:r w:rsidRPr="00047EC8">
        <w:rPr>
          <w:rFonts w:ascii="Times New Roman" w:hAnsi="Times New Roman" w:cs="Times New Roman"/>
          <w:sz w:val="22"/>
          <w:szCs w:val="22"/>
          <w:vertAlign w:val="subscript"/>
        </w:rPr>
        <w:t>2012-2014</w:t>
      </w:r>
      <w:r w:rsidRPr="00047EC8">
        <w:rPr>
          <w:rFonts w:ascii="Times New Roman" w:hAnsi="Times New Roman" w:cs="Times New Roman"/>
          <w:sz w:val="22"/>
          <w:szCs w:val="22"/>
        </w:rPr>
        <w:t xml:space="preserve">) is applied to the stock, then median female spawning biomass is expected to undergo a moderate decline, with a &lt; 0.01% probability of falling below the limit reference point established by the WCPFC by 2025. However, expected catches in this scenario will be below the recent average catch level for this stock. </w:t>
      </w:r>
    </w:p>
    <w:p w14:paraId="764D7B42" w14:textId="77777777" w:rsidR="00047EC8" w:rsidRPr="00047EC8" w:rsidRDefault="00047EC8" w:rsidP="00047EC8">
      <w:pPr>
        <w:pStyle w:val="ListParagraph"/>
        <w:numPr>
          <w:ilvl w:val="0"/>
          <w:numId w:val="198"/>
        </w:numPr>
        <w:adjustRightInd w:val="0"/>
        <w:snapToGrid w:val="0"/>
        <w:rPr>
          <w:rFonts w:ascii="Times New Roman" w:eastAsia="맑은 고딕" w:hAnsi="Times New Roman"/>
          <w:lang w:eastAsia="ko-KR"/>
        </w:rPr>
      </w:pPr>
      <w:r w:rsidRPr="00047EC8">
        <w:rPr>
          <w:rFonts w:ascii="Times New Roman" w:hAnsi="Times New Roman"/>
        </w:rPr>
        <w:t>If a constant average catch (C</w:t>
      </w:r>
      <w:r w:rsidRPr="00047EC8">
        <w:rPr>
          <w:rFonts w:ascii="Times New Roman" w:hAnsi="Times New Roman"/>
          <w:vertAlign w:val="subscript"/>
        </w:rPr>
        <w:t>2010-2014</w:t>
      </w:r>
      <w:r w:rsidRPr="00047EC8">
        <w:rPr>
          <w:rFonts w:ascii="Times New Roman" w:hAnsi="Times New Roman"/>
        </w:rPr>
        <w:t xml:space="preserve"> = 82,432 </w:t>
      </w:r>
      <w:r w:rsidRPr="00047EC8">
        <w:rPr>
          <w:rFonts w:ascii="Times New Roman" w:eastAsia="맑은 고딕" w:hAnsi="Times New Roman" w:hint="eastAsia"/>
          <w:lang w:eastAsia="ko-KR"/>
        </w:rPr>
        <w:t>m</w:t>
      </w:r>
      <w:r w:rsidRPr="00047EC8">
        <w:rPr>
          <w:rFonts w:ascii="Times New Roman" w:hAnsi="Times New Roman"/>
        </w:rPr>
        <w:t>t) is removed from the stock in the future, then the decline in median female spawning biomass will be greater than in the constant F intensity scenario and the probability that SSB falls below the LRP will be greater by 2025 (30%). Additionally, the estimated fishing intensity will double relative to the current level (F</w:t>
      </w:r>
      <w:r w:rsidRPr="00047EC8">
        <w:rPr>
          <w:rFonts w:ascii="Times New Roman" w:hAnsi="Times New Roman"/>
          <w:vertAlign w:val="subscript"/>
        </w:rPr>
        <w:t>2012-2014</w:t>
      </w:r>
      <w:r w:rsidRPr="00047EC8">
        <w:rPr>
          <w:rFonts w:ascii="Times New Roman" w:hAnsi="Times New Roman"/>
        </w:rPr>
        <w:t>) by 2025 as spawning biomass declines.</w:t>
      </w:r>
    </w:p>
    <w:p w14:paraId="157E8518" w14:textId="77777777" w:rsidR="00047EC8" w:rsidRPr="00047EC8" w:rsidRDefault="00047EC8" w:rsidP="00047EC8">
      <w:pPr>
        <w:autoSpaceDE w:val="0"/>
        <w:autoSpaceDN w:val="0"/>
        <w:adjustRightInd w:val="0"/>
        <w:snapToGrid w:val="0"/>
        <w:spacing w:after="0"/>
        <w:rPr>
          <w:rFonts w:ascii="Times New Roman" w:hAnsi="Times New Roman"/>
          <w:lang w:val="en-AU" w:eastAsia="ko-KR"/>
        </w:rPr>
      </w:pPr>
    </w:p>
    <w:p w14:paraId="31C4B5C6" w14:textId="77777777" w:rsidR="00047EC8" w:rsidRDefault="00047EC8" w:rsidP="000B0D15">
      <w:pPr>
        <w:autoSpaceDE w:val="0"/>
        <w:autoSpaceDN w:val="0"/>
        <w:adjustRightInd w:val="0"/>
        <w:snapToGrid w:val="0"/>
        <w:spacing w:after="0"/>
        <w:jc w:val="center"/>
        <w:rPr>
          <w:rFonts w:ascii="Times New Roman" w:hAnsi="Times New Roman"/>
          <w:lang w:val="en-AU" w:eastAsia="ko-KR"/>
        </w:rPr>
      </w:pPr>
      <w:r>
        <w:rPr>
          <w:rFonts w:ascii="Times New Roman" w:hAnsi="Times New Roman" w:hint="eastAsia"/>
          <w:noProof/>
          <w:lang w:val="en-US" w:eastAsia="ko-KR"/>
        </w:rPr>
        <w:drawing>
          <wp:inline distT="0" distB="0" distL="0" distR="0" wp14:anchorId="20D3ED9C" wp14:editId="53075BE7">
            <wp:extent cx="3815255" cy="2558177"/>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2.jpg"/>
                    <pic:cNvPicPr/>
                  </pic:nvPicPr>
                  <pic:blipFill>
                    <a:blip r:embed="rId41">
                      <a:extLst>
                        <a:ext uri="{28A0092B-C50C-407E-A947-70E740481C1C}">
                          <a14:useLocalDpi xmlns:a14="http://schemas.microsoft.com/office/drawing/2010/main" val="0"/>
                        </a:ext>
                      </a:extLst>
                    </a:blip>
                    <a:stretch>
                      <a:fillRect/>
                    </a:stretch>
                  </pic:blipFill>
                  <pic:spPr>
                    <a:xfrm>
                      <a:off x="0" y="0"/>
                      <a:ext cx="3815255" cy="2558177"/>
                    </a:xfrm>
                    <a:prstGeom prst="rect">
                      <a:avLst/>
                    </a:prstGeom>
                  </pic:spPr>
                </pic:pic>
              </a:graphicData>
            </a:graphic>
          </wp:inline>
        </w:drawing>
      </w:r>
    </w:p>
    <w:p w14:paraId="627E2E6A" w14:textId="77777777" w:rsidR="00047EC8" w:rsidRDefault="00047EC8" w:rsidP="00047EC8">
      <w:pPr>
        <w:autoSpaceDE w:val="0"/>
        <w:autoSpaceDN w:val="0"/>
        <w:adjustRightInd w:val="0"/>
        <w:snapToGrid w:val="0"/>
        <w:spacing w:after="0"/>
        <w:rPr>
          <w:rFonts w:ascii="Times New Roman" w:hAnsi="Times New Roman"/>
          <w:lang w:eastAsia="ko-KR"/>
        </w:rPr>
      </w:pPr>
      <w:r w:rsidRPr="00AE4455">
        <w:rPr>
          <w:rFonts w:ascii="Times New Roman" w:hAnsi="Times New Roman"/>
          <w:b/>
          <w:bCs/>
        </w:rPr>
        <w:t>Figure</w:t>
      </w:r>
      <w:r w:rsidRPr="00AE4455">
        <w:rPr>
          <w:rFonts w:ascii="Times New Roman" w:eastAsia="맑은 고딕" w:hAnsi="Times New Roman" w:hint="eastAsia"/>
          <w:b/>
          <w:bCs/>
          <w:lang w:eastAsia="ko-KR"/>
        </w:rPr>
        <w:t xml:space="preserve"> NPALB-2</w:t>
      </w:r>
      <w:r w:rsidRPr="00AE4455">
        <w:rPr>
          <w:rFonts w:ascii="Times New Roman" w:hAnsi="Times New Roman"/>
          <w:b/>
          <w:bCs/>
        </w:rPr>
        <w:t>.</w:t>
      </w:r>
      <w:r w:rsidRPr="00AE4455">
        <w:rPr>
          <w:rFonts w:ascii="Times New Roman" w:hAnsi="Times New Roman"/>
        </w:rPr>
        <w:t xml:space="preserve"> (A) Historical and future trajectory of </w:t>
      </w:r>
      <w:r>
        <w:rPr>
          <w:rFonts w:ascii="Times New Roman" w:eastAsia="맑은 고딕" w:hAnsi="Times New Roman" w:hint="eastAsia"/>
          <w:lang w:eastAsia="ko-KR"/>
        </w:rPr>
        <w:t>N</w:t>
      </w:r>
      <w:r w:rsidRPr="00AE4455">
        <w:rPr>
          <w:rFonts w:ascii="Times New Roman" w:hAnsi="Times New Roman"/>
        </w:rPr>
        <w:t>orth Pacific albacore (</w:t>
      </w:r>
      <w:r w:rsidRPr="00AE4455">
        <w:rPr>
          <w:rFonts w:ascii="Times New Roman" w:hAnsi="Times New Roman"/>
          <w:i/>
          <w:iCs/>
        </w:rPr>
        <w:t>Thunnus alalunga</w:t>
      </w:r>
      <w:r w:rsidRPr="00AE4455">
        <w:rPr>
          <w:rFonts w:ascii="Times New Roman" w:hAnsi="Times New Roman"/>
        </w:rPr>
        <w:t>) female spawning biomass (SSB) under a constant fishing intensity (F</w:t>
      </w:r>
      <w:r w:rsidRPr="00AE4455">
        <w:rPr>
          <w:rFonts w:ascii="Times New Roman" w:hAnsi="Times New Roman"/>
          <w:vertAlign w:val="subscript"/>
        </w:rPr>
        <w:t>2012-2014</w:t>
      </w:r>
      <w:r w:rsidRPr="00AE4455">
        <w:rPr>
          <w:rFonts w:ascii="Times New Roman" w:hAnsi="Times New Roman"/>
        </w:rPr>
        <w:t>) harvest scenario. Future recruitment was based on the expected recruitment variability and autocorrelation. Black line and blue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(B) Expected annual catch under a constant fishing intensity (F</w:t>
      </w:r>
      <w:r w:rsidRPr="00AE4455">
        <w:rPr>
          <w:rFonts w:ascii="Times New Roman" w:hAnsi="Times New Roman"/>
          <w:vertAlign w:val="subscript"/>
        </w:rPr>
        <w:t>2012-2014</w:t>
      </w:r>
      <w:r w:rsidRPr="00AE4455">
        <w:rPr>
          <w:rFonts w:ascii="Times New Roman" w:hAnsi="Times New Roman"/>
        </w:rPr>
        <w:t xml:space="preserve">) harvest scenario (2016-2025). The red line is the current average catch (2010-2014 = 82,432 </w:t>
      </w:r>
      <w:r>
        <w:rPr>
          <w:rFonts w:ascii="Times New Roman" w:eastAsia="맑은 고딕" w:hAnsi="Times New Roman" w:hint="eastAsia"/>
          <w:lang w:eastAsia="ko-KR"/>
        </w:rPr>
        <w:t>m</w:t>
      </w:r>
      <w:r w:rsidRPr="00AE4455">
        <w:rPr>
          <w:rFonts w:ascii="Times New Roman" w:hAnsi="Times New Roman"/>
        </w:rPr>
        <w:t>t).</w:t>
      </w:r>
    </w:p>
    <w:p w14:paraId="1DC78F46" w14:textId="77777777" w:rsidR="00047EC8" w:rsidRDefault="00047EC8" w:rsidP="00047EC8">
      <w:pPr>
        <w:autoSpaceDE w:val="0"/>
        <w:autoSpaceDN w:val="0"/>
        <w:adjustRightInd w:val="0"/>
        <w:snapToGrid w:val="0"/>
        <w:spacing w:after="0"/>
        <w:rPr>
          <w:rFonts w:ascii="Times New Roman" w:hAnsi="Times New Roman"/>
          <w:lang w:eastAsia="ko-KR"/>
        </w:rPr>
      </w:pPr>
    </w:p>
    <w:p w14:paraId="0BD02016" w14:textId="77777777" w:rsidR="00047EC8" w:rsidRDefault="00047EC8" w:rsidP="000B0D15">
      <w:pPr>
        <w:autoSpaceDE w:val="0"/>
        <w:autoSpaceDN w:val="0"/>
        <w:adjustRightInd w:val="0"/>
        <w:snapToGrid w:val="0"/>
        <w:spacing w:after="0"/>
        <w:jc w:val="center"/>
        <w:rPr>
          <w:rFonts w:ascii="Times New Roman" w:hAnsi="Times New Roman"/>
          <w:lang w:val="en-AU" w:eastAsia="ko-KR"/>
        </w:rPr>
      </w:pPr>
      <w:r>
        <w:rPr>
          <w:rFonts w:ascii="Times New Roman" w:hAnsi="Times New Roman" w:hint="eastAsia"/>
          <w:noProof/>
          <w:lang w:val="en-US" w:eastAsia="ko-KR"/>
        </w:rPr>
        <w:drawing>
          <wp:inline distT="0" distB="0" distL="0" distR="0" wp14:anchorId="62A90F49" wp14:editId="2087DC20">
            <wp:extent cx="3720662" cy="2525757"/>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3.jpg"/>
                    <pic:cNvPicPr/>
                  </pic:nvPicPr>
                  <pic:blipFill>
                    <a:blip r:embed="rId42">
                      <a:extLst>
                        <a:ext uri="{28A0092B-C50C-407E-A947-70E740481C1C}">
                          <a14:useLocalDpi xmlns:a14="http://schemas.microsoft.com/office/drawing/2010/main" val="0"/>
                        </a:ext>
                      </a:extLst>
                    </a:blip>
                    <a:stretch>
                      <a:fillRect/>
                    </a:stretch>
                  </pic:blipFill>
                  <pic:spPr>
                    <a:xfrm>
                      <a:off x="0" y="0"/>
                      <a:ext cx="3728498" cy="2531076"/>
                    </a:xfrm>
                    <a:prstGeom prst="rect">
                      <a:avLst/>
                    </a:prstGeom>
                  </pic:spPr>
                </pic:pic>
              </a:graphicData>
            </a:graphic>
          </wp:inline>
        </w:drawing>
      </w:r>
    </w:p>
    <w:p w14:paraId="407EECA5" w14:textId="4A6BB38C" w:rsidR="00047EC8" w:rsidRDefault="00047EC8" w:rsidP="00047EC8">
      <w:pPr>
        <w:autoSpaceDE w:val="0"/>
        <w:autoSpaceDN w:val="0"/>
        <w:adjustRightInd w:val="0"/>
        <w:snapToGrid w:val="0"/>
        <w:spacing w:after="0"/>
        <w:rPr>
          <w:rFonts w:ascii="Times New Roman" w:hAnsi="Times New Roman"/>
          <w:lang w:val="en-AU" w:eastAsia="ko-KR"/>
        </w:rPr>
      </w:pPr>
      <w:r w:rsidRPr="00AE4455">
        <w:rPr>
          <w:rFonts w:ascii="Times New Roman" w:hAnsi="Times New Roman"/>
          <w:b/>
          <w:bCs/>
        </w:rPr>
        <w:t xml:space="preserve">Figure </w:t>
      </w:r>
      <w:r w:rsidRPr="00AE4455">
        <w:rPr>
          <w:rFonts w:ascii="Times New Roman" w:eastAsia="맑은 고딕" w:hAnsi="Times New Roman" w:hint="eastAsia"/>
          <w:b/>
          <w:bCs/>
          <w:lang w:eastAsia="ko-KR"/>
        </w:rPr>
        <w:t>NPALB-3</w:t>
      </w:r>
      <w:r w:rsidRPr="00AE4455">
        <w:rPr>
          <w:rFonts w:ascii="Times New Roman" w:hAnsi="Times New Roman"/>
          <w:b/>
          <w:bCs/>
        </w:rPr>
        <w:t>.</w:t>
      </w:r>
      <w:r w:rsidRPr="00AE4455">
        <w:rPr>
          <w:rFonts w:ascii="Times New Roman" w:hAnsi="Times New Roman"/>
        </w:rPr>
        <w:t xml:space="preserve"> (A) Histo</w:t>
      </w:r>
      <w:r>
        <w:rPr>
          <w:rFonts w:ascii="Times New Roman" w:hAnsi="Times New Roman"/>
        </w:rPr>
        <w:t xml:space="preserve">rical and future trajectory of </w:t>
      </w:r>
      <w:r>
        <w:rPr>
          <w:rFonts w:ascii="Times New Roman" w:eastAsia="맑은 고딕" w:hAnsi="Times New Roman" w:hint="eastAsia"/>
          <w:lang w:eastAsia="ko-KR"/>
        </w:rPr>
        <w:t>N</w:t>
      </w:r>
      <w:r w:rsidRPr="00AE4455">
        <w:rPr>
          <w:rFonts w:ascii="Times New Roman" w:hAnsi="Times New Roman"/>
        </w:rPr>
        <w:t>orth Pacific albacore (</w:t>
      </w:r>
      <w:r w:rsidRPr="00AE4455">
        <w:rPr>
          <w:rFonts w:ascii="Times New Roman" w:hAnsi="Times New Roman"/>
          <w:i/>
          <w:iCs/>
        </w:rPr>
        <w:t>Thunnus alalunga</w:t>
      </w:r>
      <w:r w:rsidRPr="00AE4455">
        <w:rPr>
          <w:rFonts w:ascii="Times New Roman" w:hAnsi="Times New Roman"/>
        </w:rPr>
        <w:t xml:space="preserve">) female spawning biomass (SSB) under a constant catch (average 2010-2014 = 82,432 </w:t>
      </w:r>
      <w:r>
        <w:rPr>
          <w:rFonts w:ascii="Times New Roman" w:eastAsia="맑은 고딕" w:hAnsi="Times New Roman" w:hint="eastAsia"/>
          <w:lang w:eastAsia="ko-KR"/>
        </w:rPr>
        <w:t>m</w:t>
      </w:r>
      <w:r w:rsidRPr="00AE4455">
        <w:rPr>
          <w:rFonts w:ascii="Times New Roman" w:hAnsi="Times New Roman"/>
        </w:rPr>
        <w:t>t) harvest scenario. Future recruitment was based on the expected recruitment variability and autocorrelation. Dashed line indicates the average limit reference point threshold for 2012-2014. Black line and blue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(B) Projected fishing intensity relative to the current fishing intensity (2012-2014) (red line) under a constant catch scenario (average 2010-2014).</w:t>
      </w:r>
    </w:p>
    <w:p w14:paraId="60494B6F" w14:textId="77777777" w:rsidR="00047EC8" w:rsidRDefault="00047EC8" w:rsidP="0014588F">
      <w:pPr>
        <w:autoSpaceDE w:val="0"/>
        <w:autoSpaceDN w:val="0"/>
        <w:adjustRightInd w:val="0"/>
        <w:snapToGrid w:val="0"/>
        <w:spacing w:after="0"/>
        <w:rPr>
          <w:rFonts w:ascii="Times New Roman" w:hAnsi="Times New Roman"/>
          <w:lang w:val="en-AU" w:eastAsia="ko-KR"/>
        </w:rPr>
      </w:pPr>
    </w:p>
    <w:p w14:paraId="53A51414"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p>
    <w:p w14:paraId="7F002A23"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3" w:name="_Toc498688634"/>
      <w:r w:rsidRPr="009C2ADD">
        <w:rPr>
          <w:rFonts w:ascii="Times New Roman" w:eastAsia="바탕" w:hAnsi="Times New Roman" w:cs="Times New Roman"/>
          <w:lang w:eastAsia="ko-KR"/>
        </w:rPr>
        <w:t xml:space="preserve">4.2.2 </w:t>
      </w:r>
      <w:r w:rsidRPr="009C2ADD">
        <w:rPr>
          <w:rFonts w:ascii="Times New Roman" w:eastAsia="바탕" w:hAnsi="Times New Roman" w:cs="Times New Roman"/>
          <w:lang w:eastAsia="ko-KR"/>
        </w:rPr>
        <w:tab/>
        <w:t>Pacific bluefin tuna (</w:t>
      </w:r>
      <w:r w:rsidRPr="009C2ADD">
        <w:rPr>
          <w:rFonts w:ascii="Times New Roman" w:eastAsia="바탕" w:hAnsi="Times New Roman" w:cs="Times New Roman"/>
          <w:i/>
          <w:lang w:eastAsia="ko-KR"/>
        </w:rPr>
        <w:t>Thunnus orientalis</w:t>
      </w:r>
      <w:r w:rsidRPr="009C2ADD">
        <w:rPr>
          <w:rFonts w:ascii="Times New Roman" w:eastAsia="바탕" w:hAnsi="Times New Roman" w:cs="Times New Roman"/>
          <w:lang w:eastAsia="ko-KR"/>
        </w:rPr>
        <w:t>)</w:t>
      </w:r>
      <w:bookmarkEnd w:id="23"/>
      <w:r w:rsidRPr="009C2ADD">
        <w:rPr>
          <w:rFonts w:ascii="Times New Roman" w:eastAsia="바탕" w:hAnsi="Times New Roman" w:cs="Times New Roman"/>
          <w:lang w:eastAsia="ko-KR"/>
        </w:rPr>
        <w:t xml:space="preserve"> </w:t>
      </w:r>
    </w:p>
    <w:p w14:paraId="445D8FFA" w14:textId="77777777" w:rsidR="0014588F" w:rsidRPr="009C2ADD" w:rsidRDefault="0014588F" w:rsidP="0014588F">
      <w:pPr>
        <w:adjustRightInd w:val="0"/>
        <w:snapToGrid w:val="0"/>
        <w:spacing w:after="0"/>
        <w:ind w:left="720"/>
        <w:rPr>
          <w:rFonts w:ascii="Times New Roman" w:eastAsia="바탕" w:hAnsi="Times New Roman"/>
          <w:b/>
          <w:bCs/>
          <w:lang w:eastAsia="ko-KR"/>
        </w:rPr>
      </w:pPr>
    </w:p>
    <w:p w14:paraId="155450F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last stock assessment was conducted in 2016. No updated information was presented on the status of Pacific bluefin tuna.</w:t>
      </w:r>
    </w:p>
    <w:p w14:paraId="5EB234B8"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759D6AC1" w14:textId="77777777" w:rsidR="0014588F" w:rsidRPr="00464B7F" w:rsidRDefault="0014588F" w:rsidP="0014588F">
      <w:pPr>
        <w:pStyle w:val="ListParagraph"/>
        <w:numPr>
          <w:ilvl w:val="0"/>
          <w:numId w:val="27"/>
        </w:numPr>
        <w:adjustRightInd w:val="0"/>
        <w:snapToGrid w:val="0"/>
        <w:ind w:left="0" w:firstLine="0"/>
        <w:contextualSpacing w:val="0"/>
        <w:rPr>
          <w:rFonts w:ascii="Times New Roman" w:hAnsi="Times New Roman"/>
          <w:b/>
          <w:lang w:eastAsia="ko-KR"/>
        </w:rPr>
      </w:pPr>
      <w:r w:rsidRPr="00464B7F">
        <w:rPr>
          <w:rFonts w:ascii="Times New Roman" w:hAnsi="Times New Roman"/>
          <w:b/>
        </w:rPr>
        <w:t>S</w:t>
      </w:r>
      <w:r w:rsidRPr="00464B7F">
        <w:rPr>
          <w:rFonts w:ascii="Times New Roman" w:hAnsi="Times New Roman"/>
          <w:b/>
          <w:lang w:eastAsia="ko-KR"/>
        </w:rPr>
        <w:t>tock s</w:t>
      </w:r>
      <w:r w:rsidRPr="00464B7F">
        <w:rPr>
          <w:rFonts w:ascii="Times New Roman" w:hAnsi="Times New Roman"/>
          <w:b/>
        </w:rPr>
        <w:t>tatus and trends</w:t>
      </w:r>
    </w:p>
    <w:p w14:paraId="33156E3E" w14:textId="77777777" w:rsidR="0014588F" w:rsidRPr="00464B7F" w:rsidRDefault="0014588F" w:rsidP="0014588F">
      <w:pPr>
        <w:pStyle w:val="ListParagraph"/>
        <w:adjustRightInd w:val="0"/>
        <w:snapToGrid w:val="0"/>
        <w:ind w:left="420" w:firstLine="0"/>
        <w:contextualSpacing w:val="0"/>
        <w:rPr>
          <w:rFonts w:ascii="Times New Roman" w:hAnsi="Times New Roman"/>
          <w:b/>
          <w:lang w:eastAsia="ko-KR"/>
        </w:rPr>
      </w:pPr>
    </w:p>
    <w:p w14:paraId="58330B3A" w14:textId="77777777" w:rsidR="0014588F" w:rsidRPr="00D80EAC" w:rsidRDefault="0014588F" w:rsidP="0014588F">
      <w:pPr>
        <w:pStyle w:val="WCPFC"/>
        <w:adjustRightInd w:val="0"/>
        <w:spacing w:after="0"/>
        <w:ind w:left="0" w:firstLine="0"/>
        <w:rPr>
          <w:b/>
          <w:bCs/>
          <w:lang w:val="en-AU"/>
        </w:rPr>
      </w:pPr>
      <w:r w:rsidRPr="00D80EAC">
        <w:rPr>
          <w:b/>
          <w:bCs/>
          <w:lang w:val="en-AU"/>
        </w:rPr>
        <w:t xml:space="preserve">SC13 noted that no stock assessments were conducted for Pacific bluefin tuna in 2017. Therefore, the stock status descriptions from SC12 are still current. For further information on the stock status and trends from SC12, please see </w:t>
      </w:r>
      <w:hyperlink r:id="rId43" w:history="1">
        <w:r w:rsidRPr="00D80EAC">
          <w:rPr>
            <w:rStyle w:val="Hyperlink"/>
            <w:b/>
            <w:bCs/>
          </w:rPr>
          <w:t>https://www.wcpfc.int/node/27769</w:t>
        </w:r>
      </w:hyperlink>
      <w:r w:rsidRPr="00D80EAC">
        <w:rPr>
          <w:rFonts w:hint="eastAsia"/>
          <w:b/>
          <w:bCs/>
          <w:lang w:val="en-AU" w:eastAsia="ko-KR"/>
        </w:rPr>
        <w:t xml:space="preserve"> </w:t>
      </w:r>
    </w:p>
    <w:p w14:paraId="39428D95" w14:textId="77777777" w:rsidR="0014588F" w:rsidRPr="009C2ADD" w:rsidRDefault="0014588F" w:rsidP="0014588F">
      <w:pPr>
        <w:pStyle w:val="ListParagraph"/>
        <w:adjustRightInd w:val="0"/>
        <w:snapToGrid w:val="0"/>
        <w:ind w:left="1080"/>
        <w:contextualSpacing w:val="0"/>
        <w:rPr>
          <w:rFonts w:ascii="Times New Roman" w:eastAsia="바탕" w:hAnsi="Times New Roman"/>
          <w:lang w:eastAsia="ko-KR"/>
        </w:rPr>
      </w:pPr>
    </w:p>
    <w:p w14:paraId="493E5AFB" w14:textId="77777777" w:rsidR="0014588F" w:rsidRPr="009C2ADD" w:rsidRDefault="0014588F" w:rsidP="0014588F">
      <w:pPr>
        <w:pStyle w:val="ListParagraph"/>
        <w:numPr>
          <w:ilvl w:val="0"/>
          <w:numId w:val="27"/>
        </w:numPr>
        <w:adjustRightInd w:val="0"/>
        <w:snapToGrid w:val="0"/>
        <w:contextualSpacing w:val="0"/>
        <w:rPr>
          <w:rFonts w:ascii="Times New Roman" w:eastAsia="바탕" w:hAnsi="Times New Roman"/>
          <w:b/>
          <w:lang w:eastAsia="ko-KR"/>
        </w:rPr>
      </w:pPr>
      <w:r w:rsidRPr="009C2ADD">
        <w:rPr>
          <w:rFonts w:ascii="Times New Roman" w:eastAsia="바탕" w:hAnsi="Times New Roman"/>
          <w:b/>
          <w:lang w:eastAsia="ko-KR"/>
        </w:rPr>
        <w:t xml:space="preserve">Management advice and implications </w:t>
      </w:r>
    </w:p>
    <w:p w14:paraId="78351E74" w14:textId="77777777" w:rsidR="0014588F" w:rsidRPr="009C2ADD" w:rsidRDefault="0014588F" w:rsidP="0014588F">
      <w:pPr>
        <w:adjustRightInd w:val="0"/>
        <w:snapToGrid w:val="0"/>
        <w:spacing w:after="0"/>
        <w:ind w:left="720"/>
        <w:rPr>
          <w:rFonts w:ascii="Times New Roman" w:hAnsi="Times New Roman"/>
          <w:b/>
        </w:rPr>
      </w:pPr>
    </w:p>
    <w:p w14:paraId="28DE4F17" w14:textId="77777777" w:rsidR="0014588F" w:rsidRPr="00D80EAC" w:rsidRDefault="0014588F" w:rsidP="0014588F">
      <w:pPr>
        <w:pStyle w:val="WCPFC"/>
        <w:adjustRightInd w:val="0"/>
        <w:spacing w:after="0"/>
        <w:ind w:left="0" w:firstLine="0"/>
        <w:rPr>
          <w:b/>
          <w:bCs/>
          <w:lang w:val="en-AU"/>
        </w:rPr>
      </w:pPr>
      <w:r w:rsidRPr="00D80EAC">
        <w:rPr>
          <w:b/>
          <w:bCs/>
          <w:lang w:val="en-AU"/>
        </w:rPr>
        <w:t xml:space="preserve">SC13 noted that no management advice has been provided since SC12. Therefore, the advice from SC12 should be maintained, pending a new assessment or other new information. For further information on the management advice and implications from SC12, please see </w:t>
      </w:r>
      <w:hyperlink r:id="rId44" w:history="1">
        <w:r w:rsidRPr="00D80EAC">
          <w:rPr>
            <w:rStyle w:val="Hyperlink"/>
            <w:b/>
            <w:bCs/>
          </w:rPr>
          <w:t>https://www.wcpfc.int/node/27769</w:t>
        </w:r>
      </w:hyperlink>
      <w:r w:rsidRPr="00D80EAC">
        <w:rPr>
          <w:rFonts w:hint="eastAsia"/>
          <w:b/>
          <w:bCs/>
          <w:lang w:val="en-AU" w:eastAsia="ko-KR"/>
        </w:rPr>
        <w:t xml:space="preserve"> </w:t>
      </w:r>
    </w:p>
    <w:p w14:paraId="738CDE13" w14:textId="77777777" w:rsidR="0014588F" w:rsidRPr="00F97D23" w:rsidRDefault="0014588F" w:rsidP="0014588F">
      <w:pPr>
        <w:adjustRightInd w:val="0"/>
        <w:snapToGrid w:val="0"/>
        <w:spacing w:after="0"/>
        <w:rPr>
          <w:rFonts w:ascii="Times New Roman" w:hAnsi="Times New Roman"/>
          <w:bCs/>
          <w:lang w:eastAsia="ko-KR"/>
        </w:rPr>
      </w:pPr>
    </w:p>
    <w:p w14:paraId="7E306BFF" w14:textId="77777777" w:rsidR="0014588F" w:rsidRPr="009C2ADD" w:rsidRDefault="0014588F" w:rsidP="0014588F">
      <w:pPr>
        <w:adjustRightInd w:val="0"/>
        <w:snapToGrid w:val="0"/>
        <w:spacing w:after="0"/>
        <w:rPr>
          <w:rFonts w:ascii="Times New Roman" w:eastAsia="바탕" w:hAnsi="Times New Roman"/>
          <w:b/>
          <w:bCs/>
          <w:i/>
          <w:lang w:eastAsia="ko-KR"/>
        </w:rPr>
      </w:pPr>
      <w:r w:rsidRPr="009C2ADD">
        <w:rPr>
          <w:rFonts w:ascii="Times New Roman" w:eastAsia="바탕" w:hAnsi="Times New Roman"/>
          <w:b/>
          <w:bCs/>
          <w:lang w:eastAsia="ko-KR"/>
        </w:rPr>
        <w:t xml:space="preserve">4.2.3 </w:t>
      </w:r>
      <w:r w:rsidRPr="009C2ADD">
        <w:rPr>
          <w:rFonts w:ascii="Times New Roman" w:eastAsia="바탕" w:hAnsi="Times New Roman"/>
          <w:b/>
          <w:bCs/>
          <w:lang w:eastAsia="ko-KR"/>
        </w:rPr>
        <w:tab/>
        <w:t>North Pacific swordfish (</w:t>
      </w:r>
      <w:r w:rsidRPr="009C2ADD">
        <w:rPr>
          <w:rFonts w:ascii="Times New Roman" w:eastAsia="바탕" w:hAnsi="Times New Roman"/>
          <w:b/>
          <w:bCs/>
          <w:i/>
          <w:lang w:eastAsia="ko-KR"/>
        </w:rPr>
        <w:t>Xiphias gladius)</w:t>
      </w:r>
    </w:p>
    <w:p w14:paraId="22AC0176" w14:textId="77777777" w:rsidR="0014588F" w:rsidRPr="009C2ADD" w:rsidRDefault="0014588F" w:rsidP="0014588F">
      <w:pPr>
        <w:adjustRightInd w:val="0"/>
        <w:snapToGrid w:val="0"/>
        <w:spacing w:after="0"/>
        <w:ind w:left="720"/>
        <w:rPr>
          <w:rFonts w:ascii="Times New Roman" w:eastAsia="바탕" w:hAnsi="Times New Roman"/>
          <w:b/>
          <w:bCs/>
          <w:lang w:eastAsia="ko-KR"/>
        </w:rPr>
      </w:pPr>
    </w:p>
    <w:p w14:paraId="75FFD389" w14:textId="77777777" w:rsidR="0014588F" w:rsidRPr="00B33CDD" w:rsidRDefault="0014588F" w:rsidP="0014588F">
      <w:pPr>
        <w:pStyle w:val="WCPFC"/>
        <w:adjustRightInd w:val="0"/>
        <w:spacing w:after="0"/>
        <w:ind w:left="0" w:firstLine="0"/>
        <w:rPr>
          <w:rFonts w:eastAsia="바탕"/>
          <w:lang w:eastAsia="ko-KR"/>
        </w:rPr>
      </w:pPr>
      <w:r w:rsidRPr="009C2ADD">
        <w:rPr>
          <w:lang w:val="en-AU"/>
        </w:rPr>
        <w:t>The last stock assessment was conducted in 2014.  No updated information was presented on the status of North Pacific swordfish.</w:t>
      </w:r>
    </w:p>
    <w:p w14:paraId="72632022" w14:textId="77777777" w:rsidR="0014588F" w:rsidRDefault="0014588F" w:rsidP="0014588F">
      <w:pPr>
        <w:pStyle w:val="WCPFC"/>
        <w:numPr>
          <w:ilvl w:val="0"/>
          <w:numId w:val="0"/>
        </w:numPr>
        <w:adjustRightInd w:val="0"/>
        <w:spacing w:after="0"/>
        <w:rPr>
          <w:lang w:val="en-AU"/>
        </w:rPr>
      </w:pPr>
    </w:p>
    <w:p w14:paraId="534DF013" w14:textId="77777777" w:rsidR="0014588F" w:rsidRPr="009C2ADD" w:rsidRDefault="0014588F" w:rsidP="0014588F">
      <w:pPr>
        <w:pStyle w:val="Heading7"/>
        <w:numPr>
          <w:ilvl w:val="0"/>
          <w:numId w:val="28"/>
        </w:numPr>
        <w:adjustRightInd w:val="0"/>
        <w:snapToGrid w:val="0"/>
        <w:spacing w:before="0"/>
        <w:ind w:left="0" w:firstLine="0"/>
        <w:rPr>
          <w:rFonts w:ascii="Times New Roman" w:eastAsia="바탕" w:hAnsi="Times New Roman"/>
          <w:b/>
          <w:bCs/>
          <w:i w:val="0"/>
          <w:iCs w:val="0"/>
          <w:color w:val="auto"/>
          <w:lang w:eastAsia="ko-KR"/>
        </w:rPr>
      </w:pPr>
      <w:r w:rsidRPr="009C2ADD">
        <w:rPr>
          <w:rFonts w:ascii="Times New Roman" w:eastAsia="바탕" w:hAnsi="Times New Roman"/>
          <w:b/>
          <w:bCs/>
          <w:i w:val="0"/>
          <w:iCs w:val="0"/>
          <w:color w:val="auto"/>
          <w:lang w:eastAsia="ko-KR"/>
        </w:rPr>
        <w:t>Stock status and trends</w:t>
      </w:r>
    </w:p>
    <w:p w14:paraId="6FFFFE03" w14:textId="77777777" w:rsidR="0014588F" w:rsidRPr="009C2ADD" w:rsidRDefault="0014588F" w:rsidP="0014588F">
      <w:pPr>
        <w:adjustRightInd w:val="0"/>
        <w:snapToGrid w:val="0"/>
        <w:spacing w:after="0"/>
        <w:rPr>
          <w:rFonts w:ascii="Times New Roman" w:hAnsi="Times New Roman"/>
          <w:lang w:eastAsia="ko-KR"/>
        </w:rPr>
      </w:pPr>
    </w:p>
    <w:p w14:paraId="4AC0B59F" w14:textId="77777777" w:rsidR="0014588F" w:rsidRPr="00464B7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w:t>
      </w:r>
      <w:r w:rsidRPr="00464B7F">
        <w:rPr>
          <w:rFonts w:ascii="Times New Roman" w:hAnsi="Times New Roman"/>
          <w:b/>
          <w:lang w:val="en-AU"/>
        </w:rPr>
        <w:t xml:space="preserve">conducted for these species in 2017. Therefore, the stock status descriptions from SC10 are still current. Updated information on North Pacific swordfish catches is available in the ISC Plenary Report but was not compiled for and reviewed by SC13. For further information on the stock status and trends from SC10, please see </w:t>
      </w:r>
      <w:hyperlink r:id="rId45" w:history="1">
        <w:r w:rsidRPr="00AC6A32">
          <w:rPr>
            <w:rStyle w:val="Hyperlink"/>
            <w:rFonts w:ascii="Times New Roman" w:hAnsi="Times New Roman"/>
            <w:b/>
            <w:lang w:val="en-AU"/>
          </w:rPr>
          <w:t>http://www.wcpfc.int/node/19472</w:t>
        </w:r>
      </w:hyperlink>
      <w:r w:rsidRPr="00464B7F">
        <w:rPr>
          <w:rFonts w:ascii="Times New Roman" w:hAnsi="Times New Roman"/>
          <w:b/>
          <w:lang w:val="en-AU"/>
        </w:rPr>
        <w:t xml:space="preserve"> </w:t>
      </w:r>
    </w:p>
    <w:p w14:paraId="5E046A41" w14:textId="77777777" w:rsidR="0014588F" w:rsidRPr="00464B7F" w:rsidRDefault="0014588F" w:rsidP="0014588F">
      <w:pPr>
        <w:pStyle w:val="WCPFC"/>
        <w:numPr>
          <w:ilvl w:val="0"/>
          <w:numId w:val="0"/>
        </w:numPr>
        <w:adjustRightInd w:val="0"/>
        <w:spacing w:after="0"/>
        <w:rPr>
          <w:b/>
        </w:rPr>
      </w:pPr>
    </w:p>
    <w:p w14:paraId="6A6D231E" w14:textId="77777777" w:rsidR="0014588F" w:rsidRPr="00464B7F" w:rsidRDefault="0014588F" w:rsidP="0014588F">
      <w:pPr>
        <w:pStyle w:val="Heading7"/>
        <w:numPr>
          <w:ilvl w:val="0"/>
          <w:numId w:val="28"/>
        </w:numPr>
        <w:adjustRightInd w:val="0"/>
        <w:snapToGrid w:val="0"/>
        <w:spacing w:before="0"/>
        <w:ind w:left="0" w:firstLine="0"/>
        <w:rPr>
          <w:rFonts w:ascii="Times New Roman" w:eastAsia="바탕" w:hAnsi="Times New Roman"/>
          <w:b/>
          <w:bCs/>
          <w:i w:val="0"/>
          <w:iCs w:val="0"/>
          <w:color w:val="auto"/>
          <w:lang w:eastAsia="ko-KR"/>
        </w:rPr>
      </w:pPr>
      <w:r w:rsidRPr="00464B7F">
        <w:rPr>
          <w:rFonts w:ascii="Times New Roman" w:eastAsia="바탕" w:hAnsi="Times New Roman"/>
          <w:b/>
          <w:bCs/>
          <w:i w:val="0"/>
          <w:iCs w:val="0"/>
          <w:color w:val="auto"/>
          <w:lang w:eastAsia="ko-KR"/>
        </w:rPr>
        <w:t>Management advice and implications</w:t>
      </w:r>
      <w:r w:rsidRPr="00464B7F">
        <w:rPr>
          <w:rFonts w:ascii="Times New Roman" w:eastAsia="바탕" w:hAnsi="Times New Roman"/>
          <w:b/>
          <w:bCs/>
          <w:i w:val="0"/>
          <w:iCs w:val="0"/>
          <w:color w:val="auto"/>
          <w:lang w:eastAsia="ko-KR"/>
        </w:rPr>
        <w:tab/>
      </w:r>
    </w:p>
    <w:p w14:paraId="77E91820" w14:textId="77777777" w:rsidR="0014588F" w:rsidRPr="00464B7F" w:rsidRDefault="0014588F" w:rsidP="0014588F">
      <w:pPr>
        <w:adjustRightInd w:val="0"/>
        <w:snapToGrid w:val="0"/>
        <w:spacing w:after="0"/>
        <w:rPr>
          <w:rFonts w:ascii="Times New Roman" w:hAnsi="Times New Roman"/>
          <w:lang w:eastAsia="ko-KR"/>
        </w:rPr>
      </w:pPr>
    </w:p>
    <w:p w14:paraId="444F88D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no management advice has been provided since SC10. Therefore, the advice from SC10 should be maintained, pending a new assessment or other new information. For further information on the management advice and implications</w:t>
      </w:r>
      <w:r w:rsidRPr="009C2ADD">
        <w:rPr>
          <w:rFonts w:ascii="Times New Roman" w:hAnsi="Times New Roman"/>
          <w:b/>
          <w:lang w:val="en-AU"/>
        </w:rPr>
        <w:t xml:space="preserve"> from SC10, please see </w:t>
      </w:r>
      <w:hyperlink r:id="rId46" w:history="1">
        <w:r w:rsidRPr="00AC6A32">
          <w:rPr>
            <w:rStyle w:val="Hyperlink"/>
            <w:rFonts w:ascii="Times New Roman" w:hAnsi="Times New Roman"/>
            <w:b/>
            <w:lang w:val="en-AU"/>
          </w:rPr>
          <w:t>http://www.wcpfc.int/node/1947</w:t>
        </w:r>
        <w:r w:rsidRPr="00AC6A32">
          <w:rPr>
            <w:rStyle w:val="Hyperlink"/>
            <w:rFonts w:ascii="Times New Roman" w:hAnsi="Times New Roman" w:hint="eastAsia"/>
            <w:b/>
            <w:lang w:val="en-AU" w:eastAsia="ko-KR"/>
          </w:rPr>
          <w:t>2</w:t>
        </w:r>
      </w:hyperlink>
    </w:p>
    <w:p w14:paraId="3A41C506" w14:textId="77777777" w:rsidR="0014588F" w:rsidRPr="009C2ADD" w:rsidRDefault="0014588F" w:rsidP="0014588F">
      <w:pPr>
        <w:pStyle w:val="WCPFC"/>
        <w:numPr>
          <w:ilvl w:val="0"/>
          <w:numId w:val="0"/>
        </w:numPr>
        <w:adjustRightInd w:val="0"/>
        <w:spacing w:after="0"/>
        <w:ind w:left="567"/>
      </w:pPr>
    </w:p>
    <w:p w14:paraId="08304901" w14:textId="77777777" w:rsidR="0014588F" w:rsidRPr="009C2ADD" w:rsidRDefault="0014588F" w:rsidP="0014588F">
      <w:pPr>
        <w:pStyle w:val="Heading2"/>
        <w:numPr>
          <w:ilvl w:val="1"/>
          <w:numId w:val="31"/>
        </w:numPr>
        <w:adjustRightInd w:val="0"/>
        <w:snapToGrid w:val="0"/>
        <w:ind w:left="0" w:firstLine="0"/>
        <w:rPr>
          <w:color w:val="auto"/>
          <w:szCs w:val="22"/>
        </w:rPr>
      </w:pPr>
      <w:bookmarkStart w:id="24" w:name="_Toc498688635"/>
      <w:r w:rsidRPr="009C2ADD">
        <w:rPr>
          <w:color w:val="auto"/>
          <w:szCs w:val="22"/>
        </w:rPr>
        <w:t>WCPO Sharks</w:t>
      </w:r>
      <w:bookmarkEnd w:id="24"/>
    </w:p>
    <w:p w14:paraId="3F6D6C54" w14:textId="77777777" w:rsidR="0014588F" w:rsidRPr="009C2ADD" w:rsidRDefault="0014588F" w:rsidP="0014588F">
      <w:pPr>
        <w:adjustRightInd w:val="0"/>
        <w:snapToGrid w:val="0"/>
        <w:spacing w:after="0"/>
        <w:rPr>
          <w:rFonts w:ascii="Times New Roman" w:hAnsi="Times New Roman"/>
        </w:rPr>
      </w:pPr>
    </w:p>
    <w:p w14:paraId="63E1987F" w14:textId="77777777" w:rsidR="0014588F" w:rsidRPr="009C2ADD" w:rsidRDefault="0014588F" w:rsidP="0014588F">
      <w:pPr>
        <w:adjustRightInd w:val="0"/>
        <w:snapToGrid w:val="0"/>
        <w:spacing w:after="0"/>
        <w:rPr>
          <w:rFonts w:ascii="Times New Roman" w:hAnsi="Times New Roman"/>
          <w:b/>
        </w:rPr>
      </w:pPr>
      <w:r w:rsidRPr="009C2ADD">
        <w:rPr>
          <w:rFonts w:ascii="Times New Roman" w:hAnsi="Times New Roman"/>
          <w:b/>
        </w:rPr>
        <w:t xml:space="preserve">4.3.1 </w:t>
      </w:r>
      <w:r w:rsidRPr="009C2ADD">
        <w:rPr>
          <w:rFonts w:ascii="Times New Roman" w:hAnsi="Times New Roman"/>
          <w:b/>
        </w:rPr>
        <w:tab/>
        <w:t>Oceanic whitetip shark</w:t>
      </w:r>
      <w:r w:rsidRPr="009C2ADD">
        <w:rPr>
          <w:rFonts w:ascii="Times New Roman" w:eastAsia="Times New Roman" w:hAnsi="Times New Roman"/>
          <w:b/>
          <w:lang w:eastAsia="ko-KR"/>
        </w:rPr>
        <w:t xml:space="preserve"> </w:t>
      </w:r>
      <w:r w:rsidRPr="009C2ADD">
        <w:rPr>
          <w:rFonts w:ascii="Times New Roman" w:hAnsi="Times New Roman"/>
          <w:b/>
        </w:rPr>
        <w:t>(</w:t>
      </w:r>
      <w:r w:rsidRPr="009C2ADD">
        <w:rPr>
          <w:rFonts w:ascii="Times New Roman" w:hAnsi="Times New Roman"/>
          <w:b/>
          <w:i/>
        </w:rPr>
        <w:t>Carcharhinus longimanus</w:t>
      </w:r>
      <w:r w:rsidRPr="009C2ADD">
        <w:rPr>
          <w:rFonts w:ascii="Times New Roman" w:hAnsi="Times New Roman"/>
          <w:b/>
        </w:rPr>
        <w:t>)</w:t>
      </w:r>
    </w:p>
    <w:p w14:paraId="60A43300" w14:textId="77777777" w:rsidR="0014588F" w:rsidRPr="009C2ADD" w:rsidRDefault="0014588F" w:rsidP="0014588F">
      <w:pPr>
        <w:pStyle w:val="ListParagraph"/>
        <w:adjustRightInd w:val="0"/>
        <w:snapToGrid w:val="0"/>
        <w:ind w:firstLine="0"/>
        <w:contextualSpacing w:val="0"/>
        <w:rPr>
          <w:rFonts w:ascii="Times New Roman" w:hAnsi="Times New Roman"/>
          <w:lang w:eastAsia="ko-KR"/>
        </w:rPr>
      </w:pPr>
    </w:p>
    <w:p w14:paraId="5C4BB13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2012, no stock assessment has been conducted since and there was no new information. </w:t>
      </w:r>
    </w:p>
    <w:p w14:paraId="5EDA170B"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48F35A80" w14:textId="77777777" w:rsidR="0014588F" w:rsidRPr="009C2ADD" w:rsidRDefault="0014588F" w:rsidP="0014588F">
      <w:pPr>
        <w:pStyle w:val="WCPFC"/>
        <w:numPr>
          <w:ilvl w:val="0"/>
          <w:numId w:val="29"/>
        </w:numPr>
        <w:adjustRightInd w:val="0"/>
        <w:spacing w:after="0"/>
        <w:ind w:left="0" w:firstLine="0"/>
        <w:rPr>
          <w:b/>
          <w:lang w:val="en-AU"/>
        </w:rPr>
      </w:pPr>
      <w:r w:rsidRPr="009C2ADD">
        <w:rPr>
          <w:b/>
          <w:lang w:val="en-AU"/>
        </w:rPr>
        <w:t>Stock status and trends</w:t>
      </w:r>
    </w:p>
    <w:p w14:paraId="3AE3CA26" w14:textId="77777777" w:rsidR="0014588F" w:rsidRPr="009C2ADD" w:rsidRDefault="0014588F" w:rsidP="0014588F">
      <w:pPr>
        <w:pStyle w:val="WCPFC"/>
        <w:numPr>
          <w:ilvl w:val="0"/>
          <w:numId w:val="0"/>
        </w:numPr>
        <w:adjustRightInd w:val="0"/>
        <w:spacing w:after="0"/>
        <w:ind w:left="720"/>
        <w:rPr>
          <w:b/>
          <w:lang w:val="en-AU"/>
        </w:rPr>
      </w:pPr>
    </w:p>
    <w:p w14:paraId="4FCEF1F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these shark species in 2017. Therefore, the stock status descriptions from SC8 are still current for oceanic whitetip shark respectively. Updated information on catches was not compiled for and reviewed by SC13. </w:t>
      </w:r>
    </w:p>
    <w:p w14:paraId="51265D1D"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7CEF215" w14:textId="77777777" w:rsidR="0014588F" w:rsidRPr="009C2ADD" w:rsidRDefault="0014588F" w:rsidP="0014588F">
      <w:pPr>
        <w:pStyle w:val="WCPFC"/>
        <w:numPr>
          <w:ilvl w:val="0"/>
          <w:numId w:val="29"/>
        </w:numPr>
        <w:adjustRightInd w:val="0"/>
        <w:spacing w:after="0"/>
        <w:ind w:left="0" w:firstLine="0"/>
        <w:rPr>
          <w:b/>
          <w:lang w:val="en-AU"/>
        </w:rPr>
      </w:pPr>
      <w:r w:rsidRPr="009C2ADD">
        <w:rPr>
          <w:b/>
          <w:lang w:val="en-AU"/>
        </w:rPr>
        <w:t>Management advice and implications</w:t>
      </w:r>
    </w:p>
    <w:p w14:paraId="6929F395" w14:textId="77777777" w:rsidR="0014588F" w:rsidRPr="009C2ADD" w:rsidRDefault="0014588F" w:rsidP="0014588F">
      <w:pPr>
        <w:pStyle w:val="WCPFC"/>
        <w:numPr>
          <w:ilvl w:val="0"/>
          <w:numId w:val="0"/>
        </w:numPr>
        <w:adjustRightInd w:val="0"/>
        <w:spacing w:after="0"/>
        <w:ind w:left="720"/>
        <w:rPr>
          <w:b/>
          <w:lang w:val="en-AU"/>
        </w:rPr>
      </w:pPr>
    </w:p>
    <w:p w14:paraId="097280CF" w14:textId="77777777" w:rsidR="0014588F" w:rsidRPr="00D80EAC" w:rsidRDefault="0014588F" w:rsidP="0014588F">
      <w:pPr>
        <w:numPr>
          <w:ilvl w:val="0"/>
          <w:numId w:val="1"/>
        </w:numPr>
        <w:autoSpaceDE w:val="0"/>
        <w:autoSpaceDN w:val="0"/>
        <w:adjustRightInd w:val="0"/>
        <w:snapToGrid w:val="0"/>
        <w:spacing w:after="0"/>
        <w:ind w:left="0" w:firstLine="0"/>
        <w:rPr>
          <w:rFonts w:ascii="Times New Roman" w:hAnsi="Times New Roman"/>
          <w:b/>
          <w:bCs/>
          <w:lang w:val="en-AU"/>
        </w:rPr>
      </w:pPr>
      <w:r w:rsidRPr="00D80EAC">
        <w:rPr>
          <w:rFonts w:ascii="Times New Roman" w:hAnsi="Times New Roman"/>
          <w:b/>
          <w:bCs/>
          <w:lang w:val="en-AU"/>
        </w:rPr>
        <w:t>SC13 noted that no management advice has been provided since SC8 for oceanic whitetip shark. Therefore, previous advice should be maintained, pending a new assessment or other new information.</w:t>
      </w:r>
    </w:p>
    <w:p w14:paraId="08C44B56" w14:textId="77777777" w:rsidR="0014588F" w:rsidRPr="009C2ADD" w:rsidRDefault="0014588F" w:rsidP="0014588F">
      <w:pPr>
        <w:pStyle w:val="WCPFC"/>
        <w:numPr>
          <w:ilvl w:val="0"/>
          <w:numId w:val="0"/>
        </w:numPr>
        <w:adjustRightInd w:val="0"/>
        <w:spacing w:after="0"/>
        <w:rPr>
          <w:b/>
        </w:rPr>
      </w:pPr>
    </w:p>
    <w:p w14:paraId="6D8AD651"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5" w:name="_Toc498688636"/>
      <w:r w:rsidRPr="009C2ADD">
        <w:rPr>
          <w:rFonts w:ascii="Times New Roman" w:eastAsia="바탕" w:hAnsi="Times New Roman" w:cs="Times New Roman"/>
          <w:lang w:eastAsia="ko-KR"/>
        </w:rPr>
        <w:t xml:space="preserve">4.3.2 </w:t>
      </w:r>
      <w:r w:rsidRPr="009C2ADD">
        <w:rPr>
          <w:rFonts w:ascii="Times New Roman" w:eastAsia="바탕" w:hAnsi="Times New Roman" w:cs="Times New Roman"/>
          <w:lang w:eastAsia="ko-KR"/>
        </w:rPr>
        <w:tab/>
        <w:t>Silky shark (</w:t>
      </w:r>
      <w:r w:rsidRPr="00464B7F">
        <w:rPr>
          <w:rFonts w:ascii="Times New Roman" w:eastAsia="바탕" w:hAnsi="Times New Roman" w:cs="Times New Roman"/>
          <w:i/>
          <w:lang w:eastAsia="ko-KR"/>
        </w:rPr>
        <w:t>Carcharhinus falciformis</w:t>
      </w:r>
      <w:r w:rsidRPr="009C2ADD">
        <w:rPr>
          <w:rFonts w:ascii="Times New Roman" w:eastAsia="바탕" w:hAnsi="Times New Roman" w:cs="Times New Roman"/>
          <w:lang w:eastAsia="ko-KR"/>
        </w:rPr>
        <w:t>)</w:t>
      </w:r>
      <w:bookmarkEnd w:id="25"/>
    </w:p>
    <w:p w14:paraId="024CC47C" w14:textId="77777777" w:rsidR="0014588F" w:rsidRPr="009C2ADD" w:rsidRDefault="0014588F" w:rsidP="0014588F">
      <w:pPr>
        <w:autoSpaceDE w:val="0"/>
        <w:autoSpaceDN w:val="0"/>
        <w:adjustRightInd w:val="0"/>
        <w:snapToGrid w:val="0"/>
        <w:spacing w:after="0"/>
        <w:rPr>
          <w:rFonts w:ascii="Times New Roman" w:hAnsi="Times New Roman"/>
          <w:b/>
          <w:lang w:eastAsia="ko-KR"/>
        </w:rPr>
      </w:pPr>
    </w:p>
    <w:p w14:paraId="72B0A3D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2013 and no stock assessment has been conducted since then. There was no new information.  One </w:t>
      </w:r>
      <w:r>
        <w:rPr>
          <w:rFonts w:ascii="Times New Roman" w:hAnsi="Times New Roman" w:hint="eastAsia"/>
          <w:lang w:val="en-AU" w:eastAsia="ko-KR"/>
        </w:rPr>
        <w:t>information paper</w:t>
      </w:r>
      <w:r w:rsidRPr="009C2ADD">
        <w:rPr>
          <w:rFonts w:ascii="Times New Roman" w:hAnsi="Times New Roman"/>
          <w:lang w:val="en-AU"/>
        </w:rPr>
        <w:t xml:space="preserve"> </w:t>
      </w:r>
      <w:r>
        <w:rPr>
          <w:rFonts w:ascii="Times New Roman" w:hAnsi="Times New Roman" w:hint="eastAsia"/>
          <w:lang w:val="en-AU" w:eastAsia="ko-KR"/>
        </w:rPr>
        <w:t>(</w:t>
      </w:r>
      <w:r w:rsidRPr="009C2ADD">
        <w:rPr>
          <w:rFonts w:ascii="Times New Roman" w:hAnsi="Times New Roman"/>
          <w:lang w:val="en-AU"/>
        </w:rPr>
        <w:t>SC13-SA-IP-12</w:t>
      </w:r>
      <w:r>
        <w:rPr>
          <w:rFonts w:ascii="Times New Roman" w:hAnsi="Times New Roman" w:hint="eastAsia"/>
          <w:lang w:val="en-AU" w:eastAsia="ko-KR"/>
        </w:rPr>
        <w:t>)</w:t>
      </w:r>
      <w:r w:rsidRPr="009C2ADD">
        <w:rPr>
          <w:rFonts w:ascii="Times New Roman" w:hAnsi="Times New Roman"/>
          <w:lang w:val="en-AU"/>
        </w:rPr>
        <w:t xml:space="preserve"> was submitted under this item.</w:t>
      </w:r>
    </w:p>
    <w:p w14:paraId="7D8B7FE5"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2FB92BA5" w14:textId="77777777" w:rsidR="0014588F" w:rsidRPr="009C2ADD" w:rsidRDefault="0014588F" w:rsidP="0014588F">
      <w:pPr>
        <w:pStyle w:val="ListParagraph"/>
        <w:numPr>
          <w:ilvl w:val="0"/>
          <w:numId w:val="30"/>
        </w:numPr>
        <w:autoSpaceDE w:val="0"/>
        <w:autoSpaceDN w:val="0"/>
        <w:adjustRightInd w:val="0"/>
        <w:snapToGrid w:val="0"/>
        <w:ind w:left="0" w:firstLine="0"/>
        <w:contextualSpacing w:val="0"/>
        <w:rPr>
          <w:rFonts w:ascii="Times New Roman" w:hAnsi="Times New Roman"/>
          <w:b/>
          <w:i/>
          <w:lang w:eastAsia="ko-KR"/>
        </w:rPr>
      </w:pPr>
      <w:r w:rsidRPr="009C2ADD">
        <w:rPr>
          <w:rFonts w:ascii="Times New Roman" w:hAnsi="Times New Roman"/>
          <w:b/>
        </w:rPr>
        <w:t>S</w:t>
      </w:r>
      <w:r w:rsidRPr="009C2ADD">
        <w:rPr>
          <w:rFonts w:ascii="Times New Roman" w:hAnsi="Times New Roman"/>
          <w:b/>
          <w:lang w:eastAsia="ko-KR"/>
        </w:rPr>
        <w:t>tock s</w:t>
      </w:r>
      <w:r w:rsidRPr="009C2ADD">
        <w:rPr>
          <w:rFonts w:ascii="Times New Roman" w:hAnsi="Times New Roman"/>
          <w:b/>
        </w:rPr>
        <w:t>tatus and trends</w:t>
      </w:r>
    </w:p>
    <w:p w14:paraId="6DCC2990" w14:textId="77777777" w:rsidR="0014588F" w:rsidRPr="009C2ADD" w:rsidRDefault="0014588F" w:rsidP="0014588F">
      <w:pPr>
        <w:pStyle w:val="ListParagraph"/>
        <w:autoSpaceDE w:val="0"/>
        <w:autoSpaceDN w:val="0"/>
        <w:adjustRightInd w:val="0"/>
        <w:snapToGrid w:val="0"/>
        <w:ind w:firstLine="0"/>
        <w:contextualSpacing w:val="0"/>
        <w:rPr>
          <w:rFonts w:ascii="Times New Roman" w:hAnsi="Times New Roman"/>
          <w:b/>
          <w:i/>
          <w:lang w:eastAsia="ko-KR"/>
        </w:rPr>
      </w:pPr>
    </w:p>
    <w:p w14:paraId="4C63643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these shark species in 2017. Therefore, the stock status descriptions from SC9 are still current for silky shark. Updated information on catches was not compiled for and reviewed by SC13. </w:t>
      </w:r>
    </w:p>
    <w:p w14:paraId="1C09336E"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2806D070" w14:textId="77777777" w:rsidR="0014588F" w:rsidRPr="009C2ADD" w:rsidRDefault="0014588F" w:rsidP="0014588F">
      <w:pPr>
        <w:pStyle w:val="WCPFC"/>
        <w:numPr>
          <w:ilvl w:val="0"/>
          <w:numId w:val="30"/>
        </w:numPr>
        <w:adjustRightInd w:val="0"/>
        <w:spacing w:after="0"/>
        <w:ind w:left="0" w:firstLine="0"/>
        <w:rPr>
          <w:b/>
          <w:i/>
          <w:lang w:eastAsia="ko-KR"/>
        </w:rPr>
      </w:pPr>
      <w:r w:rsidRPr="009C2ADD">
        <w:rPr>
          <w:b/>
        </w:rPr>
        <w:t>Management advice and implications</w:t>
      </w:r>
    </w:p>
    <w:p w14:paraId="28772B7C" w14:textId="77777777" w:rsidR="0014588F" w:rsidRPr="009C2ADD" w:rsidRDefault="0014588F" w:rsidP="0014588F">
      <w:pPr>
        <w:pStyle w:val="WCPFC"/>
        <w:numPr>
          <w:ilvl w:val="0"/>
          <w:numId w:val="0"/>
        </w:numPr>
        <w:adjustRightInd w:val="0"/>
        <w:spacing w:after="0"/>
        <w:ind w:left="720"/>
        <w:rPr>
          <w:b/>
          <w:i/>
          <w:lang w:eastAsia="ko-KR"/>
        </w:rPr>
      </w:pPr>
    </w:p>
    <w:p w14:paraId="7ECC02D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since SC9 for silky shark. Therefore, previous advice should be maintained, pending a new assessment or other new information.</w:t>
      </w:r>
    </w:p>
    <w:p w14:paraId="73970225" w14:textId="77777777" w:rsidR="0014588F" w:rsidRPr="009C2ADD" w:rsidRDefault="0014588F" w:rsidP="0014588F">
      <w:pPr>
        <w:pStyle w:val="WCPFC"/>
        <w:numPr>
          <w:ilvl w:val="0"/>
          <w:numId w:val="0"/>
        </w:numPr>
        <w:adjustRightInd w:val="0"/>
        <w:spacing w:after="0"/>
        <w:ind w:left="567"/>
        <w:rPr>
          <w:b/>
        </w:rPr>
      </w:pPr>
    </w:p>
    <w:p w14:paraId="033A3D41"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6" w:name="_Toc498688637"/>
      <w:r w:rsidRPr="009C2ADD">
        <w:rPr>
          <w:rFonts w:ascii="Times New Roman" w:eastAsia="바탕" w:hAnsi="Times New Roman" w:cs="Times New Roman"/>
          <w:lang w:eastAsia="ko-KR"/>
        </w:rPr>
        <w:t xml:space="preserve">4.3.3 </w:t>
      </w:r>
      <w:r w:rsidRPr="009C2ADD">
        <w:rPr>
          <w:rFonts w:ascii="Times New Roman" w:eastAsia="바탕" w:hAnsi="Times New Roman" w:cs="Times New Roman"/>
          <w:lang w:eastAsia="ko-KR"/>
        </w:rPr>
        <w:tab/>
        <w:t>South Pacific blue shark (</w:t>
      </w:r>
      <w:r w:rsidRPr="009C2ADD">
        <w:rPr>
          <w:rFonts w:ascii="Times New Roman" w:eastAsia="바탕" w:hAnsi="Times New Roman" w:cs="Times New Roman"/>
          <w:i/>
          <w:lang w:eastAsia="ko-KR"/>
        </w:rPr>
        <w:t>Prionace glauca</w:t>
      </w:r>
      <w:r w:rsidRPr="009C2ADD">
        <w:rPr>
          <w:rFonts w:ascii="Times New Roman" w:eastAsia="바탕" w:hAnsi="Times New Roman" w:cs="Times New Roman"/>
          <w:lang w:eastAsia="ko-KR"/>
        </w:rPr>
        <w:t>)</w:t>
      </w:r>
      <w:bookmarkEnd w:id="26"/>
    </w:p>
    <w:p w14:paraId="6C4CAB2C" w14:textId="77777777" w:rsidR="0014588F" w:rsidRPr="009C2ADD" w:rsidRDefault="0014588F" w:rsidP="0014588F">
      <w:pPr>
        <w:pStyle w:val="WCPFC"/>
        <w:numPr>
          <w:ilvl w:val="0"/>
          <w:numId w:val="0"/>
        </w:numPr>
        <w:adjustRightInd w:val="0"/>
        <w:spacing w:after="0"/>
        <w:ind w:left="567" w:hanging="567"/>
        <w:rPr>
          <w:lang w:eastAsia="ko-KR"/>
        </w:rPr>
      </w:pPr>
    </w:p>
    <w:p w14:paraId="546A3CB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2016.  SC did not receive any updated information.  One paper, </w:t>
      </w:r>
      <w:r w:rsidRPr="0070772D">
        <w:rPr>
          <w:rFonts w:ascii="Times New Roman" w:hAnsi="Times New Roman"/>
          <w:bCs/>
          <w:lang w:val="en-AU"/>
        </w:rPr>
        <w:t>SC13-SA-IP-13</w:t>
      </w:r>
      <w:r w:rsidRPr="009C2ADD">
        <w:rPr>
          <w:rFonts w:ascii="Times New Roman" w:hAnsi="Times New Roman"/>
          <w:lang w:val="en-AU"/>
        </w:rPr>
        <w:t xml:space="preserve"> </w:t>
      </w:r>
      <w:r w:rsidRPr="009C2ADD">
        <w:rPr>
          <w:rFonts w:ascii="Times New Roman" w:hAnsi="Times New Roman"/>
          <w:i/>
          <w:lang w:val="en-AU"/>
        </w:rPr>
        <w:t>Updated abundance indicators for New Zealand blue, porbeagle and shortfin mako shark</w:t>
      </w:r>
      <w:r w:rsidRPr="009C2ADD">
        <w:rPr>
          <w:rFonts w:ascii="Times New Roman" w:hAnsi="Times New Roman"/>
          <w:lang w:val="en-AU"/>
        </w:rPr>
        <w:t xml:space="preserve">, was submitted under this item. </w:t>
      </w:r>
    </w:p>
    <w:p w14:paraId="0AA7BF27"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7E77E621" w14:textId="77777777" w:rsidR="0014588F" w:rsidRPr="009C2ADD" w:rsidRDefault="0014588F" w:rsidP="0014588F">
      <w:pPr>
        <w:pStyle w:val="WCPFC"/>
        <w:numPr>
          <w:ilvl w:val="0"/>
          <w:numId w:val="32"/>
        </w:numPr>
        <w:adjustRightInd w:val="0"/>
        <w:spacing w:after="0"/>
        <w:ind w:left="0" w:firstLine="0"/>
        <w:rPr>
          <w:b/>
        </w:rPr>
      </w:pPr>
      <w:r w:rsidRPr="009C2ADD">
        <w:rPr>
          <w:b/>
        </w:rPr>
        <w:t>Stock status and trends</w:t>
      </w:r>
    </w:p>
    <w:p w14:paraId="58C46E0F" w14:textId="77777777" w:rsidR="0014588F" w:rsidRPr="009C2ADD" w:rsidRDefault="0014588F" w:rsidP="0014588F">
      <w:pPr>
        <w:pStyle w:val="WCPFC"/>
        <w:numPr>
          <w:ilvl w:val="0"/>
          <w:numId w:val="0"/>
        </w:numPr>
        <w:adjustRightInd w:val="0"/>
        <w:spacing w:after="0"/>
        <w:ind w:left="720"/>
        <w:rPr>
          <w:b/>
        </w:rPr>
      </w:pPr>
    </w:p>
    <w:p w14:paraId="02BF08D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w:t>
      </w:r>
      <w:r>
        <w:rPr>
          <w:rFonts w:ascii="Times New Roman" w:hAnsi="Times New Roman"/>
          <w:b/>
          <w:lang w:val="en-AU"/>
        </w:rPr>
        <w:t>this</w:t>
      </w:r>
      <w:r w:rsidRPr="009C2ADD">
        <w:rPr>
          <w:rFonts w:ascii="Times New Roman" w:hAnsi="Times New Roman"/>
          <w:b/>
          <w:lang w:val="en-AU"/>
        </w:rPr>
        <w:t xml:space="preserve"> shark species in 2017. Therefore, the stock status descriptions from SC12 are still current for South Pacific blue shark. Updated information on catches was not compiled for and reviewed by SC13. </w:t>
      </w:r>
    </w:p>
    <w:p w14:paraId="75C326AC"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5AAF9D61" w14:textId="77777777" w:rsidR="0014588F" w:rsidRPr="009C2ADD" w:rsidRDefault="0014588F" w:rsidP="0014588F">
      <w:pPr>
        <w:pStyle w:val="Heading7"/>
        <w:numPr>
          <w:ilvl w:val="0"/>
          <w:numId w:val="32"/>
        </w:numPr>
        <w:adjustRightInd w:val="0"/>
        <w:snapToGrid w:val="0"/>
        <w:spacing w:before="0"/>
        <w:ind w:left="0" w:firstLine="0"/>
        <w:rPr>
          <w:rFonts w:ascii="Times New Roman" w:eastAsia="바탕" w:hAnsi="Times New Roman"/>
          <w:b/>
          <w:bCs/>
          <w:i w:val="0"/>
          <w:iCs w:val="0"/>
          <w:color w:val="auto"/>
          <w:lang w:eastAsia="ko-KR"/>
        </w:rPr>
      </w:pPr>
      <w:r w:rsidRPr="009C2ADD">
        <w:rPr>
          <w:rFonts w:ascii="Times New Roman" w:eastAsia="바탕" w:hAnsi="Times New Roman"/>
          <w:b/>
          <w:bCs/>
          <w:i w:val="0"/>
          <w:iCs w:val="0"/>
          <w:color w:val="auto"/>
          <w:lang w:eastAsia="ko-KR"/>
        </w:rPr>
        <w:t>Management advice and implications</w:t>
      </w:r>
    </w:p>
    <w:p w14:paraId="1E357D9D" w14:textId="77777777" w:rsidR="0014588F" w:rsidRPr="009C2ADD" w:rsidRDefault="0014588F" w:rsidP="0014588F">
      <w:pPr>
        <w:adjustRightInd w:val="0"/>
        <w:snapToGrid w:val="0"/>
        <w:spacing w:after="0"/>
        <w:rPr>
          <w:rFonts w:ascii="Times New Roman" w:hAnsi="Times New Roman"/>
          <w:lang w:eastAsia="ko-KR"/>
        </w:rPr>
      </w:pPr>
    </w:p>
    <w:p w14:paraId="0520AEA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for South Pacific blue shark.</w:t>
      </w:r>
    </w:p>
    <w:p w14:paraId="51D9F6FE" w14:textId="77777777" w:rsidR="0014588F" w:rsidRPr="009C2ADD" w:rsidRDefault="0014588F" w:rsidP="0014588F">
      <w:pPr>
        <w:adjustRightInd w:val="0"/>
        <w:snapToGrid w:val="0"/>
        <w:spacing w:after="0"/>
        <w:rPr>
          <w:rFonts w:ascii="Times New Roman" w:eastAsia="바탕" w:hAnsi="Times New Roman"/>
          <w:b/>
          <w:bCs/>
          <w:lang w:eastAsia="ko-KR"/>
        </w:rPr>
      </w:pPr>
    </w:p>
    <w:p w14:paraId="31E54770"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7" w:name="_Toc498688638"/>
      <w:r w:rsidRPr="009C2ADD">
        <w:rPr>
          <w:rFonts w:ascii="Times New Roman" w:eastAsia="바탕" w:hAnsi="Times New Roman" w:cs="Times New Roman"/>
          <w:lang w:eastAsia="ko-KR"/>
        </w:rPr>
        <w:t xml:space="preserve">4.3.4 </w:t>
      </w:r>
      <w:r w:rsidRPr="009C2ADD">
        <w:rPr>
          <w:rFonts w:ascii="Times New Roman" w:eastAsia="바탕" w:hAnsi="Times New Roman" w:cs="Times New Roman"/>
          <w:lang w:eastAsia="ko-KR"/>
        </w:rPr>
        <w:tab/>
        <w:t>North Pacific blue shark (</w:t>
      </w:r>
      <w:r w:rsidRPr="009C2ADD">
        <w:rPr>
          <w:rFonts w:ascii="Times New Roman" w:eastAsia="바탕" w:hAnsi="Times New Roman" w:cs="Times New Roman"/>
          <w:i/>
          <w:lang w:eastAsia="ko-KR"/>
        </w:rPr>
        <w:t>Prionace glauca</w:t>
      </w:r>
      <w:r w:rsidRPr="009C2ADD">
        <w:rPr>
          <w:rFonts w:ascii="Times New Roman" w:eastAsia="바탕" w:hAnsi="Times New Roman" w:cs="Times New Roman"/>
          <w:lang w:eastAsia="ko-KR"/>
        </w:rPr>
        <w:t>)</w:t>
      </w:r>
      <w:bookmarkEnd w:id="27"/>
      <w:r w:rsidRPr="009C2ADD">
        <w:rPr>
          <w:rFonts w:ascii="Times New Roman" w:eastAsia="바탕" w:hAnsi="Times New Roman" w:cs="Times New Roman"/>
          <w:lang w:eastAsia="ko-KR"/>
        </w:rPr>
        <w:t xml:space="preserve">  </w:t>
      </w:r>
    </w:p>
    <w:p w14:paraId="43F2735F" w14:textId="77777777" w:rsidR="0014588F" w:rsidRPr="009C2ADD" w:rsidRDefault="0014588F" w:rsidP="0014588F">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 </w:t>
      </w:r>
    </w:p>
    <w:p w14:paraId="2B00470E" w14:textId="77777777" w:rsidR="0014588F" w:rsidRPr="009C2ADD" w:rsidRDefault="0014588F" w:rsidP="0014588F">
      <w:pPr>
        <w:pStyle w:val="ListParagraph"/>
        <w:numPr>
          <w:ilvl w:val="0"/>
          <w:numId w:val="34"/>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Stock status and trends</w:t>
      </w:r>
    </w:p>
    <w:p w14:paraId="44B2A9B2" w14:textId="77777777" w:rsidR="0014588F" w:rsidRPr="009C2ADD" w:rsidRDefault="0014588F" w:rsidP="0014588F">
      <w:pPr>
        <w:pStyle w:val="WCPFC"/>
        <w:numPr>
          <w:ilvl w:val="0"/>
          <w:numId w:val="0"/>
        </w:numPr>
        <w:adjustRightInd w:val="0"/>
        <w:spacing w:after="0"/>
        <w:ind w:left="720"/>
        <w:rPr>
          <w:b/>
        </w:rPr>
      </w:pPr>
    </w:p>
    <w:p w14:paraId="1524E1B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ISC provided the following conclusions on the stock status of North Pacific blue shark.</w:t>
      </w:r>
    </w:p>
    <w:p w14:paraId="42F2F67A"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28F20239" w14:textId="77EFE2C6" w:rsidR="00214CA6"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assessment uses a fully integrated approach in Stock Synthesis with model inputs that have been greatly improved since the previous assessment. The main differences between the present assessment and the 2014 assessment are: 1) use of SS with a thorough examination of the size composition data and the relative weighting of CPUE and composition data; 2) improved life history information, such as growth and reproductive biology, and their contribution to productivity assumptions; 3) an improved understanding and parametrization of the </w:t>
      </w:r>
      <w:r>
        <w:rPr>
          <w:rFonts w:ascii="Times New Roman" w:hAnsi="Times New Roman"/>
          <w:lang w:val="en-AU"/>
        </w:rPr>
        <w:t xml:space="preserve">low fecundity stock recruit relationship </w:t>
      </w:r>
      <w:r>
        <w:rPr>
          <w:rFonts w:ascii="Times New Roman" w:hAnsi="Times New Roman" w:hint="eastAsia"/>
          <w:lang w:val="en-AU" w:eastAsia="ko-KR"/>
        </w:rPr>
        <w:t>(</w:t>
      </w:r>
      <w:r w:rsidRPr="009C2ADD">
        <w:rPr>
          <w:rFonts w:ascii="Times New Roman" w:hAnsi="Times New Roman"/>
          <w:lang w:val="en-AU"/>
        </w:rPr>
        <w:t>LFSR</w:t>
      </w:r>
      <w:r>
        <w:rPr>
          <w:rFonts w:ascii="Times New Roman" w:hAnsi="Times New Roman" w:hint="eastAsia"/>
          <w:lang w:val="en-AU" w:eastAsia="ko-KR"/>
        </w:rPr>
        <w:t>)</w:t>
      </w:r>
      <w:r w:rsidRPr="009C2ADD">
        <w:rPr>
          <w:rFonts w:ascii="Times New Roman" w:hAnsi="Times New Roman"/>
          <w:lang w:val="en-AU"/>
        </w:rPr>
        <w:t xml:space="preserve">; 4) catch, CPUE and size time series updated through 2015; 5) a suite of model diagnostics including implementation of an Age Structured Production Model implemented in SS. There remain some uncertainties in the time series based on the quality (observer vs. logbook) and timespans of catch and relative abundance indices, limited size composition data for several fisheries, the potential for additional catch not accounted for in the assessment, and regarding life history parameters. </w:t>
      </w:r>
    </w:p>
    <w:p w14:paraId="6BB8CF7F" w14:textId="77777777" w:rsidR="00214CA6" w:rsidRDefault="00214CA6" w:rsidP="00007081">
      <w:pPr>
        <w:autoSpaceDE w:val="0"/>
        <w:autoSpaceDN w:val="0"/>
        <w:adjustRightInd w:val="0"/>
        <w:snapToGrid w:val="0"/>
        <w:spacing w:after="0"/>
        <w:rPr>
          <w:rFonts w:ascii="Times New Roman" w:hAnsi="Times New Roman"/>
          <w:lang w:val="en-AU"/>
        </w:rPr>
      </w:pPr>
    </w:p>
    <w:p w14:paraId="7DE6827B" w14:textId="18C2C599" w:rsidR="0014588F" w:rsidRPr="009C2ADD" w:rsidRDefault="006A3060" w:rsidP="0014588F">
      <w:pPr>
        <w:numPr>
          <w:ilvl w:val="0"/>
          <w:numId w:val="1"/>
        </w:numPr>
        <w:autoSpaceDE w:val="0"/>
        <w:autoSpaceDN w:val="0"/>
        <w:adjustRightInd w:val="0"/>
        <w:snapToGrid w:val="0"/>
        <w:spacing w:after="0"/>
        <w:ind w:left="0" w:firstLine="0"/>
        <w:rPr>
          <w:rFonts w:ascii="Times New Roman" w:hAnsi="Times New Roman"/>
          <w:lang w:val="en-AU"/>
        </w:rPr>
      </w:pPr>
      <w:r w:rsidRPr="004C4083">
        <w:rPr>
          <w:rFonts w:ascii="Times New Roman" w:hAnsi="Times New Roman"/>
        </w:rPr>
        <w:t>Extensive model explorations showed that the reference run had the best model performance and showed fits most consistent with the data. The CPUE indices used in the reference case were considered most representative of the North Pacific blue shark stock due to their broader spatial temporal coverage in the core distribution of the stock and the statistical soundness of the standardizations. Alternate CPUE series for the latter part of the time series produced different stock trajectories depending upon the index used, but in each case, median SSB during the last three years exceeded SSBMSY. Using alternate assumptions on stock productivity (i.e., form of the stock recruitment relationship) also resulted in variation in the stock trajectories; assuming stock productivity lower than supported by current biological studies, resulted in lowered spawning stock biomass relative to MSY.</w:t>
      </w:r>
    </w:p>
    <w:p w14:paraId="0F289290" w14:textId="38A8D87F" w:rsidR="0014588F" w:rsidRPr="009C2ADD" w:rsidRDefault="0014588F" w:rsidP="0014588F">
      <w:pPr>
        <w:autoSpaceDE w:val="0"/>
        <w:autoSpaceDN w:val="0"/>
        <w:adjustRightInd w:val="0"/>
        <w:snapToGrid w:val="0"/>
        <w:spacing w:after="0"/>
        <w:rPr>
          <w:rFonts w:ascii="Times New Roman" w:hAnsi="Times New Roman"/>
          <w:lang w:val="en-AU"/>
        </w:rPr>
      </w:pPr>
    </w:p>
    <w:p w14:paraId="64EDBEC7" w14:textId="2EC15477" w:rsidR="00761724" w:rsidRDefault="0014588F" w:rsidP="00761724">
      <w:pPr>
        <w:pStyle w:val="WCPFC"/>
        <w:adjustRightInd w:val="0"/>
        <w:spacing w:after="0"/>
        <w:ind w:left="0" w:firstLine="0"/>
      </w:pPr>
      <w:r w:rsidRPr="009C2ADD">
        <w:rPr>
          <w:lang w:val="en-AU"/>
        </w:rPr>
        <w:t>Results of the reference case model showed that the spawning stock biomass was near a time-series high in the late 1970s, fell to its lowest level between 1990 to 1995, subsequently increased gradually to reach the time-series high again in 2005, and has since shown small fluctuations</w:t>
      </w:r>
      <w:r w:rsidR="00214CA6">
        <w:rPr>
          <w:lang w:val="en-AU"/>
        </w:rPr>
        <w:t xml:space="preserve"> with no apparent trend (Figure </w:t>
      </w:r>
      <w:r w:rsidR="00214CA6" w:rsidRPr="000A477B">
        <w:rPr>
          <w:bCs/>
          <w:lang w:eastAsia="ja-JP"/>
        </w:rPr>
        <w:t>NPBSH- 1</w:t>
      </w:r>
      <w:r w:rsidR="00214CA6">
        <w:rPr>
          <w:bCs/>
          <w:lang w:eastAsia="ja-JP"/>
        </w:rPr>
        <w:t>B</w:t>
      </w:r>
      <w:r w:rsidR="00214CA6" w:rsidRPr="000A477B">
        <w:rPr>
          <w:bCs/>
          <w:lang w:eastAsia="ja-JP"/>
        </w:rPr>
        <w:t>)</w:t>
      </w:r>
      <w:r w:rsidRPr="009C2ADD">
        <w:rPr>
          <w:lang w:val="en-AU"/>
        </w:rPr>
        <w:t xml:space="preserve"> close to the time-series high</w:t>
      </w:r>
      <w:r w:rsidR="00214CA6">
        <w:rPr>
          <w:lang w:val="en-AU"/>
        </w:rPr>
        <w:t>.</w:t>
      </w:r>
      <w:r>
        <w:rPr>
          <w:rFonts w:hint="eastAsia"/>
          <w:lang w:val="en-AU" w:eastAsia="ko-KR"/>
        </w:rPr>
        <w:t xml:space="preserve"> </w:t>
      </w:r>
      <w:r w:rsidR="00214CA6">
        <w:rPr>
          <w:lang w:val="en-AU" w:eastAsia="ko-KR"/>
        </w:rPr>
        <w:t>R</w:t>
      </w:r>
      <w:r w:rsidRPr="009C2ADD">
        <w:rPr>
          <w:lang w:val="en-AU"/>
        </w:rPr>
        <w:t>ecruitment has fluctuated around 37,000,000 age-0 sharks annually</w:t>
      </w:r>
      <w:r w:rsidR="00214CA6" w:rsidRPr="00214CA6">
        <w:t xml:space="preserve"> </w:t>
      </w:r>
      <w:r w:rsidR="00214CA6" w:rsidRPr="000A477B">
        <w:t>with no apparent trend</w:t>
      </w:r>
      <w:r w:rsidRPr="009C2ADD">
        <w:rPr>
          <w:lang w:val="en-AU"/>
        </w:rPr>
        <w:t xml:space="preserve"> (Figure NPBSH-1</w:t>
      </w:r>
      <w:r w:rsidR="00214CA6">
        <w:rPr>
          <w:lang w:val="en-AU"/>
        </w:rPr>
        <w:t>A</w:t>
      </w:r>
      <w:r w:rsidRPr="009C2ADD">
        <w:rPr>
          <w:lang w:val="en-AU"/>
        </w:rPr>
        <w:t xml:space="preserve">). </w:t>
      </w:r>
      <w:r w:rsidR="00761724" w:rsidRPr="009C2ADD">
        <w:t>Stock status is reported in relation to MSY</w:t>
      </w:r>
      <w:r w:rsidR="00761724">
        <w:t xml:space="preserve"> based reference points</w:t>
      </w:r>
      <w:r w:rsidR="00761724" w:rsidRPr="009C2ADD">
        <w:t xml:space="preserve">. </w:t>
      </w:r>
    </w:p>
    <w:p w14:paraId="5A6B7613" w14:textId="77777777" w:rsidR="00761724" w:rsidRDefault="00761724" w:rsidP="00007081">
      <w:pPr>
        <w:pStyle w:val="ListParagraph"/>
      </w:pPr>
    </w:p>
    <w:p w14:paraId="7F61151E" w14:textId="0FBCD607" w:rsidR="00761724" w:rsidRPr="009C2ADD" w:rsidRDefault="00761724" w:rsidP="00761724">
      <w:pPr>
        <w:pStyle w:val="WCPFC"/>
        <w:adjustRightInd w:val="0"/>
        <w:spacing w:after="0"/>
        <w:ind w:left="0" w:firstLine="0"/>
      </w:pPr>
      <w:r w:rsidRPr="00A175FB">
        <w:t xml:space="preserve">Based on these findings, the following information on the status of the North Pacific blue shark stock is provided: </w:t>
      </w:r>
    </w:p>
    <w:p w14:paraId="4A742CEA" w14:textId="77777777" w:rsidR="00761724" w:rsidRPr="00214CA6" w:rsidRDefault="00761724" w:rsidP="00761724">
      <w:pPr>
        <w:pStyle w:val="ListParagraph"/>
        <w:numPr>
          <w:ilvl w:val="0"/>
          <w:numId w:val="199"/>
        </w:numPr>
        <w:adjustRightInd w:val="0"/>
        <w:snapToGrid w:val="0"/>
        <w:ind w:left="900" w:hanging="540"/>
        <w:contextualSpacing w:val="0"/>
        <w:rPr>
          <w:rFonts w:ascii="Times New Roman" w:hAnsi="Times New Roman"/>
          <w:lang w:eastAsia="ja-JP"/>
        </w:rPr>
      </w:pPr>
      <w:r w:rsidRPr="00214CA6">
        <w:rPr>
          <w:rFonts w:ascii="Times New Roman" w:hAnsi="Times New Roman"/>
        </w:rPr>
        <w:t>Female spawning biomass in 2015 (SSB</w:t>
      </w:r>
      <w:r w:rsidRPr="00214CA6">
        <w:rPr>
          <w:rFonts w:ascii="Times New Roman" w:hAnsi="Times New Roman"/>
          <w:vertAlign w:val="subscript"/>
        </w:rPr>
        <w:t>2015</w:t>
      </w:r>
      <w:r w:rsidRPr="00214CA6">
        <w:rPr>
          <w:rFonts w:ascii="Times New Roman" w:hAnsi="Times New Roman"/>
        </w:rPr>
        <w:t xml:space="preserve">) was 69% higher than at MSY and estimated to be 295,774 mt (Table </w:t>
      </w:r>
      <w:r w:rsidRPr="00214CA6">
        <w:rPr>
          <w:rFonts w:ascii="Times New Roman" w:hAnsi="Times New Roman"/>
          <w:lang w:eastAsia="ja-JP"/>
        </w:rPr>
        <w:t>NPBSH-1</w:t>
      </w:r>
      <w:r w:rsidRPr="00214CA6">
        <w:rPr>
          <w:rFonts w:ascii="Times New Roman" w:hAnsi="Times New Roman"/>
        </w:rPr>
        <w:t xml:space="preserve">; Figure </w:t>
      </w:r>
      <w:r w:rsidRPr="00214CA6">
        <w:rPr>
          <w:rFonts w:ascii="Times New Roman" w:hAnsi="Times New Roman"/>
          <w:lang w:eastAsia="ja-JP"/>
        </w:rPr>
        <w:t>NPBSH-1B</w:t>
      </w:r>
      <w:r w:rsidRPr="00214CA6">
        <w:rPr>
          <w:rFonts w:ascii="Times New Roman" w:hAnsi="Times New Roman"/>
        </w:rPr>
        <w:t>).</w:t>
      </w:r>
    </w:p>
    <w:p w14:paraId="65EBE100" w14:textId="77777777" w:rsidR="00761724" w:rsidRDefault="00761724" w:rsidP="00761724">
      <w:pPr>
        <w:pStyle w:val="ListParagraph"/>
        <w:numPr>
          <w:ilvl w:val="0"/>
          <w:numId w:val="199"/>
        </w:numPr>
        <w:adjustRightInd w:val="0"/>
        <w:snapToGrid w:val="0"/>
        <w:ind w:left="900" w:hanging="540"/>
        <w:contextualSpacing w:val="0"/>
        <w:rPr>
          <w:rFonts w:ascii="Times New Roman" w:hAnsi="Times New Roman"/>
          <w:lang w:eastAsia="ja-JP"/>
        </w:rPr>
      </w:pPr>
      <w:r w:rsidRPr="00A175FB">
        <w:rPr>
          <w:rFonts w:ascii="Times New Roman" w:hAnsi="Times New Roman"/>
        </w:rPr>
        <w:t>The recent annual fishing mortality (F</w:t>
      </w:r>
      <w:r w:rsidRPr="00A175FB">
        <w:rPr>
          <w:rFonts w:ascii="Times New Roman" w:hAnsi="Times New Roman"/>
          <w:vertAlign w:val="subscript"/>
        </w:rPr>
        <w:t>2012-2014</w:t>
      </w:r>
      <w:r w:rsidRPr="00A175FB">
        <w:rPr>
          <w:rFonts w:ascii="Times New Roman" w:hAnsi="Times New Roman"/>
        </w:rPr>
        <w:t>) was estimated to be well below F</w:t>
      </w:r>
      <w:r w:rsidRPr="00A175FB">
        <w:rPr>
          <w:rFonts w:ascii="Times New Roman" w:hAnsi="Times New Roman"/>
          <w:vertAlign w:val="subscript"/>
        </w:rPr>
        <w:t>MSY</w:t>
      </w:r>
      <w:r w:rsidRPr="00A175FB">
        <w:rPr>
          <w:rFonts w:ascii="Times New Roman" w:hAnsi="Times New Roman"/>
        </w:rPr>
        <w:t xml:space="preserve"> at approximately 38% of F</w:t>
      </w:r>
      <w:r w:rsidRPr="00A175FB">
        <w:rPr>
          <w:rFonts w:ascii="Times New Roman" w:hAnsi="Times New Roman"/>
          <w:vertAlign w:val="subscript"/>
        </w:rPr>
        <w:t>MSY</w:t>
      </w:r>
      <w:r w:rsidRPr="00A175FB">
        <w:rPr>
          <w:rFonts w:ascii="Times New Roman" w:hAnsi="Times New Roman"/>
        </w:rPr>
        <w:t xml:space="preserve"> (Table </w:t>
      </w:r>
      <w:r w:rsidRPr="00A175FB">
        <w:rPr>
          <w:rFonts w:ascii="Times New Roman" w:hAnsi="Times New Roman"/>
          <w:bCs/>
          <w:lang w:eastAsia="ja-JP"/>
        </w:rPr>
        <w:t>NPBSH-1</w:t>
      </w:r>
      <w:r w:rsidRPr="00A175FB">
        <w:rPr>
          <w:rFonts w:ascii="Times New Roman" w:hAnsi="Times New Roman"/>
        </w:rPr>
        <w:t xml:space="preserve">; Figure </w:t>
      </w:r>
      <w:r w:rsidRPr="00A175FB">
        <w:rPr>
          <w:rFonts w:ascii="Times New Roman" w:hAnsi="Times New Roman"/>
          <w:bCs/>
          <w:lang w:eastAsia="ja-JP"/>
        </w:rPr>
        <w:t>NPBSH-1</w:t>
      </w:r>
      <w:r>
        <w:rPr>
          <w:rFonts w:ascii="Times New Roman" w:hAnsi="Times New Roman"/>
          <w:bCs/>
          <w:lang w:eastAsia="ja-JP"/>
        </w:rPr>
        <w:t>C</w:t>
      </w:r>
      <w:r w:rsidRPr="00A175FB">
        <w:rPr>
          <w:rFonts w:ascii="Times New Roman" w:hAnsi="Times New Roman"/>
        </w:rPr>
        <w:t>).</w:t>
      </w:r>
    </w:p>
    <w:p w14:paraId="65E52AA7" w14:textId="20A8DAD7" w:rsidR="00041666" w:rsidRDefault="00041666" w:rsidP="00761724">
      <w:pPr>
        <w:pStyle w:val="ListParagraph"/>
        <w:numPr>
          <w:ilvl w:val="0"/>
          <w:numId w:val="199"/>
        </w:numPr>
        <w:adjustRightInd w:val="0"/>
        <w:snapToGrid w:val="0"/>
        <w:ind w:left="900" w:hanging="540"/>
        <w:contextualSpacing w:val="0"/>
        <w:rPr>
          <w:rFonts w:ascii="Times New Roman" w:hAnsi="Times New Roman"/>
          <w:lang w:eastAsia="ja-JP"/>
        </w:rPr>
      </w:pPr>
      <w:r w:rsidRPr="00A175FB">
        <w:rPr>
          <w:rFonts w:ascii="Times New Roman" w:hAnsi="Times New Roman"/>
        </w:rPr>
        <w:t xml:space="preserve">The reference run produced terminal conditions that were predominately in the lower right quadrant of the Kobe plot (not overfished and overfishing not occurring) (Figure </w:t>
      </w:r>
      <w:r w:rsidRPr="00A175FB">
        <w:rPr>
          <w:rFonts w:ascii="Times New Roman" w:hAnsi="Times New Roman"/>
          <w:bCs/>
          <w:lang w:eastAsia="ja-JP"/>
        </w:rPr>
        <w:t>NPBSH-</w:t>
      </w:r>
      <w:r>
        <w:rPr>
          <w:rFonts w:ascii="Times New Roman" w:hAnsi="Times New Roman"/>
          <w:bCs/>
          <w:lang w:eastAsia="ja-JP"/>
        </w:rPr>
        <w:t>2</w:t>
      </w:r>
      <w:r w:rsidRPr="00A175FB">
        <w:rPr>
          <w:rFonts w:ascii="Times New Roman" w:hAnsi="Times New Roman"/>
        </w:rPr>
        <w:t>).</w:t>
      </w:r>
    </w:p>
    <w:p w14:paraId="5473ED80" w14:textId="5A2D8DE1" w:rsidR="0014588F" w:rsidRPr="009C2ADD" w:rsidRDefault="0014588F" w:rsidP="00041666">
      <w:pPr>
        <w:autoSpaceDE w:val="0"/>
        <w:autoSpaceDN w:val="0"/>
        <w:adjustRightInd w:val="0"/>
        <w:snapToGrid w:val="0"/>
        <w:spacing w:after="0"/>
        <w:rPr>
          <w:rFonts w:ascii="Times New Roman" w:hAnsi="Times New Roman"/>
          <w:lang w:val="en-AU"/>
        </w:rPr>
      </w:pPr>
    </w:p>
    <w:p w14:paraId="7E6B2143" w14:textId="77777777" w:rsidR="0014588F" w:rsidRPr="009C2ADD" w:rsidRDefault="0014588F" w:rsidP="0014588F">
      <w:pPr>
        <w:pStyle w:val="ListParagraph"/>
        <w:adjustRightInd w:val="0"/>
        <w:snapToGrid w:val="0"/>
        <w:contextualSpacing w:val="0"/>
        <w:rPr>
          <w:rFonts w:ascii="Times New Roman" w:hAnsi="Times New Roman"/>
          <w:b/>
        </w:rPr>
      </w:pPr>
    </w:p>
    <w:p w14:paraId="6EE7F867" w14:textId="77777777" w:rsidR="0014588F" w:rsidRDefault="0014588F" w:rsidP="0014588F">
      <w:pPr>
        <w:pStyle w:val="ListParagraph"/>
        <w:adjustRightInd w:val="0"/>
        <w:snapToGrid w:val="0"/>
        <w:contextualSpacing w:val="0"/>
        <w:rPr>
          <w:rFonts w:ascii="Times New Roman" w:hAnsi="Times New Roman"/>
          <w:b/>
          <w:lang w:eastAsia="ko-KR"/>
        </w:rPr>
      </w:pPr>
    </w:p>
    <w:p w14:paraId="54318B5E" w14:textId="77777777" w:rsidR="0014588F" w:rsidRPr="009C2ADD" w:rsidRDefault="0014588F" w:rsidP="0014588F">
      <w:pPr>
        <w:pStyle w:val="ListParagraph"/>
        <w:adjustRightInd w:val="0"/>
        <w:snapToGrid w:val="0"/>
        <w:contextualSpacing w:val="0"/>
        <w:jc w:val="center"/>
        <w:rPr>
          <w:rFonts w:ascii="Times New Roman" w:hAnsi="Times New Roman"/>
          <w:b/>
          <w:lang w:eastAsia="ko-KR"/>
        </w:rPr>
      </w:pPr>
      <w:r>
        <w:rPr>
          <w:rFonts w:ascii="Times New Roman" w:hAnsi="Times New Roman" w:hint="eastAsia"/>
          <w:b/>
          <w:noProof/>
          <w:lang w:val="en-US" w:eastAsia="ko-KR"/>
        </w:rPr>
        <w:drawing>
          <wp:inline distT="0" distB="0" distL="0" distR="0" wp14:anchorId="6B83782F" wp14:editId="6719E4C5">
            <wp:extent cx="3815662" cy="339455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1 (rev).jpg"/>
                    <pic:cNvPicPr/>
                  </pic:nvPicPr>
                  <pic:blipFill>
                    <a:blip r:embed="rId47">
                      <a:extLst>
                        <a:ext uri="{28A0092B-C50C-407E-A947-70E740481C1C}">
                          <a14:useLocalDpi xmlns:a14="http://schemas.microsoft.com/office/drawing/2010/main" val="0"/>
                        </a:ext>
                      </a:extLst>
                    </a:blip>
                    <a:stretch>
                      <a:fillRect/>
                    </a:stretch>
                  </pic:blipFill>
                  <pic:spPr>
                    <a:xfrm>
                      <a:off x="0" y="0"/>
                      <a:ext cx="3822907" cy="3400998"/>
                    </a:xfrm>
                    <a:prstGeom prst="rect">
                      <a:avLst/>
                    </a:prstGeom>
                  </pic:spPr>
                </pic:pic>
              </a:graphicData>
            </a:graphic>
          </wp:inline>
        </w:drawing>
      </w:r>
    </w:p>
    <w:p w14:paraId="0BBC6A0C" w14:textId="77777777" w:rsidR="0014588F" w:rsidRPr="009C2ADD" w:rsidRDefault="0014588F" w:rsidP="0014588F">
      <w:pPr>
        <w:pStyle w:val="ListParagraph"/>
        <w:adjustRightInd w:val="0"/>
        <w:snapToGrid w:val="0"/>
        <w:ind w:left="1593" w:firstLine="720"/>
        <w:contextualSpacing w:val="0"/>
        <w:jc w:val="center"/>
        <w:rPr>
          <w:rFonts w:ascii="Times New Roman" w:hAnsi="Times New Roman"/>
          <w:b/>
          <w:lang w:eastAsia="ja-JP"/>
        </w:rPr>
      </w:pPr>
    </w:p>
    <w:p w14:paraId="563CFA1E" w14:textId="77777777" w:rsidR="0014588F" w:rsidRPr="009C2ADD" w:rsidRDefault="0014588F" w:rsidP="0014588F">
      <w:pPr>
        <w:pStyle w:val="ListParagraph"/>
        <w:adjustRightInd w:val="0"/>
        <w:snapToGrid w:val="0"/>
        <w:ind w:left="153" w:firstLine="0"/>
        <w:contextualSpacing w:val="0"/>
        <w:jc w:val="left"/>
        <w:rPr>
          <w:rFonts w:ascii="Times New Roman" w:hAnsi="Times New Roman"/>
        </w:rPr>
      </w:pPr>
      <w:r w:rsidRPr="009C2ADD">
        <w:rPr>
          <w:rFonts w:ascii="Times New Roman" w:hAnsi="Times New Roman"/>
          <w:b/>
          <w:lang w:eastAsia="ja-JP"/>
        </w:rPr>
        <w:t xml:space="preserve">Figure NPBSH- 1. </w:t>
      </w:r>
      <w:r w:rsidRPr="0070772D">
        <w:rPr>
          <w:rFonts w:ascii="Times New Roman" w:hAnsi="Times New Roman"/>
        </w:rPr>
        <w:t>Results of the SS stock assessment reference case model: (A) estimated age-0 recruits (circles) and 95% confidence intervals (vertical bars); (B) estimated female spawning biomass and 95% confidence intervals (blue shaded area); (C) estimated fishing mortality (sum of F’s across all fishing fleets). Red solid lines indicate the estimates of SB</w:t>
      </w:r>
      <w:r w:rsidRPr="0070772D">
        <w:rPr>
          <w:rFonts w:ascii="Times New Roman" w:hAnsi="Times New Roman"/>
          <w:vertAlign w:val="subscript"/>
        </w:rPr>
        <w:t>MSY</w:t>
      </w:r>
      <w:r w:rsidRPr="0070772D">
        <w:rPr>
          <w:rFonts w:ascii="Times New Roman" w:hAnsi="Times New Roman"/>
        </w:rPr>
        <w:t xml:space="preserve"> and F</w:t>
      </w:r>
      <w:r w:rsidRPr="0070772D">
        <w:rPr>
          <w:rFonts w:ascii="Times New Roman" w:hAnsi="Times New Roman"/>
          <w:vertAlign w:val="subscript"/>
        </w:rPr>
        <w:t>MSY</w:t>
      </w:r>
      <w:r w:rsidRPr="0070772D">
        <w:rPr>
          <w:rFonts w:ascii="Times New Roman" w:hAnsi="Times New Roman"/>
        </w:rPr>
        <w:t xml:space="preserve"> in (B) and (C), respectively</w:t>
      </w:r>
      <w:r w:rsidRPr="0070772D">
        <w:rPr>
          <w:rFonts w:ascii="Times New Roman" w:hAnsi="Times New Roman"/>
          <w:lang w:eastAsia="ko-KR"/>
        </w:rPr>
        <w:t>.</w:t>
      </w:r>
      <w:r>
        <w:rPr>
          <w:rFonts w:ascii="Times New Roman" w:hAnsi="Times New Roman" w:hint="eastAsia"/>
          <w:lang w:eastAsia="ko-KR"/>
        </w:rPr>
        <w:t xml:space="preserve"> </w:t>
      </w:r>
    </w:p>
    <w:p w14:paraId="7C542DBB" w14:textId="77777777" w:rsidR="0014588F" w:rsidRPr="009C2ADD" w:rsidRDefault="0014588F" w:rsidP="0014588F">
      <w:pPr>
        <w:pStyle w:val="ListParagraph"/>
        <w:adjustRightInd w:val="0"/>
        <w:snapToGrid w:val="0"/>
        <w:ind w:left="153"/>
        <w:contextualSpacing w:val="0"/>
        <w:jc w:val="center"/>
        <w:rPr>
          <w:rFonts w:ascii="Times New Roman" w:hAnsi="Times New Roman"/>
          <w:b/>
          <w:highlight w:val="yellow"/>
        </w:rPr>
      </w:pPr>
    </w:p>
    <w:p w14:paraId="1714882D" w14:textId="77777777" w:rsidR="000B0D15" w:rsidRDefault="000B0D15" w:rsidP="0014588F">
      <w:pPr>
        <w:pStyle w:val="ListParagraph"/>
        <w:adjustRightInd w:val="0"/>
        <w:snapToGrid w:val="0"/>
        <w:ind w:left="0" w:firstLine="0"/>
        <w:contextualSpacing w:val="0"/>
        <w:jc w:val="left"/>
        <w:rPr>
          <w:rFonts w:ascii="Times New Roman" w:hAnsi="Times New Roman"/>
          <w:b/>
          <w:lang w:eastAsia="ja-JP"/>
        </w:rPr>
      </w:pPr>
    </w:p>
    <w:p w14:paraId="1EE94168" w14:textId="77777777" w:rsidR="0014588F" w:rsidRPr="009C2ADD" w:rsidRDefault="0014588F" w:rsidP="0014588F">
      <w:pPr>
        <w:pStyle w:val="ListParagraph"/>
        <w:adjustRightInd w:val="0"/>
        <w:snapToGrid w:val="0"/>
        <w:ind w:left="0" w:firstLine="0"/>
        <w:contextualSpacing w:val="0"/>
        <w:jc w:val="left"/>
        <w:rPr>
          <w:rFonts w:ascii="Times New Roman" w:hAnsi="Times New Roman"/>
          <w:lang w:eastAsia="ja-JP"/>
        </w:rPr>
      </w:pPr>
      <w:proofErr w:type="gramStart"/>
      <w:r w:rsidRPr="009C2ADD">
        <w:rPr>
          <w:rFonts w:ascii="Times New Roman" w:hAnsi="Times New Roman"/>
          <w:b/>
          <w:lang w:eastAsia="ja-JP"/>
        </w:rPr>
        <w:t>Table NPBSH-1.</w:t>
      </w:r>
      <w:proofErr w:type="gramEnd"/>
      <w:r w:rsidRPr="009C2ADD">
        <w:rPr>
          <w:rFonts w:ascii="Times New Roman" w:hAnsi="Times New Roman"/>
          <w:b/>
          <w:lang w:eastAsia="ja-JP"/>
        </w:rPr>
        <w:t xml:space="preserve"> </w:t>
      </w:r>
      <w:proofErr w:type="gramStart"/>
      <w:r w:rsidRPr="0070772D">
        <w:rPr>
          <w:rFonts w:ascii="Times New Roman" w:hAnsi="Times New Roman"/>
        </w:rPr>
        <w:t>Estimates of key management quantities for the North Pacific blue shark SS stock assessment reference case model and the range of values for 13 sensitivity runs.</w:t>
      </w:r>
      <w:proofErr w:type="gramEnd"/>
    </w:p>
    <w:p w14:paraId="757EE4C1" w14:textId="1FA3C4D0" w:rsidR="0014588F" w:rsidRDefault="00214CA6" w:rsidP="00007081">
      <w:pPr>
        <w:pStyle w:val="ListParagraph"/>
        <w:adjustRightInd w:val="0"/>
        <w:snapToGrid w:val="0"/>
        <w:ind w:left="0" w:firstLine="360"/>
        <w:contextualSpacing w:val="0"/>
        <w:jc w:val="left"/>
        <w:rPr>
          <w:rFonts w:ascii="Times New Roman" w:hAnsi="Times New Roman"/>
          <w:b/>
          <w:highlight w:val="yellow"/>
          <w:lang w:eastAsia="ko-KR"/>
        </w:rPr>
      </w:pPr>
      <w:r>
        <w:rPr>
          <w:rFonts w:ascii="Times New Roman" w:hAnsi="Times New Roman"/>
          <w:b/>
          <w:highlight w:val="yellow"/>
          <w:lang w:eastAsia="ko-KR"/>
        </w:rPr>
        <w:br w:type="textWrapping" w:clear="all"/>
      </w:r>
    </w:p>
    <w:p w14:paraId="4442B187" w14:textId="0FBD31AF" w:rsidR="00214CA6" w:rsidRDefault="00214CA6" w:rsidP="0014588F">
      <w:pPr>
        <w:pStyle w:val="ListParagraph"/>
        <w:adjustRightInd w:val="0"/>
        <w:snapToGrid w:val="0"/>
        <w:ind w:left="0" w:firstLine="360"/>
        <w:contextualSpacing w:val="0"/>
        <w:jc w:val="center"/>
        <w:rPr>
          <w:rFonts w:ascii="Times New Roman" w:hAnsi="Times New Roman"/>
          <w:b/>
          <w:highlight w:val="yellow"/>
          <w:lang w:eastAsia="ko-KR"/>
        </w:rPr>
      </w:pPr>
      <w:r>
        <w:rPr>
          <w:rFonts w:ascii="Times New Roman" w:hAnsi="Times New Roman"/>
          <w:b/>
          <w:noProof/>
          <w:lang w:val="en-US" w:eastAsia="ko-KR"/>
        </w:rPr>
        <w:drawing>
          <wp:inline distT="0" distB="0" distL="0" distR="0" wp14:anchorId="6827B75A" wp14:editId="36202508">
            <wp:extent cx="3248025" cy="2166855"/>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52510" cy="2169847"/>
                    </a:xfrm>
                    <a:prstGeom prst="rect">
                      <a:avLst/>
                    </a:prstGeom>
                    <a:noFill/>
                    <a:ln>
                      <a:noFill/>
                    </a:ln>
                  </pic:spPr>
                </pic:pic>
              </a:graphicData>
            </a:graphic>
          </wp:inline>
        </w:drawing>
      </w:r>
    </w:p>
    <w:p w14:paraId="201AC63D" w14:textId="77777777" w:rsidR="0014588F" w:rsidRPr="009C2ADD" w:rsidRDefault="0014588F" w:rsidP="0014588F">
      <w:pPr>
        <w:pStyle w:val="ListParagraph"/>
        <w:adjustRightInd w:val="0"/>
        <w:snapToGrid w:val="0"/>
        <w:ind w:left="0" w:firstLine="360"/>
        <w:contextualSpacing w:val="0"/>
        <w:jc w:val="center"/>
        <w:rPr>
          <w:rFonts w:ascii="Times New Roman" w:hAnsi="Times New Roman"/>
          <w:b/>
          <w:highlight w:val="yellow"/>
          <w:lang w:eastAsia="ko-KR"/>
        </w:rPr>
      </w:pPr>
    </w:p>
    <w:p w14:paraId="63FB06D5" w14:textId="77777777" w:rsidR="0014588F" w:rsidRPr="009C2ADD" w:rsidRDefault="0014588F" w:rsidP="0014588F">
      <w:pPr>
        <w:pStyle w:val="ListParagraph"/>
        <w:adjustRightInd w:val="0"/>
        <w:snapToGrid w:val="0"/>
        <w:ind w:left="0"/>
        <w:contextualSpacing w:val="0"/>
        <w:jc w:val="center"/>
        <w:rPr>
          <w:rFonts w:ascii="Times New Roman" w:hAnsi="Times New Roman"/>
        </w:rPr>
      </w:pPr>
    </w:p>
    <w:p w14:paraId="30420534" w14:textId="77777777" w:rsidR="0014588F" w:rsidRPr="009C2ADD" w:rsidRDefault="0014588F" w:rsidP="0014588F">
      <w:pPr>
        <w:pStyle w:val="ListParagraph"/>
        <w:adjustRightInd w:val="0"/>
        <w:snapToGrid w:val="0"/>
        <w:ind w:left="0"/>
        <w:contextualSpacing w:val="0"/>
        <w:jc w:val="center"/>
        <w:rPr>
          <w:rFonts w:ascii="Times New Roman" w:hAnsi="Times New Roman"/>
        </w:rPr>
      </w:pPr>
      <w:r>
        <w:rPr>
          <w:rFonts w:ascii="Times New Roman" w:hAnsi="Times New Roman"/>
          <w:noProof/>
          <w:lang w:val="en-US" w:eastAsia="ko-KR"/>
        </w:rPr>
        <w:drawing>
          <wp:inline distT="0" distB="0" distL="0" distR="0" wp14:anchorId="14490356" wp14:editId="6605D461">
            <wp:extent cx="3755593" cy="3269293"/>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2.jpg"/>
                    <pic:cNvPicPr/>
                  </pic:nvPicPr>
                  <pic:blipFill>
                    <a:blip r:embed="rId49">
                      <a:extLst>
                        <a:ext uri="{28A0092B-C50C-407E-A947-70E740481C1C}">
                          <a14:useLocalDpi xmlns:a14="http://schemas.microsoft.com/office/drawing/2010/main" val="0"/>
                        </a:ext>
                      </a:extLst>
                    </a:blip>
                    <a:stretch>
                      <a:fillRect/>
                    </a:stretch>
                  </pic:blipFill>
                  <pic:spPr>
                    <a:xfrm>
                      <a:off x="0" y="0"/>
                      <a:ext cx="3763564" cy="3276232"/>
                    </a:xfrm>
                    <a:prstGeom prst="rect">
                      <a:avLst/>
                    </a:prstGeom>
                  </pic:spPr>
                </pic:pic>
              </a:graphicData>
            </a:graphic>
          </wp:inline>
        </w:drawing>
      </w:r>
    </w:p>
    <w:p w14:paraId="6FCE5DFA" w14:textId="79C0515C" w:rsidR="0014588F" w:rsidRPr="009C2ADD" w:rsidRDefault="0014588F" w:rsidP="0014588F">
      <w:pPr>
        <w:pStyle w:val="ListParagraph"/>
        <w:adjustRightInd w:val="0"/>
        <w:snapToGrid w:val="0"/>
        <w:ind w:left="0" w:firstLine="0"/>
        <w:contextualSpacing w:val="0"/>
        <w:jc w:val="left"/>
        <w:rPr>
          <w:rFonts w:ascii="Times New Roman" w:hAnsi="Times New Roman"/>
        </w:rPr>
      </w:pPr>
      <w:r w:rsidRPr="009C2ADD">
        <w:rPr>
          <w:rFonts w:ascii="Times New Roman" w:hAnsi="Times New Roman"/>
          <w:b/>
          <w:lang w:eastAsia="ja-JP"/>
        </w:rPr>
        <w:t xml:space="preserve">Figure NPBSH- 2.  </w:t>
      </w:r>
      <w:proofErr w:type="gramStart"/>
      <w:r w:rsidRPr="0070772D">
        <w:rPr>
          <w:rFonts w:ascii="Times New Roman" w:hAnsi="Times New Roman"/>
        </w:rPr>
        <w:t>Kobe plot of the trends in estimates of relative fishing mortality and spawning biomass of North Pacific blue shark between 1971</w:t>
      </w:r>
      <w:r w:rsidRPr="005F3171">
        <w:rPr>
          <w:rFonts w:ascii="Cambria Math" w:hAnsi="Cambria Math" w:cs="Cambria Math"/>
        </w:rPr>
        <w:t>‐</w:t>
      </w:r>
      <w:r w:rsidRPr="0070772D">
        <w:rPr>
          <w:rFonts w:ascii="Times New Roman" w:hAnsi="Times New Roman"/>
        </w:rPr>
        <w:t xml:space="preserve">2015 for the reference case </w:t>
      </w:r>
      <w:r w:rsidR="00214CA6">
        <w:rPr>
          <w:rFonts w:ascii="Times New Roman" w:hAnsi="Times New Roman"/>
        </w:rPr>
        <w:t xml:space="preserve">of the SS </w:t>
      </w:r>
      <w:r w:rsidRPr="0070772D">
        <w:rPr>
          <w:rFonts w:ascii="Times New Roman" w:hAnsi="Times New Roman"/>
        </w:rPr>
        <w:t>stock assessment model.</w:t>
      </w:r>
      <w:proofErr w:type="gramEnd"/>
    </w:p>
    <w:p w14:paraId="5AF8219A" w14:textId="77777777" w:rsidR="0014588F" w:rsidRPr="009C2ADD" w:rsidRDefault="0014588F" w:rsidP="0014588F">
      <w:pPr>
        <w:pStyle w:val="Heading7"/>
        <w:adjustRightInd w:val="0"/>
        <w:snapToGrid w:val="0"/>
        <w:spacing w:before="0"/>
        <w:jc w:val="center"/>
        <w:rPr>
          <w:rFonts w:ascii="Times New Roman" w:hAnsi="Times New Roman"/>
          <w:i w:val="0"/>
          <w:color w:val="auto"/>
        </w:rPr>
      </w:pPr>
    </w:p>
    <w:p w14:paraId="7C2DEC6E" w14:textId="77777777" w:rsidR="0014588F" w:rsidRPr="009C2ADD" w:rsidRDefault="0014588F" w:rsidP="0014588F">
      <w:pPr>
        <w:pStyle w:val="ListParagraph"/>
        <w:numPr>
          <w:ilvl w:val="0"/>
          <w:numId w:val="34"/>
        </w:numPr>
        <w:adjustRightInd w:val="0"/>
        <w:snapToGrid w:val="0"/>
        <w:ind w:left="0" w:firstLine="0"/>
        <w:contextualSpacing w:val="0"/>
        <w:jc w:val="left"/>
        <w:rPr>
          <w:rFonts w:ascii="Times New Roman" w:eastAsia="바탕" w:hAnsi="Times New Roman"/>
          <w:b/>
          <w:lang w:eastAsia="ko-KR"/>
        </w:rPr>
      </w:pPr>
      <w:r w:rsidRPr="009C2ADD">
        <w:rPr>
          <w:rFonts w:ascii="Times New Roman" w:eastAsia="바탕" w:hAnsi="Times New Roman"/>
          <w:b/>
          <w:lang w:eastAsia="ko-KR"/>
        </w:rPr>
        <w:t>Management advice and implications</w:t>
      </w:r>
    </w:p>
    <w:p w14:paraId="08D42FDA" w14:textId="77777777" w:rsidR="0014588F" w:rsidRPr="009C2ADD" w:rsidRDefault="0014588F" w:rsidP="0014588F">
      <w:pPr>
        <w:pStyle w:val="WCPFC"/>
        <w:numPr>
          <w:ilvl w:val="0"/>
          <w:numId w:val="0"/>
        </w:numPr>
        <w:adjustRightInd w:val="0"/>
        <w:spacing w:after="0"/>
        <w:jc w:val="left"/>
        <w:rPr>
          <w:b/>
        </w:rPr>
      </w:pPr>
    </w:p>
    <w:p w14:paraId="4F3C634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the following conservation information from ISC.</w:t>
      </w:r>
    </w:p>
    <w:p w14:paraId="5AB9BDFC"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22BA5DEA" w14:textId="58B259E1"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Target and limit reference points have not yet been established for pelagic sharks </w:t>
      </w:r>
      <w:r w:rsidR="00214CA6">
        <w:rPr>
          <w:rFonts w:ascii="Times New Roman" w:hAnsi="Times New Roman"/>
          <w:lang w:val="en-AU"/>
        </w:rPr>
        <w:t xml:space="preserve">by the WCPFC </w:t>
      </w:r>
      <w:r w:rsidR="009B5FA6">
        <w:rPr>
          <w:rFonts w:ascii="Times New Roman" w:hAnsi="Times New Roman"/>
          <w:lang w:val="en-AU"/>
        </w:rPr>
        <w:t>or the</w:t>
      </w:r>
      <w:r w:rsidR="00214CA6">
        <w:rPr>
          <w:rFonts w:ascii="Times New Roman" w:hAnsi="Times New Roman"/>
          <w:lang w:val="en-AU"/>
        </w:rPr>
        <w:t xml:space="preserve"> IATTC, </w:t>
      </w:r>
      <w:r w:rsidR="00214CA6" w:rsidRPr="005A59F0">
        <w:rPr>
          <w:rFonts w:ascii="Times New Roman" w:hAnsi="Times New Roman"/>
        </w:rPr>
        <w:t>the organizations responsible for management of pelagic sharks caught in international fisheries for tuna and tuna-like species</w:t>
      </w:r>
      <w:r w:rsidR="00214CA6">
        <w:rPr>
          <w:rFonts w:ascii="Times New Roman" w:hAnsi="Times New Roman"/>
          <w:lang w:val="en-AU"/>
        </w:rPr>
        <w:t xml:space="preserve"> </w:t>
      </w:r>
      <w:r w:rsidRPr="009C2ADD">
        <w:rPr>
          <w:rFonts w:ascii="Times New Roman" w:hAnsi="Times New Roman"/>
          <w:lang w:val="en-AU"/>
        </w:rPr>
        <w:t>in the Pacific</w:t>
      </w:r>
      <w:r w:rsidR="00214CA6">
        <w:rPr>
          <w:rFonts w:ascii="Times New Roman" w:hAnsi="Times New Roman"/>
          <w:lang w:val="en-AU"/>
        </w:rPr>
        <w:t xml:space="preserve"> Ocean</w:t>
      </w:r>
      <w:r w:rsidRPr="009C2ADD">
        <w:rPr>
          <w:rFonts w:ascii="Times New Roman" w:hAnsi="Times New Roman"/>
          <w:lang w:val="en-AU"/>
        </w:rPr>
        <w:t xml:space="preserve">. </w:t>
      </w:r>
    </w:p>
    <w:p w14:paraId="62B1AD07"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5547C946" w14:textId="35C8047F" w:rsidR="0014588F" w:rsidRPr="009C2ADD" w:rsidRDefault="00214CA6" w:rsidP="0014588F">
      <w:pPr>
        <w:numPr>
          <w:ilvl w:val="0"/>
          <w:numId w:val="1"/>
        </w:numPr>
        <w:autoSpaceDE w:val="0"/>
        <w:autoSpaceDN w:val="0"/>
        <w:adjustRightInd w:val="0"/>
        <w:snapToGrid w:val="0"/>
        <w:spacing w:after="0"/>
        <w:ind w:left="0" w:firstLine="0"/>
        <w:rPr>
          <w:rFonts w:ascii="Times New Roman" w:hAnsi="Times New Roman"/>
          <w:lang w:val="en-AU"/>
        </w:rPr>
      </w:pPr>
      <w:r w:rsidRPr="005A59F0">
        <w:rPr>
          <w:rFonts w:ascii="Times New Roman" w:hAnsi="Times New Roman"/>
        </w:rPr>
        <w:t>The 2015 SSB exceeds SSB</w:t>
      </w:r>
      <w:r w:rsidRPr="005A59F0">
        <w:rPr>
          <w:rFonts w:ascii="Times New Roman" w:hAnsi="Times New Roman"/>
          <w:vertAlign w:val="subscript"/>
        </w:rPr>
        <w:t>MSY</w:t>
      </w:r>
      <w:r w:rsidRPr="005A59F0">
        <w:rPr>
          <w:rFonts w:ascii="Times New Roman" w:hAnsi="Times New Roman"/>
        </w:rPr>
        <w:t xml:space="preserve"> and F</w:t>
      </w:r>
      <w:r w:rsidRPr="005A59F0">
        <w:rPr>
          <w:rFonts w:ascii="Times New Roman" w:hAnsi="Times New Roman"/>
          <w:vertAlign w:val="subscript"/>
        </w:rPr>
        <w:t>2012-2014</w:t>
      </w:r>
      <w:r w:rsidRPr="005A59F0">
        <w:rPr>
          <w:rFonts w:ascii="Times New Roman" w:hAnsi="Times New Roman"/>
        </w:rPr>
        <w:t xml:space="preserve"> is below F</w:t>
      </w:r>
      <w:r w:rsidRPr="005A59F0">
        <w:rPr>
          <w:rFonts w:ascii="Times New Roman" w:hAnsi="Times New Roman"/>
          <w:vertAlign w:val="subscript"/>
        </w:rPr>
        <w:t>MSY</w:t>
      </w:r>
      <w:r w:rsidRPr="005A59F0">
        <w:rPr>
          <w:rFonts w:ascii="Times New Roman" w:hAnsi="Times New Roman"/>
        </w:rPr>
        <w:t>.</w:t>
      </w:r>
      <w:r w:rsidRPr="00C846BA">
        <w:t xml:space="preserve"> </w:t>
      </w:r>
      <w:r w:rsidR="0014588F" w:rsidRPr="009C2ADD">
        <w:rPr>
          <w:rFonts w:ascii="Times New Roman" w:hAnsi="Times New Roman"/>
          <w:lang w:val="en-AU"/>
        </w:rPr>
        <w:t>Future projections under different fishing mortality (F) harvest policies (status quo, +20%, -20%, F</w:t>
      </w:r>
      <w:r w:rsidR="0014588F" w:rsidRPr="00104C78">
        <w:rPr>
          <w:rFonts w:ascii="Times New Roman" w:hAnsi="Times New Roman"/>
          <w:vertAlign w:val="subscript"/>
          <w:lang w:val="en-AU"/>
        </w:rPr>
        <w:t>MSY</w:t>
      </w:r>
      <w:r w:rsidR="0014588F" w:rsidRPr="009C2ADD">
        <w:rPr>
          <w:rFonts w:ascii="Times New Roman" w:hAnsi="Times New Roman"/>
          <w:lang w:val="en-AU"/>
        </w:rPr>
        <w:t>) show that median BSH biomass in the North Pacific will likely remain above B</w:t>
      </w:r>
      <w:r w:rsidR="0014588F" w:rsidRPr="00104C78">
        <w:rPr>
          <w:rFonts w:ascii="Times New Roman" w:hAnsi="Times New Roman"/>
          <w:vertAlign w:val="subscript"/>
          <w:lang w:val="en-AU"/>
        </w:rPr>
        <w:t>MSY</w:t>
      </w:r>
      <w:r w:rsidR="0014588F" w:rsidRPr="009C2ADD">
        <w:rPr>
          <w:rFonts w:ascii="Times New Roman" w:hAnsi="Times New Roman"/>
          <w:lang w:val="en-AU"/>
        </w:rPr>
        <w:t xml:space="preserve"> in the foreseeable future (</w:t>
      </w:r>
      <w:r w:rsidR="0014588F" w:rsidRPr="0070772D">
        <w:rPr>
          <w:rFonts w:ascii="Times New Roman" w:hAnsi="Times New Roman"/>
          <w:bCs/>
          <w:lang w:val="en-AU"/>
        </w:rPr>
        <w:t>Table NPBSH-2; Figure NPBSH-3</w:t>
      </w:r>
      <w:r w:rsidR="0014588F" w:rsidRPr="009C2ADD">
        <w:rPr>
          <w:rFonts w:ascii="Times New Roman" w:hAnsi="Times New Roman"/>
          <w:lang w:val="en-AU"/>
        </w:rPr>
        <w:t>).</w:t>
      </w:r>
      <w:r>
        <w:rPr>
          <w:rFonts w:ascii="Times New Roman" w:hAnsi="Times New Roman"/>
          <w:lang w:val="en-AU"/>
        </w:rPr>
        <w:t xml:space="preserve"> </w:t>
      </w:r>
      <w:r w:rsidRPr="005A59F0">
        <w:rPr>
          <w:rFonts w:ascii="Times New Roman" w:hAnsi="Times New Roman"/>
        </w:rPr>
        <w:t>Other potential reference points were not considered in these evaluations.</w:t>
      </w:r>
    </w:p>
    <w:p w14:paraId="3E015334" w14:textId="77777777" w:rsidR="0014588F" w:rsidRDefault="0014588F" w:rsidP="0014588F">
      <w:pPr>
        <w:pStyle w:val="WCPFC"/>
        <w:numPr>
          <w:ilvl w:val="0"/>
          <w:numId w:val="0"/>
        </w:numPr>
        <w:adjustRightInd w:val="0"/>
        <w:spacing w:after="0"/>
        <w:jc w:val="left"/>
        <w:rPr>
          <w:b/>
          <w:lang w:eastAsia="ja-JP"/>
        </w:rPr>
      </w:pPr>
    </w:p>
    <w:p w14:paraId="6E39B09E" w14:textId="77777777" w:rsidR="00EA5F74" w:rsidRDefault="00EA5F74">
      <w:pPr>
        <w:spacing w:after="0"/>
        <w:jc w:val="left"/>
        <w:rPr>
          <w:rFonts w:ascii="Times New Roman" w:hAnsi="Times New Roman"/>
          <w:b/>
          <w:lang w:eastAsia="ja-JP"/>
        </w:rPr>
      </w:pPr>
      <w:r>
        <w:rPr>
          <w:b/>
          <w:lang w:eastAsia="ja-JP"/>
        </w:rPr>
        <w:br w:type="page"/>
      </w:r>
    </w:p>
    <w:p w14:paraId="53E1C463" w14:textId="3BEF8121" w:rsidR="0014588F" w:rsidRDefault="0014588F" w:rsidP="0014588F">
      <w:pPr>
        <w:pStyle w:val="WCPFC"/>
        <w:numPr>
          <w:ilvl w:val="0"/>
          <w:numId w:val="0"/>
        </w:numPr>
        <w:adjustRightInd w:val="0"/>
        <w:spacing w:after="0"/>
        <w:jc w:val="left"/>
        <w:rPr>
          <w:lang w:eastAsia="ko-KR"/>
        </w:rPr>
      </w:pPr>
      <w:proofErr w:type="gramStart"/>
      <w:r w:rsidRPr="009C2ADD">
        <w:rPr>
          <w:b/>
          <w:lang w:eastAsia="ja-JP"/>
        </w:rPr>
        <w:t xml:space="preserve">Table </w:t>
      </w:r>
      <w:r w:rsidRPr="009C2ADD">
        <w:rPr>
          <w:b/>
          <w:lang w:eastAsia="ko-KR"/>
        </w:rPr>
        <w:t>NPBSH-2.</w:t>
      </w:r>
      <w:proofErr w:type="gramEnd"/>
      <w:r w:rsidRPr="009C2ADD">
        <w:rPr>
          <w:b/>
          <w:lang w:eastAsia="ja-JP"/>
        </w:rPr>
        <w:t xml:space="preserve"> </w:t>
      </w:r>
      <w:proofErr w:type="gramStart"/>
      <w:r>
        <w:t>Projected trajectory of spawning biomass (in metric tons) for alternative harvest scenarios.</w:t>
      </w:r>
      <w:proofErr w:type="gramEnd"/>
    </w:p>
    <w:p w14:paraId="1737E348" w14:textId="77777777" w:rsidR="0014588F" w:rsidRPr="009C2ADD" w:rsidRDefault="0014588F" w:rsidP="0014588F">
      <w:pPr>
        <w:pStyle w:val="WCPFC"/>
        <w:numPr>
          <w:ilvl w:val="0"/>
          <w:numId w:val="0"/>
        </w:numPr>
        <w:adjustRightInd w:val="0"/>
        <w:spacing w:after="0"/>
        <w:jc w:val="center"/>
        <w:rPr>
          <w:lang w:eastAsia="ko-KR"/>
        </w:rPr>
      </w:pPr>
      <w:r>
        <w:rPr>
          <w:rFonts w:hint="eastAsia"/>
          <w:noProof/>
          <w:lang w:val="en-US" w:eastAsia="ko-KR"/>
        </w:rPr>
        <w:drawing>
          <wp:inline distT="0" distB="0" distL="0" distR="0" wp14:anchorId="53A698F9" wp14:editId="39475D5A">
            <wp:extent cx="4727275" cy="1833839"/>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NPBSH-2.jpg"/>
                    <pic:cNvPicPr/>
                  </pic:nvPicPr>
                  <pic:blipFill>
                    <a:blip r:embed="rId50">
                      <a:extLst>
                        <a:ext uri="{28A0092B-C50C-407E-A947-70E740481C1C}">
                          <a14:useLocalDpi xmlns:a14="http://schemas.microsoft.com/office/drawing/2010/main" val="0"/>
                        </a:ext>
                      </a:extLst>
                    </a:blip>
                    <a:stretch>
                      <a:fillRect/>
                    </a:stretch>
                  </pic:blipFill>
                  <pic:spPr>
                    <a:xfrm>
                      <a:off x="0" y="0"/>
                      <a:ext cx="4727275" cy="1833839"/>
                    </a:xfrm>
                    <a:prstGeom prst="rect">
                      <a:avLst/>
                    </a:prstGeom>
                  </pic:spPr>
                </pic:pic>
              </a:graphicData>
            </a:graphic>
          </wp:inline>
        </w:drawing>
      </w:r>
    </w:p>
    <w:p w14:paraId="56170869" w14:textId="77777777" w:rsidR="0014588F" w:rsidRPr="009C2ADD" w:rsidRDefault="0014588F" w:rsidP="0014588F">
      <w:pPr>
        <w:pStyle w:val="WCPFC"/>
        <w:numPr>
          <w:ilvl w:val="0"/>
          <w:numId w:val="0"/>
        </w:numPr>
        <w:adjustRightInd w:val="0"/>
        <w:spacing w:after="0"/>
        <w:jc w:val="center"/>
        <w:rPr>
          <w:b/>
          <w:highlight w:val="yellow"/>
          <w:lang w:eastAsia="ja-JP"/>
        </w:rPr>
      </w:pPr>
    </w:p>
    <w:p w14:paraId="4CAA9A62" w14:textId="77777777" w:rsidR="0014588F" w:rsidRDefault="0014588F" w:rsidP="0014588F">
      <w:pPr>
        <w:pStyle w:val="WCPFC"/>
        <w:numPr>
          <w:ilvl w:val="0"/>
          <w:numId w:val="0"/>
        </w:numPr>
        <w:adjustRightInd w:val="0"/>
        <w:spacing w:after="0"/>
        <w:jc w:val="center"/>
        <w:rPr>
          <w:b/>
          <w:highlight w:val="yellow"/>
          <w:lang w:eastAsia="ko-KR"/>
        </w:rPr>
      </w:pPr>
    </w:p>
    <w:p w14:paraId="47F16D34" w14:textId="77777777" w:rsidR="0014588F" w:rsidRPr="009C2ADD" w:rsidRDefault="0014588F" w:rsidP="0014588F">
      <w:pPr>
        <w:pStyle w:val="WCPFC"/>
        <w:numPr>
          <w:ilvl w:val="0"/>
          <w:numId w:val="0"/>
        </w:numPr>
        <w:adjustRightInd w:val="0"/>
        <w:spacing w:after="0"/>
        <w:jc w:val="center"/>
        <w:rPr>
          <w:b/>
          <w:highlight w:val="yellow"/>
          <w:lang w:eastAsia="ko-KR"/>
        </w:rPr>
      </w:pPr>
      <w:r>
        <w:rPr>
          <w:rFonts w:hint="eastAsia"/>
          <w:b/>
          <w:noProof/>
          <w:lang w:val="en-US" w:eastAsia="ko-KR"/>
        </w:rPr>
        <w:drawing>
          <wp:inline distT="0" distB="0" distL="0" distR="0" wp14:anchorId="01D517D2" wp14:editId="3B5731C8">
            <wp:extent cx="4897640" cy="27274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3.jpg"/>
                    <pic:cNvPicPr/>
                  </pic:nvPicPr>
                  <pic:blipFill>
                    <a:blip r:embed="rId51">
                      <a:extLst>
                        <a:ext uri="{28A0092B-C50C-407E-A947-70E740481C1C}">
                          <a14:useLocalDpi xmlns:a14="http://schemas.microsoft.com/office/drawing/2010/main" val="0"/>
                        </a:ext>
                      </a:extLst>
                    </a:blip>
                    <a:stretch>
                      <a:fillRect/>
                    </a:stretch>
                  </pic:blipFill>
                  <pic:spPr>
                    <a:xfrm>
                      <a:off x="0" y="0"/>
                      <a:ext cx="4910433" cy="2734559"/>
                    </a:xfrm>
                    <a:prstGeom prst="rect">
                      <a:avLst/>
                    </a:prstGeom>
                  </pic:spPr>
                </pic:pic>
              </a:graphicData>
            </a:graphic>
          </wp:inline>
        </w:drawing>
      </w:r>
    </w:p>
    <w:p w14:paraId="13F7484C" w14:textId="77777777" w:rsidR="0014588F" w:rsidRPr="009C2ADD" w:rsidRDefault="0014588F" w:rsidP="0014588F">
      <w:pPr>
        <w:pStyle w:val="WCPFC"/>
        <w:numPr>
          <w:ilvl w:val="0"/>
          <w:numId w:val="0"/>
        </w:numPr>
        <w:adjustRightInd w:val="0"/>
        <w:spacing w:after="0"/>
        <w:rPr>
          <w:lang w:eastAsia="ja-JP"/>
        </w:rPr>
      </w:pPr>
      <w:r w:rsidRPr="009C2ADD">
        <w:rPr>
          <w:b/>
          <w:lang w:eastAsia="ja-JP"/>
        </w:rPr>
        <w:t xml:space="preserve">Figure NPBSH-3.  </w:t>
      </w:r>
      <w:r>
        <w:t>Comparison of future projected blue shark spawning biomass under different F harvest policies (status quo, +20%, -20%, and F</w:t>
      </w:r>
      <w:r w:rsidRPr="00104C78">
        <w:rPr>
          <w:vertAlign w:val="subscript"/>
          <w:lang w:val="en-AU"/>
        </w:rPr>
        <w:t>MSY</w:t>
      </w:r>
      <w:r>
        <w:t>) using the SS reference case model. Status quo fishing mortality was based on the average from 2012-2014.</w:t>
      </w:r>
    </w:p>
    <w:p w14:paraId="109D4E60" w14:textId="77777777" w:rsidR="0014588F" w:rsidRPr="009C2ADD" w:rsidRDefault="0014588F" w:rsidP="0014588F">
      <w:pPr>
        <w:pStyle w:val="WCPFC"/>
        <w:numPr>
          <w:ilvl w:val="0"/>
          <w:numId w:val="0"/>
        </w:numPr>
        <w:adjustRightInd w:val="0"/>
        <w:spacing w:after="0"/>
        <w:jc w:val="center"/>
        <w:rPr>
          <w:lang w:eastAsia="ja-JP"/>
        </w:rPr>
      </w:pPr>
    </w:p>
    <w:p w14:paraId="7DD46647"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28" w:name="_Toc498688639"/>
      <w:r w:rsidRPr="009C2ADD">
        <w:rPr>
          <w:rFonts w:ascii="Times New Roman" w:eastAsia="바탕" w:hAnsi="Times New Roman" w:cs="Times New Roman"/>
          <w:lang w:eastAsia="ko-KR"/>
        </w:rPr>
        <w:t xml:space="preserve">4.3.5 </w:t>
      </w:r>
      <w:r w:rsidRPr="009C2ADD">
        <w:rPr>
          <w:rFonts w:ascii="Times New Roman" w:eastAsia="바탕" w:hAnsi="Times New Roman" w:cs="Times New Roman"/>
          <w:lang w:eastAsia="ko-KR"/>
        </w:rPr>
        <w:tab/>
        <w:t>North Pacific shortfin mako</w:t>
      </w:r>
      <w:r w:rsidRPr="009C2ADD">
        <w:rPr>
          <w:rFonts w:ascii="Times New Roman" w:eastAsia="Times New Roman" w:hAnsi="Times New Roman" w:cs="Times New Roman"/>
          <w:lang w:eastAsia="ko-KR"/>
        </w:rPr>
        <w:t xml:space="preserve"> </w:t>
      </w:r>
      <w:r w:rsidRPr="009C2ADD">
        <w:rPr>
          <w:rFonts w:ascii="Times New Roman" w:eastAsia="MS Mincho" w:hAnsi="Times New Roman" w:cs="Times New Roman"/>
          <w:lang w:eastAsia="ja-JP"/>
        </w:rPr>
        <w:t>(</w:t>
      </w:r>
      <w:r w:rsidRPr="009C2ADD">
        <w:rPr>
          <w:rFonts w:ascii="Times New Roman" w:eastAsia="MS Mincho" w:hAnsi="Times New Roman" w:cs="Times New Roman"/>
          <w:i/>
          <w:lang w:eastAsia="ja-JP"/>
        </w:rPr>
        <w:t>Isurus oxyrinchus</w:t>
      </w:r>
      <w:r w:rsidRPr="009C2ADD">
        <w:rPr>
          <w:rFonts w:ascii="Times New Roman" w:eastAsia="MS Mincho" w:hAnsi="Times New Roman" w:cs="Times New Roman"/>
          <w:lang w:eastAsia="ja-JP"/>
        </w:rPr>
        <w:t>)</w:t>
      </w:r>
      <w:bookmarkEnd w:id="28"/>
    </w:p>
    <w:p w14:paraId="5864B4D7" w14:textId="77777777" w:rsidR="0014588F" w:rsidRPr="009C2ADD" w:rsidRDefault="0014588F" w:rsidP="0014588F">
      <w:pPr>
        <w:adjustRightInd w:val="0"/>
        <w:snapToGrid w:val="0"/>
        <w:spacing w:after="0"/>
        <w:rPr>
          <w:rFonts w:ascii="Times New Roman" w:hAnsi="Times New Roman"/>
          <w:lang w:eastAsia="ko-KR"/>
        </w:rPr>
      </w:pPr>
    </w:p>
    <w:p w14:paraId="4FFB3F2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ISC conducted an indicator analysis in 2015 and a full assessment is planned in 2018. There was no new information. </w:t>
      </w:r>
    </w:p>
    <w:p w14:paraId="74B3811A"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230BC36E" w14:textId="77777777" w:rsidR="0014588F" w:rsidRPr="009C2ADD" w:rsidRDefault="0014588F" w:rsidP="0014588F">
      <w:pPr>
        <w:pStyle w:val="ListParagraph"/>
        <w:numPr>
          <w:ilvl w:val="0"/>
          <w:numId w:val="35"/>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Stock status and trends</w:t>
      </w:r>
    </w:p>
    <w:p w14:paraId="155510EE" w14:textId="77777777" w:rsidR="0014588F" w:rsidRPr="009C2ADD" w:rsidRDefault="0014588F" w:rsidP="0014588F">
      <w:pPr>
        <w:pStyle w:val="WCPFC"/>
        <w:numPr>
          <w:ilvl w:val="0"/>
          <w:numId w:val="0"/>
        </w:numPr>
        <w:adjustRightInd w:val="0"/>
        <w:spacing w:after="0"/>
        <w:ind w:left="567"/>
      </w:pPr>
    </w:p>
    <w:p w14:paraId="7B77364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is no existing stock assessment for North Pacific shortfin mako shark.</w:t>
      </w:r>
    </w:p>
    <w:p w14:paraId="27693382" w14:textId="77777777" w:rsidR="0014588F" w:rsidRPr="009C2ADD" w:rsidRDefault="0014588F" w:rsidP="0014588F">
      <w:pPr>
        <w:pStyle w:val="WCPFC"/>
        <w:numPr>
          <w:ilvl w:val="0"/>
          <w:numId w:val="0"/>
        </w:numPr>
        <w:adjustRightInd w:val="0"/>
        <w:spacing w:after="0"/>
        <w:rPr>
          <w:b/>
        </w:rPr>
      </w:pPr>
    </w:p>
    <w:p w14:paraId="09E9B841" w14:textId="77777777" w:rsidR="0014588F" w:rsidRPr="009C2ADD" w:rsidRDefault="0014588F" w:rsidP="0014588F">
      <w:pPr>
        <w:pStyle w:val="ListParagraph"/>
        <w:numPr>
          <w:ilvl w:val="0"/>
          <w:numId w:val="35"/>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Management advice and implications</w:t>
      </w:r>
    </w:p>
    <w:p w14:paraId="664E47AA" w14:textId="77777777" w:rsidR="0014588F" w:rsidRPr="009C2ADD" w:rsidRDefault="0014588F" w:rsidP="0014588F">
      <w:pPr>
        <w:pStyle w:val="WCPFC"/>
        <w:numPr>
          <w:ilvl w:val="0"/>
          <w:numId w:val="0"/>
        </w:numPr>
        <w:adjustRightInd w:val="0"/>
        <w:spacing w:after="0"/>
        <w:ind w:left="567" w:hanging="567"/>
        <w:rPr>
          <w:b/>
        </w:rPr>
      </w:pPr>
    </w:p>
    <w:p w14:paraId="64202B7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for North Pacific shortfin mako shark.</w:t>
      </w:r>
    </w:p>
    <w:p w14:paraId="41310F03" w14:textId="77777777" w:rsidR="0014588F" w:rsidRPr="009C2ADD" w:rsidRDefault="0014588F" w:rsidP="0014588F">
      <w:pPr>
        <w:adjustRightInd w:val="0"/>
        <w:snapToGrid w:val="0"/>
        <w:spacing w:after="0"/>
        <w:rPr>
          <w:rFonts w:ascii="Times New Roman" w:hAnsi="Times New Roman"/>
          <w:lang w:eastAsia="ko-KR"/>
        </w:rPr>
      </w:pPr>
    </w:p>
    <w:p w14:paraId="1219AD33" w14:textId="77777777" w:rsidR="0014588F" w:rsidRPr="009C2ADD" w:rsidRDefault="0014588F" w:rsidP="0014588F">
      <w:pPr>
        <w:pStyle w:val="Heading3"/>
        <w:adjustRightInd w:val="0"/>
        <w:snapToGrid w:val="0"/>
        <w:spacing w:before="0"/>
        <w:rPr>
          <w:rFonts w:ascii="Times New Roman" w:eastAsia="바탕" w:hAnsi="Times New Roman" w:cs="Times New Roman"/>
          <w:bCs/>
          <w:lang w:eastAsia="ko-KR"/>
        </w:rPr>
      </w:pPr>
      <w:bookmarkStart w:id="29" w:name="_Toc498688640"/>
      <w:r w:rsidRPr="009C2ADD">
        <w:rPr>
          <w:rFonts w:ascii="Times New Roman" w:eastAsia="Times New Roman" w:hAnsi="Times New Roman" w:cs="Times New Roman"/>
          <w:lang w:eastAsia="ko-KR"/>
        </w:rPr>
        <w:t xml:space="preserve">4.3.6 </w:t>
      </w:r>
      <w:r w:rsidRPr="009C2ADD">
        <w:rPr>
          <w:rFonts w:ascii="Times New Roman" w:eastAsia="Times New Roman" w:hAnsi="Times New Roman" w:cs="Times New Roman"/>
          <w:lang w:eastAsia="ko-KR"/>
        </w:rPr>
        <w:tab/>
        <w:t xml:space="preserve">Pacific </w:t>
      </w:r>
      <w:r w:rsidRPr="009C2ADD">
        <w:rPr>
          <w:rFonts w:ascii="Times New Roman" w:hAnsi="Times New Roman" w:cs="Times New Roman"/>
        </w:rPr>
        <w:t>bigeye thresher shark</w:t>
      </w:r>
      <w:r w:rsidRPr="009C2ADD">
        <w:rPr>
          <w:rFonts w:ascii="Times New Roman" w:eastAsia="Times New Roman" w:hAnsi="Times New Roman" w:cs="Times New Roman"/>
          <w:lang w:eastAsia="ko-KR"/>
        </w:rPr>
        <w:t xml:space="preserve"> (</w:t>
      </w:r>
      <w:r w:rsidRPr="009C2ADD">
        <w:rPr>
          <w:rFonts w:ascii="Times New Roman" w:hAnsi="Times New Roman" w:cs="Times New Roman"/>
          <w:i/>
          <w:iCs/>
        </w:rPr>
        <w:t>Alopias superciliosus</w:t>
      </w:r>
      <w:r w:rsidRPr="009C2ADD">
        <w:rPr>
          <w:rFonts w:ascii="Times New Roman" w:eastAsia="Times New Roman" w:hAnsi="Times New Roman" w:cs="Times New Roman"/>
          <w:iCs/>
          <w:lang w:eastAsia="ko-KR"/>
        </w:rPr>
        <w:t>)</w:t>
      </w:r>
      <w:bookmarkEnd w:id="29"/>
    </w:p>
    <w:p w14:paraId="7E163F76"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368D8C13" w14:textId="77777777" w:rsidR="0014588F" w:rsidRPr="009C2ADD" w:rsidRDefault="0014588F" w:rsidP="0014588F">
      <w:pPr>
        <w:pStyle w:val="ListParagraph"/>
        <w:numPr>
          <w:ilvl w:val="0"/>
          <w:numId w:val="36"/>
        </w:numPr>
        <w:adjustRightInd w:val="0"/>
        <w:snapToGrid w:val="0"/>
        <w:ind w:left="0" w:firstLine="0"/>
        <w:contextualSpacing w:val="0"/>
        <w:rPr>
          <w:rFonts w:ascii="Times New Roman" w:hAnsi="Times New Roman"/>
          <w:b/>
        </w:rPr>
      </w:pPr>
      <w:r w:rsidRPr="009C2ADD">
        <w:rPr>
          <w:rFonts w:ascii="Times New Roman" w:hAnsi="Times New Roman"/>
          <w:b/>
          <w:lang w:eastAsia="ko-KR"/>
        </w:rPr>
        <w:t>Stock s</w:t>
      </w:r>
      <w:r w:rsidRPr="009C2ADD">
        <w:rPr>
          <w:rFonts w:ascii="Times New Roman" w:hAnsi="Times New Roman"/>
          <w:b/>
        </w:rPr>
        <w:t>tatus and trends</w:t>
      </w:r>
    </w:p>
    <w:p w14:paraId="6F4398A1" w14:textId="77777777" w:rsidR="0014588F" w:rsidRPr="009C2ADD" w:rsidRDefault="0014588F" w:rsidP="0014588F">
      <w:pPr>
        <w:pStyle w:val="ListParagraph"/>
        <w:adjustRightInd w:val="0"/>
        <w:snapToGrid w:val="0"/>
        <w:ind w:firstLine="0"/>
        <w:contextualSpacing w:val="0"/>
        <w:rPr>
          <w:rFonts w:ascii="Times New Roman" w:hAnsi="Times New Roman"/>
          <w:b/>
        </w:rPr>
      </w:pPr>
    </w:p>
    <w:p w14:paraId="0F434FA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results of the assessment indicate that assuming a range of longline post-capture survival rates of 30-70%, which likely reflects current fishing operations, median sustainability risk for the 2000-2014 period ranged between:</w:t>
      </w:r>
    </w:p>
    <w:p w14:paraId="24527FA0" w14:textId="77777777" w:rsidR="0014588F" w:rsidRPr="009C2ADD" w:rsidRDefault="0014588F" w:rsidP="0014588F">
      <w:pPr>
        <w:pStyle w:val="WCPFC"/>
        <w:numPr>
          <w:ilvl w:val="0"/>
          <w:numId w:val="14"/>
        </w:numPr>
        <w:adjustRightInd w:val="0"/>
        <w:spacing w:after="0"/>
        <w:ind w:left="1080" w:hanging="357"/>
        <w:rPr>
          <w:b/>
        </w:rPr>
      </w:pPr>
      <w:r w:rsidRPr="009C2ADD">
        <w:rPr>
          <w:b/>
          <w:lang w:eastAsia="ja-JP"/>
        </w:rPr>
        <w:t xml:space="preserve"> </w:t>
      </w:r>
      <w:r w:rsidRPr="009C2ADD">
        <w:rPr>
          <w:b/>
        </w:rPr>
        <w:t xml:space="preserve">20% below to 60% above the MIST </w:t>
      </w:r>
      <w:r w:rsidRPr="009C2ADD">
        <w:rPr>
          <w:b/>
          <w:lang w:eastAsia="ja-JP"/>
        </w:rPr>
        <w:t>based on</w:t>
      </w:r>
      <w:r w:rsidRPr="009C2ADD">
        <w:rPr>
          <w:b/>
        </w:rPr>
        <w:t xml:space="preserve"> 0.5</w:t>
      </w:r>
      <w:r w:rsidRPr="009C2ADD">
        <w:rPr>
          <w:b/>
          <w:i/>
        </w:rPr>
        <w:t>r</w:t>
      </w:r>
      <w:r w:rsidRPr="009C2ADD">
        <w:rPr>
          <w:b/>
        </w:rPr>
        <w:t xml:space="preserve">, </w:t>
      </w:r>
    </w:p>
    <w:p w14:paraId="0BF6D014" w14:textId="77777777" w:rsidR="0014588F" w:rsidRPr="009C2ADD" w:rsidRDefault="0014588F" w:rsidP="0014588F">
      <w:pPr>
        <w:pStyle w:val="WCPFC"/>
        <w:numPr>
          <w:ilvl w:val="0"/>
          <w:numId w:val="14"/>
        </w:numPr>
        <w:adjustRightInd w:val="0"/>
        <w:spacing w:after="0"/>
        <w:ind w:left="1080" w:hanging="357"/>
        <w:rPr>
          <w:b/>
        </w:rPr>
      </w:pPr>
      <w:r w:rsidRPr="009C2ADD">
        <w:rPr>
          <w:b/>
          <w:lang w:eastAsia="ja-JP"/>
        </w:rPr>
        <w:t xml:space="preserve"> </w:t>
      </w:r>
      <w:r w:rsidRPr="009C2ADD">
        <w:rPr>
          <w:b/>
        </w:rPr>
        <w:t>50% below to 10% above the MIST based on 0.75</w:t>
      </w:r>
      <w:r w:rsidRPr="009C2ADD">
        <w:rPr>
          <w:b/>
          <w:i/>
        </w:rPr>
        <w:t>r</w:t>
      </w:r>
      <w:r w:rsidRPr="009C2ADD">
        <w:rPr>
          <w:b/>
        </w:rPr>
        <w:t xml:space="preserve">, and </w:t>
      </w:r>
    </w:p>
    <w:p w14:paraId="16995686" w14:textId="77777777" w:rsidR="0014588F" w:rsidRPr="009C2ADD" w:rsidRDefault="0014588F" w:rsidP="0014588F">
      <w:pPr>
        <w:pStyle w:val="WCPFC"/>
        <w:numPr>
          <w:ilvl w:val="0"/>
          <w:numId w:val="14"/>
        </w:numPr>
        <w:adjustRightInd w:val="0"/>
        <w:spacing w:after="0"/>
        <w:ind w:left="1080" w:hanging="357"/>
        <w:rPr>
          <w:b/>
        </w:rPr>
      </w:pPr>
      <w:r w:rsidRPr="009C2ADD">
        <w:rPr>
          <w:b/>
          <w:lang w:eastAsia="ja-JP"/>
        </w:rPr>
        <w:t xml:space="preserve"> </w:t>
      </w:r>
      <w:r w:rsidRPr="009C2ADD">
        <w:rPr>
          <w:b/>
        </w:rPr>
        <w:t xml:space="preserve">60% to 20% below the MIST based on </w:t>
      </w:r>
      <w:r w:rsidRPr="009C2ADD">
        <w:rPr>
          <w:b/>
          <w:i/>
        </w:rPr>
        <w:t>r</w:t>
      </w:r>
      <w:r w:rsidRPr="009C2ADD">
        <w:rPr>
          <w:b/>
        </w:rPr>
        <w:t xml:space="preserve">. </w:t>
      </w:r>
    </w:p>
    <w:p w14:paraId="1399228E"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74CF6D3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CPUE increased in </w:t>
      </w:r>
      <w:r>
        <w:rPr>
          <w:rFonts w:ascii="Times New Roman" w:hAnsi="Times New Roman" w:hint="eastAsia"/>
          <w:b/>
          <w:lang w:val="en-AU" w:eastAsia="ko-KR"/>
        </w:rPr>
        <w:t xml:space="preserve">the </w:t>
      </w:r>
      <w:r w:rsidRPr="009C2ADD">
        <w:rPr>
          <w:rFonts w:ascii="Times New Roman" w:hAnsi="Times New Roman"/>
          <w:b/>
          <w:lang w:val="en-AU"/>
        </w:rPr>
        <w:t xml:space="preserve">calibration area (the Hawaii-based fleet) in the last year of the assessment. This may suggest </w:t>
      </w:r>
      <w:r>
        <w:rPr>
          <w:rFonts w:ascii="Times New Roman" w:hAnsi="Times New Roman" w:hint="eastAsia"/>
          <w:b/>
          <w:lang w:val="en-AU" w:eastAsia="ko-KR"/>
        </w:rPr>
        <w:t>an</w:t>
      </w:r>
      <w:r w:rsidRPr="009C2ADD">
        <w:rPr>
          <w:rFonts w:ascii="Times New Roman" w:hAnsi="Times New Roman"/>
          <w:b/>
          <w:lang w:val="en-AU"/>
        </w:rPr>
        <w:t xml:space="preserve"> increase </w:t>
      </w:r>
      <w:r>
        <w:rPr>
          <w:rFonts w:ascii="Times New Roman" w:hAnsi="Times New Roman" w:hint="eastAsia"/>
          <w:b/>
          <w:lang w:val="en-AU" w:eastAsia="ko-KR"/>
        </w:rPr>
        <w:t>in</w:t>
      </w:r>
      <w:r w:rsidRPr="009C2ADD">
        <w:rPr>
          <w:rFonts w:ascii="Times New Roman" w:hAnsi="Times New Roman"/>
          <w:b/>
          <w:lang w:val="en-AU"/>
        </w:rPr>
        <w:t xml:space="preserve"> biomass, but the reason </w:t>
      </w:r>
      <w:r>
        <w:rPr>
          <w:rFonts w:ascii="Times New Roman" w:hAnsi="Times New Roman" w:hint="eastAsia"/>
          <w:b/>
          <w:lang w:val="en-AU" w:eastAsia="ko-KR"/>
        </w:rPr>
        <w:t>for the</w:t>
      </w:r>
      <w:r w:rsidRPr="009C2ADD">
        <w:rPr>
          <w:rFonts w:ascii="Times New Roman" w:hAnsi="Times New Roman"/>
          <w:b/>
          <w:lang w:val="en-AU"/>
        </w:rPr>
        <w:t xml:space="preserve"> CPUE increase is not understood.</w:t>
      </w:r>
    </w:p>
    <w:p w14:paraId="549CAED7"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19EC573C" w14:textId="77777777" w:rsidR="0014588F" w:rsidRPr="009C2ADD" w:rsidRDefault="0014588F" w:rsidP="0014588F">
      <w:pPr>
        <w:pStyle w:val="WCPFC"/>
        <w:numPr>
          <w:ilvl w:val="0"/>
          <w:numId w:val="36"/>
        </w:numPr>
        <w:adjustRightInd w:val="0"/>
        <w:spacing w:after="0"/>
        <w:ind w:left="0" w:firstLine="0"/>
        <w:jc w:val="left"/>
      </w:pPr>
      <w:r w:rsidRPr="009C2ADD">
        <w:rPr>
          <w:b/>
        </w:rPr>
        <w:t>Management advice and implications</w:t>
      </w:r>
      <w:r w:rsidRPr="009C2ADD">
        <w:br/>
      </w:r>
    </w:p>
    <w:p w14:paraId="1ADB4635" w14:textId="4D2EE9A6"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although the stock status of this species is currently unknown, the bigeye thresher assessment showed that, estimating for current fishing operations (with 30-70% post-capture mortality) across a range of scenarios, some of the median F estimates exceeded two of the three indicative reference points (0.5</w:t>
      </w:r>
      <w:r w:rsidRPr="009C2ADD">
        <w:rPr>
          <w:rFonts w:ascii="Times New Roman" w:hAnsi="Times New Roman"/>
          <w:b/>
          <w:i/>
          <w:lang w:val="en-AU"/>
        </w:rPr>
        <w:t>r</w:t>
      </w:r>
      <w:r w:rsidRPr="009C2ADD">
        <w:rPr>
          <w:rFonts w:ascii="Times New Roman" w:hAnsi="Times New Roman"/>
          <w:b/>
          <w:lang w:val="en-AU"/>
        </w:rPr>
        <w:t xml:space="preserve"> and 0.75</w:t>
      </w:r>
      <w:r w:rsidRPr="009C2ADD">
        <w:rPr>
          <w:rFonts w:ascii="Times New Roman" w:hAnsi="Times New Roman"/>
          <w:b/>
          <w:i/>
          <w:lang w:val="en-AU"/>
        </w:rPr>
        <w:t>r</w:t>
      </w:r>
      <w:r w:rsidRPr="009C2ADD">
        <w:rPr>
          <w:rFonts w:ascii="Times New Roman" w:hAnsi="Times New Roman"/>
          <w:b/>
          <w:lang w:val="en-AU"/>
        </w:rPr>
        <w:t xml:space="preserve">) (Table </w:t>
      </w:r>
      <w:r>
        <w:rPr>
          <w:rFonts w:ascii="Times New Roman" w:hAnsi="Times New Roman" w:hint="eastAsia"/>
          <w:b/>
          <w:lang w:val="en-AU" w:eastAsia="ko-KR"/>
        </w:rPr>
        <w:t>BTH</w:t>
      </w:r>
      <w:r w:rsidRPr="009C2ADD">
        <w:rPr>
          <w:rFonts w:ascii="Times New Roman" w:hAnsi="Times New Roman"/>
          <w:b/>
          <w:lang w:val="en-AU"/>
        </w:rPr>
        <w:t>-1).  Across all 30-70% post-capture scenarios, there is a &gt;50% probability in most years that F &gt; MIST based on 0.5</w:t>
      </w:r>
      <w:r w:rsidRPr="009C2ADD">
        <w:rPr>
          <w:rFonts w:ascii="Times New Roman" w:hAnsi="Times New Roman"/>
          <w:b/>
          <w:i/>
          <w:lang w:val="en-AU"/>
        </w:rPr>
        <w:t xml:space="preserve">r </w:t>
      </w:r>
      <w:r w:rsidRPr="009C2ADD">
        <w:rPr>
          <w:rFonts w:ascii="Times New Roman" w:hAnsi="Times New Roman"/>
          <w:b/>
          <w:lang w:val="en-AU"/>
        </w:rPr>
        <w:t>and a &gt;20% probability in most years that F &gt; MIST based on 0.75</w:t>
      </w:r>
      <w:r w:rsidRPr="009C2ADD">
        <w:rPr>
          <w:rFonts w:ascii="Times New Roman" w:hAnsi="Times New Roman"/>
          <w:b/>
          <w:i/>
          <w:lang w:val="en-AU"/>
        </w:rPr>
        <w:t>r</w:t>
      </w:r>
      <w:r w:rsidRPr="009C2ADD">
        <w:rPr>
          <w:rFonts w:ascii="Times New Roman" w:hAnsi="Times New Roman"/>
          <w:b/>
          <w:lang w:val="en-AU"/>
        </w:rPr>
        <w:t xml:space="preserve">. (Table </w:t>
      </w:r>
      <w:r w:rsidR="0020298D">
        <w:rPr>
          <w:rFonts w:ascii="Times New Roman" w:hAnsi="Times New Roman" w:hint="eastAsia"/>
          <w:b/>
          <w:lang w:val="en-AU" w:eastAsia="ko-KR"/>
        </w:rPr>
        <w:t>BTH</w:t>
      </w:r>
      <w:r w:rsidRPr="009C2ADD">
        <w:rPr>
          <w:rFonts w:ascii="Times New Roman" w:hAnsi="Times New Roman"/>
          <w:b/>
          <w:lang w:val="en-AU"/>
        </w:rPr>
        <w:t>-2).</w:t>
      </w:r>
    </w:p>
    <w:p w14:paraId="69211593" w14:textId="77777777" w:rsidR="0014588F" w:rsidRDefault="0014588F" w:rsidP="0014588F">
      <w:pPr>
        <w:pStyle w:val="WCPFC"/>
        <w:numPr>
          <w:ilvl w:val="0"/>
          <w:numId w:val="0"/>
        </w:numPr>
        <w:adjustRightInd w:val="0"/>
        <w:spacing w:after="0"/>
        <w:rPr>
          <w:b/>
        </w:rPr>
      </w:pPr>
    </w:p>
    <w:p w14:paraId="35459CB1" w14:textId="77777777" w:rsidR="0014588F" w:rsidRPr="009C2ADD" w:rsidRDefault="0014588F" w:rsidP="0014588F">
      <w:pPr>
        <w:pStyle w:val="WCPFC"/>
        <w:numPr>
          <w:ilvl w:val="0"/>
          <w:numId w:val="0"/>
        </w:numPr>
        <w:adjustRightInd w:val="0"/>
        <w:spacing w:after="0"/>
        <w:rPr>
          <w:b/>
        </w:rPr>
      </w:pPr>
      <w:proofErr w:type="gramStart"/>
      <w:r w:rsidRPr="009C2ADD">
        <w:rPr>
          <w:b/>
        </w:rPr>
        <w:t xml:space="preserve">TABLE </w:t>
      </w:r>
      <w:r>
        <w:rPr>
          <w:rFonts w:hint="eastAsia"/>
          <w:b/>
          <w:lang w:eastAsia="ko-KR"/>
        </w:rPr>
        <w:t>BTH</w:t>
      </w:r>
      <w:r w:rsidRPr="009C2ADD">
        <w:rPr>
          <w:b/>
        </w:rPr>
        <w:t>-1.</w:t>
      </w:r>
      <w:proofErr w:type="gramEnd"/>
      <w:r w:rsidRPr="009C2ADD">
        <w:rPr>
          <w:b/>
        </w:rPr>
        <w:t xml:space="preserve"> </w:t>
      </w:r>
      <w:r>
        <w:t>Sustainability risk (ratio of impact to MIST, at three levels of the MIST, with values &gt;1 considered to be unsustainable) (median values and 95% quantile range) for bigeye thresher in the Pacific. Estimates are for the Core Area and the Assessment Area assuming the occurrence of post-capture survival (random occurrence between 30% and 70%) in impact estimation and three initial population status assumptions (low (0.3), medium (0.5), and high (0.7)). Results are contrasted for the fifteen-year period (2000-2014) and the recent period (2011-2014). F</w:t>
      </w:r>
      <w:r w:rsidRPr="0070772D">
        <w:rPr>
          <w:i/>
          <w:iCs/>
        </w:rPr>
        <w:t>crash</w:t>
      </w:r>
      <w:r>
        <w:t xml:space="preserve"> = </w:t>
      </w:r>
      <w:r w:rsidRPr="0070772D">
        <w:rPr>
          <w:i/>
          <w:iCs/>
        </w:rPr>
        <w:t>r</w:t>
      </w:r>
      <w:r>
        <w:t>, F</w:t>
      </w:r>
      <w:r w:rsidRPr="0070772D">
        <w:rPr>
          <w:i/>
          <w:iCs/>
        </w:rPr>
        <w:t>lim</w:t>
      </w:r>
      <w:r>
        <w:t xml:space="preserve"> = 0.75</w:t>
      </w:r>
      <w:r w:rsidRPr="0070772D">
        <w:rPr>
          <w:i/>
          <w:iCs/>
        </w:rPr>
        <w:t>r</w:t>
      </w:r>
      <w:r>
        <w:t>, and F</w:t>
      </w:r>
      <w:r w:rsidRPr="0070772D">
        <w:rPr>
          <w:i/>
          <w:iCs/>
        </w:rPr>
        <w:t>msm</w:t>
      </w:r>
      <w:r>
        <w:t xml:space="preserve"> = </w:t>
      </w:r>
      <w:r w:rsidRPr="0070772D">
        <w:rPr>
          <w:i/>
          <w:iCs/>
        </w:rPr>
        <w:t>r</w:t>
      </w:r>
      <w:r>
        <w:t>/2.</w:t>
      </w:r>
    </w:p>
    <w:p w14:paraId="4A99088B" w14:textId="77777777" w:rsidR="0014588F" w:rsidRPr="009C2ADD" w:rsidRDefault="0014588F" w:rsidP="0014588F">
      <w:pPr>
        <w:pStyle w:val="WCPFC"/>
        <w:numPr>
          <w:ilvl w:val="0"/>
          <w:numId w:val="0"/>
        </w:numPr>
        <w:adjustRightInd w:val="0"/>
        <w:spacing w:after="0"/>
        <w:ind w:left="709"/>
        <w:jc w:val="center"/>
        <w:rPr>
          <w:b/>
          <w:highlight w:val="yellow"/>
          <w:lang w:eastAsia="ko-KR"/>
        </w:rPr>
      </w:pPr>
      <w:r>
        <w:rPr>
          <w:rFonts w:hint="eastAsia"/>
          <w:b/>
          <w:noProof/>
          <w:lang w:val="en-US" w:eastAsia="ko-KR"/>
        </w:rPr>
        <w:drawing>
          <wp:inline distT="0" distB="0" distL="0" distR="0" wp14:anchorId="7454D9B4" wp14:editId="0A6CE75F">
            <wp:extent cx="4722750" cy="3369501"/>
            <wp:effectExtent l="0" t="0" r="1905"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1.jpg"/>
                    <pic:cNvPicPr/>
                  </pic:nvPicPr>
                  <pic:blipFill>
                    <a:blip r:embed="rId52">
                      <a:extLst>
                        <a:ext uri="{28A0092B-C50C-407E-A947-70E740481C1C}">
                          <a14:useLocalDpi xmlns:a14="http://schemas.microsoft.com/office/drawing/2010/main" val="0"/>
                        </a:ext>
                      </a:extLst>
                    </a:blip>
                    <a:stretch>
                      <a:fillRect/>
                    </a:stretch>
                  </pic:blipFill>
                  <pic:spPr>
                    <a:xfrm>
                      <a:off x="0" y="0"/>
                      <a:ext cx="4730474" cy="3375012"/>
                    </a:xfrm>
                    <a:prstGeom prst="rect">
                      <a:avLst/>
                    </a:prstGeom>
                  </pic:spPr>
                </pic:pic>
              </a:graphicData>
            </a:graphic>
          </wp:inline>
        </w:drawing>
      </w:r>
    </w:p>
    <w:p w14:paraId="6BE998F5" w14:textId="77777777" w:rsidR="0014588F" w:rsidRDefault="0014588F" w:rsidP="0014588F">
      <w:pPr>
        <w:adjustRightInd w:val="0"/>
        <w:snapToGrid w:val="0"/>
        <w:spacing w:after="0"/>
        <w:jc w:val="left"/>
        <w:rPr>
          <w:rFonts w:ascii="Times New Roman" w:hAnsi="Times New Roman"/>
          <w:b/>
          <w:lang w:eastAsia="en-NZ"/>
        </w:rPr>
      </w:pPr>
    </w:p>
    <w:p w14:paraId="7B9DCE62" w14:textId="77777777" w:rsidR="0014588F" w:rsidRPr="009C2ADD" w:rsidRDefault="0014588F" w:rsidP="0014588F">
      <w:pPr>
        <w:pStyle w:val="WCPFC"/>
        <w:numPr>
          <w:ilvl w:val="0"/>
          <w:numId w:val="0"/>
        </w:numPr>
        <w:adjustRightInd w:val="0"/>
        <w:spacing w:after="0"/>
      </w:pPr>
      <w:proofErr w:type="gramStart"/>
      <w:r w:rsidRPr="009C2ADD">
        <w:rPr>
          <w:b/>
        </w:rPr>
        <w:t xml:space="preserve">TABLE </w:t>
      </w:r>
      <w:r>
        <w:rPr>
          <w:rFonts w:hint="eastAsia"/>
          <w:b/>
          <w:lang w:eastAsia="ko-KR"/>
        </w:rPr>
        <w:t>BTH</w:t>
      </w:r>
      <w:r w:rsidRPr="009C2ADD">
        <w:rPr>
          <w:b/>
        </w:rPr>
        <w:t>-2.</w:t>
      </w:r>
      <w:proofErr w:type="gramEnd"/>
      <w:r w:rsidRPr="009C2ADD">
        <w:rPr>
          <w:b/>
        </w:rPr>
        <w:t xml:space="preserve"> </w:t>
      </w:r>
      <w:r>
        <w:t>Sustainability risk probabilities (Pr(Impact &gt; MIST), for 3 levels of MIST: F</w:t>
      </w:r>
      <w:r w:rsidRPr="00214513">
        <w:rPr>
          <w:i/>
          <w:iCs/>
        </w:rPr>
        <w:t>crash</w:t>
      </w:r>
      <w:r>
        <w:t>, F</w:t>
      </w:r>
      <w:r w:rsidRPr="00214513">
        <w:rPr>
          <w:i/>
          <w:iCs/>
        </w:rPr>
        <w:t>lim</w:t>
      </w:r>
      <w:r>
        <w:t>, and F</w:t>
      </w:r>
      <w:r w:rsidRPr="00214513">
        <w:rPr>
          <w:i/>
          <w:iCs/>
        </w:rPr>
        <w:t>msm</w:t>
      </w:r>
      <w:r>
        <w:t>) for bigeye thresher in the Pacific, 2000-2014, assuming 100% capture mortality (left) and the occurrence of post-capture survival (right) over the Core Area and the Assessment Area (combined values across three initial population status assumptions). F</w:t>
      </w:r>
      <w:r w:rsidRPr="00214513">
        <w:rPr>
          <w:i/>
          <w:iCs/>
        </w:rPr>
        <w:t>crash</w:t>
      </w:r>
      <w:r>
        <w:t xml:space="preserve"> = </w:t>
      </w:r>
      <w:r w:rsidRPr="00214513">
        <w:rPr>
          <w:i/>
          <w:iCs/>
        </w:rPr>
        <w:t>r</w:t>
      </w:r>
      <w:r>
        <w:t>, F</w:t>
      </w:r>
      <w:r w:rsidRPr="00214513">
        <w:rPr>
          <w:i/>
          <w:iCs/>
        </w:rPr>
        <w:t>lim</w:t>
      </w:r>
      <w:r>
        <w:t xml:space="preserve"> = 0.75</w:t>
      </w:r>
      <w:r w:rsidRPr="00214513">
        <w:rPr>
          <w:i/>
          <w:iCs/>
        </w:rPr>
        <w:t>r</w:t>
      </w:r>
      <w:r>
        <w:t>, and F</w:t>
      </w:r>
      <w:r w:rsidRPr="00214513">
        <w:rPr>
          <w:i/>
          <w:iCs/>
        </w:rPr>
        <w:t>msm</w:t>
      </w:r>
      <w:r>
        <w:t xml:space="preserve"> = </w:t>
      </w:r>
      <w:r w:rsidRPr="00214513">
        <w:rPr>
          <w:i/>
          <w:iCs/>
        </w:rPr>
        <w:t>r</w:t>
      </w:r>
      <w:r>
        <w:t>/2.</w:t>
      </w:r>
    </w:p>
    <w:p w14:paraId="70038EA5" w14:textId="77777777" w:rsidR="0014588F" w:rsidRPr="009C2ADD" w:rsidRDefault="0014588F" w:rsidP="0014588F">
      <w:pPr>
        <w:pStyle w:val="WCPFC"/>
        <w:numPr>
          <w:ilvl w:val="0"/>
          <w:numId w:val="0"/>
        </w:numPr>
        <w:adjustRightInd w:val="0"/>
        <w:spacing w:after="0"/>
        <w:ind w:left="709"/>
        <w:jc w:val="center"/>
        <w:rPr>
          <w:b/>
          <w:highlight w:val="yellow"/>
          <w:lang w:eastAsia="ko-KR"/>
        </w:rPr>
      </w:pPr>
      <w:r>
        <w:rPr>
          <w:rFonts w:hint="eastAsia"/>
          <w:b/>
          <w:noProof/>
          <w:lang w:val="en-US" w:eastAsia="ko-KR"/>
        </w:rPr>
        <w:drawing>
          <wp:inline distT="0" distB="0" distL="0" distR="0" wp14:anchorId="455EFDD6" wp14:editId="7FF31471">
            <wp:extent cx="5010411" cy="2930234"/>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2.jpg"/>
                    <pic:cNvPicPr/>
                  </pic:nvPicPr>
                  <pic:blipFill>
                    <a:blip r:embed="rId53">
                      <a:extLst>
                        <a:ext uri="{28A0092B-C50C-407E-A947-70E740481C1C}">
                          <a14:useLocalDpi xmlns:a14="http://schemas.microsoft.com/office/drawing/2010/main" val="0"/>
                        </a:ext>
                      </a:extLst>
                    </a:blip>
                    <a:stretch>
                      <a:fillRect/>
                    </a:stretch>
                  </pic:blipFill>
                  <pic:spPr>
                    <a:xfrm>
                      <a:off x="0" y="0"/>
                      <a:ext cx="5027998" cy="2940519"/>
                    </a:xfrm>
                    <a:prstGeom prst="rect">
                      <a:avLst/>
                    </a:prstGeom>
                  </pic:spPr>
                </pic:pic>
              </a:graphicData>
            </a:graphic>
          </wp:inline>
        </w:drawing>
      </w:r>
    </w:p>
    <w:p w14:paraId="53843252" w14:textId="77777777" w:rsidR="0014588F" w:rsidRPr="009C2ADD" w:rsidRDefault="0014588F" w:rsidP="0014588F">
      <w:pPr>
        <w:pStyle w:val="WCPFC"/>
        <w:numPr>
          <w:ilvl w:val="0"/>
          <w:numId w:val="0"/>
        </w:numPr>
        <w:adjustRightInd w:val="0"/>
        <w:spacing w:after="0"/>
        <w:ind w:left="720"/>
        <w:rPr>
          <w:b/>
        </w:rPr>
      </w:pPr>
    </w:p>
    <w:p w14:paraId="118B60A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modelled scenario of 30-70% post-capture survival reduced F estimates by approximately one third and reduced the risk that the MIST based on </w:t>
      </w:r>
      <w:r w:rsidRPr="009C2ADD">
        <w:rPr>
          <w:rFonts w:ascii="Times New Roman" w:hAnsi="Times New Roman"/>
          <w:b/>
          <w:i/>
          <w:lang w:val="en-AU"/>
        </w:rPr>
        <w:t>r</w:t>
      </w:r>
      <w:r w:rsidRPr="009C2ADD">
        <w:rPr>
          <w:rFonts w:ascii="Times New Roman" w:hAnsi="Times New Roman"/>
          <w:b/>
          <w:lang w:val="en-AU"/>
        </w:rPr>
        <w:t xml:space="preserve"> will be exceeded by 50%</w:t>
      </w:r>
      <w:r>
        <w:rPr>
          <w:rFonts w:ascii="Times New Roman" w:hAnsi="Times New Roman" w:hint="eastAsia"/>
          <w:b/>
          <w:lang w:val="en-AU" w:eastAsia="ko-KR"/>
        </w:rPr>
        <w:t xml:space="preserve"> </w:t>
      </w:r>
      <w:r w:rsidRPr="009C2ADD">
        <w:rPr>
          <w:rFonts w:ascii="Times New Roman" w:hAnsi="Times New Roman"/>
          <w:b/>
          <w:lang w:val="en-AU"/>
        </w:rPr>
        <w:t xml:space="preserve">compared to the scenario assuming no post-catch survival.  A “no-retention” measure was not modelled but would be expected to reduce F even further.  </w:t>
      </w:r>
    </w:p>
    <w:p w14:paraId="2B080A50"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6E806D8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area of highest estimated fishing mortality overlapped with the region of higher relative abundance for the species, corresponding to a narrow band between approximately 10-15°N and 150°E-140°W.  Fishing operations targeting bigeye tuna and operating during the April-June period had the highest mortality over the recent period (2011-2014). </w:t>
      </w:r>
    </w:p>
    <w:p w14:paraId="4FF61B3F"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F8025D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Commission needs to further consider appropriate limit reference points and risk tolerances for exceeding LRPs for sharks.  </w:t>
      </w:r>
    </w:p>
    <w:p w14:paraId="6239714A"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0BC143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WCPFC14 take the results of this assessment into consideration when framing a management measure for bigeye thresher sharks in the WCPO. </w:t>
      </w:r>
    </w:p>
    <w:p w14:paraId="5A5FCD14" w14:textId="77777777" w:rsidR="0014588F" w:rsidRPr="009C2ADD" w:rsidRDefault="0014588F" w:rsidP="0014588F">
      <w:pPr>
        <w:autoSpaceDE w:val="0"/>
        <w:autoSpaceDN w:val="0"/>
        <w:adjustRightInd w:val="0"/>
        <w:snapToGrid w:val="0"/>
        <w:spacing w:after="0"/>
        <w:rPr>
          <w:rFonts w:ascii="Times New Roman" w:eastAsia="Times New Roman" w:hAnsi="Times New Roman"/>
          <w:b/>
          <w:bCs/>
          <w:lang w:eastAsia="ko-KR"/>
        </w:rPr>
      </w:pPr>
    </w:p>
    <w:p w14:paraId="284B6F54" w14:textId="77777777" w:rsidR="0014588F" w:rsidRPr="009C2ADD" w:rsidRDefault="0014588F" w:rsidP="0014588F">
      <w:pPr>
        <w:pStyle w:val="Heading3"/>
        <w:adjustRightInd w:val="0"/>
        <w:snapToGrid w:val="0"/>
        <w:spacing w:before="0"/>
        <w:rPr>
          <w:rFonts w:ascii="Times New Roman" w:eastAsia="Times New Roman" w:hAnsi="Times New Roman" w:cs="Times New Roman"/>
          <w:iCs/>
          <w:lang w:eastAsia="ko-KR"/>
        </w:rPr>
      </w:pPr>
      <w:bookmarkStart w:id="30" w:name="_Toc498688641"/>
      <w:r w:rsidRPr="009C2ADD">
        <w:rPr>
          <w:rFonts w:ascii="Times New Roman" w:eastAsia="Times New Roman" w:hAnsi="Times New Roman" w:cs="Times New Roman"/>
          <w:lang w:eastAsia="ko-KR"/>
        </w:rPr>
        <w:t>4.3.7</w:t>
      </w:r>
      <w:r w:rsidRPr="009C2ADD">
        <w:rPr>
          <w:rFonts w:ascii="Times New Roman" w:eastAsia="Times New Roman" w:hAnsi="Times New Roman" w:cs="Times New Roman"/>
          <w:lang w:eastAsia="ko-KR"/>
        </w:rPr>
        <w:tab/>
        <w:t xml:space="preserve"> P</w:t>
      </w:r>
      <w:r w:rsidRPr="009C2ADD">
        <w:rPr>
          <w:rFonts w:ascii="Times New Roman" w:hAnsi="Times New Roman" w:cs="Times New Roman"/>
        </w:rPr>
        <w:t>orbeagle shark</w:t>
      </w:r>
      <w:r w:rsidRPr="009C2ADD">
        <w:rPr>
          <w:rFonts w:ascii="Times New Roman" w:eastAsia="Times New Roman" w:hAnsi="Times New Roman" w:cs="Times New Roman"/>
          <w:lang w:eastAsia="ko-KR"/>
        </w:rPr>
        <w:t xml:space="preserve"> (</w:t>
      </w:r>
      <w:r w:rsidRPr="009C2ADD">
        <w:rPr>
          <w:rFonts w:ascii="Times New Roman" w:hAnsi="Times New Roman" w:cs="Times New Roman"/>
          <w:i/>
          <w:iCs/>
          <w:shd w:val="clear" w:color="auto" w:fill="FFFFFF"/>
        </w:rPr>
        <w:t>Lamna nasus</w:t>
      </w:r>
      <w:r w:rsidRPr="009C2ADD">
        <w:rPr>
          <w:rFonts w:ascii="Times New Roman" w:eastAsia="Times New Roman" w:hAnsi="Times New Roman" w:cs="Times New Roman"/>
          <w:iCs/>
          <w:lang w:eastAsia="ko-KR"/>
        </w:rPr>
        <w:t>)</w:t>
      </w:r>
      <w:bookmarkEnd w:id="30"/>
      <w:r w:rsidRPr="009C2ADD">
        <w:rPr>
          <w:rFonts w:ascii="Times New Roman" w:eastAsia="Times New Roman" w:hAnsi="Times New Roman" w:cs="Times New Roman"/>
          <w:iCs/>
          <w:lang w:eastAsia="ko-KR"/>
        </w:rPr>
        <w:t xml:space="preserve">  </w:t>
      </w:r>
    </w:p>
    <w:p w14:paraId="70FAB50A" w14:textId="77777777" w:rsidR="0014588F" w:rsidRPr="009C2ADD" w:rsidRDefault="0014588F" w:rsidP="0014588F">
      <w:pPr>
        <w:adjustRightInd w:val="0"/>
        <w:snapToGrid w:val="0"/>
        <w:spacing w:after="0"/>
        <w:rPr>
          <w:rFonts w:ascii="Times New Roman" w:eastAsia="바탕" w:hAnsi="Times New Roman"/>
          <w:b/>
          <w:bCs/>
          <w:lang w:eastAsia="ko-KR"/>
        </w:rPr>
      </w:pPr>
    </w:p>
    <w:p w14:paraId="45C62D85" w14:textId="77777777" w:rsidR="0014588F" w:rsidRPr="009C2ADD" w:rsidRDefault="0014588F" w:rsidP="0014588F">
      <w:pPr>
        <w:pStyle w:val="WCPFC"/>
        <w:numPr>
          <w:ilvl w:val="0"/>
          <w:numId w:val="37"/>
        </w:numPr>
        <w:adjustRightInd w:val="0"/>
        <w:spacing w:after="0"/>
        <w:ind w:left="0" w:firstLine="0"/>
        <w:rPr>
          <w:b/>
          <w:lang w:eastAsia="ko-KR"/>
        </w:rPr>
      </w:pPr>
      <w:r w:rsidRPr="009C2ADD">
        <w:rPr>
          <w:b/>
          <w:lang w:eastAsia="ko-KR"/>
        </w:rPr>
        <w:t>Stock status and trends</w:t>
      </w:r>
    </w:p>
    <w:p w14:paraId="5ECD2367" w14:textId="77777777" w:rsidR="0014588F" w:rsidRPr="009C2ADD" w:rsidRDefault="0014588F" w:rsidP="0014588F">
      <w:pPr>
        <w:pStyle w:val="WCPFC"/>
        <w:numPr>
          <w:ilvl w:val="0"/>
          <w:numId w:val="0"/>
        </w:numPr>
        <w:adjustRightInd w:val="0"/>
        <w:spacing w:after="0"/>
        <w:ind w:left="360" w:hanging="360"/>
        <w:rPr>
          <w:b/>
          <w:lang w:eastAsia="ko-KR"/>
        </w:rPr>
      </w:pPr>
    </w:p>
    <w:p w14:paraId="7ED4095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although the stock status of the species is currently unknown the results of the assessment show that fishing mortality on the Southern Hemisphere stock is very low, and that it decreases eastward from the waters off South Africa to the waters off New Zealand.  In the assessment area (Eastern Atlantic to Western Pacific Ocean) in the last decade (2005 to 2014), median F values ranged from 0.0008 to 0.0015 (mean 0.0010).  This fishing mortality was less than 9% of the MIST based on </w:t>
      </w:r>
      <w:r w:rsidRPr="0070772D">
        <w:rPr>
          <w:rFonts w:ascii="Times New Roman" w:hAnsi="Times New Roman"/>
          <w:b/>
          <w:i/>
          <w:lang w:val="en-AU"/>
        </w:rPr>
        <w:t>r</w:t>
      </w:r>
      <w:r w:rsidRPr="009C2ADD">
        <w:rPr>
          <w:rFonts w:ascii="Times New Roman" w:hAnsi="Times New Roman"/>
          <w:b/>
          <w:lang w:val="en-AU"/>
        </w:rPr>
        <w:t xml:space="preserve"> in all years assessed (1992-2014) and fell to half that level in more recent years</w:t>
      </w:r>
      <w:r>
        <w:rPr>
          <w:rFonts w:ascii="Times New Roman" w:hAnsi="Times New Roman"/>
          <w:b/>
          <w:lang w:val="en-AU"/>
        </w:rPr>
        <w:t xml:space="preserve"> (Figure POR-1)</w:t>
      </w:r>
      <w:r w:rsidRPr="009C2ADD">
        <w:rPr>
          <w:rFonts w:ascii="Times New Roman" w:hAnsi="Times New Roman"/>
          <w:b/>
          <w:lang w:val="en-AU"/>
        </w:rPr>
        <w:t xml:space="preserve">, with at most a 3% probability of exceeding the MIST based on </w:t>
      </w:r>
      <w:r w:rsidRPr="0070772D">
        <w:rPr>
          <w:rFonts w:ascii="Times New Roman" w:hAnsi="Times New Roman"/>
          <w:b/>
          <w:i/>
          <w:lang w:val="en-AU"/>
        </w:rPr>
        <w:t>r</w:t>
      </w:r>
      <w:r w:rsidRPr="009C2ADD">
        <w:rPr>
          <w:rFonts w:ascii="Times New Roman" w:hAnsi="Times New Roman"/>
          <w:b/>
          <w:lang w:val="en-AU"/>
        </w:rPr>
        <w:t xml:space="preserve"> in 2010-2014</w:t>
      </w:r>
      <w:r>
        <w:rPr>
          <w:rFonts w:ascii="Times New Roman" w:hAnsi="Times New Roman"/>
          <w:b/>
          <w:lang w:val="en-AU"/>
        </w:rPr>
        <w:t xml:space="preserve"> (Figure POR-2)</w:t>
      </w:r>
      <w:r w:rsidRPr="009C2ADD">
        <w:rPr>
          <w:rFonts w:ascii="Times New Roman" w:hAnsi="Times New Roman"/>
          <w:b/>
          <w:lang w:val="en-AU"/>
        </w:rPr>
        <w:t>.  For the same scenarios, fishing mortality is less than 12% of the MIST based on 0.75</w:t>
      </w:r>
      <w:r w:rsidRPr="0070772D">
        <w:rPr>
          <w:rFonts w:ascii="Times New Roman" w:hAnsi="Times New Roman"/>
          <w:b/>
          <w:i/>
          <w:lang w:val="en-AU"/>
        </w:rPr>
        <w:t>r</w:t>
      </w:r>
      <w:r w:rsidRPr="009C2ADD">
        <w:rPr>
          <w:rFonts w:ascii="Times New Roman" w:hAnsi="Times New Roman"/>
          <w:b/>
          <w:lang w:val="en-AU"/>
        </w:rPr>
        <w:t xml:space="preserve"> and less than 18% of the MIST based on 0.5</w:t>
      </w:r>
      <w:r w:rsidRPr="0070772D">
        <w:rPr>
          <w:rFonts w:ascii="Times New Roman" w:hAnsi="Times New Roman"/>
          <w:b/>
          <w:i/>
          <w:lang w:val="en-AU"/>
        </w:rPr>
        <w:t>r</w:t>
      </w:r>
      <w:r w:rsidRPr="009C2ADD">
        <w:rPr>
          <w:rFonts w:ascii="Times New Roman" w:hAnsi="Times New Roman"/>
          <w:b/>
          <w:lang w:val="en-AU"/>
        </w:rPr>
        <w:t xml:space="preserve">. </w:t>
      </w:r>
    </w:p>
    <w:p w14:paraId="27768600"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08FF878B" w14:textId="77777777" w:rsidR="0014588F"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These scenarios are based on 100% capture mortality, and assuming that some porbeagles survive their encounter with the fishery would reduce the estimated risk levels even further. </w:t>
      </w:r>
    </w:p>
    <w:p w14:paraId="4DFF954B" w14:textId="77777777" w:rsidR="0014588F" w:rsidRDefault="0014588F" w:rsidP="0014588F">
      <w:pPr>
        <w:pStyle w:val="ListParagraph"/>
        <w:adjustRightInd w:val="0"/>
        <w:snapToGrid w:val="0"/>
        <w:contextualSpacing w:val="0"/>
        <w:rPr>
          <w:rFonts w:ascii="Times New Roman" w:hAnsi="Times New Roman"/>
          <w:b/>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5043"/>
      </w:tblGrid>
      <w:tr w:rsidR="0014588F" w14:paraId="3C7658C0" w14:textId="77777777" w:rsidTr="000E6616">
        <w:tc>
          <w:tcPr>
            <w:tcW w:w="4533" w:type="dxa"/>
            <w:vAlign w:val="center"/>
          </w:tcPr>
          <w:p w14:paraId="610F481E" w14:textId="77777777" w:rsidR="0014588F" w:rsidRDefault="0014588F" w:rsidP="000E6616">
            <w:pPr>
              <w:autoSpaceDE w:val="0"/>
              <w:autoSpaceDN w:val="0"/>
              <w:adjustRightInd w:val="0"/>
              <w:snapToGrid w:val="0"/>
              <w:spacing w:after="0"/>
              <w:jc w:val="center"/>
              <w:rPr>
                <w:rFonts w:ascii="Times New Roman" w:hAnsi="Times New Roman"/>
                <w:b/>
                <w:lang w:val="en-AU"/>
              </w:rPr>
            </w:pPr>
            <w:r>
              <w:rPr>
                <w:rFonts w:ascii="Times New Roman" w:hAnsi="Times New Roman"/>
                <w:b/>
                <w:noProof/>
                <w:lang w:val="en-US" w:eastAsia="ko-KR"/>
              </w:rPr>
              <w:drawing>
                <wp:inline distT="0" distB="0" distL="0" distR="0" wp14:anchorId="009D2AD7" wp14:editId="288127BD">
                  <wp:extent cx="1912715" cy="217944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12715" cy="2179444"/>
                          </a:xfrm>
                          <a:prstGeom prst="rect">
                            <a:avLst/>
                          </a:prstGeom>
                          <a:noFill/>
                          <a:ln>
                            <a:noFill/>
                          </a:ln>
                        </pic:spPr>
                      </pic:pic>
                    </a:graphicData>
                  </a:graphic>
                </wp:inline>
              </w:drawing>
            </w:r>
          </w:p>
        </w:tc>
        <w:tc>
          <w:tcPr>
            <w:tcW w:w="5043" w:type="dxa"/>
            <w:vAlign w:val="center"/>
          </w:tcPr>
          <w:p w14:paraId="224E99FE" w14:textId="77777777" w:rsidR="0014588F" w:rsidRDefault="0014588F" w:rsidP="000E6616">
            <w:pPr>
              <w:autoSpaceDE w:val="0"/>
              <w:autoSpaceDN w:val="0"/>
              <w:adjustRightInd w:val="0"/>
              <w:snapToGrid w:val="0"/>
              <w:spacing w:after="0"/>
              <w:jc w:val="center"/>
              <w:rPr>
                <w:rFonts w:ascii="Times New Roman" w:hAnsi="Times New Roman"/>
                <w:b/>
                <w:lang w:val="en-AU"/>
              </w:rPr>
            </w:pPr>
            <w:r>
              <w:rPr>
                <w:rFonts w:ascii="Times New Roman" w:hAnsi="Times New Roman"/>
                <w:noProof/>
                <w:lang w:val="en-US" w:eastAsia="ko-KR"/>
              </w:rPr>
              <w:drawing>
                <wp:inline distT="0" distB="0" distL="0" distR="0" wp14:anchorId="7DDE48E3" wp14:editId="539F1FE4">
                  <wp:extent cx="1818168" cy="2071712"/>
                  <wp:effectExtent l="0" t="0" r="0" b="508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24687" cy="2079140"/>
                          </a:xfrm>
                          <a:prstGeom prst="rect">
                            <a:avLst/>
                          </a:prstGeom>
                          <a:noFill/>
                          <a:ln>
                            <a:noFill/>
                          </a:ln>
                        </pic:spPr>
                      </pic:pic>
                    </a:graphicData>
                  </a:graphic>
                </wp:inline>
              </w:drawing>
            </w:r>
          </w:p>
        </w:tc>
      </w:tr>
      <w:tr w:rsidR="0014588F" w14:paraId="12A80373" w14:textId="77777777" w:rsidTr="000E6616">
        <w:tc>
          <w:tcPr>
            <w:tcW w:w="4533" w:type="dxa"/>
          </w:tcPr>
          <w:p w14:paraId="23378F6D" w14:textId="77777777" w:rsidR="0014588F" w:rsidRPr="007F705F" w:rsidRDefault="0014588F" w:rsidP="000E6616">
            <w:pPr>
              <w:autoSpaceDE w:val="0"/>
              <w:autoSpaceDN w:val="0"/>
              <w:adjustRightInd w:val="0"/>
              <w:snapToGrid w:val="0"/>
              <w:spacing w:after="0"/>
              <w:rPr>
                <w:rFonts w:ascii="Times New Roman" w:hAnsi="Times New Roman"/>
                <w:lang w:val="en-US"/>
              </w:rPr>
            </w:pPr>
            <w:r w:rsidRPr="00EF2599">
              <w:rPr>
                <w:rFonts w:ascii="Times New Roman" w:hAnsi="Times New Roman"/>
                <w:b/>
                <w:lang w:val="en-AU"/>
              </w:rPr>
              <w:t>Figure PO</w:t>
            </w:r>
            <w:r w:rsidRPr="00E409FF">
              <w:rPr>
                <w:rFonts w:ascii="Times New Roman" w:hAnsi="Times New Roman"/>
                <w:b/>
                <w:lang w:val="en-AU"/>
              </w:rPr>
              <w:t xml:space="preserve">R-1. </w:t>
            </w:r>
            <w:r w:rsidRPr="00E409FF">
              <w:rPr>
                <w:rFonts w:ascii="Times New Roman" w:hAnsi="Times New Roman"/>
                <w:lang w:val="en-US"/>
              </w:rPr>
              <w:t>F-ratio plots showing the median values of F / MIST by year, for the three versions of</w:t>
            </w:r>
            <w:r>
              <w:rPr>
                <w:rFonts w:ascii="Times New Roman" w:hAnsi="Times New Roman"/>
                <w:lang w:val="en-US"/>
              </w:rPr>
              <w:t xml:space="preserve"> </w:t>
            </w:r>
            <w:r w:rsidRPr="00E409FF">
              <w:rPr>
                <w:rFonts w:ascii="Times New Roman" w:hAnsi="Times New Roman"/>
                <w:lang w:val="en-US"/>
              </w:rPr>
              <w:t>the MIST (Fmsm, Flim, and Fcrash) for each of the three regions and for the three regions combined (the</w:t>
            </w:r>
            <w:r>
              <w:rPr>
                <w:rFonts w:ascii="Times New Roman" w:hAnsi="Times New Roman"/>
                <w:lang w:val="en-US"/>
              </w:rPr>
              <w:t xml:space="preserve"> </w:t>
            </w:r>
            <w:r w:rsidRPr="00E409FF">
              <w:rPr>
                <w:rFonts w:ascii="Times New Roman" w:hAnsi="Times New Roman"/>
                <w:lang w:val="en-US"/>
              </w:rPr>
              <w:t>assessment area). Note that the F-ratio is almost always below 1, indicated by the horizontal dotted</w:t>
            </w:r>
            <w:r>
              <w:rPr>
                <w:rFonts w:ascii="Times New Roman" w:hAnsi="Times New Roman"/>
                <w:lang w:val="en-US"/>
              </w:rPr>
              <w:t xml:space="preserve"> </w:t>
            </w:r>
            <w:r w:rsidRPr="00E409FF">
              <w:rPr>
                <w:rFonts w:ascii="Times New Roman" w:hAnsi="Times New Roman"/>
                <w:lang w:val="en-US"/>
              </w:rPr>
              <w:t>line.</w:t>
            </w:r>
          </w:p>
        </w:tc>
        <w:tc>
          <w:tcPr>
            <w:tcW w:w="5043" w:type="dxa"/>
          </w:tcPr>
          <w:p w14:paraId="2585FBA0" w14:textId="77777777" w:rsidR="0014588F" w:rsidRPr="00E409FF" w:rsidRDefault="0014588F" w:rsidP="000E6616">
            <w:pPr>
              <w:autoSpaceDE w:val="0"/>
              <w:autoSpaceDN w:val="0"/>
              <w:adjustRightInd w:val="0"/>
              <w:snapToGrid w:val="0"/>
              <w:spacing w:after="0"/>
              <w:rPr>
                <w:rFonts w:ascii="Times New Roman" w:hAnsi="Times New Roman"/>
                <w:lang w:val="en-US"/>
              </w:rPr>
            </w:pPr>
            <w:r w:rsidRPr="00E409FF">
              <w:rPr>
                <w:rFonts w:ascii="Times New Roman" w:hAnsi="Times New Roman"/>
                <w:b/>
                <w:lang w:val="en-US"/>
              </w:rPr>
              <w:t>Figure POR-2.</w:t>
            </w:r>
            <w:r w:rsidRPr="00E409FF">
              <w:rPr>
                <w:rFonts w:ascii="Times New Roman" w:hAnsi="Times New Roman"/>
                <w:lang w:val="en-US"/>
              </w:rPr>
              <w:t xml:space="preserve"> Risk plots showing the probability that F exceeds the MIST by year, for the three</w:t>
            </w:r>
            <w:r>
              <w:rPr>
                <w:rFonts w:ascii="Times New Roman" w:hAnsi="Times New Roman"/>
                <w:lang w:val="en-US"/>
              </w:rPr>
              <w:t xml:space="preserve"> </w:t>
            </w:r>
            <w:r w:rsidRPr="00E409FF">
              <w:rPr>
                <w:rFonts w:ascii="Times New Roman" w:hAnsi="Times New Roman"/>
                <w:lang w:val="en-US"/>
              </w:rPr>
              <w:t>versions of the MIST (Fcrash, Flim, and Fcrash) for each of the three regions and for the three regions</w:t>
            </w:r>
            <w:r>
              <w:rPr>
                <w:rFonts w:ascii="Times New Roman" w:hAnsi="Times New Roman"/>
                <w:lang w:val="en-US"/>
              </w:rPr>
              <w:t xml:space="preserve"> </w:t>
            </w:r>
            <w:r w:rsidRPr="00E409FF">
              <w:rPr>
                <w:rFonts w:ascii="Times New Roman" w:hAnsi="Times New Roman"/>
                <w:lang w:val="en-US"/>
              </w:rPr>
              <w:t>combined (the assessment area).</w:t>
            </w:r>
          </w:p>
          <w:p w14:paraId="2012F75A" w14:textId="77777777" w:rsidR="0014588F" w:rsidRDefault="0014588F" w:rsidP="000E6616">
            <w:pPr>
              <w:autoSpaceDE w:val="0"/>
              <w:autoSpaceDN w:val="0"/>
              <w:adjustRightInd w:val="0"/>
              <w:snapToGrid w:val="0"/>
              <w:spacing w:after="0"/>
              <w:rPr>
                <w:rFonts w:ascii="Times New Roman" w:hAnsi="Times New Roman"/>
                <w:b/>
                <w:lang w:val="en-AU"/>
              </w:rPr>
            </w:pPr>
          </w:p>
        </w:tc>
      </w:tr>
    </w:tbl>
    <w:p w14:paraId="52991EC1"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73DB2FF" w14:textId="77777777" w:rsidR="0014588F" w:rsidRPr="009C2ADD" w:rsidRDefault="0014588F" w:rsidP="0014588F">
      <w:pPr>
        <w:pStyle w:val="ListParagraph"/>
        <w:numPr>
          <w:ilvl w:val="0"/>
          <w:numId w:val="37"/>
        </w:numPr>
        <w:adjustRightInd w:val="0"/>
        <w:snapToGrid w:val="0"/>
        <w:ind w:left="0" w:firstLine="0"/>
        <w:contextualSpacing w:val="0"/>
        <w:rPr>
          <w:rFonts w:ascii="Times New Roman" w:hAnsi="Times New Roman"/>
          <w:b/>
          <w:lang w:eastAsia="ko-KR"/>
        </w:rPr>
      </w:pPr>
      <w:r w:rsidRPr="009C2ADD">
        <w:rPr>
          <w:rFonts w:ascii="Times New Roman" w:hAnsi="Times New Roman"/>
          <w:b/>
          <w:lang w:eastAsia="ko-KR"/>
        </w:rPr>
        <w:t>Management advice and implications</w:t>
      </w:r>
    </w:p>
    <w:p w14:paraId="7508B527" w14:textId="77777777" w:rsidR="0014588F" w:rsidRPr="009C2ADD" w:rsidRDefault="0014588F" w:rsidP="0014588F">
      <w:pPr>
        <w:adjustRightInd w:val="0"/>
        <w:snapToGrid w:val="0"/>
        <w:spacing w:after="0"/>
        <w:rPr>
          <w:rFonts w:ascii="Times New Roman" w:hAnsi="Times New Roman"/>
          <w:b/>
          <w:lang w:eastAsia="ko-KR"/>
        </w:rPr>
      </w:pPr>
    </w:p>
    <w:p w14:paraId="6A1A952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advises WCPFC14 that although the stock status of the species is currently unknown there is a very low risk that the Southern Hemisphere porbeagle shark is subject to overfishing anywhere within its range. </w:t>
      </w:r>
    </w:p>
    <w:p w14:paraId="18D9AA81"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716ED17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WCPFC14 request the Common Oceans (ABNJ) Tuna Project to explore options for data improvements through liaison with other regional fishery bodies managing fisheries catching Southern Hemisphere porbeagle shark. </w:t>
      </w:r>
    </w:p>
    <w:p w14:paraId="436650FE" w14:textId="77777777" w:rsidR="0014588F" w:rsidRPr="009C2ADD" w:rsidRDefault="0014588F" w:rsidP="0014588F">
      <w:pPr>
        <w:pStyle w:val="ListParagraph"/>
        <w:adjustRightInd w:val="0"/>
        <w:snapToGrid w:val="0"/>
        <w:contextualSpacing w:val="0"/>
        <w:rPr>
          <w:rFonts w:ascii="Times New Roman" w:eastAsia="Times New Roman" w:hAnsi="Times New Roman"/>
          <w:b/>
          <w:bCs/>
          <w:lang w:eastAsia="ko-KR"/>
        </w:rPr>
      </w:pPr>
    </w:p>
    <w:p w14:paraId="473DF1DF" w14:textId="77777777" w:rsidR="0014588F" w:rsidRPr="009C2ADD" w:rsidRDefault="0014588F" w:rsidP="0014588F">
      <w:pPr>
        <w:pStyle w:val="Heading2"/>
        <w:adjustRightInd w:val="0"/>
        <w:snapToGrid w:val="0"/>
        <w:rPr>
          <w:color w:val="auto"/>
          <w:szCs w:val="22"/>
        </w:rPr>
      </w:pPr>
      <w:bookmarkStart w:id="31" w:name="_Toc498688642"/>
      <w:r w:rsidRPr="009C2ADD">
        <w:rPr>
          <w:color w:val="auto"/>
          <w:szCs w:val="22"/>
        </w:rPr>
        <w:t xml:space="preserve">4.4 </w:t>
      </w:r>
      <w:r w:rsidRPr="009C2ADD">
        <w:rPr>
          <w:color w:val="auto"/>
          <w:szCs w:val="22"/>
        </w:rPr>
        <w:tab/>
        <w:t>WCPO billfishes</w:t>
      </w:r>
      <w:bookmarkEnd w:id="31"/>
    </w:p>
    <w:p w14:paraId="2E74CA6F" w14:textId="77777777" w:rsidR="0014588F" w:rsidRPr="009C2ADD" w:rsidRDefault="0014588F" w:rsidP="0014588F">
      <w:pPr>
        <w:adjustRightInd w:val="0"/>
        <w:snapToGrid w:val="0"/>
        <w:spacing w:after="0"/>
        <w:rPr>
          <w:rFonts w:ascii="Times New Roman" w:eastAsia="바탕" w:hAnsi="Times New Roman"/>
          <w:b/>
          <w:bCs/>
          <w:lang w:eastAsia="ko-KR"/>
        </w:rPr>
      </w:pPr>
    </w:p>
    <w:p w14:paraId="5186D6AB"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32" w:name="_Toc498688643"/>
      <w:r w:rsidRPr="009C2ADD">
        <w:rPr>
          <w:rFonts w:ascii="Times New Roman" w:eastAsia="바탕" w:hAnsi="Times New Roman" w:cs="Times New Roman"/>
          <w:lang w:eastAsia="ko-KR"/>
        </w:rPr>
        <w:t xml:space="preserve">4.4.1 </w:t>
      </w:r>
      <w:r w:rsidRPr="009C2ADD">
        <w:rPr>
          <w:rFonts w:ascii="Times New Roman" w:eastAsia="바탕" w:hAnsi="Times New Roman" w:cs="Times New Roman"/>
          <w:lang w:eastAsia="ko-KR"/>
        </w:rPr>
        <w:tab/>
        <w:t>South Pacific swordfish (</w:t>
      </w:r>
      <w:r w:rsidRPr="009C2ADD">
        <w:rPr>
          <w:rFonts w:ascii="Times New Roman" w:eastAsia="바탕" w:hAnsi="Times New Roman" w:cs="Times New Roman"/>
          <w:i/>
          <w:lang w:eastAsia="ko-KR"/>
        </w:rPr>
        <w:t>Xiphias gladius</w:t>
      </w:r>
      <w:r w:rsidRPr="009C2ADD">
        <w:rPr>
          <w:rFonts w:ascii="Times New Roman" w:eastAsia="바탕" w:hAnsi="Times New Roman" w:cs="Times New Roman"/>
          <w:lang w:eastAsia="ko-KR"/>
        </w:rPr>
        <w:t>)</w:t>
      </w:r>
      <w:bookmarkEnd w:id="32"/>
      <w:r w:rsidRPr="009C2ADD">
        <w:rPr>
          <w:rFonts w:ascii="Times New Roman" w:eastAsia="바탕" w:hAnsi="Times New Roman" w:cs="Times New Roman"/>
          <w:lang w:eastAsia="ko-KR"/>
        </w:rPr>
        <w:t xml:space="preserve"> </w:t>
      </w:r>
    </w:p>
    <w:p w14:paraId="3CE64FDD" w14:textId="77777777" w:rsidR="0014588F" w:rsidRPr="009C2ADD" w:rsidRDefault="0014588F" w:rsidP="0014588F">
      <w:pPr>
        <w:adjustRightInd w:val="0"/>
        <w:snapToGrid w:val="0"/>
        <w:spacing w:after="0"/>
        <w:ind w:left="720"/>
        <w:rPr>
          <w:rFonts w:ascii="Times New Roman" w:eastAsia="바탕" w:hAnsi="Times New Roman"/>
          <w:b/>
          <w:lang w:eastAsia="ko-KR"/>
        </w:rPr>
      </w:pPr>
    </w:p>
    <w:p w14:paraId="6A92A0C8" w14:textId="77777777" w:rsidR="0014588F" w:rsidRPr="009C2ADD" w:rsidRDefault="0014588F" w:rsidP="0014588F">
      <w:pPr>
        <w:pStyle w:val="WCPFC"/>
        <w:adjustRightInd w:val="0"/>
        <w:spacing w:after="0"/>
        <w:ind w:left="0" w:firstLine="0"/>
        <w:rPr>
          <w:b/>
          <w:lang w:val="en-US"/>
        </w:rPr>
      </w:pPr>
      <w:r w:rsidRPr="009C2ADD">
        <w:rPr>
          <w:b/>
          <w:lang w:val="en-US"/>
        </w:rPr>
        <w:t xml:space="preserve">SC13 endorsed the 2017 SWO stock assessment as the best and most up to date scientific information available for this species. </w:t>
      </w:r>
    </w:p>
    <w:p w14:paraId="162F0E26" w14:textId="77777777" w:rsidR="0014588F" w:rsidRPr="009C2ADD" w:rsidRDefault="0014588F" w:rsidP="0014588F">
      <w:pPr>
        <w:pStyle w:val="ListParagraph"/>
        <w:adjustRightInd w:val="0"/>
        <w:snapToGrid w:val="0"/>
        <w:ind w:left="0" w:firstLine="0"/>
        <w:contextualSpacing w:val="0"/>
        <w:rPr>
          <w:rFonts w:ascii="Times New Roman" w:hAnsi="Times New Roman"/>
          <w:b/>
          <w:lang w:val="en-US"/>
        </w:rPr>
      </w:pPr>
    </w:p>
    <w:p w14:paraId="263E7417" w14:textId="77777777" w:rsidR="0014588F" w:rsidRPr="009C2ADD" w:rsidRDefault="0014588F" w:rsidP="0014588F">
      <w:pPr>
        <w:pStyle w:val="WCPFC"/>
        <w:adjustRightInd w:val="0"/>
        <w:spacing w:after="0"/>
        <w:ind w:left="0" w:firstLine="0"/>
        <w:rPr>
          <w:b/>
          <w:lang w:val="en-US"/>
        </w:rPr>
      </w:pPr>
      <w:r w:rsidRPr="009C2ADD">
        <w:rPr>
          <w:b/>
          <w:lang w:val="en-US"/>
        </w:rPr>
        <w:t xml:space="preserve">SC13 also endorsed the use of the SWO assessment model uncertainty grid to characterize stock status and management advice and implications. </w:t>
      </w:r>
    </w:p>
    <w:p w14:paraId="44F8573E" w14:textId="77777777" w:rsidR="0014588F" w:rsidRPr="009C2ADD" w:rsidRDefault="0014588F" w:rsidP="0014588F">
      <w:pPr>
        <w:pStyle w:val="WCPFC"/>
        <w:numPr>
          <w:ilvl w:val="0"/>
          <w:numId w:val="0"/>
        </w:numPr>
        <w:adjustRightInd w:val="0"/>
        <w:spacing w:after="0"/>
        <w:ind w:left="567"/>
        <w:rPr>
          <w:lang w:val="en-US"/>
        </w:rPr>
      </w:pPr>
    </w:p>
    <w:p w14:paraId="0637CAE8" w14:textId="77777777" w:rsidR="0014588F" w:rsidRPr="009C2ADD" w:rsidRDefault="0014588F" w:rsidP="0014588F">
      <w:pPr>
        <w:pStyle w:val="ListParagraph"/>
        <w:numPr>
          <w:ilvl w:val="0"/>
          <w:numId w:val="39"/>
        </w:numPr>
        <w:adjustRightInd w:val="0"/>
        <w:snapToGrid w:val="0"/>
        <w:ind w:left="0" w:firstLine="0"/>
        <w:contextualSpacing w:val="0"/>
        <w:rPr>
          <w:rFonts w:ascii="Times New Roman" w:eastAsia="Times New Roman" w:hAnsi="Times New Roman"/>
          <w:b/>
          <w:lang w:val="en-US" w:eastAsia="ja-JP"/>
        </w:rPr>
      </w:pPr>
      <w:r w:rsidRPr="009C2ADD">
        <w:rPr>
          <w:rFonts w:ascii="Times New Roman" w:eastAsia="Times New Roman" w:hAnsi="Times New Roman"/>
          <w:b/>
          <w:lang w:val="en-US" w:eastAsia="ja-JP"/>
        </w:rPr>
        <w:t>Stock status and trends</w:t>
      </w:r>
    </w:p>
    <w:p w14:paraId="256FD08B" w14:textId="77777777" w:rsidR="0014588F" w:rsidRPr="009C2ADD" w:rsidRDefault="0014588F" w:rsidP="0014588F">
      <w:pPr>
        <w:pStyle w:val="ListParagraph"/>
        <w:adjustRightInd w:val="0"/>
        <w:snapToGrid w:val="0"/>
        <w:ind w:firstLine="0"/>
        <w:contextualSpacing w:val="0"/>
        <w:rPr>
          <w:rFonts w:ascii="Times New Roman" w:eastAsia="Times New Roman" w:hAnsi="Times New Roman"/>
          <w:b/>
          <w:lang w:val="en-US" w:eastAsia="ja-JP"/>
        </w:rPr>
      </w:pPr>
    </w:p>
    <w:p w14:paraId="4DA0290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(2012-2015) spawning biomass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eastAsia="ko-KR"/>
        </w:rPr>
        <w:t>MSY</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1453DFA5"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70B7837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Description of the updated structural sensitivity grid used to characterize uncertainty in the assessment </w:t>
      </w:r>
      <w:r>
        <w:rPr>
          <w:rFonts w:ascii="Times New Roman" w:hAnsi="Times New Roman"/>
          <w:lang w:val="en-AU"/>
        </w:rPr>
        <w:t>is</w:t>
      </w:r>
      <w:r w:rsidRPr="009C2ADD">
        <w:rPr>
          <w:rFonts w:ascii="Times New Roman" w:hAnsi="Times New Roman"/>
          <w:lang w:val="en-AU"/>
        </w:rPr>
        <w:t xml:space="preserve"> provided in </w:t>
      </w:r>
      <w:r w:rsidRPr="0070772D">
        <w:rPr>
          <w:rFonts w:ascii="Times New Roman" w:hAnsi="Times New Roman"/>
          <w:bCs/>
          <w:lang w:val="en-AU"/>
        </w:rPr>
        <w:t xml:space="preserve">Table SWO-1. Time trends in estimated catch, recruitment, biomass, fishing mortality and depletion are shown in Figures SWO-1 – 5.  Figures SWO-6 and SWO-7 show Majuro plot summarising the results for each of the models in the structural uncertainty grid retained for management advice. Kobe plots are shown in Figures SWO-8 and SWO-9. </w:t>
      </w:r>
      <w:r w:rsidRPr="0070772D">
        <w:rPr>
          <w:rFonts w:ascii="Times New Roman" w:hAnsi="Times New Roman"/>
          <w:bCs/>
          <w:lang w:val="en-AU" w:eastAsia="ko-KR"/>
        </w:rPr>
        <w:t xml:space="preserve">Figure SWO-10 provides </w:t>
      </w:r>
      <w:r>
        <w:rPr>
          <w:rFonts w:ascii="Times New Roman" w:hAnsi="Times New Roman"/>
          <w:bCs/>
          <w:lang w:val="en-AU" w:eastAsia="ko-KR"/>
        </w:rPr>
        <w:t>estimated</w:t>
      </w:r>
      <w:r w:rsidRPr="0070772D">
        <w:rPr>
          <w:rFonts w:ascii="Times New Roman" w:hAnsi="Times New Roman"/>
          <w:bCs/>
        </w:rPr>
        <w:t xml:space="preserve"> time-series (or “dynamic”) Majuro and Kobe plots</w:t>
      </w:r>
      <w:r>
        <w:rPr>
          <w:rFonts w:ascii="Times New Roman" w:hAnsi="Times New Roman"/>
          <w:bCs/>
        </w:rPr>
        <w:t xml:space="preserve"> from the SW Pacific swordfish </w:t>
      </w:r>
      <w:r w:rsidRPr="0070772D">
        <w:rPr>
          <w:rFonts w:ascii="Times New Roman" w:hAnsi="Times New Roman"/>
          <w:bCs/>
        </w:rPr>
        <w:t>‘diagnostic case’ model run</w:t>
      </w:r>
      <w:r w:rsidRPr="0070772D">
        <w:rPr>
          <w:rFonts w:ascii="Times New Roman" w:hAnsi="Times New Roman"/>
          <w:bCs/>
          <w:lang w:val="en-AU" w:eastAsia="ko-KR"/>
        </w:rPr>
        <w:t xml:space="preserve">. </w:t>
      </w:r>
      <w:r w:rsidRPr="0070772D">
        <w:rPr>
          <w:rFonts w:ascii="Times New Roman" w:eastAsia="PMingLiU" w:hAnsi="Times New Roman"/>
          <w:bCs/>
          <w:lang w:val="en-AU" w:eastAsia="zh-TW"/>
        </w:rPr>
        <w:t xml:space="preserve">Figure </w:t>
      </w:r>
      <w:r w:rsidRPr="0070772D">
        <w:rPr>
          <w:rFonts w:ascii="Times New Roman" w:eastAsia="Times New Roman" w:hAnsi="Times New Roman"/>
          <w:bCs/>
          <w:lang w:val="en-AU" w:eastAsia="ja-JP"/>
        </w:rPr>
        <w:t>SWO-1</w:t>
      </w:r>
      <w:r w:rsidRPr="0070772D">
        <w:rPr>
          <w:rFonts w:ascii="Times New Roman" w:hAnsi="Times New Roman"/>
          <w:bCs/>
          <w:lang w:val="en-AU" w:eastAsia="ko-KR"/>
        </w:rPr>
        <w:t>1 shows</w:t>
      </w:r>
      <w:r w:rsidRPr="0070772D">
        <w:rPr>
          <w:rFonts w:ascii="Times New Roman" w:eastAsia="PMingLiU" w:hAnsi="Times New Roman"/>
          <w:bCs/>
          <w:lang w:val="en-AU" w:eastAsia="zh-TW"/>
        </w:rPr>
        <w:t xml:space="preserve"> Estimates of</w:t>
      </w:r>
      <w:r w:rsidRPr="000549CD">
        <w:rPr>
          <w:rFonts w:ascii="Times New Roman" w:eastAsia="PMingLiU" w:hAnsi="Times New Roman"/>
          <w:lang w:val="en-AU" w:eastAsia="zh-TW"/>
        </w:rPr>
        <w:t xml:space="preserve"> reduction in spawning potential due to fishing by region, and over all regions (lower </w:t>
      </w:r>
      <w:r w:rsidRPr="00066444">
        <w:rPr>
          <w:rFonts w:ascii="Times New Roman" w:eastAsia="Times New Roman" w:hAnsi="Times New Roman"/>
          <w:lang w:val="en-AU" w:eastAsia="ja-JP"/>
        </w:rPr>
        <w:t>left</w:t>
      </w:r>
      <w:r w:rsidRPr="00066444">
        <w:rPr>
          <w:rFonts w:ascii="Times New Roman" w:eastAsia="PMingLiU" w:hAnsi="Times New Roman"/>
          <w:lang w:val="en-AU" w:eastAsia="zh-TW"/>
        </w:rPr>
        <w:t xml:space="preserve"> panel), attributed to various fishery groups (distant water ‘north’, ‘central’ and ‘south’, corresponding t</w:t>
      </w:r>
      <w:r w:rsidRPr="0070772D">
        <w:rPr>
          <w:rFonts w:ascii="Times New Roman" w:eastAsia="PMingLiU" w:hAnsi="Times New Roman"/>
          <w:lang w:val="en-AU" w:eastAsia="zh-TW"/>
        </w:rPr>
        <w:t>o the model regions, and a combined domestic</w:t>
      </w:r>
      <w:r>
        <w:rPr>
          <w:rFonts w:ascii="Times New Roman" w:eastAsia="PMingLiU" w:hAnsi="Times New Roman"/>
          <w:lang w:val="en-AU" w:eastAsia="zh-TW"/>
        </w:rPr>
        <w:t xml:space="preserve"> fleet) </w:t>
      </w:r>
      <w:r w:rsidRPr="009C2ADD">
        <w:rPr>
          <w:rFonts w:ascii="Times New Roman" w:eastAsia="PMingLiU" w:hAnsi="Times New Roman"/>
          <w:lang w:val="en-AU" w:eastAsia="zh-TW"/>
        </w:rPr>
        <w:t>for the diagnostic case model.</w:t>
      </w:r>
      <w:r w:rsidRPr="009C2ADD">
        <w:rPr>
          <w:rFonts w:ascii="Times New Roman" w:eastAsia="Times New Roman" w:hAnsi="Times New Roman"/>
          <w:lang w:val="en-AU" w:eastAsia="ja-JP"/>
        </w:rPr>
        <w:t xml:space="preserve"> </w:t>
      </w:r>
      <w:r w:rsidRPr="009C2ADD">
        <w:rPr>
          <w:rFonts w:ascii="Times New Roman" w:hAnsi="Times New Roman"/>
          <w:lang w:val="en-AU"/>
        </w:rPr>
        <w:t xml:space="preserve">Summary of reference points over all 72 individual models in the structural uncertainty grid are shown </w:t>
      </w:r>
      <w:r w:rsidRPr="00066444">
        <w:rPr>
          <w:rFonts w:ascii="Times New Roman" w:hAnsi="Times New Roman"/>
          <w:lang w:val="en-AU"/>
        </w:rPr>
        <w:t xml:space="preserve">in </w:t>
      </w:r>
      <w:r w:rsidRPr="0070772D">
        <w:rPr>
          <w:rFonts w:ascii="Times New Roman" w:hAnsi="Times New Roman"/>
          <w:lang w:val="en-AU"/>
        </w:rPr>
        <w:t>Table SWO-2</w:t>
      </w:r>
      <w:r w:rsidRPr="00066444">
        <w:rPr>
          <w:rFonts w:ascii="Times New Roman" w:hAnsi="Times New Roman"/>
          <w:lang w:val="en-AU"/>
        </w:rPr>
        <w:t xml:space="preserve">.  </w:t>
      </w:r>
    </w:p>
    <w:p w14:paraId="4B3AA9B2" w14:textId="77777777" w:rsidR="0014588F" w:rsidRPr="009C2ADD" w:rsidRDefault="0014588F" w:rsidP="0014588F">
      <w:pPr>
        <w:pStyle w:val="WCPFC"/>
        <w:numPr>
          <w:ilvl w:val="0"/>
          <w:numId w:val="0"/>
        </w:numPr>
        <w:adjustRightInd w:val="0"/>
        <w:spacing w:after="0"/>
        <w:ind w:left="567"/>
        <w:rPr>
          <w:lang w:val="en-US"/>
        </w:rPr>
      </w:pPr>
    </w:p>
    <w:p w14:paraId="248CE01E" w14:textId="77777777" w:rsidR="0014588F" w:rsidRPr="009C2ADD" w:rsidRDefault="0014588F" w:rsidP="0014588F">
      <w:pPr>
        <w:adjustRightInd w:val="0"/>
        <w:snapToGrid w:val="0"/>
        <w:spacing w:after="0"/>
        <w:jc w:val="left"/>
        <w:rPr>
          <w:rFonts w:ascii="Times New Roman" w:eastAsia="MS Mincho" w:hAnsi="Times New Roman"/>
        </w:rPr>
      </w:pPr>
      <w:r w:rsidRPr="009C2ADD">
        <w:rPr>
          <w:rFonts w:ascii="Times New Roman" w:eastAsia="MS Mincho" w:hAnsi="Times New Roman"/>
          <w:b/>
          <w:bCs/>
        </w:rPr>
        <w:t>Table SWO-1</w:t>
      </w:r>
      <w:r w:rsidRPr="009C2ADD">
        <w:rPr>
          <w:rFonts w:ascii="Times New Roman" w:eastAsia="MS Mincho" w:hAnsi="Times New Roman"/>
          <w:b/>
        </w:rPr>
        <w:t xml:space="preserve">: </w:t>
      </w:r>
      <w:r w:rsidRPr="009C2ADD">
        <w:rPr>
          <w:rFonts w:ascii="Times New Roman" w:eastAsia="MS Mincho" w:hAnsi="Times New Roman"/>
        </w:rPr>
        <w:t>Description of the structural sensitivity grid used to characterize uncertainty in the assessment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80"/>
        <w:gridCol w:w="3081"/>
        <w:gridCol w:w="3081"/>
      </w:tblGrid>
      <w:tr w:rsidR="0014588F" w:rsidRPr="009C2ADD" w14:paraId="034199EE" w14:textId="77777777" w:rsidTr="000E6616">
        <w:tc>
          <w:tcPr>
            <w:tcW w:w="3080" w:type="dxa"/>
            <w:tcBorders>
              <w:bottom w:val="single" w:sz="4" w:space="0" w:color="auto"/>
            </w:tcBorders>
            <w:shd w:val="clear" w:color="auto" w:fill="auto"/>
          </w:tcPr>
          <w:p w14:paraId="4B7E9931"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Axis</w:t>
            </w:r>
          </w:p>
        </w:tc>
        <w:tc>
          <w:tcPr>
            <w:tcW w:w="3081" w:type="dxa"/>
            <w:tcBorders>
              <w:bottom w:val="single" w:sz="4" w:space="0" w:color="auto"/>
            </w:tcBorders>
            <w:shd w:val="clear" w:color="auto" w:fill="auto"/>
          </w:tcPr>
          <w:p w14:paraId="52C7D2C7"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Levels</w:t>
            </w:r>
          </w:p>
        </w:tc>
        <w:tc>
          <w:tcPr>
            <w:tcW w:w="3081" w:type="dxa"/>
            <w:tcBorders>
              <w:bottom w:val="single" w:sz="4" w:space="0" w:color="auto"/>
            </w:tcBorders>
            <w:shd w:val="clear" w:color="auto" w:fill="auto"/>
          </w:tcPr>
          <w:p w14:paraId="56EDFE4C"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Option</w:t>
            </w:r>
          </w:p>
        </w:tc>
      </w:tr>
      <w:tr w:rsidR="0014588F" w:rsidRPr="009C2ADD" w14:paraId="5C826391" w14:textId="77777777" w:rsidTr="000E6616">
        <w:tc>
          <w:tcPr>
            <w:tcW w:w="3080" w:type="dxa"/>
            <w:tcBorders>
              <w:bottom w:val="nil"/>
            </w:tcBorders>
            <w:shd w:val="clear" w:color="auto" w:fill="auto"/>
          </w:tcPr>
          <w:p w14:paraId="06BAFDA8"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Steepness</w:t>
            </w:r>
          </w:p>
        </w:tc>
        <w:tc>
          <w:tcPr>
            <w:tcW w:w="3081" w:type="dxa"/>
            <w:tcBorders>
              <w:bottom w:val="nil"/>
            </w:tcBorders>
            <w:shd w:val="clear" w:color="auto" w:fill="auto"/>
          </w:tcPr>
          <w:p w14:paraId="4EA1C05E"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3</w:t>
            </w:r>
          </w:p>
        </w:tc>
        <w:tc>
          <w:tcPr>
            <w:tcW w:w="3081" w:type="dxa"/>
            <w:tcBorders>
              <w:bottom w:val="nil"/>
            </w:tcBorders>
            <w:shd w:val="clear" w:color="auto" w:fill="auto"/>
          </w:tcPr>
          <w:p w14:paraId="2E5DB8AC"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0.65, 0.80, 0.95</w:t>
            </w:r>
          </w:p>
        </w:tc>
      </w:tr>
      <w:tr w:rsidR="0014588F" w:rsidRPr="009C2ADD" w14:paraId="7518E63F" w14:textId="77777777" w:rsidTr="000E6616">
        <w:tc>
          <w:tcPr>
            <w:tcW w:w="3080" w:type="dxa"/>
            <w:tcBorders>
              <w:top w:val="nil"/>
              <w:bottom w:val="nil"/>
            </w:tcBorders>
            <w:shd w:val="clear" w:color="auto" w:fill="auto"/>
          </w:tcPr>
          <w:p w14:paraId="11329DA7"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Diffusion rate</w:t>
            </w:r>
          </w:p>
        </w:tc>
        <w:tc>
          <w:tcPr>
            <w:tcW w:w="3081" w:type="dxa"/>
            <w:tcBorders>
              <w:top w:val="nil"/>
              <w:bottom w:val="nil"/>
            </w:tcBorders>
            <w:shd w:val="clear" w:color="auto" w:fill="auto"/>
          </w:tcPr>
          <w:p w14:paraId="5DD6B954"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3</w:t>
            </w:r>
          </w:p>
        </w:tc>
        <w:tc>
          <w:tcPr>
            <w:tcW w:w="3081" w:type="dxa"/>
            <w:tcBorders>
              <w:top w:val="nil"/>
              <w:bottom w:val="nil"/>
            </w:tcBorders>
            <w:shd w:val="clear" w:color="auto" w:fill="auto"/>
          </w:tcPr>
          <w:p w14:paraId="1190A50F"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0, 0.11, 0.25</w:t>
            </w:r>
          </w:p>
        </w:tc>
      </w:tr>
      <w:tr w:rsidR="0014588F" w:rsidRPr="009C2ADD" w14:paraId="253B3C85" w14:textId="77777777" w:rsidTr="000E6616">
        <w:tc>
          <w:tcPr>
            <w:tcW w:w="3080" w:type="dxa"/>
            <w:tcBorders>
              <w:top w:val="nil"/>
              <w:bottom w:val="nil"/>
            </w:tcBorders>
            <w:shd w:val="clear" w:color="auto" w:fill="auto"/>
          </w:tcPr>
          <w:p w14:paraId="5745E8C2"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Size frequency weighting</w:t>
            </w:r>
          </w:p>
        </w:tc>
        <w:tc>
          <w:tcPr>
            <w:tcW w:w="3081" w:type="dxa"/>
            <w:tcBorders>
              <w:top w:val="nil"/>
              <w:bottom w:val="nil"/>
            </w:tcBorders>
            <w:shd w:val="clear" w:color="auto" w:fill="auto"/>
          </w:tcPr>
          <w:p w14:paraId="2FFF4DA5"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2</w:t>
            </w:r>
          </w:p>
        </w:tc>
        <w:tc>
          <w:tcPr>
            <w:tcW w:w="3081" w:type="dxa"/>
            <w:tcBorders>
              <w:top w:val="nil"/>
              <w:bottom w:val="nil"/>
            </w:tcBorders>
            <w:shd w:val="clear" w:color="auto" w:fill="auto"/>
          </w:tcPr>
          <w:p w14:paraId="70526D62"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Sample size divided by 20,40</w:t>
            </w:r>
          </w:p>
        </w:tc>
      </w:tr>
      <w:tr w:rsidR="0014588F" w:rsidRPr="009C2ADD" w14:paraId="7507F890" w14:textId="77777777" w:rsidTr="000E6616">
        <w:tc>
          <w:tcPr>
            <w:tcW w:w="3080" w:type="dxa"/>
            <w:tcBorders>
              <w:top w:val="nil"/>
            </w:tcBorders>
            <w:shd w:val="clear" w:color="auto" w:fill="auto"/>
          </w:tcPr>
          <w:p w14:paraId="6C8D6DCA"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Natural mortality vectors</w:t>
            </w:r>
          </w:p>
        </w:tc>
        <w:tc>
          <w:tcPr>
            <w:tcW w:w="3081" w:type="dxa"/>
            <w:tcBorders>
              <w:top w:val="nil"/>
            </w:tcBorders>
            <w:shd w:val="clear" w:color="auto" w:fill="auto"/>
          </w:tcPr>
          <w:p w14:paraId="08B9D66C"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4</w:t>
            </w:r>
          </w:p>
        </w:tc>
        <w:tc>
          <w:tcPr>
            <w:tcW w:w="3081" w:type="dxa"/>
            <w:tcBorders>
              <w:top w:val="nil"/>
            </w:tcBorders>
            <w:shd w:val="clear" w:color="auto" w:fill="auto"/>
          </w:tcPr>
          <w:p w14:paraId="5C63A042" w14:textId="77777777" w:rsidR="0014588F" w:rsidRPr="009C2ADD" w:rsidRDefault="0014588F" w:rsidP="000E6616">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M1,M2,M3, M4</w:t>
            </w:r>
          </w:p>
        </w:tc>
      </w:tr>
    </w:tbl>
    <w:p w14:paraId="4DD79E6E" w14:textId="77777777" w:rsidR="0014588F" w:rsidRDefault="0014588F" w:rsidP="0014588F">
      <w:pPr>
        <w:adjustRightInd w:val="0"/>
        <w:snapToGrid w:val="0"/>
        <w:spacing w:after="0"/>
        <w:rPr>
          <w:rFonts w:ascii="Times New Roman" w:eastAsia="MS Mincho" w:hAnsi="Times New Roman"/>
        </w:rPr>
      </w:pPr>
    </w:p>
    <w:p w14:paraId="63E5AE03" w14:textId="77777777" w:rsidR="0014588F" w:rsidRDefault="0014588F" w:rsidP="0014588F">
      <w:pPr>
        <w:adjustRightInd w:val="0"/>
        <w:snapToGrid w:val="0"/>
        <w:spacing w:after="0"/>
        <w:rPr>
          <w:rFonts w:ascii="Times New Roman" w:eastAsia="MS Mincho" w:hAnsi="Times New Roman"/>
        </w:rPr>
      </w:pPr>
    </w:p>
    <w:p w14:paraId="7D5190F0" w14:textId="77777777" w:rsidR="0014588F" w:rsidRDefault="0014588F" w:rsidP="0014588F">
      <w:pPr>
        <w:adjustRightInd w:val="0"/>
        <w:snapToGrid w:val="0"/>
        <w:spacing w:after="0"/>
        <w:rPr>
          <w:rFonts w:ascii="Times New Roman" w:eastAsia="MS Mincho"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668"/>
      </w:tblGrid>
      <w:tr w:rsidR="0014588F" w14:paraId="71FA3009" w14:textId="77777777" w:rsidTr="000E6616">
        <w:tc>
          <w:tcPr>
            <w:tcW w:w="4788" w:type="dxa"/>
          </w:tcPr>
          <w:p w14:paraId="3D323DF3" w14:textId="77777777" w:rsidR="0014588F" w:rsidRDefault="0014588F" w:rsidP="000E6616">
            <w:pPr>
              <w:adjustRightInd w:val="0"/>
              <w:snapToGrid w:val="0"/>
              <w:spacing w:after="0"/>
              <w:rPr>
                <w:rFonts w:ascii="Times New Roman" w:eastAsia="MS Mincho" w:hAnsi="Times New Roman"/>
              </w:rPr>
            </w:pPr>
            <w:r w:rsidRPr="009C2ADD">
              <w:rPr>
                <w:rFonts w:ascii="Times New Roman" w:eastAsia="MS Mincho" w:hAnsi="Times New Roman"/>
                <w:noProof/>
                <w:lang w:val="en-US" w:eastAsia="ko-KR"/>
              </w:rPr>
              <w:drawing>
                <wp:inline distT="0" distB="0" distL="0" distR="0" wp14:anchorId="1A9753CF" wp14:editId="3A76E7D8">
                  <wp:extent cx="2949454" cy="1690576"/>
                  <wp:effectExtent l="0" t="0" r="3810" b="5080"/>
                  <wp:docPr id="97" name="Picture 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Grp="1"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48668" cy="1690125"/>
                          </a:xfrm>
                          <a:prstGeom prst="rect">
                            <a:avLst/>
                          </a:prstGeom>
                          <a:noFill/>
                          <a:ln>
                            <a:noFill/>
                          </a:ln>
                        </pic:spPr>
                      </pic:pic>
                    </a:graphicData>
                  </a:graphic>
                </wp:inline>
              </w:drawing>
            </w:r>
          </w:p>
        </w:tc>
        <w:tc>
          <w:tcPr>
            <w:tcW w:w="4788" w:type="dxa"/>
          </w:tcPr>
          <w:p w14:paraId="4B7F695F" w14:textId="77777777" w:rsidR="0014588F" w:rsidRDefault="0014588F" w:rsidP="000E6616">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7EA9136B" wp14:editId="375AFACA">
                  <wp:extent cx="2892056" cy="1661934"/>
                  <wp:effectExtent l="0" t="0" r="3810" b="0"/>
                  <wp:docPr id="98" name="Picture 37" descr="Fig18_Rec_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18_Rec_dia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3668" cy="1662860"/>
                          </a:xfrm>
                          <a:prstGeom prst="rect">
                            <a:avLst/>
                          </a:prstGeom>
                          <a:noFill/>
                          <a:ln>
                            <a:noFill/>
                          </a:ln>
                        </pic:spPr>
                      </pic:pic>
                    </a:graphicData>
                  </a:graphic>
                </wp:inline>
              </w:drawing>
            </w:r>
          </w:p>
        </w:tc>
      </w:tr>
      <w:tr w:rsidR="0014588F" w14:paraId="65168AED" w14:textId="77777777" w:rsidTr="000E6616">
        <w:tc>
          <w:tcPr>
            <w:tcW w:w="4788" w:type="dxa"/>
          </w:tcPr>
          <w:p w14:paraId="2611B0E6" w14:textId="77777777" w:rsidR="0014588F" w:rsidRPr="008A6F43" w:rsidRDefault="0014588F" w:rsidP="000E6616">
            <w:pPr>
              <w:adjustRightInd w:val="0"/>
              <w:snapToGrid w:val="0"/>
              <w:spacing w:after="0"/>
              <w:jc w:val="left"/>
              <w:rPr>
                <w:rFonts w:ascii="Times New Roman" w:eastAsia="MS Mincho" w:hAnsi="Times New Roman"/>
              </w:rPr>
            </w:pPr>
            <w:r w:rsidRPr="009C2ADD">
              <w:rPr>
                <w:rFonts w:ascii="Times New Roman" w:eastAsia="MS Mincho" w:hAnsi="Times New Roman"/>
                <w:b/>
                <w:bCs/>
              </w:rPr>
              <w:t>Figure SWO-</w:t>
            </w:r>
            <w:r w:rsidRPr="008A6F43">
              <w:rPr>
                <w:rFonts w:ascii="Times New Roman" w:eastAsia="MS Mincho" w:hAnsi="Times New Roman"/>
                <w:b/>
                <w:bCs/>
              </w:rPr>
              <w:t>1</w:t>
            </w:r>
            <w:r w:rsidRPr="008A6F43">
              <w:rPr>
                <w:rFonts w:ascii="Times New Roman" w:eastAsia="MS PMincho" w:hAnsi="Times New Roman"/>
              </w:rPr>
              <w:t xml:space="preserve">. </w:t>
            </w:r>
            <w:r w:rsidRPr="008A6F43">
              <w:rPr>
                <w:rFonts w:ascii="Times New Roman" w:hAnsi="Times New Roman"/>
              </w:rPr>
              <w:t xml:space="preserve">Total swordfish catches in weight grouped by major longline-method fisheries in the model regions, 1952–2011. </w:t>
            </w:r>
            <w:r>
              <w:rPr>
                <w:rFonts w:ascii="Times New Roman" w:hAnsi="Times New Roman"/>
              </w:rPr>
              <w:t>(</w:t>
            </w:r>
            <w:r w:rsidRPr="008A6F43">
              <w:rPr>
                <w:rFonts w:ascii="Times New Roman" w:hAnsi="Times New Roman"/>
              </w:rPr>
              <w:t>DW1 - distant water fleet region 1; AUS – Australian region 1; Other1 - Other fisheries region 1; DW2 - distant water fleet region 2; NZ2 - New Zealand region 2; EU2 – EU (Spanish) region 2; Other2 - other fisheries region 2</w:t>
            </w:r>
            <w:r>
              <w:rPr>
                <w:rFonts w:ascii="Times New Roman" w:hAnsi="Times New Roman"/>
              </w:rPr>
              <w:t>)</w:t>
            </w:r>
          </w:p>
          <w:p w14:paraId="0FBC2320" w14:textId="77777777" w:rsidR="0014588F" w:rsidRDefault="0014588F" w:rsidP="000E6616">
            <w:pPr>
              <w:adjustRightInd w:val="0"/>
              <w:snapToGrid w:val="0"/>
              <w:spacing w:after="0"/>
              <w:rPr>
                <w:rFonts w:ascii="Times New Roman" w:eastAsia="MS Mincho" w:hAnsi="Times New Roman"/>
              </w:rPr>
            </w:pPr>
          </w:p>
        </w:tc>
        <w:tc>
          <w:tcPr>
            <w:tcW w:w="4788" w:type="dxa"/>
          </w:tcPr>
          <w:p w14:paraId="3F9C459C" w14:textId="77777777" w:rsidR="0014588F" w:rsidRPr="009C2ADD" w:rsidRDefault="0014588F" w:rsidP="000E6616">
            <w:pPr>
              <w:adjustRightInd w:val="0"/>
              <w:snapToGrid w:val="0"/>
              <w:spacing w:after="0"/>
              <w:rPr>
                <w:rFonts w:ascii="Times New Roman" w:eastAsia="PMingLiU" w:hAnsi="Times New Roman"/>
                <w:lang w:val="en-AU" w:eastAsia="zh-TW"/>
              </w:rPr>
            </w:pPr>
            <w:r w:rsidRPr="009C2ADD">
              <w:rPr>
                <w:rFonts w:ascii="Times New Roman" w:eastAsia="PMingLiU" w:hAnsi="Times New Roman"/>
                <w:b/>
                <w:bCs/>
                <w:lang w:val="en-AU" w:eastAsia="zh-TW"/>
              </w:rPr>
              <w:t xml:space="preserve">Figure </w:t>
            </w:r>
            <w:r w:rsidRPr="009C2ADD">
              <w:rPr>
                <w:rFonts w:ascii="Times New Roman" w:hAnsi="Times New Roman"/>
                <w:b/>
                <w:bCs/>
                <w:lang w:val="en-AU" w:eastAsia="ja-JP"/>
              </w:rPr>
              <w:t>SWO</w:t>
            </w:r>
            <w:r w:rsidRPr="009C2ADD">
              <w:rPr>
                <w:rFonts w:ascii="Times New Roman" w:eastAsia="PMingLiU" w:hAnsi="Times New Roman"/>
                <w:b/>
                <w:bCs/>
                <w:lang w:val="en-AU" w:eastAsia="zh-TW"/>
              </w:rPr>
              <w:t>2</w:t>
            </w:r>
            <w:r w:rsidRPr="009C2ADD">
              <w:rPr>
                <w:rFonts w:ascii="Times New Roman" w:eastAsia="PMingLiU" w:hAnsi="Times New Roman"/>
                <w:b/>
                <w:lang w:val="en-AU" w:eastAsia="zh-TW"/>
              </w:rPr>
              <w:t xml:space="preserve">. </w:t>
            </w:r>
            <w:r w:rsidRPr="009C2ADD">
              <w:rPr>
                <w:rFonts w:ascii="Times New Roman" w:eastAsia="PMingLiU" w:hAnsi="Times New Roman"/>
                <w:lang w:val="en-AU" w:eastAsia="zh-TW"/>
              </w:rPr>
              <w:t>Estimated annual average recruitment by model region for the diagnostic case model, showing the relative sizes among regions.</w:t>
            </w:r>
          </w:p>
          <w:p w14:paraId="69275A58" w14:textId="77777777" w:rsidR="0014588F" w:rsidRDefault="0014588F" w:rsidP="000E6616">
            <w:pPr>
              <w:adjustRightInd w:val="0"/>
              <w:snapToGrid w:val="0"/>
              <w:spacing w:after="0"/>
              <w:rPr>
                <w:rFonts w:ascii="Times New Roman" w:eastAsiaTheme="minorEastAsia" w:hAnsi="Times New Roman"/>
                <w:lang w:eastAsia="ko-KR"/>
              </w:rPr>
            </w:pPr>
          </w:p>
          <w:p w14:paraId="25C1D8A8" w14:textId="77777777" w:rsidR="0014588F" w:rsidRDefault="0014588F" w:rsidP="000E6616">
            <w:pPr>
              <w:adjustRightInd w:val="0"/>
              <w:snapToGrid w:val="0"/>
              <w:spacing w:after="0"/>
              <w:rPr>
                <w:rFonts w:ascii="Times New Roman" w:eastAsiaTheme="minorEastAsia" w:hAnsi="Times New Roman"/>
                <w:lang w:eastAsia="ko-KR"/>
              </w:rPr>
            </w:pPr>
          </w:p>
          <w:p w14:paraId="18A17415" w14:textId="77777777" w:rsidR="0014588F" w:rsidRDefault="0014588F" w:rsidP="000E6616">
            <w:pPr>
              <w:adjustRightInd w:val="0"/>
              <w:snapToGrid w:val="0"/>
              <w:spacing w:after="0"/>
              <w:rPr>
                <w:rFonts w:ascii="Times New Roman" w:eastAsiaTheme="minorEastAsia" w:hAnsi="Times New Roman"/>
                <w:lang w:eastAsia="ko-KR"/>
              </w:rPr>
            </w:pPr>
          </w:p>
          <w:p w14:paraId="04EF154F" w14:textId="77777777" w:rsidR="0014588F" w:rsidRDefault="0014588F" w:rsidP="000E6616">
            <w:pPr>
              <w:adjustRightInd w:val="0"/>
              <w:snapToGrid w:val="0"/>
              <w:spacing w:after="0"/>
              <w:rPr>
                <w:rFonts w:ascii="Times New Roman" w:eastAsiaTheme="minorEastAsia" w:hAnsi="Times New Roman"/>
                <w:lang w:eastAsia="ko-KR"/>
              </w:rPr>
            </w:pPr>
          </w:p>
          <w:p w14:paraId="63113CB5" w14:textId="77777777" w:rsidR="0014588F" w:rsidRDefault="0014588F" w:rsidP="000E6616">
            <w:pPr>
              <w:adjustRightInd w:val="0"/>
              <w:snapToGrid w:val="0"/>
              <w:spacing w:after="0"/>
              <w:rPr>
                <w:rFonts w:ascii="Times New Roman" w:eastAsiaTheme="minorEastAsia" w:hAnsi="Times New Roman"/>
                <w:lang w:eastAsia="ko-KR"/>
              </w:rPr>
            </w:pPr>
          </w:p>
          <w:p w14:paraId="2752D0C2" w14:textId="77777777" w:rsidR="0014588F" w:rsidRDefault="0014588F" w:rsidP="000E6616">
            <w:pPr>
              <w:adjustRightInd w:val="0"/>
              <w:snapToGrid w:val="0"/>
              <w:spacing w:after="0"/>
              <w:rPr>
                <w:rFonts w:ascii="Times New Roman" w:eastAsiaTheme="minorEastAsia" w:hAnsi="Times New Roman"/>
                <w:lang w:eastAsia="ko-KR"/>
              </w:rPr>
            </w:pPr>
          </w:p>
          <w:p w14:paraId="2F1F769F" w14:textId="77777777" w:rsidR="0014588F" w:rsidRPr="00930521" w:rsidRDefault="0014588F" w:rsidP="000E6616">
            <w:pPr>
              <w:adjustRightInd w:val="0"/>
              <w:snapToGrid w:val="0"/>
              <w:spacing w:after="0"/>
              <w:rPr>
                <w:rFonts w:ascii="Times New Roman" w:eastAsiaTheme="minorEastAsia" w:hAnsi="Times New Roman"/>
                <w:lang w:eastAsia="ko-KR"/>
              </w:rPr>
            </w:pPr>
          </w:p>
        </w:tc>
      </w:tr>
      <w:tr w:rsidR="0014588F" w14:paraId="16ED73C9" w14:textId="77777777" w:rsidTr="000E6616">
        <w:tc>
          <w:tcPr>
            <w:tcW w:w="4788" w:type="dxa"/>
          </w:tcPr>
          <w:p w14:paraId="2CDC85C8" w14:textId="77777777" w:rsidR="0014588F" w:rsidRDefault="0014588F" w:rsidP="000E6616">
            <w:pPr>
              <w:adjustRightInd w:val="0"/>
              <w:snapToGrid w:val="0"/>
              <w:spacing w:after="0"/>
              <w:rPr>
                <w:rFonts w:ascii="Times New Roman" w:eastAsia="MS Mincho" w:hAnsi="Times New Roman"/>
              </w:rPr>
            </w:pPr>
            <w:r w:rsidRPr="009C2ADD">
              <w:rPr>
                <w:rFonts w:ascii="Times New Roman" w:eastAsia="PMingLiU" w:hAnsi="Times New Roman"/>
                <w:noProof/>
                <w:lang w:val="en-US" w:eastAsia="ko-KR"/>
              </w:rPr>
              <w:drawing>
                <wp:inline distT="0" distB="0" distL="0" distR="0" wp14:anchorId="3853E815" wp14:editId="05FB3929">
                  <wp:extent cx="3051544" cy="1739952"/>
                  <wp:effectExtent l="0" t="0" r="0" b="0"/>
                  <wp:docPr id="99" name="Picture 3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Grp="1"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50658" cy="1739447"/>
                          </a:xfrm>
                          <a:prstGeom prst="rect">
                            <a:avLst/>
                          </a:prstGeom>
                          <a:noFill/>
                          <a:ln>
                            <a:noFill/>
                          </a:ln>
                        </pic:spPr>
                      </pic:pic>
                    </a:graphicData>
                  </a:graphic>
                </wp:inline>
              </w:drawing>
            </w:r>
          </w:p>
        </w:tc>
        <w:tc>
          <w:tcPr>
            <w:tcW w:w="4788" w:type="dxa"/>
          </w:tcPr>
          <w:p w14:paraId="230521C6" w14:textId="77777777" w:rsidR="0014588F" w:rsidRDefault="0014588F" w:rsidP="000E6616">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11CC90F8" wp14:editId="6FE240F9">
                  <wp:extent cx="2869495" cy="1648046"/>
                  <wp:effectExtent l="0" t="0" r="7620" b="0"/>
                  <wp:docPr id="100" name="Picture 35" descr="Fig25_FAAtrend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25_FAAtrenddia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7693" cy="1652755"/>
                          </a:xfrm>
                          <a:prstGeom prst="rect">
                            <a:avLst/>
                          </a:prstGeom>
                          <a:noFill/>
                          <a:ln>
                            <a:noFill/>
                          </a:ln>
                        </pic:spPr>
                      </pic:pic>
                    </a:graphicData>
                  </a:graphic>
                </wp:inline>
              </w:drawing>
            </w:r>
          </w:p>
        </w:tc>
      </w:tr>
      <w:tr w:rsidR="0014588F" w14:paraId="5A486C18" w14:textId="77777777" w:rsidTr="000E6616">
        <w:tc>
          <w:tcPr>
            <w:tcW w:w="4788" w:type="dxa"/>
          </w:tcPr>
          <w:p w14:paraId="2E7FAB1B" w14:textId="77777777" w:rsidR="0014588F" w:rsidRPr="009C2ADD" w:rsidRDefault="0014588F" w:rsidP="000E6616">
            <w:pPr>
              <w:adjustRightInd w:val="0"/>
              <w:snapToGrid w:val="0"/>
              <w:spacing w:after="0"/>
              <w:rPr>
                <w:rFonts w:ascii="Times New Roman" w:eastAsia="PMingLiU" w:hAnsi="Times New Roman"/>
                <w:lang w:val="en-AU" w:eastAsia="zh-TW"/>
              </w:rPr>
            </w:pPr>
            <w:r w:rsidRPr="009C2ADD">
              <w:rPr>
                <w:rFonts w:ascii="Times New Roman" w:eastAsia="PMingLiU" w:hAnsi="Times New Roman"/>
                <w:b/>
                <w:lang w:val="en-AU" w:eastAsia="zh-TW"/>
              </w:rPr>
              <w:t xml:space="preserve">Figure SWO3. </w:t>
            </w:r>
            <w:r w:rsidRPr="009C2ADD">
              <w:rPr>
                <w:rFonts w:ascii="Times New Roman" w:eastAsia="PMingLiU" w:hAnsi="Times New Roman"/>
                <w:lang w:val="en-AU" w:eastAsia="zh-TW"/>
              </w:rPr>
              <w:t>Estimated annual average spawning potential by model region for the diagnostic case model, showing the relative sizes among regions.</w:t>
            </w:r>
          </w:p>
          <w:p w14:paraId="72D3F06A" w14:textId="77777777" w:rsidR="0014588F" w:rsidRDefault="0014588F" w:rsidP="000E6616">
            <w:pPr>
              <w:adjustRightInd w:val="0"/>
              <w:snapToGrid w:val="0"/>
              <w:spacing w:after="0"/>
              <w:rPr>
                <w:rFonts w:ascii="Times New Roman" w:eastAsia="MS Mincho" w:hAnsi="Times New Roman"/>
              </w:rPr>
            </w:pPr>
          </w:p>
        </w:tc>
        <w:tc>
          <w:tcPr>
            <w:tcW w:w="4788" w:type="dxa"/>
          </w:tcPr>
          <w:p w14:paraId="47BB08E5" w14:textId="77777777" w:rsidR="0014588F" w:rsidRPr="009C2ADD" w:rsidRDefault="0014588F" w:rsidP="000E6616">
            <w:pPr>
              <w:adjustRightInd w:val="0"/>
              <w:snapToGrid w:val="0"/>
              <w:spacing w:after="0"/>
              <w:rPr>
                <w:rFonts w:ascii="Times New Roman" w:eastAsia="PMingLiU" w:hAnsi="Times New Roman"/>
                <w:bCs/>
                <w:lang w:eastAsia="zh-TW"/>
              </w:rPr>
            </w:pPr>
            <w:r w:rsidRPr="009C2ADD">
              <w:rPr>
                <w:rFonts w:ascii="Times New Roman" w:eastAsia="MS Mincho" w:hAnsi="Times New Roman"/>
                <w:b/>
              </w:rPr>
              <w:t xml:space="preserve">Figure SWO-4. </w:t>
            </w:r>
            <w:r w:rsidRPr="009C2ADD">
              <w:rPr>
                <w:rFonts w:ascii="Times New Roman" w:eastAsia="MS Mincho" w:hAnsi="Times New Roman"/>
              </w:rPr>
              <w:t>Estimated annual average juvenile (age classes 1-3), maturing adult (4-6) and adult (7+) fishing mortality for the diagnostic case model.</w:t>
            </w:r>
          </w:p>
          <w:p w14:paraId="6D5112BA" w14:textId="77777777" w:rsidR="0014588F" w:rsidRDefault="0014588F" w:rsidP="000E6616">
            <w:pPr>
              <w:adjustRightInd w:val="0"/>
              <w:snapToGrid w:val="0"/>
              <w:spacing w:after="0"/>
              <w:rPr>
                <w:rFonts w:ascii="Times New Roman" w:eastAsia="MS Mincho" w:hAnsi="Times New Roman"/>
              </w:rPr>
            </w:pPr>
          </w:p>
        </w:tc>
      </w:tr>
    </w:tbl>
    <w:p w14:paraId="63927BEB" w14:textId="77777777" w:rsidR="0014588F" w:rsidRDefault="0014588F" w:rsidP="0014588F">
      <w:pPr>
        <w:adjustRightInd w:val="0"/>
        <w:snapToGrid w:val="0"/>
        <w:spacing w:after="0"/>
        <w:rPr>
          <w:rFonts w:ascii="Times New Roman" w:hAnsi="Times New Roman"/>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740"/>
      </w:tblGrid>
      <w:tr w:rsidR="0014588F" w14:paraId="388ECA83" w14:textId="77777777" w:rsidTr="000E6616">
        <w:tc>
          <w:tcPr>
            <w:tcW w:w="9576" w:type="dxa"/>
            <w:gridSpan w:val="2"/>
          </w:tcPr>
          <w:p w14:paraId="05A8D20C" w14:textId="77777777" w:rsidR="0014588F" w:rsidRDefault="0014588F" w:rsidP="000E6616">
            <w:pPr>
              <w:adjustRightInd w:val="0"/>
              <w:snapToGrid w:val="0"/>
              <w:spacing w:after="0"/>
              <w:jc w:val="center"/>
              <w:rPr>
                <w:rFonts w:ascii="Times New Roman" w:hAnsi="Times New Roman"/>
                <w:lang w:val="en-AU" w:eastAsia="ko-KR"/>
              </w:rPr>
            </w:pPr>
            <w:r w:rsidRPr="009C2ADD">
              <w:rPr>
                <w:rFonts w:ascii="Times New Roman" w:eastAsia="MS Mincho" w:hAnsi="Times New Roman"/>
                <w:b/>
                <w:noProof/>
                <w:lang w:val="en-US" w:eastAsia="ko-KR"/>
              </w:rPr>
              <w:drawing>
                <wp:inline distT="0" distB="0" distL="0" distR="0" wp14:anchorId="55E38A37" wp14:editId="153A4044">
                  <wp:extent cx="3987209" cy="2289988"/>
                  <wp:effectExtent l="0" t="0" r="0" b="0"/>
                  <wp:docPr id="101" name="Picture 34" descr="Fig28d_plot_depletion_compare_2017Grid_steep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28d_plot_depletion_compare_2017Grid_steepnes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93626" cy="2293673"/>
                          </a:xfrm>
                          <a:prstGeom prst="rect">
                            <a:avLst/>
                          </a:prstGeom>
                          <a:noFill/>
                          <a:ln>
                            <a:noFill/>
                          </a:ln>
                        </pic:spPr>
                      </pic:pic>
                    </a:graphicData>
                  </a:graphic>
                </wp:inline>
              </w:drawing>
            </w:r>
          </w:p>
        </w:tc>
      </w:tr>
      <w:tr w:rsidR="0014588F" w14:paraId="7FB72E9A" w14:textId="77777777" w:rsidTr="000E6616">
        <w:tc>
          <w:tcPr>
            <w:tcW w:w="9576" w:type="dxa"/>
            <w:gridSpan w:val="2"/>
          </w:tcPr>
          <w:p w14:paraId="58FBC740" w14:textId="77777777" w:rsidR="0014588F" w:rsidRDefault="0014588F" w:rsidP="000E6616">
            <w:pPr>
              <w:adjustRightInd w:val="0"/>
              <w:snapToGrid w:val="0"/>
              <w:spacing w:after="0"/>
              <w:rPr>
                <w:rFonts w:ascii="Times New Roman" w:eastAsiaTheme="minorEastAsia" w:hAnsi="Times New Roman"/>
                <w:lang w:eastAsia="ko-KR"/>
              </w:rPr>
            </w:pPr>
            <w:r w:rsidRPr="009C2ADD">
              <w:rPr>
                <w:rFonts w:ascii="Times New Roman" w:eastAsia="MS Mincho" w:hAnsi="Times New Roman"/>
                <w:b/>
                <w:bCs/>
              </w:rPr>
              <w:t>Figure SWO-5</w:t>
            </w:r>
            <w:r w:rsidRPr="009C2ADD">
              <w:rPr>
                <w:rFonts w:ascii="Times New Roman" w:eastAsia="MS PMincho" w:hAnsi="Times New Roman"/>
                <w:b/>
              </w:rPr>
              <w:t xml:space="preserve">. </w:t>
            </w:r>
            <w:r w:rsidRPr="009C2ADD">
              <w:rPr>
                <w:rFonts w:ascii="Times New Roman" w:eastAsia="MS PMincho" w:hAnsi="Times New Roman"/>
              </w:rPr>
              <w:t>Plot showing the trajectories of fishing depletion (of spawning potential) for the 72 model runs retained for the structural uncertainty grid used for management advice. The colours depict the models in the grid with three levels of steepness (0.65, 0.8 and 0.95).</w:t>
            </w:r>
          </w:p>
          <w:p w14:paraId="4E17BCEA" w14:textId="77777777" w:rsidR="0014588F" w:rsidRPr="00930521" w:rsidRDefault="0014588F" w:rsidP="000E6616">
            <w:pPr>
              <w:adjustRightInd w:val="0"/>
              <w:snapToGrid w:val="0"/>
              <w:spacing w:after="0"/>
              <w:rPr>
                <w:rFonts w:ascii="Times New Roman" w:eastAsiaTheme="minorEastAsia" w:hAnsi="Times New Roman"/>
                <w:lang w:val="en-AU" w:eastAsia="ko-KR"/>
              </w:rPr>
            </w:pPr>
          </w:p>
        </w:tc>
      </w:tr>
      <w:tr w:rsidR="0014588F" w14:paraId="6DAB5F88" w14:textId="77777777" w:rsidTr="00DF1F71">
        <w:tc>
          <w:tcPr>
            <w:tcW w:w="4833" w:type="dxa"/>
            <w:vAlign w:val="center"/>
          </w:tcPr>
          <w:p w14:paraId="3183C2BB" w14:textId="77777777" w:rsidR="0014588F" w:rsidRDefault="0014588F" w:rsidP="00DF1F71">
            <w:pPr>
              <w:adjustRightInd w:val="0"/>
              <w:snapToGrid w:val="0"/>
              <w:spacing w:after="0"/>
              <w:jc w:val="center"/>
              <w:rPr>
                <w:rFonts w:ascii="Times New Roman" w:hAnsi="Times New Roman"/>
                <w:lang w:val="en-AU" w:eastAsia="ko-KR"/>
              </w:rPr>
            </w:pPr>
            <w:r w:rsidRPr="009C2ADD">
              <w:rPr>
                <w:rFonts w:ascii="Times New Roman" w:eastAsia="MS PMincho" w:hAnsi="Times New Roman"/>
                <w:noProof/>
                <w:lang w:val="en-US" w:eastAsia="ko-KR"/>
              </w:rPr>
              <w:drawing>
                <wp:inline distT="0" distB="0" distL="0" distR="0" wp14:anchorId="76C033D6" wp14:editId="37BBC130">
                  <wp:extent cx="2818356" cy="2635214"/>
                  <wp:effectExtent l="0" t="0" r="1270" b="0"/>
                  <wp:docPr id="102" name="Picture 33" descr="Majuro-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juro-summary-re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20372" cy="2637099"/>
                          </a:xfrm>
                          <a:prstGeom prst="rect">
                            <a:avLst/>
                          </a:prstGeom>
                          <a:noFill/>
                          <a:ln>
                            <a:noFill/>
                          </a:ln>
                        </pic:spPr>
                      </pic:pic>
                    </a:graphicData>
                  </a:graphic>
                </wp:inline>
              </w:drawing>
            </w:r>
          </w:p>
        </w:tc>
        <w:tc>
          <w:tcPr>
            <w:tcW w:w="4743" w:type="dxa"/>
            <w:vAlign w:val="center"/>
          </w:tcPr>
          <w:p w14:paraId="26D25248" w14:textId="77777777" w:rsidR="0014588F" w:rsidRDefault="0014588F" w:rsidP="00DF1F71">
            <w:pPr>
              <w:adjustRightInd w:val="0"/>
              <w:snapToGrid w:val="0"/>
              <w:spacing w:after="0"/>
              <w:jc w:val="center"/>
              <w:rPr>
                <w:rFonts w:ascii="Times New Roman" w:hAnsi="Times New Roman"/>
                <w:lang w:val="en-AU" w:eastAsia="ko-KR"/>
              </w:rPr>
            </w:pPr>
            <w:r w:rsidRPr="009C2ADD">
              <w:rPr>
                <w:rFonts w:ascii="Times New Roman" w:eastAsia="MS Mincho" w:hAnsi="Times New Roman"/>
                <w:noProof/>
                <w:lang w:val="en-US" w:eastAsia="ko-KR"/>
              </w:rPr>
              <w:drawing>
                <wp:inline distT="0" distB="0" distL="0" distR="0" wp14:anchorId="59355E37" wp14:editId="2E8DC859">
                  <wp:extent cx="2768252" cy="2635946"/>
                  <wp:effectExtent l="0" t="0" r="0" b="0"/>
                  <wp:docPr id="103" name="Picture 103" descr="Majuro-SBrec-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juro-SBrec-summary-re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67680" cy="2635401"/>
                          </a:xfrm>
                          <a:prstGeom prst="rect">
                            <a:avLst/>
                          </a:prstGeom>
                          <a:noFill/>
                          <a:ln>
                            <a:noFill/>
                          </a:ln>
                        </pic:spPr>
                      </pic:pic>
                    </a:graphicData>
                  </a:graphic>
                </wp:inline>
              </w:drawing>
            </w:r>
          </w:p>
        </w:tc>
      </w:tr>
      <w:tr w:rsidR="0014588F" w14:paraId="38EEC08F" w14:textId="77777777" w:rsidTr="000E6616">
        <w:tc>
          <w:tcPr>
            <w:tcW w:w="4788" w:type="dxa"/>
          </w:tcPr>
          <w:p w14:paraId="627CDA44" w14:textId="77777777" w:rsidR="0014588F" w:rsidRPr="009C2ADD" w:rsidRDefault="0014588F" w:rsidP="000E6616">
            <w:pPr>
              <w:adjustRightInd w:val="0"/>
              <w:snapToGrid w:val="0"/>
              <w:spacing w:after="0"/>
              <w:rPr>
                <w:rFonts w:ascii="Times New Roman" w:eastAsia="MS Mincho" w:hAnsi="Times New Roman"/>
                <w:b/>
                <w:bCs/>
              </w:rPr>
            </w:pPr>
            <w:r w:rsidRPr="009C2ADD">
              <w:rPr>
                <w:rFonts w:ascii="Times New Roman" w:eastAsia="MS Mincho" w:hAnsi="Times New Roman"/>
                <w:b/>
                <w:bCs/>
              </w:rPr>
              <w:t>Figure SWO-6.</w:t>
            </w:r>
            <w:r w:rsidRPr="009C2ADD">
              <w:rPr>
                <w:rFonts w:ascii="Times New Roman" w:eastAsia="MS Mincho" w:hAnsi="Times New Roman"/>
              </w:rPr>
              <w:t xml:space="preserve">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70772D">
              <w:rPr>
                <w:rFonts w:ascii="Times New Roman" w:eastAsia="MS Mincho" w:hAnsi="Times New Roman"/>
                <w:vertAlign w:val="subscript"/>
              </w:rPr>
              <w:t>MSY</w:t>
            </w:r>
            <w:r w:rsidRPr="009C2ADD">
              <w:rPr>
                <w:rFonts w:ascii="Times New Roman" w:eastAsia="MS Mincho" w:hAnsi="Times New Roman"/>
              </w:rPr>
              <w:t xml:space="preserve"> (F</w:t>
            </w:r>
            <w:r w:rsidRPr="0070772D">
              <w:rPr>
                <w:rFonts w:ascii="Times New Roman" w:eastAsia="MS Mincho" w:hAnsi="Times New Roman"/>
                <w:vertAlign w:val="subscript"/>
              </w:rPr>
              <w:t>MSY</w:t>
            </w:r>
            <w:r w:rsidRPr="009C2ADD">
              <w:rPr>
                <w:rFonts w:ascii="Times New Roman" w:eastAsia="MS Mincho" w:hAnsi="Times New Roman"/>
              </w:rPr>
              <w:t xml:space="preserve"> is marked with the black dashed line). The points represent </w:t>
            </w:r>
            <w:r w:rsidRPr="0070772D">
              <w:rPr>
                <w:rFonts w:ascii="Times New Roman" w:eastAsia="MS Mincho" w:hAnsi="Times New Roman"/>
              </w:rPr>
              <w:t>SB</w:t>
            </w:r>
            <w:r w:rsidRPr="0070772D">
              <w:rPr>
                <w:rFonts w:ascii="Times New Roman" w:eastAsia="MS Mincho" w:hAnsi="Times New Roman"/>
                <w:vertAlign w:val="subscript"/>
              </w:rPr>
              <w:t>latest</w:t>
            </w:r>
            <w:r w:rsidRPr="00300F08" w:rsidDel="00300F08">
              <w:rPr>
                <w:rFonts w:ascii="Times New Roman" w:eastAsia="MS Mincho" w:hAnsi="Times New Roman"/>
              </w:rPr>
              <w:t xml:space="preserve"> </w:t>
            </w:r>
            <w:r w:rsidRPr="009C2ADD">
              <w:rPr>
                <w:rFonts w:ascii="Times New Roman" w:eastAsia="MS Mincho" w:hAnsi="Times New Roman"/>
              </w:rPr>
              <w:t>/SB</w:t>
            </w:r>
            <w:r w:rsidRPr="0070772D">
              <w:rPr>
                <w:rFonts w:ascii="Times New Roman" w:eastAsia="MS Mincho" w:hAnsi="Times New Roman"/>
                <w:vertAlign w:val="subscript"/>
              </w:rPr>
              <w:t>F=</w:t>
            </w:r>
            <w:proofErr w:type="gramStart"/>
            <w:r w:rsidRPr="0070772D">
              <w:rPr>
                <w:rFonts w:ascii="Times New Roman" w:eastAsia="MS Mincho" w:hAnsi="Times New Roman"/>
                <w:vertAlign w:val="subscript"/>
              </w:rPr>
              <w:t>0</w:t>
            </w:r>
            <w:r w:rsidRPr="009C2ADD">
              <w:rPr>
                <w:rFonts w:ascii="Times New Roman" w:eastAsia="MS Mincho" w:hAnsi="Times New Roman"/>
              </w:rPr>
              <w:t>,</w:t>
            </w:r>
            <w:proofErr w:type="gramEnd"/>
            <w:r w:rsidRPr="009C2ADD">
              <w:rPr>
                <w:rFonts w:ascii="Times New Roman" w:eastAsia="MS Mincho" w:hAnsi="Times New Roman"/>
              </w:rPr>
              <w:t xml:space="preserve"> and the colours depict the models in the grid </w:t>
            </w:r>
            <w:r w:rsidRPr="009C2ADD">
              <w:rPr>
                <w:rFonts w:ascii="Times New Roman" w:eastAsia="MS PMincho" w:hAnsi="Times New Roman"/>
              </w:rPr>
              <w:t>with three levels of steepness (0.65, 0.8 and 0.95).</w:t>
            </w:r>
          </w:p>
          <w:p w14:paraId="6ACE5843" w14:textId="77777777" w:rsidR="0014588F" w:rsidRDefault="0014588F" w:rsidP="000E6616">
            <w:pPr>
              <w:adjustRightInd w:val="0"/>
              <w:snapToGrid w:val="0"/>
              <w:spacing w:after="0"/>
              <w:rPr>
                <w:rFonts w:ascii="Times New Roman" w:hAnsi="Times New Roman"/>
                <w:lang w:val="en-AU" w:eastAsia="ko-KR"/>
              </w:rPr>
            </w:pPr>
          </w:p>
        </w:tc>
        <w:tc>
          <w:tcPr>
            <w:tcW w:w="4788" w:type="dxa"/>
          </w:tcPr>
          <w:p w14:paraId="542F0C95" w14:textId="77777777" w:rsidR="0014588F" w:rsidRDefault="0014588F" w:rsidP="000E6616">
            <w:pPr>
              <w:adjustRightInd w:val="0"/>
              <w:snapToGrid w:val="0"/>
              <w:spacing w:after="0"/>
              <w:rPr>
                <w:rFonts w:ascii="Times New Roman" w:eastAsiaTheme="minorEastAsia" w:hAnsi="Times New Roman"/>
                <w:lang w:val="en-AU" w:eastAsia="ko-KR"/>
              </w:rPr>
            </w:pPr>
            <w:r w:rsidRPr="009C2ADD">
              <w:rPr>
                <w:rFonts w:ascii="Times New Roman" w:eastAsia="PMingLiU" w:hAnsi="Times New Roman"/>
                <w:b/>
                <w:bCs/>
                <w:lang w:val="en-AU" w:eastAsia="zh-TW"/>
              </w:rPr>
              <w:t xml:space="preserve">Figure </w:t>
            </w:r>
            <w:r w:rsidRPr="009C2ADD">
              <w:rPr>
                <w:rFonts w:ascii="Times New Roman" w:hAnsi="Times New Roman"/>
                <w:b/>
                <w:bCs/>
                <w:lang w:val="en-AU" w:eastAsia="ja-JP"/>
              </w:rPr>
              <w:t>SWO-7</w:t>
            </w:r>
            <w:r w:rsidRPr="009C2ADD">
              <w:rPr>
                <w:rFonts w:ascii="Times New Roman" w:eastAsia="PMingLiU" w:hAnsi="Times New Roman"/>
                <w:lang w:val="en-AU" w:eastAsia="zh-TW"/>
              </w:rPr>
              <w:t>.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9C2ADD">
              <w:rPr>
                <w:rFonts w:ascii="Times New Roman" w:eastAsia="PMingLiU" w:hAnsi="Times New Roman"/>
                <w:vertAlign w:val="subscript"/>
                <w:lang w:val="en-AU" w:eastAsia="zh-TW"/>
              </w:rPr>
              <w:t xml:space="preserve">MSY </w:t>
            </w:r>
            <w:r w:rsidRPr="009C2ADD">
              <w:rPr>
                <w:rFonts w:ascii="Times New Roman" w:eastAsia="PMingLiU" w:hAnsi="Times New Roman"/>
                <w:lang w:val="en-AU" w:eastAsia="zh-TW"/>
              </w:rPr>
              <w:t>(F</w:t>
            </w:r>
            <w:r w:rsidRPr="009C2ADD">
              <w:rPr>
                <w:rFonts w:ascii="Times New Roman" w:eastAsia="PMingLiU" w:hAnsi="Times New Roman"/>
                <w:vertAlign w:val="subscript"/>
                <w:lang w:val="en-AU" w:eastAsia="zh-TW"/>
              </w:rPr>
              <w:t>MSY</w:t>
            </w:r>
            <w:r w:rsidRPr="009C2ADD">
              <w:rPr>
                <w:rFonts w:ascii="Times New Roman" w:eastAsia="PMingLiU" w:hAnsi="Times New Roman"/>
                <w:lang w:val="en-AU" w:eastAsia="zh-TW"/>
              </w:rPr>
              <w:t xml:space="preserve"> is marked with the black dashed line). The points represent SB</w:t>
            </w:r>
            <w:r w:rsidRPr="0070772D">
              <w:rPr>
                <w:rFonts w:ascii="Times New Roman" w:hAnsi="Times New Roman"/>
                <w:i/>
                <w:vertAlign w:val="subscript"/>
                <w:lang w:val="en-AU" w:eastAsia="ja-JP"/>
              </w:rPr>
              <w:t>recent</w:t>
            </w:r>
            <w:r w:rsidRPr="009C2ADD">
              <w:rPr>
                <w:rFonts w:ascii="Times New Roman" w:eastAsia="PMingLiU" w:hAnsi="Times New Roman"/>
                <w:lang w:val="en-AU" w:eastAsia="zh-TW"/>
              </w:rPr>
              <w:t>/SB</w:t>
            </w:r>
            <w:r w:rsidRPr="0070772D">
              <w:rPr>
                <w:rFonts w:ascii="Times New Roman" w:eastAsia="PMingLiU" w:hAnsi="Times New Roman"/>
                <w:i/>
                <w:vertAlign w:val="subscript"/>
                <w:lang w:val="en-AU" w:eastAsia="zh-TW"/>
              </w:rPr>
              <w:t>F=</w:t>
            </w:r>
            <w:proofErr w:type="gramStart"/>
            <w:r w:rsidRPr="0070772D">
              <w:rPr>
                <w:rFonts w:ascii="Times New Roman" w:eastAsia="PMingLiU" w:hAnsi="Times New Roman"/>
                <w:i/>
                <w:vertAlign w:val="subscript"/>
                <w:lang w:val="en-AU" w:eastAsia="zh-TW"/>
              </w:rPr>
              <w:t>0</w:t>
            </w:r>
            <w:r w:rsidRPr="009C2ADD">
              <w:rPr>
                <w:rFonts w:ascii="Times New Roman" w:eastAsia="PMingLiU" w:hAnsi="Times New Roman"/>
                <w:lang w:val="en-AU" w:eastAsia="zh-TW"/>
              </w:rPr>
              <w:t>,</w:t>
            </w:r>
            <w:proofErr w:type="gramEnd"/>
            <w:r w:rsidRPr="009C2ADD">
              <w:rPr>
                <w:rFonts w:ascii="Times New Roman" w:eastAsia="PMingLiU" w:hAnsi="Times New Roman"/>
                <w:lang w:val="en-AU" w:eastAsia="zh-TW"/>
              </w:rPr>
              <w:t xml:space="preserve"> and the colours depict the models in the grid </w:t>
            </w:r>
            <w:r w:rsidRPr="009C2ADD">
              <w:rPr>
                <w:rFonts w:ascii="Times New Roman" w:eastAsia="MS PMincho" w:hAnsi="Times New Roman"/>
                <w:lang w:val="en-AU" w:eastAsia="zh-TW"/>
              </w:rPr>
              <w:t xml:space="preserve">with </w:t>
            </w:r>
            <w:r w:rsidRPr="009C2ADD">
              <w:rPr>
                <w:rFonts w:ascii="Times New Roman" w:eastAsia="MS PMincho" w:hAnsi="Times New Roman"/>
                <w:lang w:val="en-AU" w:eastAsia="ja-JP"/>
              </w:rPr>
              <w:t>three levels of steepness (0.65, 0.8 and 0.95)</w:t>
            </w:r>
            <w:r w:rsidRPr="009C2ADD">
              <w:rPr>
                <w:rFonts w:ascii="Times New Roman" w:eastAsia="MS PMincho" w:hAnsi="Times New Roman"/>
                <w:lang w:val="en-AU" w:eastAsia="zh-TW"/>
              </w:rPr>
              <w:t>.</w:t>
            </w:r>
            <w:r w:rsidRPr="009C2ADD">
              <w:rPr>
                <w:rFonts w:ascii="Times New Roman" w:eastAsia="MS PMincho" w:hAnsi="Times New Roman"/>
                <w:lang w:val="en-AU" w:eastAsia="ja-JP"/>
              </w:rPr>
              <w:t xml:space="preserve"> Note, SB</w:t>
            </w:r>
            <w:r w:rsidRPr="0070772D">
              <w:rPr>
                <w:rFonts w:ascii="Times New Roman" w:hAnsi="Times New Roman"/>
                <w:i/>
                <w:vertAlign w:val="subscript"/>
                <w:lang w:val="en-AU" w:eastAsia="ja-JP"/>
              </w:rPr>
              <w:t>recent</w:t>
            </w:r>
            <w:r w:rsidRPr="009C2ADD">
              <w:rPr>
                <w:rFonts w:ascii="Times New Roman" w:hAnsi="Times New Roman"/>
                <w:i/>
                <w:lang w:val="en-AU" w:eastAsia="ja-JP"/>
              </w:rPr>
              <w:t xml:space="preserve"> </w:t>
            </w:r>
            <w:r w:rsidRPr="009C2ADD">
              <w:rPr>
                <w:rFonts w:ascii="Times New Roman" w:eastAsia="MS PMincho" w:hAnsi="Times New Roman"/>
                <w:lang w:val="en-AU" w:eastAsia="ja-JP"/>
              </w:rPr>
              <w:t>is defined as the mean of SB over 2012-2015.</w:t>
            </w:r>
          </w:p>
          <w:p w14:paraId="2C02A492" w14:textId="77777777" w:rsidR="007F2B46" w:rsidRDefault="007F2B46" w:rsidP="000E6616">
            <w:pPr>
              <w:adjustRightInd w:val="0"/>
              <w:snapToGrid w:val="0"/>
              <w:spacing w:after="0"/>
              <w:rPr>
                <w:rFonts w:ascii="Times New Roman" w:eastAsiaTheme="minorEastAsia" w:hAnsi="Times New Roman"/>
                <w:lang w:val="en-AU" w:eastAsia="ko-KR"/>
              </w:rPr>
            </w:pPr>
          </w:p>
          <w:p w14:paraId="091D0252" w14:textId="77777777" w:rsidR="007F2B46" w:rsidRPr="007F2B46" w:rsidRDefault="007F2B46" w:rsidP="000E6616">
            <w:pPr>
              <w:adjustRightInd w:val="0"/>
              <w:snapToGrid w:val="0"/>
              <w:spacing w:after="0"/>
              <w:rPr>
                <w:rFonts w:ascii="Times New Roman" w:eastAsiaTheme="minorEastAsia" w:hAnsi="Times New Roman"/>
                <w:lang w:val="en-AU" w:eastAsia="ko-KR"/>
              </w:rPr>
            </w:pPr>
          </w:p>
        </w:tc>
      </w:tr>
      <w:tr w:rsidR="0014588F" w14:paraId="4806C912" w14:textId="77777777" w:rsidTr="000E6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3A5DED57" w14:textId="77777777" w:rsidR="0014588F" w:rsidRDefault="0014588F" w:rsidP="000E6616">
            <w:pPr>
              <w:adjustRightInd w:val="0"/>
              <w:snapToGrid w:val="0"/>
              <w:spacing w:after="0"/>
              <w:rPr>
                <w:rFonts w:ascii="Times New Roman" w:eastAsia="PMingLiU" w:hAnsi="Times New Roman"/>
                <w:lang w:val="en-AU" w:eastAsia="ja-JP"/>
              </w:rPr>
            </w:pPr>
            <w:r>
              <w:rPr>
                <w:rFonts w:ascii="Times New Roman" w:eastAsia="PMingLiU" w:hAnsi="Times New Roman"/>
                <w:noProof/>
                <w:lang w:val="en-US" w:eastAsia="ko-KR"/>
              </w:rPr>
              <w:drawing>
                <wp:inline distT="0" distB="0" distL="0" distR="0" wp14:anchorId="26169844" wp14:editId="4BDC2B50">
                  <wp:extent cx="2977116" cy="297711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8 Kobe-summary-rep.png"/>
                          <pic:cNvPicPr/>
                        </pic:nvPicPr>
                        <pic:blipFill>
                          <a:blip r:embed="rId63">
                            <a:extLst>
                              <a:ext uri="{28A0092B-C50C-407E-A947-70E740481C1C}">
                                <a14:useLocalDpi xmlns:a14="http://schemas.microsoft.com/office/drawing/2010/main" val="0"/>
                              </a:ext>
                            </a:extLst>
                          </a:blip>
                          <a:stretch>
                            <a:fillRect/>
                          </a:stretch>
                        </pic:blipFill>
                        <pic:spPr>
                          <a:xfrm>
                            <a:off x="0" y="0"/>
                            <a:ext cx="2977117" cy="2977117"/>
                          </a:xfrm>
                          <a:prstGeom prst="rect">
                            <a:avLst/>
                          </a:prstGeom>
                        </pic:spPr>
                      </pic:pic>
                    </a:graphicData>
                  </a:graphic>
                </wp:inline>
              </w:drawing>
            </w:r>
          </w:p>
        </w:tc>
        <w:tc>
          <w:tcPr>
            <w:tcW w:w="4788" w:type="dxa"/>
            <w:tcBorders>
              <w:top w:val="nil"/>
              <w:left w:val="nil"/>
              <w:bottom w:val="nil"/>
              <w:right w:val="nil"/>
            </w:tcBorders>
          </w:tcPr>
          <w:p w14:paraId="4066EFB5" w14:textId="77777777" w:rsidR="0014588F" w:rsidRDefault="0014588F" w:rsidP="000E6616">
            <w:pPr>
              <w:adjustRightInd w:val="0"/>
              <w:snapToGrid w:val="0"/>
              <w:spacing w:after="0"/>
              <w:rPr>
                <w:rFonts w:ascii="Times New Roman" w:eastAsia="PMingLiU" w:hAnsi="Times New Roman"/>
                <w:lang w:val="en-AU" w:eastAsia="ja-JP"/>
              </w:rPr>
            </w:pPr>
            <w:r>
              <w:rPr>
                <w:rFonts w:ascii="Times New Roman" w:hAnsi="Times New Roman"/>
                <w:noProof/>
                <w:lang w:val="en-US" w:eastAsia="ko-KR"/>
              </w:rPr>
              <w:drawing>
                <wp:inline distT="0" distB="0" distL="0" distR="0" wp14:anchorId="58768842" wp14:editId="565630E7">
                  <wp:extent cx="2913320" cy="2913320"/>
                  <wp:effectExtent l="0" t="0" r="1905"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9 Kobe-SBrec-summary-rep.png"/>
                          <pic:cNvPicPr/>
                        </pic:nvPicPr>
                        <pic:blipFill>
                          <a:blip r:embed="rId64">
                            <a:extLst>
                              <a:ext uri="{28A0092B-C50C-407E-A947-70E740481C1C}">
                                <a14:useLocalDpi xmlns:a14="http://schemas.microsoft.com/office/drawing/2010/main" val="0"/>
                              </a:ext>
                            </a:extLst>
                          </a:blip>
                          <a:stretch>
                            <a:fillRect/>
                          </a:stretch>
                        </pic:blipFill>
                        <pic:spPr>
                          <a:xfrm>
                            <a:off x="0" y="0"/>
                            <a:ext cx="2913320" cy="2913320"/>
                          </a:xfrm>
                          <a:prstGeom prst="rect">
                            <a:avLst/>
                          </a:prstGeom>
                        </pic:spPr>
                      </pic:pic>
                    </a:graphicData>
                  </a:graphic>
                </wp:inline>
              </w:drawing>
            </w:r>
          </w:p>
        </w:tc>
      </w:tr>
      <w:tr w:rsidR="0014588F" w14:paraId="06BB7F86" w14:textId="77777777" w:rsidTr="000E6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475C9AF8" w14:textId="77777777" w:rsidR="0014588F" w:rsidRPr="00464B7F" w:rsidRDefault="0014588F" w:rsidP="000E6616">
            <w:pPr>
              <w:pStyle w:val="CommentText"/>
              <w:adjustRightInd w:val="0"/>
              <w:snapToGrid w:val="0"/>
              <w:spacing w:after="0"/>
              <w:rPr>
                <w:rFonts w:ascii="Times New Roman" w:hAnsi="Times New Roman"/>
                <w:color w:val="FF0000"/>
              </w:rPr>
            </w:pPr>
            <w:r w:rsidRPr="00633679">
              <w:rPr>
                <w:rFonts w:ascii="Times New Roman" w:eastAsia="PMingLiU" w:hAnsi="Times New Roman"/>
                <w:b/>
                <w:bCs/>
                <w:sz w:val="22"/>
                <w:szCs w:val="22"/>
                <w:lang w:val="en-AU" w:eastAsia="zh-TW"/>
              </w:rPr>
              <w:t xml:space="preserve">Figure </w:t>
            </w:r>
            <w:r w:rsidRPr="00633679">
              <w:rPr>
                <w:rFonts w:ascii="Times New Roman" w:hAnsi="Times New Roman"/>
                <w:b/>
                <w:bCs/>
                <w:sz w:val="22"/>
                <w:szCs w:val="22"/>
                <w:lang w:val="en-AU" w:eastAsia="ja-JP"/>
              </w:rPr>
              <w:t>SWO-</w:t>
            </w:r>
            <w:r w:rsidRPr="00633679">
              <w:rPr>
                <w:rFonts w:ascii="Times New Roman" w:eastAsia="PMingLiU" w:hAnsi="Times New Roman"/>
                <w:b/>
                <w:bCs/>
                <w:sz w:val="22"/>
                <w:szCs w:val="22"/>
                <w:lang w:val="en-AU" w:eastAsia="zh-TW"/>
              </w:rPr>
              <w:t xml:space="preserve">8. </w:t>
            </w:r>
            <w:r w:rsidRPr="00633679">
              <w:rPr>
                <w:rFonts w:ascii="Times New Roman" w:eastAsia="PMingLiU" w:hAnsi="Times New Roman"/>
                <w:sz w:val="22"/>
                <w:szCs w:val="22"/>
                <w:lang w:val="en-AU" w:eastAsia="zh-TW"/>
              </w:rPr>
              <w:t xml:space="preserve">Kobe plot summarising the results for each of the models in the structural uncertainty grid, where the x-axis represents </w:t>
            </w:r>
            <w:r w:rsidRPr="0070772D">
              <w:rPr>
                <w:rFonts w:ascii="Times New Roman" w:eastAsia="MS Mincho" w:hAnsi="Times New Roman"/>
              </w:rPr>
              <w:t>SB</w:t>
            </w:r>
            <w:r w:rsidRPr="0070772D">
              <w:rPr>
                <w:rFonts w:ascii="Times New Roman" w:eastAsia="MS Mincho" w:hAnsi="Times New Roman"/>
                <w:vertAlign w:val="subscript"/>
              </w:rPr>
              <w:t>latest</w:t>
            </w:r>
            <w:r w:rsidRPr="00300F08" w:rsidDel="00300F08">
              <w:rPr>
                <w:rFonts w:ascii="Times New Roman" w:eastAsia="PMingLiU" w:hAnsi="Times New Roman"/>
                <w:sz w:val="22"/>
                <w:szCs w:val="22"/>
                <w:lang w:val="en-AU" w:eastAsia="zh-TW"/>
              </w:rPr>
              <w:t xml:space="preserve"> </w:t>
            </w:r>
            <w:r w:rsidRPr="00633679">
              <w:rPr>
                <w:rFonts w:ascii="Times New Roman" w:eastAsia="PMingLiU" w:hAnsi="Times New Roman"/>
                <w:sz w:val="22"/>
                <w:szCs w:val="22"/>
                <w:lang w:val="en-AU" w:eastAsia="zh-TW"/>
              </w:rPr>
              <w:t>/SB</w:t>
            </w:r>
            <w:r w:rsidRPr="00104C78">
              <w:rPr>
                <w:rFonts w:ascii="Times New Roman" w:hAnsi="Times New Roman"/>
                <w:vertAlign w:val="subscript"/>
                <w:lang w:val="en-AU"/>
              </w:rPr>
              <w:t>MSY</w:t>
            </w:r>
            <w:r w:rsidRPr="00633679">
              <w:rPr>
                <w:rFonts w:ascii="Times New Roman" w:eastAsia="PMingLiU" w:hAnsi="Times New Roman"/>
                <w:sz w:val="22"/>
                <w:szCs w:val="22"/>
                <w:lang w:val="en-AU" w:eastAsia="zh-TW"/>
              </w:rPr>
              <w:t>. The colours depict the models in the grid with</w:t>
            </w:r>
            <w:r w:rsidRPr="00633679">
              <w:rPr>
                <w:rFonts w:ascii="Times New Roman" w:hAnsi="Times New Roman"/>
                <w:sz w:val="22"/>
                <w:szCs w:val="22"/>
                <w:lang w:val="en-AU" w:eastAsia="ja-JP"/>
              </w:rPr>
              <w:t xml:space="preserve"> three levels of steepness (0.65, 0.8 and 0.95)</w:t>
            </w:r>
            <w:r w:rsidRPr="00633679">
              <w:rPr>
                <w:rFonts w:ascii="Times New Roman" w:eastAsia="PMingLiU" w:hAnsi="Times New Roman"/>
                <w:sz w:val="22"/>
                <w:szCs w:val="22"/>
                <w:lang w:val="en-AU" w:eastAsia="zh-TW"/>
              </w:rPr>
              <w:t xml:space="preserve">. </w:t>
            </w:r>
          </w:p>
          <w:p w14:paraId="46B1F75B" w14:textId="77777777" w:rsidR="0014588F" w:rsidRDefault="0014588F" w:rsidP="000E6616">
            <w:pPr>
              <w:adjustRightInd w:val="0"/>
              <w:snapToGrid w:val="0"/>
              <w:spacing w:after="0"/>
              <w:rPr>
                <w:rFonts w:ascii="Times New Roman" w:eastAsia="PMingLiU" w:hAnsi="Times New Roman"/>
                <w:lang w:val="en-AU" w:eastAsia="ja-JP"/>
              </w:rPr>
            </w:pPr>
          </w:p>
        </w:tc>
        <w:tc>
          <w:tcPr>
            <w:tcW w:w="4788" w:type="dxa"/>
            <w:tcBorders>
              <w:top w:val="nil"/>
              <w:left w:val="nil"/>
              <w:bottom w:val="nil"/>
              <w:right w:val="nil"/>
            </w:tcBorders>
          </w:tcPr>
          <w:p w14:paraId="346B410A" w14:textId="77777777" w:rsidR="0014588F" w:rsidRDefault="0014588F" w:rsidP="000E6616">
            <w:pPr>
              <w:adjustRightInd w:val="0"/>
              <w:snapToGrid w:val="0"/>
              <w:spacing w:after="0"/>
              <w:rPr>
                <w:rFonts w:ascii="Times New Roman" w:hAnsi="Times New Roman"/>
                <w:lang w:val="en-AU" w:eastAsia="ko-KR"/>
              </w:rPr>
            </w:pPr>
            <w:r w:rsidRPr="009C2ADD">
              <w:rPr>
                <w:rFonts w:ascii="Times New Roman" w:eastAsia="PMingLiU" w:hAnsi="Times New Roman"/>
                <w:b/>
                <w:bCs/>
                <w:lang w:val="en-AU" w:eastAsia="zh-TW"/>
              </w:rPr>
              <w:t xml:space="preserve">Figure </w:t>
            </w:r>
            <w:r w:rsidRPr="009C2ADD">
              <w:rPr>
                <w:rFonts w:ascii="Times New Roman" w:hAnsi="Times New Roman"/>
                <w:b/>
                <w:bCs/>
                <w:lang w:val="en-AU" w:eastAsia="ja-JP"/>
              </w:rPr>
              <w:t>SWO-9</w:t>
            </w:r>
            <w:r w:rsidRPr="009C2ADD">
              <w:rPr>
                <w:rFonts w:ascii="Times New Roman" w:eastAsia="PMingLiU" w:hAnsi="Times New Roman"/>
                <w:b/>
                <w:bCs/>
                <w:lang w:val="en-AU" w:eastAsia="zh-TW"/>
              </w:rPr>
              <w:t xml:space="preserve">. </w:t>
            </w:r>
            <w:r w:rsidRPr="009C2ADD">
              <w:rPr>
                <w:rFonts w:ascii="Times New Roman" w:eastAsia="PMingLiU" w:hAnsi="Times New Roman"/>
                <w:lang w:val="en-AU" w:eastAsia="zh-TW"/>
              </w:rPr>
              <w:t>Kobe plot summarising the results for each of the models in the structural uncertainty grid. The colours depict the models in the grid with</w:t>
            </w:r>
            <w:r w:rsidRPr="009C2ADD">
              <w:rPr>
                <w:rFonts w:ascii="Times New Roman" w:hAnsi="Times New Roman"/>
                <w:lang w:val="en-AU" w:eastAsia="ja-JP"/>
              </w:rPr>
              <w:t xml:space="preserve"> three levels of steepness (0.65, 0.8 and 0.95)</w:t>
            </w:r>
            <w:r w:rsidRPr="009C2ADD">
              <w:rPr>
                <w:rFonts w:ascii="Times New Roman" w:eastAsia="PMingLiU" w:hAnsi="Times New Roman"/>
                <w:lang w:val="en-AU" w:eastAsia="zh-TW"/>
              </w:rPr>
              <w:t>.</w:t>
            </w:r>
            <w:r w:rsidRPr="009C2ADD">
              <w:rPr>
                <w:rFonts w:ascii="Times New Roman" w:hAnsi="Times New Roman"/>
                <w:lang w:val="en-AU" w:eastAsia="ja-JP"/>
              </w:rPr>
              <w:t xml:space="preserve"> As in Figure SWO7, SB</w:t>
            </w:r>
            <w:r w:rsidRPr="0070772D">
              <w:rPr>
                <w:rFonts w:ascii="Times New Roman" w:hAnsi="Times New Roman"/>
                <w:i/>
                <w:vertAlign w:val="subscript"/>
                <w:lang w:val="en-AU" w:eastAsia="ja-JP"/>
              </w:rPr>
              <w:t>recent</w:t>
            </w:r>
            <w:r w:rsidRPr="009C2ADD">
              <w:rPr>
                <w:rFonts w:ascii="Times New Roman" w:hAnsi="Times New Roman"/>
                <w:i/>
                <w:lang w:val="en-AU" w:eastAsia="ja-JP"/>
              </w:rPr>
              <w:t xml:space="preserve"> </w:t>
            </w:r>
            <w:r w:rsidRPr="009C2ADD">
              <w:rPr>
                <w:rFonts w:ascii="Times New Roman" w:hAnsi="Times New Roman"/>
                <w:lang w:val="en-AU" w:eastAsia="ja-JP"/>
              </w:rPr>
              <w:t xml:space="preserve">was used instead of </w:t>
            </w:r>
            <w:r w:rsidRPr="0070772D">
              <w:rPr>
                <w:rFonts w:ascii="Times New Roman" w:eastAsia="MS Mincho" w:hAnsi="Times New Roman"/>
              </w:rPr>
              <w:t>SB</w:t>
            </w:r>
            <w:r w:rsidRPr="00214513">
              <w:rPr>
                <w:rFonts w:ascii="Times New Roman" w:eastAsia="MS Mincho" w:hAnsi="Times New Roman"/>
                <w:i/>
                <w:iCs/>
                <w:vertAlign w:val="subscript"/>
              </w:rPr>
              <w:t>l</w:t>
            </w:r>
            <w:r w:rsidRPr="00104C78">
              <w:rPr>
                <w:rFonts w:ascii="Times New Roman" w:eastAsia="MS Mincho" w:hAnsi="Times New Roman"/>
                <w:i/>
                <w:vertAlign w:val="subscript"/>
              </w:rPr>
              <w:t>atest</w:t>
            </w:r>
            <w:r w:rsidRPr="009C2ADD">
              <w:rPr>
                <w:rFonts w:ascii="Times New Roman" w:hAnsi="Times New Roman"/>
                <w:lang w:val="en-AU" w:eastAsia="ja-JP"/>
              </w:rPr>
              <w:t>.</w:t>
            </w:r>
          </w:p>
          <w:p w14:paraId="11AAF474" w14:textId="77777777" w:rsidR="0014588F" w:rsidRDefault="0014588F" w:rsidP="000E6616">
            <w:pPr>
              <w:adjustRightInd w:val="0"/>
              <w:snapToGrid w:val="0"/>
              <w:spacing w:after="0"/>
              <w:rPr>
                <w:rFonts w:ascii="Times New Roman" w:eastAsiaTheme="minorEastAsia" w:hAnsi="Times New Roman"/>
                <w:lang w:val="en-AU" w:eastAsia="ko-KR"/>
              </w:rPr>
            </w:pPr>
          </w:p>
          <w:p w14:paraId="6670B51E" w14:textId="77777777" w:rsidR="0014588F" w:rsidRDefault="0014588F" w:rsidP="000E6616">
            <w:pPr>
              <w:adjustRightInd w:val="0"/>
              <w:snapToGrid w:val="0"/>
              <w:spacing w:after="0"/>
              <w:rPr>
                <w:rFonts w:ascii="Times New Roman" w:eastAsiaTheme="minorEastAsia" w:hAnsi="Times New Roman"/>
                <w:lang w:val="en-AU" w:eastAsia="ko-KR"/>
              </w:rPr>
            </w:pPr>
          </w:p>
          <w:p w14:paraId="0CE13BD5" w14:textId="77777777" w:rsidR="0014588F" w:rsidRDefault="0014588F" w:rsidP="000E6616">
            <w:pPr>
              <w:adjustRightInd w:val="0"/>
              <w:snapToGrid w:val="0"/>
              <w:spacing w:after="0"/>
              <w:rPr>
                <w:rFonts w:ascii="Times New Roman" w:eastAsiaTheme="minorEastAsia" w:hAnsi="Times New Roman"/>
                <w:lang w:val="en-AU" w:eastAsia="ko-KR"/>
              </w:rPr>
            </w:pPr>
          </w:p>
          <w:p w14:paraId="37C11E7D" w14:textId="77777777" w:rsidR="0014588F" w:rsidRPr="00930521" w:rsidRDefault="0014588F" w:rsidP="000E6616">
            <w:pPr>
              <w:adjustRightInd w:val="0"/>
              <w:snapToGrid w:val="0"/>
              <w:spacing w:after="0"/>
              <w:rPr>
                <w:rFonts w:ascii="Times New Roman" w:eastAsiaTheme="minorEastAsia" w:hAnsi="Times New Roman"/>
                <w:lang w:val="en-AU" w:eastAsia="ko-KR"/>
              </w:rPr>
            </w:pPr>
          </w:p>
        </w:tc>
      </w:tr>
      <w:tr w:rsidR="0014588F" w14:paraId="41DE7F68" w14:textId="77777777" w:rsidTr="000E6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6217F08C" w14:textId="77777777" w:rsidR="0014588F" w:rsidRDefault="0014588F" w:rsidP="000E6616">
            <w:pPr>
              <w:adjustRightInd w:val="0"/>
              <w:snapToGrid w:val="0"/>
              <w:spacing w:after="0"/>
              <w:rPr>
                <w:rFonts w:ascii="Times New Roman" w:eastAsia="PMingLiU" w:hAnsi="Times New Roman"/>
                <w:lang w:val="en-AU" w:eastAsia="ja-JP"/>
              </w:rPr>
            </w:pPr>
            <w:r>
              <w:rPr>
                <w:b/>
                <w:noProof/>
                <w:lang w:val="en-US" w:eastAsia="ko-KR"/>
              </w:rPr>
              <w:drawing>
                <wp:inline distT="0" distB="0" distL="0" distR="0" wp14:anchorId="439F0175" wp14:editId="4607C2CA">
                  <wp:extent cx="2966484" cy="2966484"/>
                  <wp:effectExtent l="0" t="0" r="0" b="0"/>
                  <wp:docPr id="106" name="図 56" descr="Assessment/plots/Fig35a_Majuro.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ssessment/plots/Fig35a_Majuro.plot.pd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72350" cy="2972350"/>
                          </a:xfrm>
                          <a:prstGeom prst="rect">
                            <a:avLst/>
                          </a:prstGeom>
                          <a:noFill/>
                          <a:ln>
                            <a:noFill/>
                          </a:ln>
                        </pic:spPr>
                      </pic:pic>
                    </a:graphicData>
                  </a:graphic>
                </wp:inline>
              </w:drawing>
            </w:r>
          </w:p>
        </w:tc>
        <w:tc>
          <w:tcPr>
            <w:tcW w:w="4788" w:type="dxa"/>
            <w:tcBorders>
              <w:top w:val="nil"/>
              <w:left w:val="nil"/>
              <w:bottom w:val="nil"/>
              <w:right w:val="nil"/>
            </w:tcBorders>
          </w:tcPr>
          <w:p w14:paraId="4B7425E4" w14:textId="77777777" w:rsidR="0014588F" w:rsidRDefault="0014588F" w:rsidP="000E6616">
            <w:pPr>
              <w:adjustRightInd w:val="0"/>
              <w:snapToGrid w:val="0"/>
              <w:spacing w:after="0"/>
              <w:rPr>
                <w:rFonts w:ascii="Times New Roman" w:eastAsia="PMingLiU" w:hAnsi="Times New Roman"/>
                <w:lang w:val="en-AU" w:eastAsia="ja-JP"/>
              </w:rPr>
            </w:pPr>
            <w:r>
              <w:rPr>
                <w:b/>
                <w:noProof/>
                <w:lang w:val="en-US" w:eastAsia="ko-KR"/>
              </w:rPr>
              <w:drawing>
                <wp:inline distT="0" distB="0" distL="0" distR="0" wp14:anchorId="32C89EB1" wp14:editId="557CC7F0">
                  <wp:extent cx="2902688" cy="2902688"/>
                  <wp:effectExtent l="0" t="0" r="0" b="0"/>
                  <wp:docPr id="107" name="図 57" descr="Assessment/plots/Fig35b_Kobe.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ssessment/plots/Fig35b_Kobe.plot.pd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08429" cy="2908429"/>
                          </a:xfrm>
                          <a:prstGeom prst="rect">
                            <a:avLst/>
                          </a:prstGeom>
                          <a:noFill/>
                          <a:ln>
                            <a:noFill/>
                          </a:ln>
                        </pic:spPr>
                      </pic:pic>
                    </a:graphicData>
                  </a:graphic>
                </wp:inline>
              </w:drawing>
            </w:r>
          </w:p>
        </w:tc>
      </w:tr>
      <w:tr w:rsidR="0014588F" w14:paraId="6BB4F4EB" w14:textId="77777777" w:rsidTr="000E66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2"/>
            <w:tcBorders>
              <w:top w:val="nil"/>
              <w:left w:val="nil"/>
              <w:bottom w:val="nil"/>
              <w:right w:val="nil"/>
            </w:tcBorders>
          </w:tcPr>
          <w:p w14:paraId="0FCAA1FC" w14:textId="77777777" w:rsidR="0014588F" w:rsidRPr="00930521" w:rsidRDefault="0014588F" w:rsidP="000E6616">
            <w:pPr>
              <w:adjustRightInd w:val="0"/>
              <w:snapToGrid w:val="0"/>
              <w:spacing w:after="0"/>
              <w:rPr>
                <w:rFonts w:ascii="Times New Roman" w:eastAsiaTheme="minorEastAsia" w:hAnsi="Times New Roman"/>
                <w:lang w:eastAsia="ko-KR"/>
              </w:rPr>
            </w:pPr>
            <w:r w:rsidRPr="000549CD">
              <w:rPr>
                <w:rFonts w:ascii="Times New Roman" w:eastAsia="PMingLiU" w:hAnsi="Times New Roman"/>
                <w:b/>
                <w:bCs/>
                <w:lang w:val="en-AU" w:eastAsia="zh-TW"/>
              </w:rPr>
              <w:t xml:space="preserve">Figure </w:t>
            </w:r>
            <w:r w:rsidRPr="00066444">
              <w:rPr>
                <w:rFonts w:ascii="Times New Roman" w:hAnsi="Times New Roman"/>
                <w:b/>
                <w:bCs/>
                <w:lang w:val="en-AU" w:eastAsia="ja-JP"/>
              </w:rPr>
              <w:t>SWO-</w:t>
            </w:r>
            <w:r w:rsidRPr="00066444">
              <w:rPr>
                <w:rFonts w:ascii="Times New Roman" w:hAnsi="Times New Roman"/>
                <w:b/>
                <w:bCs/>
                <w:lang w:val="en-AU" w:eastAsia="ko-KR"/>
              </w:rPr>
              <w:t>10</w:t>
            </w:r>
            <w:r w:rsidRPr="000549CD">
              <w:rPr>
                <w:rFonts w:ascii="Times New Roman" w:eastAsia="PMingLiU" w:hAnsi="Times New Roman"/>
                <w:b/>
                <w:bCs/>
                <w:lang w:val="en-AU" w:eastAsia="zh-TW"/>
              </w:rPr>
              <w:t>.</w:t>
            </w:r>
            <w:r w:rsidRPr="00066444">
              <w:rPr>
                <w:rFonts w:ascii="Times New Roman" w:hAnsi="Times New Roman"/>
                <w:b/>
                <w:bCs/>
                <w:lang w:val="en-AU" w:eastAsia="ko-KR"/>
              </w:rPr>
              <w:t xml:space="preserve"> </w:t>
            </w:r>
            <w:r w:rsidRPr="0070772D">
              <w:rPr>
                <w:rFonts w:ascii="Times New Roman" w:hAnsi="Times New Roman"/>
              </w:rPr>
              <w:t xml:space="preserve">Estimated time-series (or “dynamic”) Majuro and Kobe plots from the SW Pacific </w:t>
            </w:r>
            <w:proofErr w:type="gramStart"/>
            <w:r w:rsidRPr="0070772D">
              <w:rPr>
                <w:rFonts w:ascii="Times New Roman" w:hAnsi="Times New Roman"/>
              </w:rPr>
              <w:t>swordfish  ‘diagnostic</w:t>
            </w:r>
            <w:proofErr w:type="gramEnd"/>
            <w:r w:rsidRPr="0070772D">
              <w:rPr>
                <w:rFonts w:ascii="Times New Roman" w:hAnsi="Times New Roman"/>
              </w:rPr>
              <w:t xml:space="preserve"> case’ model run.</w:t>
            </w:r>
          </w:p>
        </w:tc>
      </w:tr>
    </w:tbl>
    <w:p w14:paraId="1824DA4D" w14:textId="77777777" w:rsidR="0014588F" w:rsidRDefault="0014588F" w:rsidP="0014588F">
      <w:pPr>
        <w:adjustRightInd w:val="0"/>
        <w:snapToGrid w:val="0"/>
        <w:spacing w:after="0"/>
        <w:rPr>
          <w:rFonts w:ascii="Times New Roman" w:eastAsia="PMingLiU" w:hAnsi="Times New Roman"/>
          <w:lang w:val="en-AU" w:eastAsia="ja-JP"/>
        </w:rPr>
      </w:pPr>
    </w:p>
    <w:p w14:paraId="58D78A46" w14:textId="77777777" w:rsidR="0014588F" w:rsidRPr="009C2ADD" w:rsidRDefault="0014588F" w:rsidP="0014588F">
      <w:pPr>
        <w:adjustRightInd w:val="0"/>
        <w:snapToGrid w:val="0"/>
        <w:spacing w:after="0"/>
        <w:rPr>
          <w:rFonts w:ascii="Times New Roman" w:eastAsia="PMingLiU" w:hAnsi="Times New Roman"/>
          <w:lang w:val="en-AU" w:eastAsia="ja-JP"/>
        </w:rPr>
      </w:pPr>
    </w:p>
    <w:p w14:paraId="5FE07226" w14:textId="77777777" w:rsidR="0014588F" w:rsidRPr="009C2ADD" w:rsidRDefault="0014588F" w:rsidP="0014588F">
      <w:pPr>
        <w:adjustRightInd w:val="0"/>
        <w:snapToGrid w:val="0"/>
        <w:spacing w:after="0"/>
        <w:rPr>
          <w:rFonts w:ascii="Times New Roman" w:eastAsia="PMingLiU" w:hAnsi="Times New Roman"/>
          <w:lang w:val="en-AU" w:eastAsia="zh-TW"/>
        </w:rPr>
      </w:pPr>
    </w:p>
    <w:p w14:paraId="40880A06" w14:textId="77777777" w:rsidR="0014588F" w:rsidRPr="009C2ADD" w:rsidRDefault="0014588F" w:rsidP="0014588F">
      <w:pPr>
        <w:adjustRightInd w:val="0"/>
        <w:snapToGrid w:val="0"/>
        <w:spacing w:after="0"/>
        <w:jc w:val="center"/>
        <w:rPr>
          <w:rFonts w:ascii="Times New Roman" w:eastAsia="Times New Roman" w:hAnsi="Times New Roman"/>
          <w:b/>
          <w:bCs/>
          <w:noProof/>
          <w:lang w:val="en-AU" w:eastAsia="ja-JP"/>
        </w:rPr>
      </w:pPr>
      <w:r w:rsidRPr="009C2ADD">
        <w:rPr>
          <w:rFonts w:ascii="Times New Roman" w:eastAsia="Times New Roman" w:hAnsi="Times New Roman"/>
          <w:b/>
          <w:noProof/>
          <w:lang w:val="en-US" w:eastAsia="ko-KR"/>
        </w:rPr>
        <w:drawing>
          <wp:inline distT="0" distB="0" distL="0" distR="0" wp14:anchorId="2F0F21A6" wp14:editId="728AA083">
            <wp:extent cx="2934586" cy="2934586"/>
            <wp:effectExtent l="0" t="0" r="0" b="0"/>
            <wp:docPr id="108" name="Picture 29" descr="/Users/yukiot/Dropbox/MFCL/SC13/SWO/Assessment/plots/Fig36_splotimpactAdul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sers/yukiot/Dropbox/MFCL/SC13/SWO/Assessment/plots/Fig36_splotimpactAdult.pd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34349" cy="2934349"/>
                    </a:xfrm>
                    <a:prstGeom prst="rect">
                      <a:avLst/>
                    </a:prstGeom>
                    <a:noFill/>
                    <a:ln>
                      <a:noFill/>
                    </a:ln>
                  </pic:spPr>
                </pic:pic>
              </a:graphicData>
            </a:graphic>
          </wp:inline>
        </w:drawing>
      </w:r>
    </w:p>
    <w:p w14:paraId="3DF56970" w14:textId="77777777" w:rsidR="0014588F" w:rsidRPr="009C2ADD" w:rsidRDefault="0014588F" w:rsidP="0014588F">
      <w:pPr>
        <w:autoSpaceDE w:val="0"/>
        <w:autoSpaceDN w:val="0"/>
        <w:adjustRightInd w:val="0"/>
        <w:snapToGrid w:val="0"/>
        <w:spacing w:after="0"/>
        <w:rPr>
          <w:rFonts w:ascii="Times New Roman" w:eastAsia="Times New Roman" w:hAnsi="Times New Roman"/>
          <w:b/>
          <w:bCs/>
          <w:noProof/>
          <w:lang w:val="en-AU" w:eastAsia="ja-JP"/>
        </w:rPr>
      </w:pPr>
      <w:r w:rsidRPr="009C2ADD">
        <w:rPr>
          <w:rFonts w:ascii="Times New Roman" w:eastAsia="PMingLiU" w:hAnsi="Times New Roman"/>
          <w:b/>
          <w:bCs/>
          <w:lang w:val="en-AU" w:eastAsia="zh-TW"/>
        </w:rPr>
        <w:t xml:space="preserve">Figure </w:t>
      </w:r>
      <w:r w:rsidRPr="009C2ADD">
        <w:rPr>
          <w:rFonts w:ascii="Times New Roman" w:eastAsia="Times New Roman" w:hAnsi="Times New Roman"/>
          <w:b/>
          <w:bCs/>
          <w:lang w:val="en-AU" w:eastAsia="ja-JP"/>
        </w:rPr>
        <w:t>SWO-1</w:t>
      </w:r>
      <w:r>
        <w:rPr>
          <w:rFonts w:ascii="Times New Roman" w:hAnsi="Times New Roman" w:hint="eastAsia"/>
          <w:b/>
          <w:bCs/>
          <w:lang w:val="en-AU" w:eastAsia="ko-KR"/>
        </w:rPr>
        <w:t>1</w:t>
      </w:r>
      <w:r w:rsidRPr="009C2ADD">
        <w:rPr>
          <w:rFonts w:ascii="Times New Roman" w:eastAsia="PMingLiU" w:hAnsi="Times New Roman"/>
          <w:lang w:val="en-AU" w:eastAsia="zh-TW"/>
        </w:rPr>
        <w:t xml:space="preserve">. Estimates of reduction in spawning potential due to fishing by region, and over all regions (lower </w:t>
      </w:r>
      <w:r w:rsidRPr="009C2ADD">
        <w:rPr>
          <w:rFonts w:ascii="Times New Roman" w:eastAsia="Times New Roman" w:hAnsi="Times New Roman"/>
          <w:lang w:val="en-AU" w:eastAsia="ja-JP"/>
        </w:rPr>
        <w:t>left</w:t>
      </w:r>
      <w:r w:rsidRPr="009C2ADD">
        <w:rPr>
          <w:rFonts w:ascii="Times New Roman" w:eastAsia="PMingLiU" w:hAnsi="Times New Roman"/>
          <w:lang w:val="en-AU" w:eastAsia="zh-TW"/>
        </w:rPr>
        <w:t xml:space="preserve"> panel), attributed to various fishery groups </w:t>
      </w:r>
      <w:r>
        <w:rPr>
          <w:rFonts w:ascii="Times New Roman" w:eastAsia="PMingLiU" w:hAnsi="Times New Roman"/>
          <w:lang w:val="en-AU" w:eastAsia="zh-TW"/>
        </w:rPr>
        <w:t xml:space="preserve">(distant water ‘north’, ‘central’ and ‘south’, corresponding to the model regions, and a combined domestic fleet) </w:t>
      </w:r>
      <w:r w:rsidRPr="009C2ADD">
        <w:rPr>
          <w:rFonts w:ascii="Times New Roman" w:eastAsia="PMingLiU" w:hAnsi="Times New Roman"/>
          <w:lang w:val="en-AU" w:eastAsia="zh-TW"/>
        </w:rPr>
        <w:t>for the diagnostic case model.</w:t>
      </w:r>
      <w:r w:rsidRPr="009C2ADD">
        <w:rPr>
          <w:rFonts w:ascii="Times New Roman" w:eastAsia="Times New Roman" w:hAnsi="Times New Roman"/>
          <w:lang w:val="en-AU" w:eastAsia="ja-JP"/>
        </w:rPr>
        <w:t xml:space="preserve"> </w:t>
      </w:r>
    </w:p>
    <w:p w14:paraId="0ADABEB0" w14:textId="77777777" w:rsidR="0014588F" w:rsidRDefault="0014588F" w:rsidP="0014588F">
      <w:pPr>
        <w:adjustRightInd w:val="0"/>
        <w:snapToGrid w:val="0"/>
        <w:spacing w:after="0"/>
        <w:rPr>
          <w:rFonts w:ascii="Times New Roman" w:hAnsi="Times New Roman"/>
          <w:b/>
          <w:bCs/>
          <w:lang w:eastAsia="ko-KR"/>
        </w:rPr>
      </w:pPr>
    </w:p>
    <w:p w14:paraId="04D226FB" w14:textId="77777777" w:rsidR="0014588F" w:rsidRPr="009C2ADD" w:rsidRDefault="0014588F" w:rsidP="0014588F">
      <w:pPr>
        <w:adjustRightInd w:val="0"/>
        <w:snapToGrid w:val="0"/>
        <w:spacing w:after="0"/>
        <w:rPr>
          <w:rFonts w:ascii="Times New Roman" w:eastAsia="Times New Roman" w:hAnsi="Times New Roman"/>
          <w:lang w:val="en-AU" w:eastAsia="ja-JP"/>
        </w:rPr>
      </w:pPr>
      <w:proofErr w:type="gramStart"/>
      <w:r w:rsidRPr="009C2ADD">
        <w:rPr>
          <w:rFonts w:ascii="Times New Roman" w:eastAsia="PMingLiU" w:hAnsi="Times New Roman"/>
          <w:b/>
          <w:bCs/>
          <w:lang w:val="en-AU" w:eastAsia="zh-TW"/>
        </w:rPr>
        <w:t xml:space="preserve">Table </w:t>
      </w:r>
      <w:r w:rsidRPr="009C2ADD">
        <w:rPr>
          <w:rFonts w:ascii="Times New Roman" w:eastAsia="Times New Roman" w:hAnsi="Times New Roman"/>
          <w:b/>
          <w:bCs/>
          <w:lang w:val="en-AU" w:eastAsia="ja-JP"/>
        </w:rPr>
        <w:t>SWO-</w:t>
      </w:r>
      <w:r w:rsidRPr="009C2ADD">
        <w:rPr>
          <w:rFonts w:ascii="Times New Roman" w:eastAsia="PMingLiU" w:hAnsi="Times New Roman"/>
          <w:b/>
          <w:bCs/>
          <w:lang w:val="en-AU" w:eastAsia="zh-TW"/>
        </w:rPr>
        <w:t>2</w:t>
      </w:r>
      <w:r w:rsidRPr="009C2ADD">
        <w:rPr>
          <w:rFonts w:ascii="Times New Roman" w:eastAsia="PMingLiU" w:hAnsi="Times New Roman"/>
          <w:lang w:val="en-AU" w:eastAsia="zh-TW"/>
        </w:rPr>
        <w:t>.</w:t>
      </w:r>
      <w:proofErr w:type="gramEnd"/>
      <w:r w:rsidRPr="009C2ADD">
        <w:rPr>
          <w:rFonts w:ascii="Times New Roman" w:eastAsia="PMingLiU" w:hAnsi="Times New Roman"/>
          <w:lang w:val="en-AU" w:eastAsia="zh-TW"/>
        </w:rPr>
        <w:t xml:space="preserve"> Summary of reference points over the </w:t>
      </w:r>
      <w:r w:rsidRPr="009C2ADD">
        <w:rPr>
          <w:rFonts w:ascii="Times New Roman" w:eastAsia="Times New Roman" w:hAnsi="Times New Roman"/>
          <w:lang w:val="en-AU" w:eastAsia="ja-JP"/>
        </w:rPr>
        <w:t>72</w:t>
      </w:r>
      <w:r w:rsidRPr="009C2ADD">
        <w:rPr>
          <w:rFonts w:ascii="Times New Roman" w:eastAsia="PMingLiU" w:hAnsi="Times New Roman"/>
          <w:lang w:val="en-AU" w:eastAsia="zh-TW"/>
        </w:rPr>
        <w:t xml:space="preserve"> models in the structural uncertainty grid for management advice. Note that SB</w:t>
      </w:r>
      <w:r w:rsidRPr="0070772D">
        <w:rPr>
          <w:rFonts w:ascii="Times New Roman" w:eastAsia="PMingLiU" w:hAnsi="Times New Roman"/>
          <w:i/>
          <w:vertAlign w:val="subscript"/>
          <w:lang w:val="en-AU" w:eastAsia="zh-TW"/>
        </w:rPr>
        <w:t>recent</w:t>
      </w:r>
      <w:r w:rsidRPr="009C2ADD">
        <w:rPr>
          <w:rFonts w:ascii="Times New Roman" w:eastAsia="PMingLiU" w:hAnsi="Times New Roman"/>
          <w:lang w:val="en-AU" w:eastAsia="zh-TW"/>
        </w:rPr>
        <w:t>/SB</w:t>
      </w:r>
      <w:r w:rsidRPr="0070772D">
        <w:rPr>
          <w:rFonts w:ascii="Times New Roman" w:eastAsia="PMingLiU" w:hAnsi="Times New Roman"/>
          <w:i/>
          <w:vertAlign w:val="subscript"/>
          <w:lang w:val="en-AU" w:eastAsia="zh-TW"/>
        </w:rPr>
        <w:t>F=0</w:t>
      </w:r>
      <w:r w:rsidRPr="009C2ADD">
        <w:rPr>
          <w:rFonts w:ascii="Times New Roman" w:eastAsia="PMingLiU" w:hAnsi="Times New Roman"/>
          <w:i/>
          <w:lang w:val="en-AU" w:eastAsia="zh-TW"/>
        </w:rPr>
        <w:t xml:space="preserve"> </w:t>
      </w:r>
      <w:r w:rsidRPr="009C2ADD">
        <w:rPr>
          <w:rFonts w:ascii="Times New Roman" w:eastAsia="PMingLiU" w:hAnsi="Times New Roman"/>
          <w:lang w:val="en-AU" w:eastAsia="zh-TW"/>
        </w:rPr>
        <w:t>is calculated where SB</w:t>
      </w:r>
      <w:r w:rsidRPr="0070772D">
        <w:rPr>
          <w:rFonts w:ascii="Times New Roman" w:eastAsia="PMingLiU" w:hAnsi="Times New Roman"/>
          <w:i/>
          <w:vertAlign w:val="subscript"/>
          <w:lang w:val="en-AU" w:eastAsia="zh-TW"/>
        </w:rPr>
        <w:t>recent</w:t>
      </w:r>
      <w:r w:rsidRPr="009C2ADD">
        <w:rPr>
          <w:rFonts w:ascii="Times New Roman" w:eastAsia="PMingLiU" w:hAnsi="Times New Roman"/>
          <w:i/>
          <w:lang w:val="en-AU" w:eastAsia="zh-TW"/>
        </w:rPr>
        <w:t xml:space="preserve"> </w:t>
      </w:r>
      <w:r w:rsidRPr="009C2ADD">
        <w:rPr>
          <w:rFonts w:ascii="Times New Roman" w:eastAsia="PMingLiU" w:hAnsi="Times New Roman"/>
          <w:lang w:val="en-AU" w:eastAsia="zh-TW"/>
        </w:rPr>
        <w:t>is the mean SB over 2012-2015 instead of 2011-2014 (used in the stock assessment report), at the request of the Scientific Committee.</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14588F" w:rsidRPr="009C2ADD" w14:paraId="2126A97F" w14:textId="77777777" w:rsidTr="000E6616">
        <w:tc>
          <w:tcPr>
            <w:tcW w:w="1732" w:type="dxa"/>
            <w:tcBorders>
              <w:top w:val="single" w:sz="4" w:space="0" w:color="auto"/>
              <w:bottom w:val="single" w:sz="4" w:space="0" w:color="auto"/>
            </w:tcBorders>
            <w:shd w:val="clear" w:color="auto" w:fill="auto"/>
          </w:tcPr>
          <w:p w14:paraId="0D2E11C6" w14:textId="77777777" w:rsidR="0014588F" w:rsidRPr="009C2ADD" w:rsidRDefault="0014588F" w:rsidP="000E6616">
            <w:pPr>
              <w:adjustRightInd w:val="0"/>
              <w:snapToGrid w:val="0"/>
              <w:spacing w:after="0"/>
              <w:rPr>
                <w:rFonts w:ascii="Times New Roman" w:eastAsia="Times New Roman" w:hAnsi="Times New Roman"/>
                <w:b/>
                <w:lang w:eastAsia="ja-JP"/>
              </w:rPr>
            </w:pPr>
          </w:p>
        </w:tc>
        <w:tc>
          <w:tcPr>
            <w:tcW w:w="1264" w:type="dxa"/>
            <w:tcBorders>
              <w:top w:val="single" w:sz="4" w:space="0" w:color="auto"/>
              <w:bottom w:val="single" w:sz="4" w:space="0" w:color="auto"/>
            </w:tcBorders>
            <w:shd w:val="clear" w:color="auto" w:fill="auto"/>
            <w:vAlign w:val="bottom"/>
          </w:tcPr>
          <w:p w14:paraId="3B6CA150"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Mean</w:t>
            </w:r>
          </w:p>
        </w:tc>
        <w:tc>
          <w:tcPr>
            <w:tcW w:w="1265" w:type="dxa"/>
            <w:tcBorders>
              <w:top w:val="single" w:sz="4" w:space="0" w:color="auto"/>
              <w:bottom w:val="single" w:sz="4" w:space="0" w:color="auto"/>
            </w:tcBorders>
            <w:shd w:val="clear" w:color="auto" w:fill="auto"/>
            <w:vAlign w:val="bottom"/>
          </w:tcPr>
          <w:p w14:paraId="51753F5F"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Median</w:t>
            </w:r>
          </w:p>
        </w:tc>
        <w:tc>
          <w:tcPr>
            <w:tcW w:w="1265" w:type="dxa"/>
            <w:tcBorders>
              <w:top w:val="single" w:sz="4" w:space="0" w:color="auto"/>
              <w:bottom w:val="single" w:sz="4" w:space="0" w:color="auto"/>
            </w:tcBorders>
            <w:shd w:val="clear" w:color="auto" w:fill="auto"/>
            <w:vAlign w:val="bottom"/>
          </w:tcPr>
          <w:p w14:paraId="1A0CFA07"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Min</w:t>
            </w:r>
          </w:p>
        </w:tc>
        <w:tc>
          <w:tcPr>
            <w:tcW w:w="1265" w:type="dxa"/>
            <w:tcBorders>
              <w:top w:val="single" w:sz="4" w:space="0" w:color="auto"/>
              <w:bottom w:val="single" w:sz="4" w:space="0" w:color="auto"/>
            </w:tcBorders>
            <w:shd w:val="clear" w:color="auto" w:fill="auto"/>
            <w:vAlign w:val="bottom"/>
          </w:tcPr>
          <w:p w14:paraId="7EE0A233"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10%</w:t>
            </w:r>
          </w:p>
        </w:tc>
        <w:tc>
          <w:tcPr>
            <w:tcW w:w="1265" w:type="dxa"/>
            <w:tcBorders>
              <w:top w:val="single" w:sz="4" w:space="0" w:color="auto"/>
              <w:bottom w:val="single" w:sz="4" w:space="0" w:color="auto"/>
            </w:tcBorders>
            <w:shd w:val="clear" w:color="auto" w:fill="auto"/>
            <w:vAlign w:val="bottom"/>
          </w:tcPr>
          <w:p w14:paraId="0ABB7F8F"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90%</w:t>
            </w:r>
          </w:p>
        </w:tc>
        <w:tc>
          <w:tcPr>
            <w:tcW w:w="1265" w:type="dxa"/>
            <w:tcBorders>
              <w:top w:val="single" w:sz="4" w:space="0" w:color="auto"/>
              <w:bottom w:val="single" w:sz="4" w:space="0" w:color="auto"/>
            </w:tcBorders>
            <w:shd w:val="clear" w:color="auto" w:fill="auto"/>
            <w:vAlign w:val="bottom"/>
          </w:tcPr>
          <w:p w14:paraId="56193C2F" w14:textId="77777777" w:rsidR="0014588F" w:rsidRPr="009C2ADD" w:rsidRDefault="0014588F" w:rsidP="000E6616">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Max</w:t>
            </w:r>
          </w:p>
        </w:tc>
      </w:tr>
      <w:tr w:rsidR="0014588F" w:rsidRPr="009C2ADD" w14:paraId="5812999A" w14:textId="77777777" w:rsidTr="000E6616">
        <w:tc>
          <w:tcPr>
            <w:tcW w:w="1732" w:type="dxa"/>
            <w:tcBorders>
              <w:top w:val="single" w:sz="4" w:space="0" w:color="auto"/>
            </w:tcBorders>
            <w:shd w:val="clear" w:color="auto" w:fill="auto"/>
          </w:tcPr>
          <w:p w14:paraId="63413F7B"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C</w:t>
            </w:r>
            <w:r w:rsidRPr="0070772D">
              <w:rPr>
                <w:rFonts w:ascii="Times New Roman" w:eastAsia="Times New Roman" w:hAnsi="Times New Roman"/>
                <w:i/>
                <w:vertAlign w:val="subscript"/>
                <w:lang w:eastAsia="ja-JP"/>
              </w:rPr>
              <w:t>latest</w:t>
            </w:r>
          </w:p>
        </w:tc>
        <w:tc>
          <w:tcPr>
            <w:tcW w:w="1264" w:type="dxa"/>
            <w:tcBorders>
              <w:top w:val="single" w:sz="4" w:space="0" w:color="auto"/>
            </w:tcBorders>
            <w:shd w:val="clear" w:color="auto" w:fill="auto"/>
            <w:vAlign w:val="center"/>
          </w:tcPr>
          <w:p w14:paraId="592D436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9,884</w:t>
            </w:r>
          </w:p>
        </w:tc>
        <w:tc>
          <w:tcPr>
            <w:tcW w:w="1265" w:type="dxa"/>
            <w:tcBorders>
              <w:top w:val="single" w:sz="4" w:space="0" w:color="auto"/>
            </w:tcBorders>
            <w:shd w:val="clear" w:color="auto" w:fill="auto"/>
            <w:vAlign w:val="center"/>
          </w:tcPr>
          <w:p w14:paraId="38807C1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9,884</w:t>
            </w:r>
          </w:p>
        </w:tc>
        <w:tc>
          <w:tcPr>
            <w:tcW w:w="1265" w:type="dxa"/>
            <w:tcBorders>
              <w:top w:val="single" w:sz="4" w:space="0" w:color="auto"/>
            </w:tcBorders>
            <w:shd w:val="clear" w:color="auto" w:fill="auto"/>
            <w:vAlign w:val="center"/>
          </w:tcPr>
          <w:p w14:paraId="34259A3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9,318</w:t>
            </w:r>
          </w:p>
        </w:tc>
        <w:tc>
          <w:tcPr>
            <w:tcW w:w="1265" w:type="dxa"/>
            <w:tcBorders>
              <w:top w:val="single" w:sz="4" w:space="0" w:color="auto"/>
            </w:tcBorders>
            <w:shd w:val="clear" w:color="auto" w:fill="auto"/>
            <w:vAlign w:val="center"/>
          </w:tcPr>
          <w:p w14:paraId="2199B5E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9,343</w:t>
            </w:r>
          </w:p>
        </w:tc>
        <w:tc>
          <w:tcPr>
            <w:tcW w:w="1265" w:type="dxa"/>
            <w:tcBorders>
              <w:top w:val="single" w:sz="4" w:space="0" w:color="auto"/>
            </w:tcBorders>
            <w:shd w:val="clear" w:color="auto" w:fill="auto"/>
            <w:vAlign w:val="center"/>
          </w:tcPr>
          <w:p w14:paraId="20E41FCF"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10,157</w:t>
            </w:r>
          </w:p>
        </w:tc>
        <w:tc>
          <w:tcPr>
            <w:tcW w:w="1265" w:type="dxa"/>
            <w:tcBorders>
              <w:top w:val="single" w:sz="4" w:space="0" w:color="auto"/>
            </w:tcBorders>
            <w:shd w:val="clear" w:color="auto" w:fill="auto"/>
            <w:vAlign w:val="center"/>
          </w:tcPr>
          <w:p w14:paraId="6AA50736"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10,287</w:t>
            </w:r>
          </w:p>
        </w:tc>
      </w:tr>
      <w:tr w:rsidR="0014588F" w:rsidRPr="009C2ADD" w14:paraId="5F83F15C" w14:textId="77777777" w:rsidTr="000E6616">
        <w:tc>
          <w:tcPr>
            <w:tcW w:w="1732" w:type="dxa"/>
            <w:shd w:val="clear" w:color="auto" w:fill="auto"/>
          </w:tcPr>
          <w:p w14:paraId="5C9B93DE"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MSY</w:t>
            </w:r>
          </w:p>
        </w:tc>
        <w:tc>
          <w:tcPr>
            <w:tcW w:w="1264" w:type="dxa"/>
            <w:shd w:val="clear" w:color="auto" w:fill="auto"/>
            <w:vAlign w:val="center"/>
          </w:tcPr>
          <w:p w14:paraId="57848D3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8,172</w:t>
            </w:r>
          </w:p>
        </w:tc>
        <w:tc>
          <w:tcPr>
            <w:tcW w:w="1265" w:type="dxa"/>
            <w:shd w:val="clear" w:color="auto" w:fill="auto"/>
            <w:vAlign w:val="center"/>
          </w:tcPr>
          <w:p w14:paraId="1329F0C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7,913</w:t>
            </w:r>
          </w:p>
        </w:tc>
        <w:tc>
          <w:tcPr>
            <w:tcW w:w="1265" w:type="dxa"/>
            <w:shd w:val="clear" w:color="auto" w:fill="auto"/>
            <w:vAlign w:val="center"/>
          </w:tcPr>
          <w:p w14:paraId="4B063FC2"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5,905</w:t>
            </w:r>
          </w:p>
        </w:tc>
        <w:tc>
          <w:tcPr>
            <w:tcW w:w="1265" w:type="dxa"/>
            <w:shd w:val="clear" w:color="auto" w:fill="auto"/>
            <w:vAlign w:val="center"/>
          </w:tcPr>
          <w:p w14:paraId="49C8C3E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6,396</w:t>
            </w:r>
          </w:p>
        </w:tc>
        <w:tc>
          <w:tcPr>
            <w:tcW w:w="1265" w:type="dxa"/>
            <w:shd w:val="clear" w:color="auto" w:fill="auto"/>
            <w:vAlign w:val="center"/>
          </w:tcPr>
          <w:p w14:paraId="36113BC2"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10,150</w:t>
            </w:r>
          </w:p>
        </w:tc>
        <w:tc>
          <w:tcPr>
            <w:tcW w:w="1265" w:type="dxa"/>
            <w:shd w:val="clear" w:color="auto" w:fill="auto"/>
            <w:vAlign w:val="center"/>
          </w:tcPr>
          <w:p w14:paraId="4E2E411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11,360</w:t>
            </w:r>
          </w:p>
        </w:tc>
      </w:tr>
      <w:tr w:rsidR="0014588F" w:rsidRPr="009C2ADD" w14:paraId="3AF8DEB9" w14:textId="77777777" w:rsidTr="000E6616">
        <w:tc>
          <w:tcPr>
            <w:tcW w:w="1732" w:type="dxa"/>
            <w:shd w:val="clear" w:color="auto" w:fill="auto"/>
          </w:tcPr>
          <w:p w14:paraId="63CF46BD"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Y</w:t>
            </w:r>
            <w:r w:rsidRPr="0070772D">
              <w:rPr>
                <w:rFonts w:ascii="Times New Roman" w:eastAsia="Times New Roman" w:hAnsi="Times New Roman"/>
                <w:i/>
                <w:vertAlign w:val="subscript"/>
                <w:lang w:eastAsia="ja-JP"/>
              </w:rPr>
              <w:t>Frecent</w:t>
            </w:r>
          </w:p>
        </w:tc>
        <w:tc>
          <w:tcPr>
            <w:tcW w:w="1264" w:type="dxa"/>
            <w:shd w:val="clear" w:color="auto" w:fill="auto"/>
            <w:vAlign w:val="center"/>
          </w:tcPr>
          <w:p w14:paraId="21D9A53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7,628</w:t>
            </w:r>
          </w:p>
        </w:tc>
        <w:tc>
          <w:tcPr>
            <w:tcW w:w="1265" w:type="dxa"/>
            <w:shd w:val="clear" w:color="auto" w:fill="auto"/>
            <w:vAlign w:val="center"/>
          </w:tcPr>
          <w:p w14:paraId="35A3FFA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7,775</w:t>
            </w:r>
          </w:p>
        </w:tc>
        <w:tc>
          <w:tcPr>
            <w:tcW w:w="1265" w:type="dxa"/>
            <w:shd w:val="clear" w:color="auto" w:fill="auto"/>
            <w:vAlign w:val="center"/>
          </w:tcPr>
          <w:p w14:paraId="6F9481B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4,998</w:t>
            </w:r>
          </w:p>
        </w:tc>
        <w:tc>
          <w:tcPr>
            <w:tcW w:w="1265" w:type="dxa"/>
            <w:shd w:val="clear" w:color="auto" w:fill="auto"/>
            <w:vAlign w:val="center"/>
          </w:tcPr>
          <w:p w14:paraId="2F420D1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6,062</w:t>
            </w:r>
          </w:p>
        </w:tc>
        <w:tc>
          <w:tcPr>
            <w:tcW w:w="1265" w:type="dxa"/>
            <w:shd w:val="clear" w:color="auto" w:fill="auto"/>
            <w:vAlign w:val="center"/>
          </w:tcPr>
          <w:p w14:paraId="13FD3F0B"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8,948</w:t>
            </w:r>
          </w:p>
        </w:tc>
        <w:tc>
          <w:tcPr>
            <w:tcW w:w="1265" w:type="dxa"/>
            <w:shd w:val="clear" w:color="auto" w:fill="auto"/>
            <w:vAlign w:val="center"/>
          </w:tcPr>
          <w:p w14:paraId="75683CF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9,684</w:t>
            </w:r>
          </w:p>
        </w:tc>
      </w:tr>
      <w:tr w:rsidR="0014588F" w:rsidRPr="009C2ADD" w14:paraId="7F3761E5" w14:textId="77777777" w:rsidTr="000E6616">
        <w:tc>
          <w:tcPr>
            <w:tcW w:w="1732" w:type="dxa"/>
            <w:shd w:val="clear" w:color="auto" w:fill="auto"/>
          </w:tcPr>
          <w:p w14:paraId="7885422F"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Pr="0070772D">
              <w:rPr>
                <w:rFonts w:ascii="Times New Roman" w:eastAsia="Times New Roman" w:hAnsi="Times New Roman"/>
                <w:i/>
                <w:vertAlign w:val="subscript"/>
                <w:lang w:eastAsia="ja-JP"/>
              </w:rPr>
              <w:t>mult</w:t>
            </w:r>
          </w:p>
        </w:tc>
        <w:tc>
          <w:tcPr>
            <w:tcW w:w="1264" w:type="dxa"/>
            <w:shd w:val="clear" w:color="auto" w:fill="auto"/>
            <w:vAlign w:val="center"/>
          </w:tcPr>
          <w:p w14:paraId="2B49034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1.27</w:t>
            </w:r>
          </w:p>
        </w:tc>
        <w:tc>
          <w:tcPr>
            <w:tcW w:w="1265" w:type="dxa"/>
            <w:shd w:val="clear" w:color="auto" w:fill="auto"/>
            <w:vAlign w:val="center"/>
          </w:tcPr>
          <w:p w14:paraId="2B0EA9F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1.15</w:t>
            </w:r>
          </w:p>
        </w:tc>
        <w:tc>
          <w:tcPr>
            <w:tcW w:w="1265" w:type="dxa"/>
            <w:shd w:val="clear" w:color="auto" w:fill="auto"/>
            <w:vAlign w:val="center"/>
          </w:tcPr>
          <w:p w14:paraId="6C9AF192"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0.66</w:t>
            </w:r>
          </w:p>
        </w:tc>
        <w:tc>
          <w:tcPr>
            <w:tcW w:w="1265" w:type="dxa"/>
            <w:shd w:val="clear" w:color="auto" w:fill="auto"/>
            <w:vAlign w:val="center"/>
          </w:tcPr>
          <w:p w14:paraId="0F32588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0.79</w:t>
            </w:r>
          </w:p>
        </w:tc>
        <w:tc>
          <w:tcPr>
            <w:tcW w:w="1265" w:type="dxa"/>
            <w:shd w:val="clear" w:color="auto" w:fill="auto"/>
            <w:vAlign w:val="center"/>
          </w:tcPr>
          <w:p w14:paraId="197A77C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1.89</w:t>
            </w:r>
          </w:p>
        </w:tc>
        <w:tc>
          <w:tcPr>
            <w:tcW w:w="1265" w:type="dxa"/>
            <w:shd w:val="clear" w:color="auto" w:fill="auto"/>
            <w:vAlign w:val="center"/>
          </w:tcPr>
          <w:p w14:paraId="0A51CD2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2.32</w:t>
            </w:r>
          </w:p>
        </w:tc>
      </w:tr>
      <w:tr w:rsidR="0014588F" w:rsidRPr="009C2ADD" w14:paraId="18603750" w14:textId="77777777" w:rsidTr="000E6616">
        <w:tc>
          <w:tcPr>
            <w:tcW w:w="1732" w:type="dxa"/>
            <w:shd w:val="clear" w:color="auto" w:fill="auto"/>
          </w:tcPr>
          <w:p w14:paraId="0AB39883"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Pr="00104C78">
              <w:rPr>
                <w:rFonts w:ascii="Times New Roman" w:hAnsi="Times New Roman"/>
                <w:vertAlign w:val="subscript"/>
                <w:lang w:val="en-AU"/>
              </w:rPr>
              <w:t>MSY</w:t>
            </w:r>
          </w:p>
        </w:tc>
        <w:tc>
          <w:tcPr>
            <w:tcW w:w="1264" w:type="dxa"/>
            <w:shd w:val="clear" w:color="auto" w:fill="auto"/>
            <w:vAlign w:val="center"/>
          </w:tcPr>
          <w:p w14:paraId="26EE98E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0.16</w:t>
            </w:r>
          </w:p>
        </w:tc>
        <w:tc>
          <w:tcPr>
            <w:tcW w:w="1265" w:type="dxa"/>
            <w:shd w:val="clear" w:color="auto" w:fill="auto"/>
            <w:vAlign w:val="center"/>
          </w:tcPr>
          <w:p w14:paraId="2A6CC26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0.14</w:t>
            </w:r>
          </w:p>
        </w:tc>
        <w:tc>
          <w:tcPr>
            <w:tcW w:w="1265" w:type="dxa"/>
            <w:shd w:val="clear" w:color="auto" w:fill="auto"/>
            <w:vAlign w:val="center"/>
          </w:tcPr>
          <w:p w14:paraId="296B36F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1127C4F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3DBC3CE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0.22</w:t>
            </w:r>
          </w:p>
        </w:tc>
        <w:tc>
          <w:tcPr>
            <w:tcW w:w="1265" w:type="dxa"/>
            <w:shd w:val="clear" w:color="auto" w:fill="auto"/>
            <w:vAlign w:val="center"/>
          </w:tcPr>
          <w:p w14:paraId="797854F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0.23</w:t>
            </w:r>
          </w:p>
        </w:tc>
      </w:tr>
      <w:tr w:rsidR="0014588F" w:rsidRPr="009C2ADD" w14:paraId="4D22B831" w14:textId="77777777" w:rsidTr="000E6616">
        <w:tc>
          <w:tcPr>
            <w:tcW w:w="1732" w:type="dxa"/>
            <w:shd w:val="clear" w:color="auto" w:fill="auto"/>
          </w:tcPr>
          <w:p w14:paraId="3E36B8BA"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/F</w:t>
            </w:r>
            <w:r w:rsidRPr="00104C78">
              <w:rPr>
                <w:rFonts w:ascii="Times New Roman" w:hAnsi="Times New Roman"/>
                <w:vertAlign w:val="subscript"/>
                <w:lang w:val="en-AU"/>
              </w:rPr>
              <w:t>MSY</w:t>
            </w:r>
          </w:p>
        </w:tc>
        <w:tc>
          <w:tcPr>
            <w:tcW w:w="1264" w:type="dxa"/>
            <w:shd w:val="clear" w:color="auto" w:fill="auto"/>
            <w:vAlign w:val="center"/>
          </w:tcPr>
          <w:p w14:paraId="5459880B"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0.88</w:t>
            </w:r>
          </w:p>
        </w:tc>
        <w:tc>
          <w:tcPr>
            <w:tcW w:w="1265" w:type="dxa"/>
            <w:shd w:val="clear" w:color="auto" w:fill="auto"/>
            <w:vAlign w:val="center"/>
          </w:tcPr>
          <w:p w14:paraId="09C4EAF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0.87</w:t>
            </w:r>
          </w:p>
        </w:tc>
        <w:tc>
          <w:tcPr>
            <w:tcW w:w="1265" w:type="dxa"/>
            <w:shd w:val="clear" w:color="auto" w:fill="auto"/>
            <w:vAlign w:val="center"/>
          </w:tcPr>
          <w:p w14:paraId="627788FB"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0.43</w:t>
            </w:r>
          </w:p>
        </w:tc>
        <w:tc>
          <w:tcPr>
            <w:tcW w:w="1265" w:type="dxa"/>
            <w:shd w:val="clear" w:color="auto" w:fill="auto"/>
            <w:vAlign w:val="center"/>
          </w:tcPr>
          <w:p w14:paraId="1ECEF14F"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0.53</w:t>
            </w:r>
          </w:p>
        </w:tc>
        <w:tc>
          <w:tcPr>
            <w:tcW w:w="1265" w:type="dxa"/>
            <w:shd w:val="clear" w:color="auto" w:fill="auto"/>
            <w:vAlign w:val="center"/>
          </w:tcPr>
          <w:p w14:paraId="040C1B4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1.26</w:t>
            </w:r>
          </w:p>
        </w:tc>
        <w:tc>
          <w:tcPr>
            <w:tcW w:w="1265" w:type="dxa"/>
            <w:shd w:val="clear" w:color="auto" w:fill="auto"/>
            <w:vAlign w:val="center"/>
          </w:tcPr>
          <w:p w14:paraId="5F8003E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1.51</w:t>
            </w:r>
          </w:p>
        </w:tc>
      </w:tr>
      <w:tr w:rsidR="0014588F" w:rsidRPr="009C2ADD" w14:paraId="5FF97A00" w14:textId="77777777" w:rsidTr="000E6616">
        <w:tc>
          <w:tcPr>
            <w:tcW w:w="1732" w:type="dxa"/>
            <w:shd w:val="clear" w:color="auto" w:fill="auto"/>
          </w:tcPr>
          <w:p w14:paraId="480112A2"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104C78">
              <w:rPr>
                <w:rFonts w:ascii="Times New Roman" w:hAnsi="Times New Roman"/>
                <w:vertAlign w:val="subscript"/>
                <w:lang w:val="en-AU"/>
              </w:rPr>
              <w:t>MSY</w:t>
            </w:r>
          </w:p>
        </w:tc>
        <w:tc>
          <w:tcPr>
            <w:tcW w:w="1264" w:type="dxa"/>
            <w:shd w:val="clear" w:color="auto" w:fill="auto"/>
            <w:vAlign w:val="center"/>
          </w:tcPr>
          <w:p w14:paraId="6C349AB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17,314</w:t>
            </w:r>
          </w:p>
        </w:tc>
        <w:tc>
          <w:tcPr>
            <w:tcW w:w="1265" w:type="dxa"/>
            <w:shd w:val="clear" w:color="auto" w:fill="auto"/>
            <w:vAlign w:val="center"/>
          </w:tcPr>
          <w:p w14:paraId="3920D58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17,740</w:t>
            </w:r>
          </w:p>
        </w:tc>
        <w:tc>
          <w:tcPr>
            <w:tcW w:w="1265" w:type="dxa"/>
            <w:shd w:val="clear" w:color="auto" w:fill="auto"/>
            <w:vAlign w:val="center"/>
          </w:tcPr>
          <w:p w14:paraId="3BAC2436"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7,278</w:t>
            </w:r>
          </w:p>
        </w:tc>
        <w:tc>
          <w:tcPr>
            <w:tcW w:w="1265" w:type="dxa"/>
            <w:shd w:val="clear" w:color="auto" w:fill="auto"/>
            <w:vAlign w:val="center"/>
          </w:tcPr>
          <w:p w14:paraId="55F5FDB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8,943</w:t>
            </w:r>
          </w:p>
        </w:tc>
        <w:tc>
          <w:tcPr>
            <w:tcW w:w="1265" w:type="dxa"/>
            <w:shd w:val="clear" w:color="auto" w:fill="auto"/>
            <w:vAlign w:val="center"/>
          </w:tcPr>
          <w:p w14:paraId="5914187F"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26,661</w:t>
            </w:r>
          </w:p>
        </w:tc>
        <w:tc>
          <w:tcPr>
            <w:tcW w:w="1265" w:type="dxa"/>
            <w:shd w:val="clear" w:color="auto" w:fill="auto"/>
            <w:vAlign w:val="center"/>
          </w:tcPr>
          <w:p w14:paraId="72FC9BFF"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30,460</w:t>
            </w:r>
          </w:p>
        </w:tc>
      </w:tr>
      <w:tr w:rsidR="0014588F" w:rsidRPr="009C2ADD" w14:paraId="1ECB392B" w14:textId="77777777" w:rsidTr="000E6616">
        <w:tc>
          <w:tcPr>
            <w:tcW w:w="1732" w:type="dxa"/>
            <w:shd w:val="clear" w:color="auto" w:fill="auto"/>
          </w:tcPr>
          <w:p w14:paraId="00CA2F4A"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0</w:t>
            </w:r>
          </w:p>
        </w:tc>
        <w:tc>
          <w:tcPr>
            <w:tcW w:w="1264" w:type="dxa"/>
            <w:shd w:val="clear" w:color="auto" w:fill="auto"/>
            <w:vAlign w:val="center"/>
          </w:tcPr>
          <w:p w14:paraId="6784E2D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84,173</w:t>
            </w:r>
          </w:p>
        </w:tc>
        <w:tc>
          <w:tcPr>
            <w:tcW w:w="1265" w:type="dxa"/>
            <w:shd w:val="clear" w:color="auto" w:fill="auto"/>
            <w:vAlign w:val="center"/>
          </w:tcPr>
          <w:p w14:paraId="6FFEBAA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84,075</w:t>
            </w:r>
          </w:p>
        </w:tc>
        <w:tc>
          <w:tcPr>
            <w:tcW w:w="1265" w:type="dxa"/>
            <w:shd w:val="clear" w:color="auto" w:fill="auto"/>
            <w:vAlign w:val="center"/>
          </w:tcPr>
          <w:p w14:paraId="1A4B839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57,070</w:t>
            </w:r>
          </w:p>
        </w:tc>
        <w:tc>
          <w:tcPr>
            <w:tcW w:w="1265" w:type="dxa"/>
            <w:shd w:val="clear" w:color="auto" w:fill="auto"/>
            <w:vAlign w:val="center"/>
          </w:tcPr>
          <w:p w14:paraId="5E04197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71,199</w:t>
            </w:r>
          </w:p>
        </w:tc>
        <w:tc>
          <w:tcPr>
            <w:tcW w:w="1265" w:type="dxa"/>
            <w:shd w:val="clear" w:color="auto" w:fill="auto"/>
            <w:vAlign w:val="center"/>
          </w:tcPr>
          <w:p w14:paraId="5E529DE2"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98,039</w:t>
            </w:r>
          </w:p>
        </w:tc>
        <w:tc>
          <w:tcPr>
            <w:tcW w:w="1265" w:type="dxa"/>
            <w:shd w:val="clear" w:color="auto" w:fill="auto"/>
            <w:vAlign w:val="center"/>
          </w:tcPr>
          <w:p w14:paraId="227FE04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111,000</w:t>
            </w:r>
          </w:p>
        </w:tc>
      </w:tr>
      <w:tr w:rsidR="0014588F" w:rsidRPr="009C2ADD" w14:paraId="160D8113" w14:textId="77777777" w:rsidTr="000E6616">
        <w:tc>
          <w:tcPr>
            <w:tcW w:w="1732" w:type="dxa"/>
            <w:shd w:val="clear" w:color="auto" w:fill="auto"/>
          </w:tcPr>
          <w:p w14:paraId="755CDD64"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104C78">
              <w:rPr>
                <w:rFonts w:ascii="Times New Roman" w:hAnsi="Times New Roman"/>
                <w:vertAlign w:val="subscript"/>
                <w:lang w:val="en-AU"/>
              </w:rPr>
              <w:t>MSY</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0</w:t>
            </w:r>
          </w:p>
        </w:tc>
        <w:tc>
          <w:tcPr>
            <w:tcW w:w="1264" w:type="dxa"/>
            <w:shd w:val="clear" w:color="auto" w:fill="auto"/>
            <w:vAlign w:val="center"/>
          </w:tcPr>
          <w:p w14:paraId="06A63D1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0.20</w:t>
            </w:r>
          </w:p>
        </w:tc>
        <w:tc>
          <w:tcPr>
            <w:tcW w:w="1265" w:type="dxa"/>
            <w:shd w:val="clear" w:color="auto" w:fill="auto"/>
            <w:vAlign w:val="center"/>
          </w:tcPr>
          <w:p w14:paraId="328172B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0.21</w:t>
            </w:r>
          </w:p>
        </w:tc>
        <w:tc>
          <w:tcPr>
            <w:tcW w:w="1265" w:type="dxa"/>
            <w:shd w:val="clear" w:color="auto" w:fill="auto"/>
            <w:vAlign w:val="center"/>
          </w:tcPr>
          <w:p w14:paraId="2B19CF0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0.11</w:t>
            </w:r>
          </w:p>
        </w:tc>
        <w:tc>
          <w:tcPr>
            <w:tcW w:w="1265" w:type="dxa"/>
            <w:shd w:val="clear" w:color="auto" w:fill="auto"/>
            <w:vAlign w:val="center"/>
          </w:tcPr>
          <w:p w14:paraId="1827705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0.12</w:t>
            </w:r>
          </w:p>
        </w:tc>
        <w:tc>
          <w:tcPr>
            <w:tcW w:w="1265" w:type="dxa"/>
            <w:shd w:val="clear" w:color="auto" w:fill="auto"/>
            <w:vAlign w:val="center"/>
          </w:tcPr>
          <w:p w14:paraId="3C0DBA0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0.28</w:t>
            </w:r>
          </w:p>
        </w:tc>
        <w:tc>
          <w:tcPr>
            <w:tcW w:w="1265" w:type="dxa"/>
            <w:shd w:val="clear" w:color="auto" w:fill="auto"/>
            <w:vAlign w:val="center"/>
          </w:tcPr>
          <w:p w14:paraId="75A6AB7B"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0.28</w:t>
            </w:r>
          </w:p>
        </w:tc>
      </w:tr>
      <w:tr w:rsidR="0014588F" w:rsidRPr="009C2ADD" w14:paraId="472608C2" w14:textId="77777777" w:rsidTr="000E6616">
        <w:tc>
          <w:tcPr>
            <w:tcW w:w="1732" w:type="dxa"/>
            <w:shd w:val="clear" w:color="auto" w:fill="auto"/>
          </w:tcPr>
          <w:p w14:paraId="1F1D8541"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4A8DCFC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78,619</w:t>
            </w:r>
          </w:p>
        </w:tc>
        <w:tc>
          <w:tcPr>
            <w:tcW w:w="1265" w:type="dxa"/>
            <w:shd w:val="clear" w:color="auto" w:fill="auto"/>
            <w:vAlign w:val="center"/>
          </w:tcPr>
          <w:p w14:paraId="3D69C65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78,301</w:t>
            </w:r>
          </w:p>
        </w:tc>
        <w:tc>
          <w:tcPr>
            <w:tcW w:w="1265" w:type="dxa"/>
            <w:shd w:val="clear" w:color="auto" w:fill="auto"/>
            <w:vAlign w:val="center"/>
          </w:tcPr>
          <w:p w14:paraId="1DEB9DE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61,996</w:t>
            </w:r>
          </w:p>
        </w:tc>
        <w:tc>
          <w:tcPr>
            <w:tcW w:w="1265" w:type="dxa"/>
            <w:shd w:val="clear" w:color="auto" w:fill="auto"/>
            <w:vAlign w:val="center"/>
          </w:tcPr>
          <w:p w14:paraId="7316532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64,342</w:t>
            </w:r>
          </w:p>
        </w:tc>
        <w:tc>
          <w:tcPr>
            <w:tcW w:w="1265" w:type="dxa"/>
            <w:shd w:val="clear" w:color="auto" w:fill="auto"/>
            <w:vAlign w:val="center"/>
          </w:tcPr>
          <w:p w14:paraId="3A80F90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92,120</w:t>
            </w:r>
          </w:p>
        </w:tc>
        <w:tc>
          <w:tcPr>
            <w:tcW w:w="1265" w:type="dxa"/>
            <w:shd w:val="clear" w:color="auto" w:fill="auto"/>
            <w:vAlign w:val="center"/>
          </w:tcPr>
          <w:p w14:paraId="00DD5C2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100,691</w:t>
            </w:r>
          </w:p>
        </w:tc>
      </w:tr>
      <w:tr w:rsidR="0014588F" w:rsidRPr="009C2ADD" w14:paraId="6601D01D" w14:textId="77777777" w:rsidTr="000E6616">
        <w:tc>
          <w:tcPr>
            <w:tcW w:w="1732" w:type="dxa"/>
            <w:shd w:val="clear" w:color="auto" w:fill="auto"/>
          </w:tcPr>
          <w:p w14:paraId="192ACF39"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104C78">
              <w:rPr>
                <w:rFonts w:ascii="Times New Roman" w:hAnsi="Times New Roman"/>
                <w:vertAlign w:val="subscript"/>
                <w:lang w:val="en-AU"/>
              </w:rPr>
              <w:t>MSY</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1A5C8D5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0.22</w:t>
            </w:r>
          </w:p>
        </w:tc>
        <w:tc>
          <w:tcPr>
            <w:tcW w:w="1265" w:type="dxa"/>
            <w:shd w:val="clear" w:color="auto" w:fill="auto"/>
            <w:vAlign w:val="center"/>
          </w:tcPr>
          <w:p w14:paraId="6BA7B91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0.23</w:t>
            </w:r>
          </w:p>
        </w:tc>
        <w:tc>
          <w:tcPr>
            <w:tcW w:w="1265" w:type="dxa"/>
            <w:shd w:val="clear" w:color="auto" w:fill="auto"/>
            <w:vAlign w:val="center"/>
          </w:tcPr>
          <w:p w14:paraId="1C75A4AB"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683AF5D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0.12</w:t>
            </w:r>
          </w:p>
        </w:tc>
        <w:tc>
          <w:tcPr>
            <w:tcW w:w="1265" w:type="dxa"/>
            <w:shd w:val="clear" w:color="auto" w:fill="auto"/>
            <w:vAlign w:val="center"/>
          </w:tcPr>
          <w:p w14:paraId="38F5D1AF"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0.32</w:t>
            </w:r>
          </w:p>
        </w:tc>
        <w:tc>
          <w:tcPr>
            <w:tcW w:w="1265" w:type="dxa"/>
            <w:shd w:val="clear" w:color="auto" w:fill="auto"/>
            <w:vAlign w:val="center"/>
          </w:tcPr>
          <w:p w14:paraId="4979F03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0.33</w:t>
            </w:r>
          </w:p>
        </w:tc>
      </w:tr>
      <w:tr w:rsidR="0014588F" w:rsidRPr="009C2ADD" w14:paraId="2B88F1BF" w14:textId="77777777" w:rsidTr="000E6616">
        <w:tc>
          <w:tcPr>
            <w:tcW w:w="1732" w:type="dxa"/>
            <w:shd w:val="clear" w:color="auto" w:fill="auto"/>
          </w:tcPr>
          <w:p w14:paraId="6E99C9B7"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0</w:t>
            </w:r>
          </w:p>
        </w:tc>
        <w:tc>
          <w:tcPr>
            <w:tcW w:w="1264" w:type="dxa"/>
            <w:shd w:val="clear" w:color="auto" w:fill="auto"/>
            <w:vAlign w:val="center"/>
          </w:tcPr>
          <w:p w14:paraId="1CDC61E0"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0.33</w:t>
            </w:r>
          </w:p>
        </w:tc>
        <w:tc>
          <w:tcPr>
            <w:tcW w:w="1265" w:type="dxa"/>
            <w:shd w:val="clear" w:color="auto" w:fill="auto"/>
            <w:vAlign w:val="center"/>
          </w:tcPr>
          <w:p w14:paraId="4DA3938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0.32</w:t>
            </w:r>
          </w:p>
        </w:tc>
        <w:tc>
          <w:tcPr>
            <w:tcW w:w="1265" w:type="dxa"/>
            <w:shd w:val="clear" w:color="auto" w:fill="auto"/>
            <w:vAlign w:val="center"/>
          </w:tcPr>
          <w:p w14:paraId="175FBB5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0.24</w:t>
            </w:r>
          </w:p>
        </w:tc>
        <w:tc>
          <w:tcPr>
            <w:tcW w:w="1265" w:type="dxa"/>
            <w:shd w:val="clear" w:color="auto" w:fill="auto"/>
            <w:vAlign w:val="center"/>
          </w:tcPr>
          <w:p w14:paraId="4EA3113C"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0.25</w:t>
            </w:r>
          </w:p>
        </w:tc>
        <w:tc>
          <w:tcPr>
            <w:tcW w:w="1265" w:type="dxa"/>
            <w:shd w:val="clear" w:color="auto" w:fill="auto"/>
            <w:vAlign w:val="center"/>
          </w:tcPr>
          <w:p w14:paraId="60D904B6"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0.44</w:t>
            </w:r>
          </w:p>
        </w:tc>
        <w:tc>
          <w:tcPr>
            <w:tcW w:w="1265" w:type="dxa"/>
            <w:shd w:val="clear" w:color="auto" w:fill="auto"/>
            <w:vAlign w:val="center"/>
          </w:tcPr>
          <w:p w14:paraId="009692C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0.46</w:t>
            </w:r>
          </w:p>
        </w:tc>
      </w:tr>
      <w:tr w:rsidR="0014588F" w:rsidRPr="009C2ADD" w14:paraId="732C9CDC" w14:textId="77777777" w:rsidTr="000E6616">
        <w:tc>
          <w:tcPr>
            <w:tcW w:w="1732" w:type="dxa"/>
            <w:shd w:val="clear" w:color="auto" w:fill="auto"/>
          </w:tcPr>
          <w:p w14:paraId="3FAEFAFD"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36DF8FA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39967300"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5BC69A7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0.26</w:t>
            </w:r>
          </w:p>
        </w:tc>
        <w:tc>
          <w:tcPr>
            <w:tcW w:w="1265" w:type="dxa"/>
            <w:shd w:val="clear" w:color="auto" w:fill="auto"/>
            <w:vAlign w:val="center"/>
          </w:tcPr>
          <w:p w14:paraId="6D20D4C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0.27</w:t>
            </w:r>
          </w:p>
        </w:tc>
        <w:tc>
          <w:tcPr>
            <w:tcW w:w="1265" w:type="dxa"/>
            <w:shd w:val="clear" w:color="auto" w:fill="auto"/>
            <w:vAlign w:val="center"/>
          </w:tcPr>
          <w:p w14:paraId="1F8F67F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0.44</w:t>
            </w:r>
          </w:p>
        </w:tc>
        <w:tc>
          <w:tcPr>
            <w:tcW w:w="1265" w:type="dxa"/>
            <w:shd w:val="clear" w:color="auto" w:fill="auto"/>
            <w:vAlign w:val="center"/>
          </w:tcPr>
          <w:p w14:paraId="5B94B690"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0.49</w:t>
            </w:r>
          </w:p>
        </w:tc>
      </w:tr>
      <w:tr w:rsidR="0014588F" w:rsidRPr="009C2ADD" w14:paraId="19E29DE5" w14:textId="77777777" w:rsidTr="000E6616">
        <w:tc>
          <w:tcPr>
            <w:tcW w:w="1732" w:type="dxa"/>
            <w:shd w:val="clear" w:color="auto" w:fill="auto"/>
          </w:tcPr>
          <w:p w14:paraId="118A8901"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Pr="009C2ADD">
              <w:rPr>
                <w:rFonts w:ascii="Times New Roman" w:eastAsia="Times New Roman" w:hAnsi="Times New Roman"/>
                <w:i/>
                <w:lang w:eastAsia="ja-JP"/>
              </w:rPr>
              <w:t>/SB</w:t>
            </w:r>
            <w:r w:rsidRPr="00104C78">
              <w:rPr>
                <w:rFonts w:ascii="Times New Roman" w:hAnsi="Times New Roman"/>
                <w:vertAlign w:val="subscript"/>
                <w:lang w:val="en-AU"/>
              </w:rPr>
              <w:t>MSY</w:t>
            </w:r>
          </w:p>
        </w:tc>
        <w:tc>
          <w:tcPr>
            <w:tcW w:w="1264" w:type="dxa"/>
            <w:shd w:val="clear" w:color="auto" w:fill="auto"/>
            <w:vAlign w:val="center"/>
          </w:tcPr>
          <w:p w14:paraId="0AB6A03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1.85</w:t>
            </w:r>
          </w:p>
        </w:tc>
        <w:tc>
          <w:tcPr>
            <w:tcW w:w="1265" w:type="dxa"/>
            <w:shd w:val="clear" w:color="auto" w:fill="auto"/>
            <w:vAlign w:val="center"/>
          </w:tcPr>
          <w:p w14:paraId="1B2C2D7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1.61</w:t>
            </w:r>
          </w:p>
        </w:tc>
        <w:tc>
          <w:tcPr>
            <w:tcW w:w="1265" w:type="dxa"/>
            <w:shd w:val="clear" w:color="auto" w:fill="auto"/>
            <w:vAlign w:val="center"/>
          </w:tcPr>
          <w:p w14:paraId="08D870B8"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0.85</w:t>
            </w:r>
          </w:p>
        </w:tc>
        <w:tc>
          <w:tcPr>
            <w:tcW w:w="1265" w:type="dxa"/>
            <w:shd w:val="clear" w:color="auto" w:fill="auto"/>
            <w:vAlign w:val="center"/>
          </w:tcPr>
          <w:p w14:paraId="7268F172"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0.99</w:t>
            </w:r>
          </w:p>
        </w:tc>
        <w:tc>
          <w:tcPr>
            <w:tcW w:w="1265" w:type="dxa"/>
            <w:shd w:val="clear" w:color="auto" w:fill="auto"/>
            <w:vAlign w:val="center"/>
          </w:tcPr>
          <w:p w14:paraId="3F03A1D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3.14</w:t>
            </w:r>
          </w:p>
        </w:tc>
        <w:tc>
          <w:tcPr>
            <w:tcW w:w="1265" w:type="dxa"/>
            <w:shd w:val="clear" w:color="auto" w:fill="auto"/>
            <w:vAlign w:val="center"/>
          </w:tcPr>
          <w:p w14:paraId="09659A71"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4.05</w:t>
            </w:r>
          </w:p>
        </w:tc>
      </w:tr>
      <w:tr w:rsidR="0014588F" w:rsidRPr="009C2ADD" w14:paraId="44274A0E" w14:textId="77777777" w:rsidTr="000E6616">
        <w:tc>
          <w:tcPr>
            <w:tcW w:w="1732" w:type="dxa"/>
            <w:shd w:val="clear" w:color="auto" w:fill="auto"/>
          </w:tcPr>
          <w:p w14:paraId="25D0208D"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3C7D8A3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0.36</w:t>
            </w:r>
          </w:p>
        </w:tc>
        <w:tc>
          <w:tcPr>
            <w:tcW w:w="1265" w:type="dxa"/>
            <w:shd w:val="clear" w:color="auto" w:fill="auto"/>
            <w:vAlign w:val="center"/>
          </w:tcPr>
          <w:p w14:paraId="372BC39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24FB0B0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0.27</w:t>
            </w:r>
          </w:p>
        </w:tc>
        <w:tc>
          <w:tcPr>
            <w:tcW w:w="1265" w:type="dxa"/>
            <w:shd w:val="clear" w:color="auto" w:fill="auto"/>
            <w:vAlign w:val="center"/>
          </w:tcPr>
          <w:p w14:paraId="4DE3454A"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0.29</w:t>
            </w:r>
          </w:p>
        </w:tc>
        <w:tc>
          <w:tcPr>
            <w:tcW w:w="1265" w:type="dxa"/>
            <w:shd w:val="clear" w:color="auto" w:fill="auto"/>
            <w:vAlign w:val="center"/>
          </w:tcPr>
          <w:p w14:paraId="22E60CBD"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0.43</w:t>
            </w:r>
          </w:p>
        </w:tc>
        <w:tc>
          <w:tcPr>
            <w:tcW w:w="1265" w:type="dxa"/>
            <w:shd w:val="clear" w:color="auto" w:fill="auto"/>
            <w:vAlign w:val="center"/>
          </w:tcPr>
          <w:p w14:paraId="6E8374DE"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0.48</w:t>
            </w:r>
          </w:p>
        </w:tc>
      </w:tr>
      <w:tr w:rsidR="0014588F" w:rsidRPr="009C2ADD" w14:paraId="36372083" w14:textId="77777777" w:rsidTr="000E6616">
        <w:tc>
          <w:tcPr>
            <w:tcW w:w="1732" w:type="dxa"/>
            <w:shd w:val="clear" w:color="auto" w:fill="auto"/>
          </w:tcPr>
          <w:p w14:paraId="3250DA05" w14:textId="77777777" w:rsidR="0014588F" w:rsidRPr="009C2ADD" w:rsidRDefault="0014588F" w:rsidP="000E6616">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/SB</w:t>
            </w:r>
            <w:r w:rsidRPr="00104C78">
              <w:rPr>
                <w:rFonts w:ascii="Times New Roman" w:hAnsi="Times New Roman"/>
                <w:vertAlign w:val="subscript"/>
                <w:lang w:val="en-AU"/>
              </w:rPr>
              <w:t>MSY</w:t>
            </w:r>
          </w:p>
        </w:tc>
        <w:tc>
          <w:tcPr>
            <w:tcW w:w="1264" w:type="dxa"/>
            <w:shd w:val="clear" w:color="auto" w:fill="auto"/>
            <w:vAlign w:val="center"/>
          </w:tcPr>
          <w:p w14:paraId="62C8D0F9"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1.86</w:t>
            </w:r>
          </w:p>
        </w:tc>
        <w:tc>
          <w:tcPr>
            <w:tcW w:w="1265" w:type="dxa"/>
            <w:shd w:val="clear" w:color="auto" w:fill="auto"/>
            <w:vAlign w:val="center"/>
          </w:tcPr>
          <w:p w14:paraId="4D05D485"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1.58</w:t>
            </w:r>
          </w:p>
        </w:tc>
        <w:tc>
          <w:tcPr>
            <w:tcW w:w="1265" w:type="dxa"/>
            <w:shd w:val="clear" w:color="auto" w:fill="auto"/>
            <w:vAlign w:val="center"/>
          </w:tcPr>
          <w:p w14:paraId="73B6DA04"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0.88</w:t>
            </w:r>
          </w:p>
        </w:tc>
        <w:tc>
          <w:tcPr>
            <w:tcW w:w="1265" w:type="dxa"/>
            <w:shd w:val="clear" w:color="auto" w:fill="auto"/>
            <w:vAlign w:val="center"/>
          </w:tcPr>
          <w:p w14:paraId="48D6B447"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1.02</w:t>
            </w:r>
          </w:p>
        </w:tc>
        <w:tc>
          <w:tcPr>
            <w:tcW w:w="1265" w:type="dxa"/>
            <w:shd w:val="clear" w:color="auto" w:fill="auto"/>
            <w:vAlign w:val="center"/>
          </w:tcPr>
          <w:p w14:paraId="6FCEE620"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3.10</w:t>
            </w:r>
          </w:p>
        </w:tc>
        <w:tc>
          <w:tcPr>
            <w:tcW w:w="1265" w:type="dxa"/>
            <w:shd w:val="clear" w:color="auto" w:fill="auto"/>
            <w:vAlign w:val="center"/>
          </w:tcPr>
          <w:p w14:paraId="6F5F4DC3" w14:textId="77777777" w:rsidR="0014588F" w:rsidRPr="009C2ADD" w:rsidRDefault="0014588F" w:rsidP="000E6616">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3.96</w:t>
            </w:r>
          </w:p>
        </w:tc>
      </w:tr>
    </w:tbl>
    <w:p w14:paraId="7BE70000"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67F80BF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spawning biomass was median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0.35 with a probable range of 0.29 to 0.43 (80% probability interval). The median estimate (0.35) is below that estimated from the 2014 assessment grid((SB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0.49, see SC9-SA-WP-05), noting the differences in grid uncertainty axes used in that assessment, due to the inclusion of two representations of growth and maturity. SC13 also noted that in the previous assessment this central tendency was not considered for the provision of management advice given the uncertainties in growth assumptions. The median estimate for SB</w:t>
      </w:r>
      <w:r w:rsidRPr="0070772D">
        <w:rPr>
          <w:rFonts w:ascii="Times New Roman" w:hAnsi="Times New Roman"/>
          <w:b/>
          <w:vertAlign w:val="subscript"/>
          <w:lang w:val="en-AU"/>
        </w:rPr>
        <w:t>recent</w:t>
      </w:r>
      <w:r w:rsidRPr="009C2ADD">
        <w:rPr>
          <w:rFonts w:ascii="Times New Roman" w:hAnsi="Times New Roman"/>
          <w:b/>
          <w:lang w:val="en-AU"/>
        </w:rPr>
        <w:t>/SB</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is 1.23, </w:t>
      </w:r>
      <w:r>
        <w:rPr>
          <w:rFonts w:ascii="Times New Roman" w:hAnsi="Times New Roman"/>
          <w:b/>
          <w:lang w:val="en-AU"/>
        </w:rPr>
        <w:t>which</w:t>
      </w:r>
      <w:r w:rsidRPr="009C2ADD">
        <w:rPr>
          <w:rFonts w:ascii="Times New Roman" w:hAnsi="Times New Roman"/>
          <w:b/>
          <w:lang w:val="en-AU"/>
        </w:rPr>
        <w:t xml:space="preserve"> is below that estimated from the 2014 assessment grid ((SB</w:t>
      </w:r>
      <w:r w:rsidRPr="0070772D">
        <w:rPr>
          <w:rFonts w:ascii="Times New Roman" w:hAnsi="Times New Roman"/>
          <w:b/>
          <w:vertAlign w:val="subscript"/>
          <w:lang w:val="en-AU"/>
        </w:rPr>
        <w:t>current</w:t>
      </w:r>
      <w:r w:rsidRPr="009C2ADD">
        <w:rPr>
          <w:rFonts w:ascii="Times New Roman" w:hAnsi="Times New Roman"/>
          <w:b/>
          <w:lang w:val="en-AU"/>
        </w:rPr>
        <w:t>/SB</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 2.07, see SC9-SA-WP-05). </w:t>
      </w:r>
    </w:p>
    <w:p w14:paraId="31EFE842"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5BAE0A8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was median (F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 = 0.86 with an 80% probability interval of 0.51 to 1.23. While this suggested that there was likely a buffer between recent fishing mortality and F</w:t>
      </w:r>
      <w:r w:rsidRPr="00104C78">
        <w:rPr>
          <w:rFonts w:ascii="Times New Roman" w:hAnsi="Times New Roman" w:hint="eastAsia"/>
          <w:b/>
          <w:vertAlign w:val="subscript"/>
          <w:lang w:val="en-AU" w:eastAsia="ko-KR"/>
        </w:rPr>
        <w:t>MSY</w:t>
      </w:r>
      <w:r w:rsidRPr="009C2ADD">
        <w:rPr>
          <w:rFonts w:ascii="Times New Roman" w:hAnsi="Times New Roman"/>
          <w:b/>
          <w:lang w:val="en-AU"/>
        </w:rPr>
        <w:t>, it also showed that there was some probability that recent fishing mortality was above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t>
      </w:r>
    </w:p>
    <w:p w14:paraId="3ED70C73"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B057A1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there was a roughly 32% probability (23 out of 72 models) that the recent fishing mortality was above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proofErr w:type="gramStart"/>
      <w:r w:rsidRPr="009C2ADD">
        <w:rPr>
          <w:rFonts w:ascii="Times New Roman" w:hAnsi="Times New Roman"/>
          <w:b/>
          <w:lang w:val="en-AU"/>
        </w:rPr>
        <w:t>Prob(</w:t>
      </w:r>
      <w:proofErr w:type="gramEnd"/>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Pr="00104C78">
        <w:rPr>
          <w:rFonts w:ascii="Times New Roman" w:hAnsi="Times New Roman" w:hint="eastAsia"/>
          <w:b/>
          <w:vertAlign w:val="subscript"/>
          <w:lang w:val="en-AU" w:eastAsia="ko-KR"/>
        </w:rPr>
        <w:t>MSY</w:t>
      </w:r>
      <w:r w:rsidRPr="009C2ADD">
        <w:rPr>
          <w:rFonts w:ascii="Times New Roman" w:hAnsi="Times New Roman"/>
          <w:b/>
          <w:lang w:val="en-AU"/>
        </w:rPr>
        <w:t>)&gt;1) = 0.32. The median estimate (0.86) is above that estimated from the 2014 assessment grid (F</w:t>
      </w:r>
      <w:r w:rsidRPr="00783705">
        <w:rPr>
          <w:rFonts w:ascii="Times New Roman" w:hAnsi="Times New Roman"/>
          <w:b/>
          <w:vertAlign w:val="subscript"/>
          <w:lang w:val="en-AU"/>
        </w:rPr>
        <w:t>current</w:t>
      </w:r>
      <w:r w:rsidRPr="009C2ADD">
        <w:rPr>
          <w:rFonts w:ascii="Times New Roman" w:hAnsi="Times New Roman"/>
          <w:b/>
          <w:lang w:val="en-AU"/>
        </w:rPr>
        <w:t>/F</w:t>
      </w:r>
      <w:r w:rsidRPr="0070772D">
        <w:rPr>
          <w:rFonts w:ascii="Times New Roman" w:hAnsi="Times New Roman"/>
          <w:b/>
          <w:vertAlign w:val="subscript"/>
          <w:lang w:val="en-AU" w:eastAsia="ko-KR"/>
        </w:rPr>
        <w:t>MSY</w:t>
      </w:r>
      <w:r w:rsidRPr="009C2ADD">
        <w:rPr>
          <w:rFonts w:ascii="Times New Roman" w:hAnsi="Times New Roman"/>
          <w:b/>
          <w:lang w:val="en-AU"/>
        </w:rPr>
        <w:t xml:space="preserve"> = 0.74, see SC9-SA-WP-05). </w:t>
      </w:r>
    </w:p>
    <w:p w14:paraId="7C295D74"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59F3259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Fishing mortality rate increased notably from the mid-1990s in both model regions, on maturing</w:t>
      </w:r>
      <w:r w:rsidRPr="00D3647B">
        <w:rPr>
          <w:rFonts w:ascii="Times New Roman" w:hAnsi="Times New Roman"/>
          <w:b/>
          <w:lang w:val="en-AU"/>
        </w:rPr>
        <w:t xml:space="preserve"> </w:t>
      </w:r>
      <w:r>
        <w:rPr>
          <w:rFonts w:ascii="Times New Roman" w:hAnsi="Times New Roman"/>
          <w:b/>
          <w:lang w:val="en-AU"/>
        </w:rPr>
        <w:t>swordfish</w:t>
      </w:r>
      <w:r w:rsidRPr="009C2ADD">
        <w:rPr>
          <w:rFonts w:ascii="Times New Roman" w:hAnsi="Times New Roman"/>
          <w:b/>
          <w:lang w:val="en-AU"/>
        </w:rPr>
        <w:t xml:space="preserve"> aged 4-6 fish in particular. </w:t>
      </w:r>
    </w:p>
    <w:p w14:paraId="5FF54A99"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603BB36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Across all models in the uncertainty grid the spawning biomass declines steeply between the late 1990s and 2010 but since then the rate of decline has been less.  Those declines are found in both model regions, but are higher in the eastern Region 2 (equator to 50°S, 165°E to 130°W). </w:t>
      </w:r>
    </w:p>
    <w:p w14:paraId="6D5DB4B4"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3EEA522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in comparison with the bigeye and yellowfin assessments, evidence for an increase in recent recruitment for southwest Pacific swordfish was not found in either the CPUE time series or estimates of recruitment. SC13 noted that the longline only nature of the fishery catching mainly larger, older </w:t>
      </w:r>
      <w:proofErr w:type="gramStart"/>
      <w:r w:rsidRPr="009C2ADD">
        <w:rPr>
          <w:rFonts w:ascii="Times New Roman" w:hAnsi="Times New Roman"/>
          <w:b/>
          <w:lang w:val="en-AU"/>
        </w:rPr>
        <w:t>swordfish,</w:t>
      </w:r>
      <w:proofErr w:type="gramEnd"/>
      <w:r w:rsidRPr="009C2ADD">
        <w:rPr>
          <w:rFonts w:ascii="Times New Roman" w:hAnsi="Times New Roman"/>
          <w:b/>
          <w:lang w:val="en-AU"/>
        </w:rPr>
        <w:t xml:space="preserve"> is not strongly informative with regards to recruitment dynamics.  </w:t>
      </w:r>
    </w:p>
    <w:p w14:paraId="3E5D95AE"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743F7F3" w14:textId="77777777" w:rsidR="0014588F" w:rsidRPr="009C2ADD" w:rsidRDefault="0014588F" w:rsidP="0014588F">
      <w:pPr>
        <w:pStyle w:val="ListParagraph"/>
        <w:numPr>
          <w:ilvl w:val="0"/>
          <w:numId w:val="39"/>
        </w:numPr>
        <w:autoSpaceDE w:val="0"/>
        <w:autoSpaceDN w:val="0"/>
        <w:adjustRightInd w:val="0"/>
        <w:snapToGrid w:val="0"/>
        <w:ind w:left="0" w:firstLine="0"/>
        <w:contextualSpacing w:val="0"/>
        <w:rPr>
          <w:rFonts w:ascii="Times New Roman" w:eastAsia="MS Mincho" w:hAnsi="Times New Roman"/>
          <w:b/>
          <w:lang w:val="en-US" w:eastAsia="ja-JP"/>
        </w:rPr>
      </w:pPr>
      <w:r w:rsidRPr="009C2ADD">
        <w:rPr>
          <w:rFonts w:ascii="Times New Roman" w:eastAsia="Times New Roman" w:hAnsi="Times New Roman"/>
          <w:b/>
          <w:lang w:eastAsia="en-NZ"/>
        </w:rPr>
        <w:t>Management advice and implications</w:t>
      </w:r>
      <w:r w:rsidRPr="009C2ADD">
        <w:rPr>
          <w:rFonts w:ascii="Times New Roman" w:eastAsia="Times New Roman" w:hAnsi="Times New Roman"/>
          <w:b/>
          <w:lang w:eastAsia="en-NZ"/>
        </w:rPr>
        <w:tab/>
      </w:r>
      <w:r w:rsidRPr="009C2ADD">
        <w:rPr>
          <w:rFonts w:ascii="Times New Roman" w:eastAsia="MS Mincho" w:hAnsi="Times New Roman"/>
          <w:b/>
          <w:lang w:val="en-US" w:eastAsia="ja-JP"/>
        </w:rPr>
        <w:tab/>
      </w:r>
    </w:p>
    <w:p w14:paraId="758BE08B" w14:textId="77777777" w:rsidR="0014588F" w:rsidRPr="009C2ADD" w:rsidRDefault="0014588F" w:rsidP="0014588F">
      <w:pPr>
        <w:pStyle w:val="ListParagraph"/>
        <w:autoSpaceDE w:val="0"/>
        <w:autoSpaceDN w:val="0"/>
        <w:adjustRightInd w:val="0"/>
        <w:snapToGrid w:val="0"/>
        <w:ind w:firstLine="0"/>
        <w:contextualSpacing w:val="0"/>
        <w:rPr>
          <w:rFonts w:ascii="Times New Roman" w:eastAsia="MS Mincho" w:hAnsi="Times New Roman"/>
          <w:b/>
          <w:lang w:val="en-US" w:eastAsia="ja-JP"/>
        </w:rPr>
      </w:pPr>
    </w:p>
    <w:p w14:paraId="1232285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Based on the uncertainty grid adopted by SC13, the south west Pacific </w:t>
      </w:r>
      <w:r>
        <w:rPr>
          <w:rFonts w:ascii="Times New Roman" w:hAnsi="Times New Roman"/>
          <w:b/>
          <w:lang w:val="en-AU"/>
        </w:rPr>
        <w:t>s</w:t>
      </w:r>
      <w:r w:rsidRPr="009C2ADD">
        <w:rPr>
          <w:rFonts w:ascii="Times New Roman" w:hAnsi="Times New Roman"/>
          <w:b/>
          <w:lang w:val="en-AU"/>
        </w:rPr>
        <w:t>wordfish spawning biomass is likely above the 20%SB</w:t>
      </w:r>
      <w:r w:rsidRPr="0070772D">
        <w:rPr>
          <w:rFonts w:ascii="Times New Roman" w:hAnsi="Times New Roman"/>
          <w:b/>
          <w:vertAlign w:val="subscript"/>
          <w:lang w:val="en-AU"/>
        </w:rPr>
        <w:t>F=0</w:t>
      </w:r>
      <w:r w:rsidRPr="009C2ADD">
        <w:rPr>
          <w:rFonts w:ascii="Times New Roman" w:hAnsi="Times New Roman"/>
          <w:b/>
          <w:lang w:val="en-AU"/>
        </w:rPr>
        <w:t>,</w:t>
      </w:r>
      <w:r>
        <w:rPr>
          <w:rFonts w:ascii="Times New Roman" w:hAnsi="Times New Roman"/>
          <w:b/>
          <w:lang w:val="en-AU"/>
        </w:rPr>
        <w:t xml:space="preserve"> </w:t>
      </w:r>
      <w:r w:rsidRPr="009C2ADD">
        <w:rPr>
          <w:rFonts w:ascii="Times New Roman" w:hAnsi="Times New Roman"/>
          <w:b/>
          <w:lang w:val="en-AU"/>
        </w:rPr>
        <w:t>biomass LRP adopted for tunas and the SB</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level </w:t>
      </w:r>
      <w:r>
        <w:rPr>
          <w:rFonts w:ascii="Times New Roman" w:hAnsi="Times New Roman"/>
          <w:b/>
          <w:lang w:val="en-AU"/>
        </w:rPr>
        <w:t>(</w:t>
      </w:r>
      <w:r w:rsidRPr="009C2ADD">
        <w:rPr>
          <w:rFonts w:ascii="Times New Roman" w:hAnsi="Times New Roman"/>
          <w:b/>
          <w:lang w:val="en-AU"/>
        </w:rPr>
        <w:t>noting that the Commission has yet to adopted an LRP for south Pacific swordfish) and it is highly likely that the stock is not in an overfished condition (0% probability). Recent F is likely below F</w:t>
      </w:r>
      <w:r w:rsidRPr="00104C78">
        <w:rPr>
          <w:rFonts w:ascii="Times New Roman" w:hAnsi="Times New Roman" w:hint="eastAsia"/>
          <w:b/>
          <w:vertAlign w:val="subscript"/>
          <w:lang w:val="en-AU" w:eastAsia="ko-KR"/>
        </w:rPr>
        <w:t>MSY</w:t>
      </w:r>
      <w:r w:rsidRPr="009C2ADD">
        <w:rPr>
          <w:rFonts w:ascii="Times New Roman" w:hAnsi="Times New Roman"/>
          <w:b/>
          <w:lang w:val="en-AU"/>
        </w:rPr>
        <w:t>, and it appears that the stock is not experiencing overfishing (32% probability</w:t>
      </w:r>
      <w:r>
        <w:rPr>
          <w:rFonts w:ascii="Times New Roman" w:hAnsi="Times New Roman"/>
          <w:b/>
          <w:lang w:val="en-AU"/>
        </w:rPr>
        <w:t xml:space="preserve"> of overfishing</w:t>
      </w:r>
      <w:r w:rsidRPr="009C2ADD">
        <w:rPr>
          <w:rFonts w:ascii="Times New Roman" w:hAnsi="Times New Roman"/>
          <w:b/>
          <w:lang w:val="en-AU"/>
        </w:rPr>
        <w:t xml:space="preserve">).  </w:t>
      </w:r>
    </w:p>
    <w:p w14:paraId="29423E0A"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6D52D47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has been an increase in fishing mortality notably from the mid-1990s, and that the biomass relative to unfished levels is estimated to have declined rapidly during the period late-1990s to 2010 followed by a more gradual but continued decline after 2010, across the uncertainty grid. It was noted the fishing mortality was likely below F</w:t>
      </w:r>
      <w:r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t>
      </w:r>
    </w:p>
    <w:p w14:paraId="1DAD69A4" w14:textId="77777777" w:rsidR="0014588F" w:rsidRPr="009C2ADD" w:rsidRDefault="0014588F" w:rsidP="0014588F">
      <w:pPr>
        <w:pStyle w:val="ListParagraph"/>
        <w:adjustRightInd w:val="0"/>
        <w:snapToGrid w:val="0"/>
        <w:contextualSpacing w:val="0"/>
        <w:rPr>
          <w:rFonts w:ascii="Times New Roman" w:hAnsi="Times New Roman"/>
          <w:b/>
          <w:lang w:val="en-AU"/>
        </w:rPr>
      </w:pPr>
    </w:p>
    <w:p w14:paraId="20BA8A0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Consistent with its previous advice (from SC9), SC13 recommends that the Commission consider developing appropriate management measures for the area north of 20°S to the equator which is not covered by CMM 2009-03, noting that:</w:t>
      </w:r>
    </w:p>
    <w:p w14:paraId="2F4DF307" w14:textId="77777777" w:rsidR="0014588F" w:rsidRPr="009C2ADD" w:rsidRDefault="0014588F" w:rsidP="0014588F">
      <w:pPr>
        <w:numPr>
          <w:ilvl w:val="0"/>
          <w:numId w:val="8"/>
        </w:numPr>
        <w:adjustRightInd w:val="0"/>
        <w:snapToGrid w:val="0"/>
        <w:spacing w:after="0"/>
        <w:rPr>
          <w:rFonts w:ascii="Times New Roman" w:eastAsia="Times New Roman" w:hAnsi="Times New Roman"/>
          <w:b/>
          <w:lang w:val="en-US" w:eastAsia="ja-JP"/>
        </w:rPr>
      </w:pPr>
      <w:r w:rsidRPr="009C2ADD">
        <w:rPr>
          <w:rFonts w:ascii="Times New Roman" w:eastAsia="Times New Roman" w:hAnsi="Times New Roman"/>
          <w:b/>
          <w:lang w:val="en-US" w:eastAsia="ja-JP"/>
        </w:rPr>
        <w:t xml:space="preserve">recent catches between the equator and 20°S continue to represent the largest component of the catch in Region 2 (equator to 50°S, 165°E to 130°W) and represent half the total catches from the stock, and, </w:t>
      </w:r>
    </w:p>
    <w:p w14:paraId="5C712E21" w14:textId="77777777" w:rsidR="0014588F" w:rsidRPr="009C2ADD" w:rsidRDefault="0014588F" w:rsidP="0014588F">
      <w:pPr>
        <w:numPr>
          <w:ilvl w:val="0"/>
          <w:numId w:val="8"/>
        </w:numPr>
        <w:adjustRightInd w:val="0"/>
        <w:snapToGrid w:val="0"/>
        <w:spacing w:after="0"/>
        <w:ind w:left="1077" w:hanging="357"/>
        <w:rPr>
          <w:rFonts w:ascii="Times New Roman" w:eastAsia="Times New Roman" w:hAnsi="Times New Roman"/>
          <w:b/>
          <w:lang w:val="en-US" w:eastAsia="ja-JP"/>
        </w:rPr>
      </w:pPr>
      <w:proofErr w:type="gramStart"/>
      <w:r w:rsidRPr="009C2ADD">
        <w:rPr>
          <w:rFonts w:ascii="Times New Roman" w:eastAsia="Times New Roman" w:hAnsi="Times New Roman"/>
          <w:b/>
          <w:lang w:val="en-US" w:eastAsia="ja-JP"/>
        </w:rPr>
        <w:t>catches</w:t>
      </w:r>
      <w:proofErr w:type="gramEnd"/>
      <w:r w:rsidRPr="009C2ADD">
        <w:rPr>
          <w:rFonts w:ascii="Times New Roman" w:eastAsia="Times New Roman" w:hAnsi="Times New Roman"/>
          <w:b/>
          <w:lang w:val="en-US" w:eastAsia="ja-JP"/>
        </w:rPr>
        <w:t xml:space="preserve"> in that area contribute substantially to fishing mortality and spawning biomass depletion levels in eastern Region 2 that are substantially higher than in the western region (Region 1). </w:t>
      </w:r>
    </w:p>
    <w:p w14:paraId="7D0398FA"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0E10ABB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Further, SC13 recommends that current restrictions on catches south of 20°S also be maintained. </w:t>
      </w:r>
    </w:p>
    <w:p w14:paraId="3098D09E" w14:textId="77777777" w:rsidR="0014588F" w:rsidRPr="009C2ADD" w:rsidRDefault="0014588F" w:rsidP="0014588F">
      <w:pPr>
        <w:adjustRightInd w:val="0"/>
        <w:snapToGrid w:val="0"/>
        <w:spacing w:after="0"/>
        <w:ind w:left="1080"/>
        <w:rPr>
          <w:rFonts w:ascii="Times New Roman" w:eastAsia="바탕" w:hAnsi="Times New Roman"/>
          <w:lang w:eastAsia="ko-KR"/>
        </w:rPr>
      </w:pPr>
    </w:p>
    <w:p w14:paraId="71881343" w14:textId="77777777" w:rsidR="0014588F" w:rsidRPr="009C2ADD" w:rsidRDefault="0014588F" w:rsidP="0014588F">
      <w:pPr>
        <w:pStyle w:val="Heading3"/>
        <w:adjustRightInd w:val="0"/>
        <w:snapToGrid w:val="0"/>
        <w:spacing w:before="0"/>
        <w:rPr>
          <w:rFonts w:ascii="Times New Roman" w:eastAsia="Times New Roman" w:hAnsi="Times New Roman" w:cs="Times New Roman"/>
          <w:lang w:eastAsia="en-NZ"/>
        </w:rPr>
      </w:pPr>
      <w:bookmarkStart w:id="33" w:name="_Toc498688644"/>
      <w:r w:rsidRPr="009C2ADD">
        <w:rPr>
          <w:rFonts w:ascii="Times New Roman" w:eastAsia="Times New Roman" w:hAnsi="Times New Roman" w:cs="Times New Roman"/>
          <w:lang w:eastAsia="en-NZ"/>
        </w:rPr>
        <w:t xml:space="preserve">4.4.2 </w:t>
      </w:r>
      <w:r w:rsidRPr="009C2ADD">
        <w:rPr>
          <w:rFonts w:ascii="Times New Roman" w:eastAsia="Times New Roman" w:hAnsi="Times New Roman" w:cs="Times New Roman"/>
          <w:lang w:eastAsia="en-NZ"/>
        </w:rPr>
        <w:tab/>
        <w:t>Southwest Pacific striped marlin (</w:t>
      </w:r>
      <w:r w:rsidRPr="00464B7F">
        <w:rPr>
          <w:rFonts w:ascii="Times New Roman" w:eastAsia="Times New Roman" w:hAnsi="Times New Roman" w:cs="Times New Roman"/>
          <w:i/>
          <w:lang w:eastAsia="en-NZ"/>
        </w:rPr>
        <w:t>Kajikia audax</w:t>
      </w:r>
      <w:r w:rsidRPr="009C2ADD">
        <w:rPr>
          <w:rFonts w:ascii="Times New Roman" w:eastAsia="Times New Roman" w:hAnsi="Times New Roman" w:cs="Times New Roman"/>
          <w:lang w:eastAsia="en-NZ"/>
        </w:rPr>
        <w:t>)</w:t>
      </w:r>
      <w:bookmarkEnd w:id="33"/>
    </w:p>
    <w:p w14:paraId="0C57F7B1" w14:textId="77777777" w:rsidR="0014588F" w:rsidRPr="009C2ADD" w:rsidRDefault="0014588F" w:rsidP="0014588F">
      <w:pPr>
        <w:adjustRightInd w:val="0"/>
        <w:snapToGrid w:val="0"/>
        <w:spacing w:after="0"/>
        <w:rPr>
          <w:rFonts w:ascii="Times New Roman" w:eastAsia="바탕" w:hAnsi="Times New Roman"/>
          <w:lang w:eastAsia="ko-KR"/>
        </w:rPr>
      </w:pPr>
    </w:p>
    <w:p w14:paraId="5EE2A5D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last stock assessment for Southwest Pacific striped marlin was conducted in 2011. SC13 received no updated information.</w:t>
      </w:r>
    </w:p>
    <w:p w14:paraId="3800BAA4"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0F4B06A9" w14:textId="77777777" w:rsidR="0014588F" w:rsidRPr="009C2ADD" w:rsidRDefault="0014588F" w:rsidP="0014588F">
      <w:pPr>
        <w:pStyle w:val="ListParagraph"/>
        <w:numPr>
          <w:ilvl w:val="0"/>
          <w:numId w:val="40"/>
        </w:numPr>
        <w:autoSpaceDE w:val="0"/>
        <w:autoSpaceDN w:val="0"/>
        <w:adjustRightInd w:val="0"/>
        <w:snapToGrid w:val="0"/>
        <w:ind w:left="0" w:firstLine="0"/>
        <w:contextualSpacing w:val="0"/>
        <w:rPr>
          <w:rFonts w:ascii="Times New Roman" w:eastAsia="Times New Roman" w:hAnsi="Times New Roman"/>
          <w:b/>
          <w:lang w:eastAsia="en-NZ"/>
        </w:rPr>
      </w:pPr>
      <w:r w:rsidRPr="009C2ADD">
        <w:rPr>
          <w:rFonts w:ascii="Times New Roman" w:eastAsia="Times New Roman" w:hAnsi="Times New Roman"/>
          <w:b/>
          <w:lang w:eastAsia="en-NZ"/>
        </w:rPr>
        <w:t>Stock status and trends</w:t>
      </w:r>
    </w:p>
    <w:p w14:paraId="4C4B3D30" w14:textId="77777777" w:rsidR="0014588F" w:rsidRPr="009C2ADD" w:rsidRDefault="0014588F" w:rsidP="0014588F">
      <w:pPr>
        <w:adjustRightInd w:val="0"/>
        <w:snapToGrid w:val="0"/>
        <w:spacing w:after="0"/>
        <w:rPr>
          <w:rFonts w:ascii="Times New Roman" w:eastAsia="MS Mincho" w:hAnsi="Times New Roman"/>
          <w:b/>
          <w:i/>
        </w:rPr>
      </w:pPr>
    </w:p>
    <w:p w14:paraId="7D77325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Pr>
          <w:rFonts w:ascii="Times New Roman" w:hAnsi="Times New Roman"/>
          <w:b/>
          <w:lang w:val="en-AU"/>
        </w:rPr>
        <w:t>was</w:t>
      </w:r>
      <w:r w:rsidRPr="009C2ADD">
        <w:rPr>
          <w:rFonts w:ascii="Times New Roman" w:hAnsi="Times New Roman"/>
          <w:b/>
          <w:lang w:val="en-AU"/>
        </w:rPr>
        <w:t xml:space="preserve"> conducted for </w:t>
      </w:r>
      <w:r>
        <w:rPr>
          <w:rFonts w:ascii="Times New Roman" w:hAnsi="Times New Roman"/>
          <w:b/>
          <w:lang w:val="en-AU"/>
        </w:rPr>
        <w:t>this</w:t>
      </w:r>
      <w:r w:rsidRPr="009C2ADD">
        <w:rPr>
          <w:rFonts w:ascii="Times New Roman" w:hAnsi="Times New Roman"/>
          <w:b/>
          <w:lang w:val="en-AU"/>
        </w:rPr>
        <w:t xml:space="preserve"> species in 2017. Therefore, the stock status descriptions from SC8 for South</w:t>
      </w:r>
      <w:r>
        <w:rPr>
          <w:rFonts w:ascii="Times New Roman" w:hAnsi="Times New Roman"/>
          <w:b/>
          <w:lang w:val="en-AU"/>
        </w:rPr>
        <w:t>west</w:t>
      </w:r>
      <w:r w:rsidRPr="009C2ADD">
        <w:rPr>
          <w:rFonts w:ascii="Times New Roman" w:hAnsi="Times New Roman"/>
          <w:b/>
          <w:lang w:val="en-AU"/>
        </w:rPr>
        <w:t xml:space="preserve"> Pacific striped marlin are still current. Updated information on catches was not compiled for and reviewed by SC13.</w:t>
      </w:r>
    </w:p>
    <w:p w14:paraId="60D29CD3"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0AD74277" w14:textId="77777777" w:rsidR="0014588F" w:rsidRPr="009C2ADD" w:rsidRDefault="0014588F" w:rsidP="0014588F">
      <w:pPr>
        <w:pStyle w:val="ListParagraph"/>
        <w:numPr>
          <w:ilvl w:val="0"/>
          <w:numId w:val="40"/>
        </w:numPr>
        <w:autoSpaceDE w:val="0"/>
        <w:autoSpaceDN w:val="0"/>
        <w:adjustRightInd w:val="0"/>
        <w:snapToGrid w:val="0"/>
        <w:ind w:left="0" w:firstLine="0"/>
        <w:contextualSpacing w:val="0"/>
        <w:rPr>
          <w:rFonts w:ascii="Times New Roman" w:eastAsia="Times New Roman" w:hAnsi="Times New Roman"/>
          <w:b/>
          <w:lang w:eastAsia="ko-KR"/>
        </w:rPr>
      </w:pPr>
      <w:r w:rsidRPr="009C2ADD">
        <w:rPr>
          <w:rFonts w:ascii="Times New Roman" w:eastAsia="Times New Roman" w:hAnsi="Times New Roman"/>
          <w:b/>
          <w:lang w:eastAsia="en-NZ"/>
        </w:rPr>
        <w:t>Management advice and implications</w:t>
      </w:r>
    </w:p>
    <w:p w14:paraId="7F1D93B6" w14:textId="77777777" w:rsidR="0014588F" w:rsidRPr="009C2ADD" w:rsidRDefault="0014588F" w:rsidP="0014588F">
      <w:pPr>
        <w:adjustRightInd w:val="0"/>
        <w:snapToGrid w:val="0"/>
        <w:spacing w:after="0"/>
        <w:ind w:left="720"/>
        <w:rPr>
          <w:rFonts w:ascii="Times New Roman" w:eastAsia="Times New Roman" w:hAnsi="Times New Roman"/>
          <w:b/>
          <w:lang w:eastAsia="en-NZ"/>
        </w:rPr>
      </w:pPr>
    </w:p>
    <w:p w14:paraId="2CB8AE1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since SC8 for South Pacific striped marlin. Therefore, previous advice should be maintained, pending a new assessment or other new information.</w:t>
      </w:r>
    </w:p>
    <w:p w14:paraId="43FAB33E" w14:textId="77777777" w:rsidR="0014588F" w:rsidRPr="009C2ADD" w:rsidRDefault="0014588F" w:rsidP="0014588F">
      <w:pPr>
        <w:adjustRightInd w:val="0"/>
        <w:snapToGrid w:val="0"/>
        <w:spacing w:after="0"/>
        <w:rPr>
          <w:rFonts w:ascii="Times New Roman" w:eastAsia="바탕" w:hAnsi="Times New Roman"/>
          <w:lang w:eastAsia="ko-KR"/>
        </w:rPr>
      </w:pPr>
    </w:p>
    <w:p w14:paraId="03BB2F0A" w14:textId="77777777" w:rsidR="0014588F" w:rsidRPr="009C2ADD" w:rsidRDefault="0014588F" w:rsidP="0014588F">
      <w:pPr>
        <w:pStyle w:val="Heading3"/>
        <w:adjustRightInd w:val="0"/>
        <w:snapToGrid w:val="0"/>
        <w:spacing w:before="0"/>
        <w:rPr>
          <w:rFonts w:ascii="Times New Roman" w:eastAsia="바탕" w:hAnsi="Times New Roman" w:cs="Times New Roman"/>
          <w:lang w:eastAsia="ko-KR"/>
        </w:rPr>
      </w:pPr>
      <w:bookmarkStart w:id="34" w:name="_Toc498688645"/>
      <w:r w:rsidRPr="009C2ADD">
        <w:rPr>
          <w:rFonts w:ascii="Times New Roman" w:eastAsia="바탕" w:hAnsi="Times New Roman" w:cs="Times New Roman"/>
          <w:lang w:eastAsia="ko-KR"/>
        </w:rPr>
        <w:t xml:space="preserve">4.4.3 </w:t>
      </w:r>
      <w:r w:rsidRPr="009C2ADD">
        <w:rPr>
          <w:rFonts w:ascii="Times New Roman" w:eastAsia="바탕" w:hAnsi="Times New Roman" w:cs="Times New Roman"/>
          <w:lang w:eastAsia="ko-KR"/>
        </w:rPr>
        <w:tab/>
        <w:t>North Pacific striped marlin (</w:t>
      </w:r>
      <w:r w:rsidRPr="009C2ADD">
        <w:rPr>
          <w:rFonts w:ascii="Times New Roman" w:eastAsia="바탕" w:hAnsi="Times New Roman" w:cs="Times New Roman"/>
          <w:i/>
          <w:lang w:eastAsia="ko-KR"/>
        </w:rPr>
        <w:t>Kajikia audax</w:t>
      </w:r>
      <w:r w:rsidRPr="009C2ADD">
        <w:rPr>
          <w:rFonts w:ascii="Times New Roman" w:eastAsia="바탕" w:hAnsi="Times New Roman" w:cs="Times New Roman"/>
          <w:lang w:eastAsia="ko-KR"/>
        </w:rPr>
        <w:t>)</w:t>
      </w:r>
      <w:bookmarkEnd w:id="34"/>
    </w:p>
    <w:p w14:paraId="3F083A1F" w14:textId="77777777" w:rsidR="0014588F" w:rsidRPr="009C2ADD" w:rsidRDefault="0014588F" w:rsidP="0014588F">
      <w:pPr>
        <w:adjustRightInd w:val="0"/>
        <w:snapToGrid w:val="0"/>
        <w:spacing w:after="0"/>
        <w:rPr>
          <w:rFonts w:ascii="Times New Roman" w:eastAsia="바탕" w:hAnsi="Times New Roman"/>
          <w:b/>
          <w:bCs/>
          <w:lang w:eastAsia="ko-KR"/>
        </w:rPr>
      </w:pPr>
    </w:p>
    <w:p w14:paraId="117E59B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for North Pacific striped marlin was conducted </w:t>
      </w:r>
      <w:r>
        <w:rPr>
          <w:rFonts w:ascii="Times New Roman" w:hAnsi="Times New Roman"/>
          <w:lang w:val="en-AU"/>
        </w:rPr>
        <w:t>in</w:t>
      </w:r>
      <w:r w:rsidRPr="009C2ADD">
        <w:rPr>
          <w:rFonts w:ascii="Times New Roman" w:hAnsi="Times New Roman"/>
          <w:lang w:val="en-AU"/>
        </w:rPr>
        <w:t xml:space="preserve"> 2015. SC13 received no updated information.</w:t>
      </w:r>
    </w:p>
    <w:p w14:paraId="37443485"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33747E02" w14:textId="77777777" w:rsidR="0014588F" w:rsidRPr="009C2ADD" w:rsidRDefault="0014588F" w:rsidP="0014588F">
      <w:pPr>
        <w:pStyle w:val="ListParagraph"/>
        <w:numPr>
          <w:ilvl w:val="0"/>
          <w:numId w:val="41"/>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Stock status and trends</w:t>
      </w:r>
    </w:p>
    <w:p w14:paraId="1712DC62" w14:textId="77777777" w:rsidR="0014588F" w:rsidRPr="009C2ADD" w:rsidRDefault="0014588F" w:rsidP="0014588F">
      <w:pPr>
        <w:pStyle w:val="ListParagraph"/>
        <w:adjustRightInd w:val="0"/>
        <w:snapToGrid w:val="0"/>
        <w:ind w:firstLine="0"/>
        <w:contextualSpacing w:val="0"/>
        <w:rPr>
          <w:rFonts w:ascii="Times New Roman" w:hAnsi="Times New Roman"/>
          <w:b/>
          <w:lang w:val="en-AU"/>
        </w:rPr>
      </w:pPr>
    </w:p>
    <w:p w14:paraId="499D644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Pr>
          <w:rFonts w:ascii="Times New Roman" w:hAnsi="Times New Roman"/>
          <w:b/>
          <w:lang w:val="en-AU"/>
        </w:rPr>
        <w:t>was</w:t>
      </w:r>
      <w:r w:rsidRPr="009C2ADD">
        <w:rPr>
          <w:rFonts w:ascii="Times New Roman" w:hAnsi="Times New Roman"/>
          <w:b/>
          <w:lang w:val="en-AU"/>
        </w:rPr>
        <w:t xml:space="preserve"> conducted for </w:t>
      </w:r>
      <w:r>
        <w:rPr>
          <w:rFonts w:ascii="Times New Roman" w:hAnsi="Times New Roman"/>
          <w:b/>
          <w:lang w:val="en-AU"/>
        </w:rPr>
        <w:t>this</w:t>
      </w:r>
      <w:r w:rsidRPr="009C2ADD">
        <w:rPr>
          <w:rFonts w:ascii="Times New Roman" w:hAnsi="Times New Roman"/>
          <w:b/>
          <w:lang w:val="en-AU"/>
        </w:rPr>
        <w:t xml:space="preserve"> species in 2017. Therefore, the stock status descriptions from SC11 for North Pacific striped marlin are still current. Updated information on North Pacific striped marlin catches may be available in the ISC Plenary Report, but was not compiled for and reviewed by SC13. </w:t>
      </w:r>
    </w:p>
    <w:p w14:paraId="361CFF57"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117C76A3" w14:textId="77777777" w:rsidR="0014588F" w:rsidRPr="009C2ADD" w:rsidRDefault="0014588F" w:rsidP="0014588F">
      <w:pPr>
        <w:pStyle w:val="ListParagraph"/>
        <w:numPr>
          <w:ilvl w:val="0"/>
          <w:numId w:val="41"/>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Management advice and implications</w:t>
      </w:r>
    </w:p>
    <w:p w14:paraId="6EE0105F" w14:textId="77777777" w:rsidR="0014588F" w:rsidRPr="009C2ADD" w:rsidRDefault="0014588F" w:rsidP="0014588F">
      <w:pPr>
        <w:pStyle w:val="ListParagraph"/>
        <w:adjustRightInd w:val="0"/>
        <w:snapToGrid w:val="0"/>
        <w:ind w:firstLine="0"/>
        <w:contextualSpacing w:val="0"/>
        <w:rPr>
          <w:rFonts w:ascii="Times New Roman" w:hAnsi="Times New Roman"/>
          <w:b/>
          <w:lang w:val="en-AU"/>
        </w:rPr>
      </w:pPr>
    </w:p>
    <w:p w14:paraId="24E0FF7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conservation advice has been provided since SC11 for North Pacific striped marlin. Therefore, previous advice should be maintained, pending a new assessment or other new information.</w:t>
      </w:r>
    </w:p>
    <w:p w14:paraId="66B4D10A"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1C46CE9" w14:textId="77777777" w:rsidR="0014588F" w:rsidRPr="009C2ADD" w:rsidRDefault="0014588F" w:rsidP="0014588F">
      <w:pPr>
        <w:pStyle w:val="Heading3"/>
        <w:adjustRightInd w:val="0"/>
        <w:snapToGrid w:val="0"/>
        <w:spacing w:before="0"/>
        <w:rPr>
          <w:rFonts w:ascii="Times New Roman" w:eastAsia="바탕" w:hAnsi="Times New Roman" w:cs="Times New Roman"/>
          <w:bCs/>
          <w:lang w:eastAsia="ko-KR"/>
        </w:rPr>
      </w:pPr>
      <w:bookmarkStart w:id="35" w:name="_Toc498688646"/>
      <w:r w:rsidRPr="009C2ADD">
        <w:rPr>
          <w:rFonts w:ascii="Times New Roman" w:eastAsia="바탕" w:hAnsi="Times New Roman" w:cs="Times New Roman"/>
          <w:bCs/>
          <w:lang w:eastAsia="ko-KR"/>
        </w:rPr>
        <w:t xml:space="preserve">4.4.4 </w:t>
      </w:r>
      <w:r w:rsidRPr="009C2ADD">
        <w:rPr>
          <w:rFonts w:ascii="Times New Roman" w:eastAsia="바탕" w:hAnsi="Times New Roman" w:cs="Times New Roman"/>
          <w:bCs/>
          <w:lang w:eastAsia="ko-KR"/>
        </w:rPr>
        <w:tab/>
        <w:t>Pacific blue marlin (</w:t>
      </w:r>
      <w:r w:rsidRPr="00464B7F">
        <w:rPr>
          <w:rFonts w:ascii="Times New Roman" w:eastAsia="바탕" w:hAnsi="Times New Roman" w:cs="Times New Roman"/>
          <w:bCs/>
          <w:i/>
          <w:lang w:eastAsia="ko-KR"/>
        </w:rPr>
        <w:t>Makaira nigricans</w:t>
      </w:r>
      <w:r w:rsidRPr="009C2ADD">
        <w:rPr>
          <w:rFonts w:ascii="Times New Roman" w:eastAsia="바탕" w:hAnsi="Times New Roman" w:cs="Times New Roman"/>
          <w:bCs/>
          <w:lang w:eastAsia="ko-KR"/>
        </w:rPr>
        <w:t>)</w:t>
      </w:r>
      <w:bookmarkEnd w:id="35"/>
    </w:p>
    <w:p w14:paraId="2792FF49" w14:textId="77777777" w:rsidR="0014588F" w:rsidRPr="009C2ADD" w:rsidRDefault="0014588F" w:rsidP="0014588F">
      <w:pPr>
        <w:adjustRightInd w:val="0"/>
        <w:snapToGrid w:val="0"/>
        <w:spacing w:after="0"/>
        <w:rPr>
          <w:rFonts w:ascii="Times New Roman" w:eastAsia="바탕" w:hAnsi="Times New Roman"/>
          <w:b/>
          <w:bCs/>
          <w:lang w:eastAsia="ko-KR"/>
        </w:rPr>
      </w:pPr>
    </w:p>
    <w:p w14:paraId="75DC1AC6" w14:textId="77777777" w:rsidR="0014588F" w:rsidRPr="009C2ADD" w:rsidRDefault="0014588F" w:rsidP="0014588F">
      <w:pPr>
        <w:pStyle w:val="WCPFC"/>
        <w:adjustRightInd w:val="0"/>
        <w:spacing w:after="0"/>
        <w:ind w:left="0" w:firstLine="0"/>
        <w:rPr>
          <w:lang w:val="en-AU"/>
        </w:rPr>
      </w:pPr>
      <w:r w:rsidRPr="009C2ADD">
        <w:rPr>
          <w:lang w:val="en-AU"/>
        </w:rPr>
        <w:t>The last stock assessment on Pacific blue marlin was conducted by ISC in 2016. No new information was provided to SC13.</w:t>
      </w:r>
    </w:p>
    <w:p w14:paraId="17FC2208" w14:textId="77777777" w:rsidR="0014588F" w:rsidRPr="009C2ADD" w:rsidRDefault="0014588F" w:rsidP="0014588F">
      <w:pPr>
        <w:pStyle w:val="WCPFC"/>
        <w:numPr>
          <w:ilvl w:val="0"/>
          <w:numId w:val="0"/>
        </w:numPr>
        <w:adjustRightInd w:val="0"/>
        <w:spacing w:after="0"/>
        <w:ind w:left="567"/>
        <w:rPr>
          <w:lang w:val="en-AU"/>
        </w:rPr>
      </w:pPr>
    </w:p>
    <w:p w14:paraId="4D7116B3" w14:textId="77777777" w:rsidR="0014588F" w:rsidRPr="009C2ADD" w:rsidRDefault="0014588F" w:rsidP="0014588F">
      <w:pPr>
        <w:pStyle w:val="ListParagraph"/>
        <w:numPr>
          <w:ilvl w:val="0"/>
          <w:numId w:val="42"/>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Stock status and trends</w:t>
      </w:r>
    </w:p>
    <w:p w14:paraId="0680A5DA" w14:textId="77777777" w:rsidR="0014588F" w:rsidRPr="009C2ADD" w:rsidRDefault="0014588F" w:rsidP="0014588F">
      <w:pPr>
        <w:adjustRightInd w:val="0"/>
        <w:snapToGrid w:val="0"/>
        <w:spacing w:after="0"/>
        <w:outlineLvl w:val="6"/>
        <w:rPr>
          <w:rFonts w:ascii="Times New Roman" w:eastAsia="Times New Roman" w:hAnsi="Times New Roman"/>
          <w:b/>
          <w:lang w:eastAsia="en-NZ"/>
        </w:rPr>
      </w:pPr>
    </w:p>
    <w:p w14:paraId="106740FD"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Pr>
          <w:rFonts w:ascii="Times New Roman" w:hAnsi="Times New Roman"/>
          <w:b/>
          <w:lang w:val="en-AU"/>
        </w:rPr>
        <w:t>was</w:t>
      </w:r>
      <w:r w:rsidRPr="009C2ADD">
        <w:rPr>
          <w:rFonts w:ascii="Times New Roman" w:hAnsi="Times New Roman"/>
          <w:b/>
          <w:lang w:val="en-AU"/>
        </w:rPr>
        <w:t xml:space="preserve"> conducted for </w:t>
      </w:r>
      <w:r>
        <w:rPr>
          <w:rFonts w:ascii="Times New Roman" w:hAnsi="Times New Roman"/>
          <w:b/>
          <w:lang w:val="en-AU"/>
        </w:rPr>
        <w:t>this</w:t>
      </w:r>
      <w:r w:rsidRPr="009C2ADD">
        <w:rPr>
          <w:rFonts w:ascii="Times New Roman" w:hAnsi="Times New Roman"/>
          <w:b/>
          <w:lang w:val="en-AU"/>
        </w:rPr>
        <w:t xml:space="preserve"> species in 2017. Therefore, the stock status descriptions from SC12 for Pacific blue marlin are still current. Updated information on Pacific blue marlin catches may be available in the ISC Plenary Report, but was not compiled for and reviewed by SC13.</w:t>
      </w:r>
    </w:p>
    <w:p w14:paraId="6434E481" w14:textId="77777777" w:rsidR="0014588F" w:rsidRPr="009C2ADD" w:rsidRDefault="0014588F" w:rsidP="0014588F">
      <w:pPr>
        <w:adjustRightInd w:val="0"/>
        <w:snapToGrid w:val="0"/>
        <w:spacing w:after="0"/>
        <w:ind w:left="440"/>
        <w:rPr>
          <w:rFonts w:ascii="Times New Roman" w:eastAsia="Times New Roman" w:hAnsi="Times New Roman"/>
          <w:lang w:eastAsia="en-NZ"/>
        </w:rPr>
      </w:pPr>
    </w:p>
    <w:p w14:paraId="5C2F0459" w14:textId="77777777" w:rsidR="0014588F" w:rsidRPr="009C2ADD" w:rsidRDefault="0014588F" w:rsidP="0014588F">
      <w:pPr>
        <w:pStyle w:val="ListParagraph"/>
        <w:numPr>
          <w:ilvl w:val="0"/>
          <w:numId w:val="42"/>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Management advice and implications</w:t>
      </w:r>
    </w:p>
    <w:p w14:paraId="12C6C238" w14:textId="77777777" w:rsidR="0014588F" w:rsidRPr="009C2ADD" w:rsidRDefault="0014588F" w:rsidP="0014588F">
      <w:pPr>
        <w:adjustRightInd w:val="0"/>
        <w:snapToGrid w:val="0"/>
        <w:spacing w:after="0"/>
        <w:rPr>
          <w:rFonts w:ascii="Times New Roman" w:eastAsia="Times New Roman" w:hAnsi="Times New Roman"/>
          <w:b/>
          <w:lang w:eastAsia="en-NZ"/>
        </w:rPr>
      </w:pPr>
    </w:p>
    <w:p w14:paraId="6E15A9C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conservation advice has been provided since SC12 for Pacific blue marlin. Therefore, previous advice should be maintained, pending a new assessment or other new information.</w:t>
      </w:r>
    </w:p>
    <w:p w14:paraId="501FCD93" w14:textId="77777777" w:rsidR="0014588F" w:rsidRPr="009C2ADD" w:rsidRDefault="0014588F" w:rsidP="0014588F">
      <w:pPr>
        <w:adjustRightInd w:val="0"/>
        <w:snapToGrid w:val="0"/>
        <w:spacing w:after="0"/>
        <w:ind w:left="720"/>
        <w:rPr>
          <w:rFonts w:ascii="Times New Roman" w:eastAsia="Times New Roman" w:hAnsi="Times New Roman"/>
          <w:lang w:eastAsia="ko-KR"/>
        </w:rPr>
      </w:pPr>
    </w:p>
    <w:p w14:paraId="6F1E71C4" w14:textId="77777777" w:rsidR="0014588F" w:rsidRPr="009C2ADD" w:rsidRDefault="0014588F" w:rsidP="0014588F">
      <w:pPr>
        <w:adjustRightInd w:val="0"/>
        <w:snapToGrid w:val="0"/>
        <w:spacing w:after="0"/>
        <w:rPr>
          <w:rFonts w:ascii="Times New Roman" w:eastAsia="MS Mincho" w:hAnsi="Times New Roman"/>
          <w:lang w:eastAsia="ko-KR"/>
        </w:rPr>
      </w:pPr>
    </w:p>
    <w:p w14:paraId="7DFF6595" w14:textId="77777777" w:rsidR="0014588F" w:rsidRPr="009C2ADD" w:rsidRDefault="0014588F" w:rsidP="0014588F">
      <w:pPr>
        <w:pStyle w:val="Heading1"/>
        <w:adjustRightInd w:val="0"/>
        <w:snapToGrid w:val="0"/>
        <w:rPr>
          <w:rFonts w:ascii="Times New Roman" w:hAnsi="Times New Roman"/>
          <w:sz w:val="22"/>
          <w:szCs w:val="22"/>
        </w:rPr>
      </w:pPr>
      <w:bookmarkStart w:id="36" w:name="_Toc498688647"/>
      <w:r w:rsidRPr="009C2ADD">
        <w:rPr>
          <w:rFonts w:ascii="Times New Roman" w:hAnsi="Times New Roman"/>
          <w:sz w:val="22"/>
          <w:szCs w:val="22"/>
        </w:rPr>
        <w:t>AGENDA ITEM 5 - Management Issues Theme</w:t>
      </w:r>
      <w:bookmarkEnd w:id="36"/>
    </w:p>
    <w:p w14:paraId="49E90F39" w14:textId="77777777" w:rsidR="0014588F" w:rsidRPr="009C2ADD" w:rsidRDefault="0014588F" w:rsidP="0014588F">
      <w:pPr>
        <w:adjustRightInd w:val="0"/>
        <w:snapToGrid w:val="0"/>
        <w:spacing w:after="0"/>
        <w:jc w:val="center"/>
        <w:rPr>
          <w:rFonts w:ascii="Times New Roman" w:hAnsi="Times New Roman"/>
          <w:lang w:val="en-AU"/>
        </w:rPr>
      </w:pPr>
    </w:p>
    <w:p w14:paraId="0CF9CE8F" w14:textId="77777777" w:rsidR="0014588F" w:rsidRPr="009C2ADD" w:rsidRDefault="0014588F" w:rsidP="0014588F">
      <w:pPr>
        <w:adjustRightInd w:val="0"/>
        <w:snapToGrid w:val="0"/>
        <w:spacing w:after="0"/>
        <w:jc w:val="center"/>
        <w:rPr>
          <w:rFonts w:ascii="Times New Roman" w:hAnsi="Times New Roman"/>
          <w:lang w:val="en-AU"/>
        </w:rPr>
      </w:pPr>
    </w:p>
    <w:p w14:paraId="6675F70C" w14:textId="77777777" w:rsidR="0014588F" w:rsidRPr="009C2ADD" w:rsidRDefault="0014588F" w:rsidP="0014588F">
      <w:pPr>
        <w:pStyle w:val="Heading2"/>
        <w:adjustRightInd w:val="0"/>
        <w:snapToGrid w:val="0"/>
        <w:rPr>
          <w:color w:val="auto"/>
          <w:szCs w:val="22"/>
        </w:rPr>
      </w:pPr>
      <w:bookmarkStart w:id="37" w:name="_Toc498688648"/>
      <w:r w:rsidRPr="009C2ADD">
        <w:rPr>
          <w:color w:val="auto"/>
          <w:szCs w:val="22"/>
        </w:rPr>
        <w:t xml:space="preserve">5.1 </w:t>
      </w:r>
      <w:r w:rsidRPr="009C2ADD">
        <w:rPr>
          <w:color w:val="auto"/>
          <w:szCs w:val="22"/>
        </w:rPr>
        <w:tab/>
        <w:t>Development of harvest strategy framework</w:t>
      </w:r>
      <w:bookmarkEnd w:id="37"/>
    </w:p>
    <w:p w14:paraId="569382EA" w14:textId="77777777" w:rsidR="0014588F" w:rsidRPr="009C2ADD" w:rsidRDefault="0014588F" w:rsidP="0014588F">
      <w:pPr>
        <w:adjustRightInd w:val="0"/>
        <w:snapToGrid w:val="0"/>
        <w:spacing w:after="0"/>
        <w:rPr>
          <w:rFonts w:ascii="Times New Roman" w:hAnsi="Times New Roman"/>
          <w:lang w:eastAsia="ja-JP"/>
        </w:rPr>
      </w:pPr>
    </w:p>
    <w:p w14:paraId="74123900" w14:textId="209EF3DC" w:rsidR="0014588F" w:rsidRPr="009C2ADD" w:rsidRDefault="0014588F" w:rsidP="0014588F">
      <w:pPr>
        <w:pStyle w:val="Heading3"/>
        <w:adjustRightInd w:val="0"/>
        <w:snapToGrid w:val="0"/>
        <w:spacing w:before="0"/>
        <w:rPr>
          <w:rFonts w:ascii="Times New Roman" w:hAnsi="Times New Roman" w:cs="Times New Roman"/>
          <w:lang w:val="en-AU" w:eastAsia="ko-KR"/>
        </w:rPr>
      </w:pPr>
      <w:bookmarkStart w:id="38" w:name="_Toc498688649"/>
      <w:r w:rsidRPr="009C2ADD">
        <w:rPr>
          <w:rFonts w:ascii="Times New Roman" w:hAnsi="Times New Roman" w:cs="Times New Roman"/>
          <w:lang w:val="en-AU"/>
        </w:rPr>
        <w:t xml:space="preserve">5.1.1 </w:t>
      </w:r>
      <w:r w:rsidRPr="009C2ADD">
        <w:rPr>
          <w:rFonts w:ascii="Times New Roman" w:hAnsi="Times New Roman" w:cs="Times New Roman"/>
          <w:lang w:val="en-AU"/>
        </w:rPr>
        <w:tab/>
        <w:t>Reference points</w:t>
      </w:r>
      <w:r w:rsidR="007F2B46">
        <w:rPr>
          <w:rFonts w:ascii="Times New Roman" w:hAnsi="Times New Roman" w:cs="Times New Roman" w:hint="eastAsia"/>
          <w:lang w:val="en-AU" w:eastAsia="ko-KR"/>
        </w:rPr>
        <w:t xml:space="preserve"> (South Pacific albacore)</w:t>
      </w:r>
      <w:bookmarkEnd w:id="38"/>
    </w:p>
    <w:p w14:paraId="7A21A7B6" w14:textId="77777777" w:rsidR="0014588F" w:rsidRPr="009C2ADD" w:rsidRDefault="0014588F" w:rsidP="0014588F">
      <w:pPr>
        <w:adjustRightInd w:val="0"/>
        <w:snapToGrid w:val="0"/>
        <w:spacing w:after="0"/>
        <w:rPr>
          <w:rFonts w:ascii="Times New Roman" w:hAnsi="Times New Roman"/>
          <w:lang w:val="en-AU"/>
        </w:rPr>
      </w:pPr>
    </w:p>
    <w:p w14:paraId="74E34AF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information related to the implications of a range of candidate target reference points for south Pacific albacore (SC13-MI-WP-01) and provided a number of suggestions to clarify aspects of the paper before a revised version is forwarded to WCPFC14. Noting that WCPFC13 agreed to defer the possible adoption of an interim target reference point for the South Pacific albacore stock, which had originally been agreed to take place in 2015 under the Harvest Strategy Work Plan, until December 2017 at the latest (para. 314 WCPFC13 Summary Report), SC13 encourages CCMs to describe their objectives for the fishery and recommends that WCPFC14 note the biological and economic consequences of the options modelled in this paper. In particular, SC13 draws the attention of WCPFC14 to the Limit Reference Point (LRP) already adopted by the Commission for south Pacific albacore and the need to identify a TRP which maintains the stock well above this limit, while noting that following the last assessment (SC11-SA-WP-06) the LRP is above SB</w:t>
      </w:r>
      <w:r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4EBF55B2"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1D476C73" w14:textId="77777777" w:rsidR="0014588F" w:rsidRPr="009C2ADD" w:rsidRDefault="0014588F" w:rsidP="0014588F">
      <w:pPr>
        <w:pStyle w:val="Heading3"/>
        <w:adjustRightInd w:val="0"/>
        <w:snapToGrid w:val="0"/>
        <w:spacing w:before="0"/>
        <w:rPr>
          <w:rFonts w:ascii="Times New Roman" w:hAnsi="Times New Roman" w:cs="Times New Roman"/>
          <w:lang w:val="en-AU"/>
        </w:rPr>
      </w:pPr>
      <w:bookmarkStart w:id="39" w:name="_Toc498688650"/>
      <w:r w:rsidRPr="009C2ADD">
        <w:rPr>
          <w:rFonts w:ascii="Times New Roman" w:hAnsi="Times New Roman" w:cs="Times New Roman"/>
          <w:lang w:val="en-AU"/>
        </w:rPr>
        <w:t xml:space="preserve">5.1.2 </w:t>
      </w:r>
      <w:r w:rsidRPr="009C2ADD">
        <w:rPr>
          <w:rFonts w:ascii="Times New Roman" w:hAnsi="Times New Roman" w:cs="Times New Roman"/>
          <w:lang w:val="en-AU"/>
        </w:rPr>
        <w:tab/>
        <w:t>Performance indicators and monitoring strategies</w:t>
      </w:r>
      <w:bookmarkEnd w:id="39"/>
    </w:p>
    <w:p w14:paraId="58184900" w14:textId="77777777" w:rsidR="0014588F" w:rsidRPr="009C2ADD" w:rsidRDefault="0014588F" w:rsidP="0014588F">
      <w:pPr>
        <w:adjustRightInd w:val="0"/>
        <w:snapToGrid w:val="0"/>
        <w:spacing w:after="0"/>
        <w:rPr>
          <w:rFonts w:ascii="Times New Roman" w:hAnsi="Times New Roman"/>
          <w:lang w:val="en-AU"/>
        </w:rPr>
      </w:pPr>
    </w:p>
    <w:p w14:paraId="36B55AF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As requested by the Harvest Strategies Workplan (Attachment N, WCPFC13 Summary Report) and the Small Working Group on Management Objectives at WCPFC13, SC13 reviewed candidate performance indicators and monitoring strategies for i) South Pacific albacore commensurate with candidate management objectives for the Southern Longline Fishery (SC13-MI-WP-02) and ii) </w:t>
      </w:r>
      <w:r>
        <w:rPr>
          <w:rFonts w:ascii="Times New Roman" w:hAnsi="Times New Roman"/>
          <w:b/>
          <w:lang w:val="en-AU"/>
        </w:rPr>
        <w:t>b</w:t>
      </w:r>
      <w:r w:rsidRPr="009C2ADD">
        <w:rPr>
          <w:rFonts w:ascii="Times New Roman" w:hAnsi="Times New Roman"/>
          <w:b/>
          <w:lang w:val="en-AU"/>
        </w:rPr>
        <w:t xml:space="preserve">igeye and </w:t>
      </w:r>
      <w:r>
        <w:rPr>
          <w:rFonts w:ascii="Times New Roman" w:hAnsi="Times New Roman"/>
          <w:b/>
          <w:lang w:val="en-AU"/>
        </w:rPr>
        <w:t>y</w:t>
      </w:r>
      <w:r w:rsidRPr="009C2ADD">
        <w:rPr>
          <w:rFonts w:ascii="Times New Roman" w:hAnsi="Times New Roman"/>
          <w:b/>
          <w:lang w:val="en-AU"/>
        </w:rPr>
        <w:t xml:space="preserve">ellowfin </w:t>
      </w:r>
      <w:r>
        <w:rPr>
          <w:rFonts w:ascii="Times New Roman" w:hAnsi="Times New Roman"/>
          <w:b/>
          <w:lang w:val="en-AU"/>
        </w:rPr>
        <w:t>t</w:t>
      </w:r>
      <w:r w:rsidRPr="009C2ADD">
        <w:rPr>
          <w:rFonts w:ascii="Times New Roman" w:hAnsi="Times New Roman"/>
          <w:b/>
          <w:lang w:val="en-AU"/>
        </w:rPr>
        <w:t>una commensurate with candidate management objectives for the Tropical Longline Fishery (SC13-MI-WP-03). SC13 provided a number of suggestions to clarify, and update as appropriate, aspects of these papers and requested that revised versions of both be forwarded to WCPFC14. In reviewing these papers SC13 noted that while the number of key performance indicators should be kept to a tractable level as they will influence the Management Strategy Evaluation (MSE) modelling framework currently being developed, they should also be sufficient to monitor the key long-term management objectives for these fisheries. It was also noted that the list of indicators and monitoring strategies can be reviewed throughout the current MSE work. SC13 recommends that WCPFC14 note the candidate performance indicators and monitoring strategies for each of these fisheries as listed in these revised papers, and provide advice on what performance indicators and monitoring strategies should be included for the development of harvest strategies under CMM 2014-06.</w:t>
      </w:r>
    </w:p>
    <w:p w14:paraId="666EB680" w14:textId="77777777" w:rsidR="0014588F" w:rsidRPr="009C2ADD" w:rsidRDefault="0014588F" w:rsidP="0014588F">
      <w:pPr>
        <w:adjustRightInd w:val="0"/>
        <w:snapToGrid w:val="0"/>
        <w:spacing w:after="0"/>
        <w:rPr>
          <w:rFonts w:ascii="Times New Roman" w:hAnsi="Times New Roman"/>
          <w:lang w:val="en-AU"/>
        </w:rPr>
      </w:pPr>
    </w:p>
    <w:p w14:paraId="405C3C5E" w14:textId="77777777" w:rsidR="0014588F" w:rsidRPr="009C2ADD" w:rsidRDefault="0014588F" w:rsidP="0014588F">
      <w:pPr>
        <w:pStyle w:val="Heading3"/>
        <w:adjustRightInd w:val="0"/>
        <w:snapToGrid w:val="0"/>
        <w:spacing w:before="0"/>
        <w:rPr>
          <w:rFonts w:ascii="Times New Roman" w:hAnsi="Times New Roman" w:cs="Times New Roman"/>
          <w:lang w:val="en-AU"/>
        </w:rPr>
      </w:pPr>
      <w:bookmarkStart w:id="40" w:name="_Toc498688651"/>
      <w:r w:rsidRPr="009C2ADD">
        <w:rPr>
          <w:rFonts w:ascii="Times New Roman" w:hAnsi="Times New Roman" w:cs="Times New Roman"/>
          <w:lang w:val="en-AU"/>
        </w:rPr>
        <w:t xml:space="preserve">5.1.3 </w:t>
      </w:r>
      <w:r w:rsidRPr="009C2ADD">
        <w:rPr>
          <w:rFonts w:ascii="Times New Roman" w:hAnsi="Times New Roman" w:cs="Times New Roman"/>
          <w:lang w:val="en-AU"/>
        </w:rPr>
        <w:tab/>
        <w:t xml:space="preserve">Harvest control rules and </w:t>
      </w:r>
      <w:r w:rsidRPr="009C2ADD">
        <w:rPr>
          <w:rFonts w:ascii="Times New Roman" w:hAnsi="Times New Roman" w:cs="Times New Roman"/>
          <w:lang w:val="en-AU" w:eastAsia="ko-KR"/>
        </w:rPr>
        <w:t>m</w:t>
      </w:r>
      <w:r w:rsidRPr="009C2ADD">
        <w:rPr>
          <w:rFonts w:ascii="Times New Roman" w:hAnsi="Times New Roman" w:cs="Times New Roman"/>
          <w:lang w:val="en-AU"/>
        </w:rPr>
        <w:t xml:space="preserve">anagement </w:t>
      </w:r>
      <w:r w:rsidRPr="009C2ADD">
        <w:rPr>
          <w:rFonts w:ascii="Times New Roman" w:hAnsi="Times New Roman" w:cs="Times New Roman"/>
          <w:lang w:val="en-AU" w:eastAsia="ko-KR"/>
        </w:rPr>
        <w:t>s</w:t>
      </w:r>
      <w:r w:rsidRPr="009C2ADD">
        <w:rPr>
          <w:rFonts w:ascii="Times New Roman" w:hAnsi="Times New Roman" w:cs="Times New Roman"/>
          <w:lang w:val="en-AU"/>
        </w:rPr>
        <w:t xml:space="preserve">trategy </w:t>
      </w:r>
      <w:r w:rsidRPr="009C2ADD">
        <w:rPr>
          <w:rFonts w:ascii="Times New Roman" w:hAnsi="Times New Roman" w:cs="Times New Roman"/>
          <w:lang w:val="en-AU" w:eastAsia="ko-KR"/>
        </w:rPr>
        <w:t>e</w:t>
      </w:r>
      <w:r w:rsidRPr="009C2ADD">
        <w:rPr>
          <w:rFonts w:ascii="Times New Roman" w:hAnsi="Times New Roman" w:cs="Times New Roman"/>
          <w:lang w:val="en-AU"/>
        </w:rPr>
        <w:t>valuation</w:t>
      </w:r>
      <w:bookmarkEnd w:id="40"/>
    </w:p>
    <w:p w14:paraId="2D84C342" w14:textId="77777777" w:rsidR="0014588F" w:rsidRPr="009C2ADD" w:rsidRDefault="0014588F" w:rsidP="0014588F">
      <w:pPr>
        <w:pStyle w:val="Heading3"/>
        <w:adjustRightInd w:val="0"/>
        <w:snapToGrid w:val="0"/>
        <w:spacing w:before="0"/>
        <w:rPr>
          <w:rFonts w:ascii="Times New Roman" w:hAnsi="Times New Roman" w:cs="Times New Roman"/>
          <w:lang w:val="en-AU"/>
        </w:rPr>
      </w:pPr>
      <w:r w:rsidRPr="009C2ADD">
        <w:rPr>
          <w:rFonts w:ascii="Times New Roman" w:hAnsi="Times New Roman" w:cs="Times New Roman"/>
          <w:lang w:val="en-AU"/>
        </w:rPr>
        <w:t xml:space="preserve"> </w:t>
      </w:r>
    </w:p>
    <w:p w14:paraId="59437E0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WCPFC12 had adopted a work-plan for the adoption of Harvest Strategies under CMM 2014-06 and that the development of Harvest Control Rules and Management Strategy Evaluation frameworks had commenced in 2016 and is scheduled to continue through until 2018. SC13 noted the importance of this ongoing work and reviewed the progress outlined in SC13-MI-WP-04. Noting that the initial focus of this work has been on WCPO skipjack, and that other stocks and fisheries will need to be considered as the work proceeds, SC13 provided feedback on the work undertaken to date and made a number of suggestions to help progress this work over the next year. SC13 also noted that additional resources (based on funding provided by New Zealand) are being provided to help expedite this work and appreciated the support for workshops and consultations to improve the capacity of fishery managers to become meaningfully engaged in the development of management strategy evaluation frameworks. SC13 recommends that WCPFC14 note the approach being taken to develop an MSE framework for WCPFC stocks and fisheries, noting that the results presented in this progress report are preliminary and that development of the framework is ongoing with the expectation that preliminary results would possibly be provided in 2018. SC13 also noted that:</w:t>
      </w:r>
    </w:p>
    <w:p w14:paraId="0D470EEB" w14:textId="77777777" w:rsidR="0014588F" w:rsidRPr="009C2ADD" w:rsidRDefault="0014588F" w:rsidP="0014588F">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importance of ongoing stakeholder involvement and consultation in this work (e.g. via in-country stakeholder engagement with the Scientific Service Provider and/or through a higher-level meeting or workshop for broader stakeholder engagement) and recommends that WCPFC1</w:t>
      </w:r>
      <w:r>
        <w:rPr>
          <w:rFonts w:ascii="Times New Roman" w:hAnsi="Times New Roman" w:hint="eastAsia"/>
          <w:b/>
          <w:lang w:val="en-AU" w:eastAsia="ko-KR"/>
        </w:rPr>
        <w:t>4</w:t>
      </w:r>
      <w:r w:rsidRPr="009C2ADD">
        <w:rPr>
          <w:rFonts w:ascii="Times New Roman" w:hAnsi="Times New Roman"/>
          <w:b/>
          <w:lang w:val="en-AU"/>
        </w:rPr>
        <w:t xml:space="preserve"> explore mechanisms and options for facilitating and funding these arrangements. </w:t>
      </w:r>
    </w:p>
    <w:p w14:paraId="7A13F335" w14:textId="77777777" w:rsidR="0014588F" w:rsidRPr="009C2ADD" w:rsidRDefault="0014588F" w:rsidP="0014588F">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harvest strategy work needs to be integrated into the work of the Commission and given a greater priority.</w:t>
      </w:r>
    </w:p>
    <w:p w14:paraId="6A662E0A" w14:textId="77777777" w:rsidR="0014588F" w:rsidRPr="009C2ADD" w:rsidRDefault="0014588F" w:rsidP="0014588F">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concerns of some CCMs about the discontinuation of the management objectives workshop process.</w:t>
      </w:r>
    </w:p>
    <w:p w14:paraId="6D012426" w14:textId="77777777" w:rsidR="0014588F" w:rsidRPr="009C2ADD" w:rsidRDefault="0014588F" w:rsidP="0014588F">
      <w:pPr>
        <w:adjustRightInd w:val="0"/>
        <w:snapToGrid w:val="0"/>
        <w:spacing w:after="0"/>
        <w:rPr>
          <w:rFonts w:ascii="Times New Roman" w:hAnsi="Times New Roman"/>
          <w:lang w:val="en-AU"/>
        </w:rPr>
      </w:pPr>
    </w:p>
    <w:p w14:paraId="5FD4C2EF" w14:textId="77777777" w:rsidR="0014588F" w:rsidRPr="009C2ADD" w:rsidRDefault="0014588F" w:rsidP="0014588F">
      <w:pPr>
        <w:pStyle w:val="Heading2"/>
        <w:adjustRightInd w:val="0"/>
        <w:snapToGrid w:val="0"/>
        <w:rPr>
          <w:color w:val="auto"/>
          <w:szCs w:val="22"/>
          <w:lang w:val="en-AU"/>
        </w:rPr>
      </w:pPr>
      <w:bookmarkStart w:id="41" w:name="_Toc498688652"/>
      <w:r w:rsidRPr="009C2ADD">
        <w:rPr>
          <w:color w:val="auto"/>
          <w:szCs w:val="22"/>
          <w:lang w:val="en-AU"/>
        </w:rPr>
        <w:t>5.2 Management issues related to FADs</w:t>
      </w:r>
      <w:bookmarkEnd w:id="41"/>
    </w:p>
    <w:p w14:paraId="004731B4"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464A88ED" w14:textId="77777777" w:rsidR="0014588F" w:rsidRPr="009C2ADD" w:rsidRDefault="0014588F" w:rsidP="0014588F">
      <w:pPr>
        <w:autoSpaceDE w:val="0"/>
        <w:autoSpaceDN w:val="0"/>
        <w:adjustRightInd w:val="0"/>
        <w:snapToGrid w:val="0"/>
        <w:spacing w:after="0"/>
        <w:rPr>
          <w:rFonts w:ascii="Times New Roman" w:hAnsi="Times New Roman"/>
          <w:b/>
          <w:lang w:val="en-AU" w:eastAsia="ko-KR"/>
        </w:rPr>
      </w:pPr>
      <w:r w:rsidRPr="009C2ADD">
        <w:rPr>
          <w:rFonts w:ascii="Times New Roman" w:hAnsi="Times New Roman"/>
          <w:b/>
          <w:lang w:val="en-AU" w:eastAsia="ko-KR"/>
        </w:rPr>
        <w:t xml:space="preserve">5.2.1 </w:t>
      </w:r>
      <w:r w:rsidRPr="009C2ADD">
        <w:rPr>
          <w:rFonts w:ascii="Times New Roman" w:hAnsi="Times New Roman"/>
          <w:b/>
          <w:lang w:val="en-AU" w:eastAsia="ko-KR"/>
        </w:rPr>
        <w:tab/>
        <w:t>FAD tracking</w:t>
      </w:r>
    </w:p>
    <w:p w14:paraId="3473D154" w14:textId="77777777" w:rsidR="0014588F" w:rsidRPr="009C2ADD" w:rsidRDefault="0014588F" w:rsidP="0014588F">
      <w:pPr>
        <w:pStyle w:val="Heading3"/>
        <w:adjustRightInd w:val="0"/>
        <w:snapToGrid w:val="0"/>
        <w:spacing w:before="0"/>
        <w:rPr>
          <w:rFonts w:ascii="Times New Roman" w:hAnsi="Times New Roman" w:cs="Times New Roman"/>
          <w:lang w:val="en-AU"/>
        </w:rPr>
      </w:pPr>
    </w:p>
    <w:p w14:paraId="5A325496"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preliminary data analyses from the PNA’s FAD tracking programme, investigating research areas such as FAD densities in time and space, beaching events, dynamics around the WCPO FAD closure and some initial FAD life-history information (SC13-MI-WP-05). While acknowledging the confidentiality associated with FAD-tracking data, SC13 was supportive of these new data being made available to the Scientific Services Provider for analysis, and noting the scope for further analyses and the importance of complete FAD tracking data to support these analyses, encouraged additional data being made available by fishing companies to continue this research. SC13 also noted the importance of FAD marking and monitoring to better identify and follow individual FADs required to facilitate this research, and the on-going WCPFC considerations on FAD marking and monitoring. SC13 recommends that WCPFC14 note these preliminary analyses and identify mechanisms to help facilitate further analyses, if the Commission requires improved information for decision-making on this subject.</w:t>
      </w:r>
    </w:p>
    <w:p w14:paraId="57E3ECDC" w14:textId="77777777" w:rsidR="0014588F" w:rsidRPr="009C2ADD" w:rsidRDefault="0014588F" w:rsidP="0014588F">
      <w:pPr>
        <w:autoSpaceDE w:val="0"/>
        <w:autoSpaceDN w:val="0"/>
        <w:adjustRightInd w:val="0"/>
        <w:snapToGrid w:val="0"/>
        <w:spacing w:after="0"/>
        <w:rPr>
          <w:rFonts w:ascii="Times New Roman" w:hAnsi="Times New Roman"/>
          <w:b/>
          <w:lang w:val="en-AU" w:eastAsia="ko-KR"/>
        </w:rPr>
      </w:pPr>
    </w:p>
    <w:p w14:paraId="5E02A31D" w14:textId="77777777" w:rsidR="0014588F" w:rsidRPr="009C2ADD" w:rsidRDefault="0014588F" w:rsidP="0014588F">
      <w:pPr>
        <w:autoSpaceDE w:val="0"/>
        <w:autoSpaceDN w:val="0"/>
        <w:adjustRightInd w:val="0"/>
        <w:snapToGrid w:val="0"/>
        <w:spacing w:after="0"/>
        <w:rPr>
          <w:rFonts w:ascii="Times New Roman" w:hAnsi="Times New Roman"/>
          <w:b/>
          <w:lang w:val="en-AU" w:eastAsia="ko-KR"/>
        </w:rPr>
      </w:pPr>
      <w:r w:rsidRPr="009C2ADD">
        <w:rPr>
          <w:rFonts w:ascii="Times New Roman" w:hAnsi="Times New Roman"/>
          <w:b/>
          <w:lang w:val="en-AU" w:eastAsia="ko-KR"/>
        </w:rPr>
        <w:t xml:space="preserve">5.2.2 </w:t>
      </w:r>
      <w:r w:rsidRPr="009C2ADD">
        <w:rPr>
          <w:rFonts w:ascii="Times New Roman" w:hAnsi="Times New Roman"/>
          <w:b/>
          <w:lang w:val="en-AU" w:eastAsia="ko-KR"/>
        </w:rPr>
        <w:tab/>
        <w:t>FAD management</w:t>
      </w:r>
    </w:p>
    <w:p w14:paraId="26387EA8" w14:textId="77777777" w:rsidR="0014588F" w:rsidRPr="009C2ADD" w:rsidRDefault="0014588F" w:rsidP="0014588F">
      <w:pPr>
        <w:autoSpaceDE w:val="0"/>
        <w:autoSpaceDN w:val="0"/>
        <w:adjustRightInd w:val="0"/>
        <w:snapToGrid w:val="0"/>
        <w:spacing w:after="0"/>
        <w:rPr>
          <w:rFonts w:ascii="Times New Roman" w:hAnsi="Times New Roman"/>
          <w:b/>
          <w:lang w:val="en-AU" w:eastAsia="ko-KR"/>
        </w:rPr>
      </w:pPr>
    </w:p>
    <w:p w14:paraId="605FB4D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reviewed the report of the Global FAD Science Symposium, March 20-23, 2017, in Santa Monica, California (What does well-managed FAD use look like within a tropical purse seine fishery? SC13-MI-WP-06). SC13 noted the ‘best-practices’ recommended in this paper under the three broad categories: (1) managing impacts on target species; (2) managing impacts on non-target species, coastal habitats, and the pelagic marine ecosystem; and, (3) the management framework, including monitoring, compliance and surveillance. SC13 also noted that impacts of FADs and FAD management cannot be considered entirely independently of harvest strategies, issues related to fishing capacity, ecosystem structure, or management of all other fishing gears in tropical tuna fisheries. SC13 also noted the report from the </w:t>
      </w:r>
      <w:r>
        <w:rPr>
          <w:rFonts w:ascii="Times New Roman" w:hAnsi="Times New Roman" w:hint="eastAsia"/>
          <w:b/>
          <w:lang w:val="en-AU" w:eastAsia="ko-KR"/>
        </w:rPr>
        <w:t>J</w:t>
      </w:r>
      <w:r w:rsidRPr="009C2ADD">
        <w:rPr>
          <w:rFonts w:ascii="Times New Roman" w:hAnsi="Times New Roman"/>
          <w:b/>
          <w:lang w:val="en-AU"/>
        </w:rPr>
        <w:t xml:space="preserve">oint </w:t>
      </w:r>
      <w:r>
        <w:rPr>
          <w:rFonts w:ascii="Times New Roman" w:hAnsi="Times New Roman" w:hint="eastAsia"/>
          <w:b/>
          <w:lang w:val="en-AU" w:eastAsia="ko-KR"/>
        </w:rPr>
        <w:t>T</w:t>
      </w:r>
      <w:r w:rsidRPr="009C2ADD">
        <w:rPr>
          <w:rFonts w:ascii="Times New Roman" w:hAnsi="Times New Roman"/>
          <w:b/>
          <w:lang w:val="en-AU"/>
        </w:rPr>
        <w:t xml:space="preserve">-RFMOs </w:t>
      </w:r>
      <w:r>
        <w:rPr>
          <w:rFonts w:ascii="Times New Roman" w:hAnsi="Times New Roman" w:hint="eastAsia"/>
          <w:b/>
          <w:lang w:val="en-AU" w:eastAsia="ko-KR"/>
        </w:rPr>
        <w:t>FAD W</w:t>
      </w:r>
      <w:r w:rsidRPr="009C2ADD">
        <w:rPr>
          <w:rFonts w:ascii="Times New Roman" w:hAnsi="Times New Roman"/>
          <w:b/>
          <w:lang w:val="en-AU"/>
        </w:rPr>
        <w:t xml:space="preserve">orking </w:t>
      </w:r>
      <w:r>
        <w:rPr>
          <w:rFonts w:ascii="Times New Roman" w:hAnsi="Times New Roman" w:hint="eastAsia"/>
          <w:b/>
          <w:lang w:val="en-AU" w:eastAsia="ko-KR"/>
        </w:rPr>
        <w:t>G</w:t>
      </w:r>
      <w:r w:rsidRPr="009C2ADD">
        <w:rPr>
          <w:rFonts w:ascii="Times New Roman" w:hAnsi="Times New Roman"/>
          <w:b/>
          <w:lang w:val="en-AU"/>
        </w:rPr>
        <w:t>roup (SC13-MI-IP-03). SC13 recommends that WCPFC14 take into consideration the examples of best practice made within these reports when developing a framework for the management of FADs within the WCPO.</w:t>
      </w:r>
    </w:p>
    <w:p w14:paraId="52A8A232" w14:textId="77777777" w:rsidR="0014588F" w:rsidRPr="009C2ADD" w:rsidRDefault="0014588F" w:rsidP="0014588F">
      <w:pPr>
        <w:adjustRightInd w:val="0"/>
        <w:snapToGrid w:val="0"/>
        <w:spacing w:after="0"/>
        <w:rPr>
          <w:rFonts w:ascii="Times New Roman" w:hAnsi="Times New Roman"/>
          <w:b/>
          <w:i/>
          <w:lang w:val="en-AU"/>
        </w:rPr>
      </w:pPr>
    </w:p>
    <w:p w14:paraId="2A634410" w14:textId="77777777" w:rsidR="0014588F" w:rsidRPr="009C2ADD" w:rsidRDefault="0014588F" w:rsidP="0014588F">
      <w:pPr>
        <w:pStyle w:val="Heading2"/>
        <w:adjustRightInd w:val="0"/>
        <w:snapToGrid w:val="0"/>
        <w:rPr>
          <w:color w:val="auto"/>
          <w:szCs w:val="22"/>
          <w:lang w:val="en-AU"/>
        </w:rPr>
      </w:pPr>
      <w:bookmarkStart w:id="42" w:name="_Toc498688653"/>
      <w:r w:rsidRPr="009C2ADD">
        <w:rPr>
          <w:color w:val="auto"/>
          <w:szCs w:val="22"/>
          <w:lang w:val="en-AU"/>
        </w:rPr>
        <w:t xml:space="preserve">5.3 </w:t>
      </w:r>
      <w:r w:rsidRPr="009C2ADD">
        <w:rPr>
          <w:color w:val="auto"/>
          <w:szCs w:val="22"/>
          <w:lang w:val="en-AU"/>
        </w:rPr>
        <w:tab/>
        <w:t>Implementation of CMM 2016-01</w:t>
      </w:r>
      <w:bookmarkEnd w:id="42"/>
    </w:p>
    <w:p w14:paraId="3D36E2DE" w14:textId="77777777" w:rsidR="0014588F" w:rsidRPr="009C2ADD" w:rsidRDefault="0014588F" w:rsidP="0014588F">
      <w:pPr>
        <w:adjustRightInd w:val="0"/>
        <w:snapToGrid w:val="0"/>
        <w:spacing w:after="0"/>
        <w:rPr>
          <w:rFonts w:ascii="Times New Roman" w:hAnsi="Times New Roman"/>
          <w:lang w:val="en-AU"/>
        </w:rPr>
      </w:pPr>
    </w:p>
    <w:p w14:paraId="7DAA3C4E" w14:textId="62A24B96"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the draft final report from Project 77: Development of potential measures to reduce interactions with bigeye tuna in the purse seine fishery in the western and central Pacific Ocean (‘bigeye hotspots analysis’) (SC13-MI-WP-07</w:t>
      </w:r>
      <w:r w:rsidR="00BC1A58">
        <w:rPr>
          <w:rFonts w:ascii="Times New Roman" w:hAnsi="Times New Roman"/>
          <w:b/>
          <w:lang w:val="en-AU"/>
        </w:rPr>
        <w:t xml:space="preserve"> Rev.02</w:t>
      </w:r>
      <w:r w:rsidRPr="009C2ADD">
        <w:rPr>
          <w:rFonts w:ascii="Times New Roman" w:hAnsi="Times New Roman"/>
          <w:b/>
          <w:lang w:val="en-AU"/>
        </w:rPr>
        <w:t>) funded by the EU. The aims of this study were i) to identify factors linked to high purse seine bigeye catch; ii) to identify top bigeye tuna catching purse seiners; and iii) to examine spatial management considerations. As highlighted in previous studies it is clear that many factors influence bigeye catch by the purse seine fishery, which therefore makes it challenging to gauge the effect of each factor separately. SC13 noted several factors influencing bigeye catches, such as vessel size and thermocline depth, and that top vessel lists were different between areas, likely linked to the fact that many fleets mostly operate in one of the three areas analysed during a specific year. SC13 also noted the presence of two types of ‘bigeye hotspot’ areas: i) an area of high overall bigeye tuna catch, with small bigeye catch per set but high effort on associated sets; and ii) an area of high bigeye CPUE, but with lower average catches. SC13 made a number of suggestions to clarify aspects of the report (e.g. enumerating the proportion of the identified hot-spots within each national jurisdiction, providing similar estimates based on those used in the stock assessment to check for potential biases in the observers’ visual estimations, noting the concerns expressed by some CCMs regarding potential difficulties of applying time/area closures in areas of national jurisdiction) and these will be incorporated into the final report to be provided to the WCPFC Secretariat, and subsequently to be made generally available. SC13 also noted the need for improved information on FAD designs, deployments and type of buoy use within the WCPO, together with the importance of detailed information on the characteristics of vessels fishing in the WCPO, to improve future analyses. SC13 recommends that the upcoming Intersessional Meeting to progress the Draft Bridging CCM on Tropical Tuna and both TCC13 and WCPFC14 takes note, among other elements, of the preliminary results contained in this report when framing the ‘bridging’ CMM to replace CMM-2016-01 and that mechanisms be considered to help facilitate further analyses as indicated above.</w:t>
      </w:r>
    </w:p>
    <w:p w14:paraId="06D87E7D" w14:textId="77777777" w:rsidR="0014588F" w:rsidRPr="009C2ADD" w:rsidRDefault="0014588F" w:rsidP="0014588F">
      <w:pPr>
        <w:pStyle w:val="ListParagraph"/>
        <w:adjustRightInd w:val="0"/>
        <w:snapToGrid w:val="0"/>
        <w:contextualSpacing w:val="0"/>
        <w:rPr>
          <w:rFonts w:ascii="Times New Roman" w:eastAsia="바탕" w:hAnsi="Times New Roman"/>
          <w:lang w:eastAsia="ko-KR"/>
        </w:rPr>
      </w:pPr>
    </w:p>
    <w:p w14:paraId="3A794885" w14:textId="77777777" w:rsidR="0014588F" w:rsidRPr="009C2ADD" w:rsidRDefault="0014588F" w:rsidP="0014588F">
      <w:pPr>
        <w:adjustRightInd w:val="0"/>
        <w:snapToGrid w:val="0"/>
        <w:spacing w:after="0"/>
        <w:ind w:firstLine="720"/>
        <w:rPr>
          <w:rFonts w:ascii="Times New Roman" w:eastAsia="바탕" w:hAnsi="Times New Roman"/>
          <w:lang w:eastAsia="ko-KR"/>
        </w:rPr>
      </w:pPr>
    </w:p>
    <w:p w14:paraId="59DFD841" w14:textId="77777777" w:rsidR="0014588F" w:rsidRPr="009C2ADD" w:rsidRDefault="0014588F" w:rsidP="0014588F">
      <w:pPr>
        <w:pStyle w:val="Heading1"/>
        <w:adjustRightInd w:val="0"/>
        <w:snapToGrid w:val="0"/>
        <w:rPr>
          <w:rFonts w:ascii="Times New Roman" w:hAnsi="Times New Roman"/>
          <w:sz w:val="22"/>
          <w:szCs w:val="22"/>
        </w:rPr>
      </w:pPr>
      <w:bookmarkStart w:id="43" w:name="_Toc498688654"/>
      <w:r w:rsidRPr="009C2ADD">
        <w:rPr>
          <w:rFonts w:ascii="Times New Roman" w:hAnsi="Times New Roman"/>
          <w:sz w:val="22"/>
          <w:szCs w:val="22"/>
        </w:rPr>
        <w:t>AGENDA ITEM 6 – Ecosystem and Bycatch Theme</w:t>
      </w:r>
      <w:bookmarkEnd w:id="43"/>
    </w:p>
    <w:p w14:paraId="7B780974" w14:textId="77777777" w:rsidR="0014588F" w:rsidRPr="009C2ADD" w:rsidRDefault="0014588F" w:rsidP="0014588F">
      <w:pPr>
        <w:adjustRightInd w:val="0"/>
        <w:snapToGrid w:val="0"/>
        <w:spacing w:after="0"/>
        <w:rPr>
          <w:rFonts w:ascii="Times New Roman" w:hAnsi="Times New Roman"/>
        </w:rPr>
      </w:pPr>
    </w:p>
    <w:p w14:paraId="470FB129" w14:textId="77777777" w:rsidR="0014588F" w:rsidRPr="009C2ADD" w:rsidRDefault="0014588F" w:rsidP="0014588F">
      <w:pPr>
        <w:adjustRightInd w:val="0"/>
        <w:snapToGrid w:val="0"/>
        <w:spacing w:after="0"/>
        <w:rPr>
          <w:rFonts w:ascii="Times New Roman" w:hAnsi="Times New Roman"/>
          <w:b/>
        </w:rPr>
      </w:pPr>
    </w:p>
    <w:p w14:paraId="400C3BB3" w14:textId="77777777" w:rsidR="0014588F" w:rsidRPr="009C2ADD" w:rsidRDefault="0014588F" w:rsidP="0014588F">
      <w:pPr>
        <w:pStyle w:val="Heading2"/>
        <w:adjustRightInd w:val="0"/>
        <w:snapToGrid w:val="0"/>
        <w:rPr>
          <w:color w:val="auto"/>
          <w:szCs w:val="22"/>
          <w:lang w:val="en-AU"/>
        </w:rPr>
      </w:pPr>
      <w:bookmarkStart w:id="44" w:name="_Toc498688655"/>
      <w:r w:rsidRPr="009C2ADD">
        <w:rPr>
          <w:color w:val="auto"/>
          <w:szCs w:val="22"/>
          <w:lang w:val="en-AU"/>
        </w:rPr>
        <w:t xml:space="preserve">6.1 </w:t>
      </w:r>
      <w:r w:rsidRPr="009C2ADD">
        <w:rPr>
          <w:color w:val="auto"/>
          <w:szCs w:val="22"/>
          <w:lang w:val="en-AU"/>
        </w:rPr>
        <w:tab/>
        <w:t>Ecosystem effects of fishing</w:t>
      </w:r>
      <w:bookmarkEnd w:id="44"/>
      <w:r w:rsidRPr="009C2ADD">
        <w:rPr>
          <w:color w:val="auto"/>
          <w:szCs w:val="22"/>
          <w:lang w:val="en-AU"/>
        </w:rPr>
        <w:t xml:space="preserve">  </w:t>
      </w:r>
    </w:p>
    <w:p w14:paraId="305B18A5" w14:textId="77777777" w:rsidR="0014588F" w:rsidRPr="009C2ADD" w:rsidRDefault="0014588F" w:rsidP="0014588F">
      <w:pPr>
        <w:adjustRightInd w:val="0"/>
        <w:snapToGrid w:val="0"/>
        <w:spacing w:after="0"/>
        <w:rPr>
          <w:rFonts w:ascii="Times New Roman" w:hAnsi="Times New Roman"/>
          <w:b/>
        </w:rPr>
      </w:pPr>
    </w:p>
    <w:p w14:paraId="31CD4AE2" w14:textId="77777777" w:rsidR="0014588F" w:rsidRPr="009C2ADD" w:rsidRDefault="0014588F" w:rsidP="0014588F">
      <w:pPr>
        <w:pStyle w:val="Heading3"/>
        <w:adjustRightInd w:val="0"/>
        <w:snapToGrid w:val="0"/>
        <w:spacing w:before="0"/>
        <w:rPr>
          <w:rFonts w:ascii="Times New Roman" w:hAnsi="Times New Roman" w:cs="Times New Roman"/>
        </w:rPr>
      </w:pPr>
      <w:bookmarkStart w:id="45" w:name="_Toc498688656"/>
      <w:r w:rsidRPr="009C2ADD">
        <w:rPr>
          <w:rFonts w:ascii="Times New Roman" w:hAnsi="Times New Roman" w:cs="Times New Roman"/>
        </w:rPr>
        <w:t xml:space="preserve">6.1.1 </w:t>
      </w:r>
      <w:r w:rsidRPr="009C2ADD">
        <w:rPr>
          <w:rFonts w:ascii="Times New Roman" w:hAnsi="Times New Roman" w:cs="Times New Roman"/>
        </w:rPr>
        <w:tab/>
        <w:t>SEAPODYM</w:t>
      </w:r>
      <w:bookmarkEnd w:id="45"/>
      <w:r w:rsidRPr="009C2ADD">
        <w:rPr>
          <w:rFonts w:ascii="Times New Roman" w:hAnsi="Times New Roman" w:cs="Times New Roman"/>
        </w:rPr>
        <w:t xml:space="preserve"> </w:t>
      </w:r>
    </w:p>
    <w:p w14:paraId="2BBE8AE2" w14:textId="77777777" w:rsidR="0014588F" w:rsidRPr="009C2ADD" w:rsidRDefault="0014588F" w:rsidP="0014588F">
      <w:pPr>
        <w:adjustRightInd w:val="0"/>
        <w:snapToGrid w:val="0"/>
        <w:spacing w:after="0"/>
        <w:ind w:left="720"/>
        <w:rPr>
          <w:rFonts w:ascii="Times New Roman" w:hAnsi="Times New Roman"/>
          <w:b/>
        </w:rPr>
      </w:pPr>
    </w:p>
    <w:p w14:paraId="47E2BE38" w14:textId="39498191" w:rsidR="0014588F" w:rsidRPr="009C2ADD" w:rsidRDefault="0014588F" w:rsidP="0014588F">
      <w:pPr>
        <w:pStyle w:val="WCPFC"/>
        <w:ind w:left="0" w:firstLine="0"/>
        <w:rPr>
          <w:b/>
        </w:rPr>
      </w:pPr>
      <w:r>
        <w:rPr>
          <w:lang w:val="en-AU"/>
        </w:rPr>
        <w:t xml:space="preserve">No recommendation </w:t>
      </w:r>
      <w:r w:rsidR="007F2B46">
        <w:rPr>
          <w:rFonts w:hint="eastAsia"/>
          <w:lang w:val="en-AU" w:eastAsia="ko-KR"/>
        </w:rPr>
        <w:t>was</w:t>
      </w:r>
      <w:r>
        <w:rPr>
          <w:lang w:val="en-AU"/>
        </w:rPr>
        <w:t xml:space="preserve"> provided. </w:t>
      </w:r>
    </w:p>
    <w:p w14:paraId="60A83412" w14:textId="77777777" w:rsidR="0014588F" w:rsidRPr="009C2ADD" w:rsidRDefault="0014588F" w:rsidP="0014588F">
      <w:pPr>
        <w:pStyle w:val="Heading3"/>
        <w:adjustRightInd w:val="0"/>
        <w:snapToGrid w:val="0"/>
        <w:spacing w:before="0"/>
        <w:rPr>
          <w:rFonts w:ascii="Times New Roman" w:hAnsi="Times New Roman" w:cs="Times New Roman"/>
        </w:rPr>
      </w:pPr>
      <w:bookmarkStart w:id="46" w:name="_Toc498688657"/>
      <w:r w:rsidRPr="009C2ADD">
        <w:rPr>
          <w:rFonts w:ascii="Times New Roman" w:hAnsi="Times New Roman" w:cs="Times New Roman"/>
        </w:rPr>
        <w:t xml:space="preserve">6.1.2 </w:t>
      </w:r>
      <w:r w:rsidRPr="009C2ADD">
        <w:rPr>
          <w:rFonts w:ascii="Times New Roman" w:hAnsi="Times New Roman" w:cs="Times New Roman"/>
        </w:rPr>
        <w:tab/>
        <w:t>Ecosystem indicators</w:t>
      </w:r>
      <w:bookmarkEnd w:id="46"/>
    </w:p>
    <w:p w14:paraId="2FE28C8D" w14:textId="77777777" w:rsidR="0014588F" w:rsidRPr="009C2ADD" w:rsidRDefault="0014588F" w:rsidP="0014588F">
      <w:pPr>
        <w:adjustRightInd w:val="0"/>
        <w:snapToGrid w:val="0"/>
        <w:spacing w:after="0"/>
        <w:ind w:left="720"/>
        <w:rPr>
          <w:rFonts w:ascii="Times New Roman" w:hAnsi="Times New Roman"/>
          <w:b/>
        </w:rPr>
      </w:pPr>
    </w:p>
    <w:p w14:paraId="2136DA49" w14:textId="69D5B9B4"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eastAsia="ko-KR"/>
        </w:rPr>
        <w:t>No discussion was made</w:t>
      </w:r>
      <w:r w:rsidRPr="009C2ADD">
        <w:rPr>
          <w:rFonts w:ascii="Times New Roman" w:hAnsi="Times New Roman"/>
          <w:lang w:val="en-AU"/>
        </w:rPr>
        <w:t>.</w:t>
      </w:r>
    </w:p>
    <w:p w14:paraId="5060ECEC" w14:textId="77777777" w:rsidR="0014588F" w:rsidRPr="009C2ADD" w:rsidRDefault="0014588F" w:rsidP="0014588F">
      <w:pPr>
        <w:adjustRightInd w:val="0"/>
        <w:snapToGrid w:val="0"/>
        <w:spacing w:after="0"/>
        <w:ind w:left="720"/>
        <w:rPr>
          <w:rFonts w:ascii="Times New Roman" w:hAnsi="Times New Roman"/>
          <w:b/>
        </w:rPr>
      </w:pPr>
    </w:p>
    <w:p w14:paraId="316E01BC" w14:textId="77777777" w:rsidR="0014588F" w:rsidRPr="009C2ADD" w:rsidRDefault="0014588F" w:rsidP="0014588F">
      <w:pPr>
        <w:pStyle w:val="Heading3"/>
        <w:adjustRightInd w:val="0"/>
        <w:snapToGrid w:val="0"/>
        <w:spacing w:before="0"/>
        <w:rPr>
          <w:rFonts w:ascii="Times New Roman" w:hAnsi="Times New Roman" w:cs="Times New Roman"/>
        </w:rPr>
      </w:pPr>
      <w:bookmarkStart w:id="47" w:name="_Toc498688658"/>
      <w:r w:rsidRPr="009C2ADD">
        <w:rPr>
          <w:rFonts w:ascii="Times New Roman" w:hAnsi="Times New Roman" w:cs="Times New Roman"/>
        </w:rPr>
        <w:t xml:space="preserve">6.1.3 </w:t>
      </w:r>
      <w:r w:rsidRPr="009C2ADD">
        <w:rPr>
          <w:rFonts w:ascii="Times New Roman" w:hAnsi="Times New Roman" w:cs="Times New Roman"/>
        </w:rPr>
        <w:tab/>
        <w:t>FAD impacts</w:t>
      </w:r>
      <w:bookmarkEnd w:id="47"/>
      <w:r w:rsidRPr="009C2ADD">
        <w:rPr>
          <w:rFonts w:ascii="Times New Roman" w:hAnsi="Times New Roman" w:cs="Times New Roman"/>
        </w:rPr>
        <w:t xml:space="preserve"> </w:t>
      </w:r>
    </w:p>
    <w:p w14:paraId="644567A1" w14:textId="77777777" w:rsidR="0014588F" w:rsidRPr="009C2ADD" w:rsidRDefault="0014588F" w:rsidP="0014588F">
      <w:pPr>
        <w:adjustRightInd w:val="0"/>
        <w:snapToGrid w:val="0"/>
        <w:spacing w:after="0"/>
        <w:ind w:left="567"/>
        <w:rPr>
          <w:rFonts w:ascii="Times New Roman" w:hAnsi="Times New Roman"/>
        </w:rPr>
      </w:pPr>
    </w:p>
    <w:p w14:paraId="55A57FA0" w14:textId="77777777" w:rsidR="0014588F" w:rsidRPr="009C2ADD" w:rsidRDefault="0014588F" w:rsidP="0014588F">
      <w:pPr>
        <w:adjustRightInd w:val="0"/>
        <w:snapToGrid w:val="0"/>
        <w:spacing w:after="0"/>
        <w:rPr>
          <w:rFonts w:ascii="Times New Roman" w:hAnsi="Times New Roman"/>
          <w:b/>
        </w:rPr>
      </w:pPr>
      <w:r w:rsidRPr="009C2ADD">
        <w:rPr>
          <w:rFonts w:ascii="Times New Roman" w:hAnsi="Times New Roman"/>
          <w:b/>
          <w:lang w:eastAsia="ko-KR"/>
        </w:rPr>
        <w:t xml:space="preserve">6.1.3.1 </w:t>
      </w:r>
      <w:r w:rsidRPr="009C2ADD">
        <w:rPr>
          <w:rFonts w:ascii="Times New Roman" w:hAnsi="Times New Roman"/>
          <w:b/>
          <w:lang w:eastAsia="ko-KR"/>
        </w:rPr>
        <w:tab/>
      </w:r>
      <w:r w:rsidRPr="009C2ADD">
        <w:rPr>
          <w:rFonts w:ascii="Times New Roman" w:hAnsi="Times New Roman"/>
          <w:b/>
        </w:rPr>
        <w:t xml:space="preserve">Case studies on FADs </w:t>
      </w:r>
    </w:p>
    <w:p w14:paraId="491E0BCB" w14:textId="77777777" w:rsidR="0014588F" w:rsidRPr="009C2ADD" w:rsidRDefault="0014588F" w:rsidP="0014588F">
      <w:pPr>
        <w:adjustRightInd w:val="0"/>
        <w:snapToGrid w:val="0"/>
        <w:spacing w:after="0"/>
        <w:ind w:left="567"/>
        <w:rPr>
          <w:rFonts w:ascii="Times New Roman" w:hAnsi="Times New Roman"/>
        </w:rPr>
      </w:pPr>
    </w:p>
    <w:p w14:paraId="20B74F7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results and recommendations of SC13-EB-WP-02, which reviewed the scientific information on drifting FAD designs that have a high risk of entangling sharks, turtles and other species, such as designs that use open net panels with (stretched) mesh sizes of 7cm or greater, SC13 requests that the Commission notes:</w:t>
      </w:r>
    </w:p>
    <w:p w14:paraId="336FCD6A" w14:textId="77777777" w:rsidR="0014588F" w:rsidRPr="009C2ADD" w:rsidRDefault="0014588F" w:rsidP="0014588F">
      <w:pPr>
        <w:pStyle w:val="WCPFC"/>
        <w:numPr>
          <w:ilvl w:val="0"/>
          <w:numId w:val="15"/>
        </w:numPr>
        <w:adjustRightInd w:val="0"/>
        <w:spacing w:after="0"/>
        <w:ind w:left="1080" w:hanging="357"/>
        <w:rPr>
          <w:b/>
        </w:rPr>
      </w:pPr>
      <w:r w:rsidRPr="009C2ADD">
        <w:rPr>
          <w:b/>
        </w:rPr>
        <w:t xml:space="preserve">That bycatch was more frequently observed on sets on drifting FADs, anchored FADs and logs than for sets on unassociated schools, and schools associated with whales and whale sharks. However, species-specific bycatch rates do not always follow this pattern; and </w:t>
      </w:r>
    </w:p>
    <w:p w14:paraId="63281ECB" w14:textId="77777777" w:rsidR="0014588F" w:rsidRPr="009C2ADD" w:rsidRDefault="0014588F" w:rsidP="0014588F">
      <w:pPr>
        <w:pStyle w:val="WCPFC"/>
        <w:numPr>
          <w:ilvl w:val="0"/>
          <w:numId w:val="15"/>
        </w:numPr>
        <w:adjustRightInd w:val="0"/>
        <w:spacing w:after="0"/>
        <w:ind w:left="1080" w:hanging="357"/>
        <w:rPr>
          <w:b/>
        </w:rPr>
      </w:pPr>
      <w:r w:rsidRPr="009C2ADD">
        <w:rPr>
          <w:b/>
        </w:rPr>
        <w:t>The available scientific information on non-entangling dFAD designs.</w:t>
      </w:r>
    </w:p>
    <w:p w14:paraId="15322FEF" w14:textId="77777777" w:rsidR="0014588F" w:rsidRPr="009C2ADD" w:rsidRDefault="0014588F" w:rsidP="0014588F">
      <w:pPr>
        <w:adjustRightInd w:val="0"/>
        <w:snapToGrid w:val="0"/>
        <w:spacing w:after="0"/>
        <w:ind w:left="567"/>
        <w:rPr>
          <w:rFonts w:ascii="Times New Roman" w:hAnsi="Times New Roman"/>
        </w:rPr>
      </w:pPr>
    </w:p>
    <w:p w14:paraId="4165A3AA" w14:textId="77777777" w:rsidR="0014588F" w:rsidRPr="009C2ADD" w:rsidRDefault="0014588F" w:rsidP="0014588F">
      <w:pPr>
        <w:adjustRightInd w:val="0"/>
        <w:snapToGrid w:val="0"/>
        <w:spacing w:after="0"/>
        <w:rPr>
          <w:rFonts w:ascii="Times New Roman" w:hAnsi="Times New Roman"/>
          <w:b/>
        </w:rPr>
      </w:pPr>
      <w:r w:rsidRPr="009C2ADD">
        <w:rPr>
          <w:rFonts w:ascii="Times New Roman" w:hAnsi="Times New Roman"/>
          <w:b/>
          <w:lang w:eastAsia="ko-KR"/>
        </w:rPr>
        <w:t xml:space="preserve">6.1.3.2 </w:t>
      </w:r>
      <w:r w:rsidRPr="009C2ADD">
        <w:rPr>
          <w:rFonts w:ascii="Times New Roman" w:hAnsi="Times New Roman"/>
          <w:b/>
          <w:lang w:eastAsia="ko-KR"/>
        </w:rPr>
        <w:tab/>
      </w:r>
      <w:r w:rsidRPr="009C2ADD">
        <w:rPr>
          <w:rFonts w:ascii="Times New Roman" w:hAnsi="Times New Roman"/>
          <w:b/>
        </w:rPr>
        <w:t>FAD research plan</w:t>
      </w:r>
    </w:p>
    <w:p w14:paraId="7344814E"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2621714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b/>
          <w:lang w:val="en-AU"/>
        </w:rPr>
        <w:t xml:space="preserve">With SC13-EB-WP-05, consider potential research activities on and at-sea trials of designs for reducing small </w:t>
      </w:r>
      <w:r>
        <w:rPr>
          <w:rFonts w:ascii="Times New Roman" w:hAnsi="Times New Roman" w:hint="eastAsia"/>
          <w:b/>
          <w:lang w:val="en-AU" w:eastAsia="ko-KR"/>
        </w:rPr>
        <w:t>bigeye/yellowfin</w:t>
      </w:r>
      <w:r w:rsidRPr="009C2ADD">
        <w:rPr>
          <w:rFonts w:ascii="Times New Roman" w:hAnsi="Times New Roman"/>
          <w:b/>
          <w:lang w:val="en-AU"/>
        </w:rPr>
        <w:t xml:space="preserve"> </w:t>
      </w:r>
      <w:r>
        <w:rPr>
          <w:rFonts w:ascii="Times New Roman" w:hAnsi="Times New Roman"/>
          <w:b/>
          <w:lang w:val="en-AU"/>
        </w:rPr>
        <w:t xml:space="preserve">tuna </w:t>
      </w:r>
      <w:r w:rsidRPr="009C2ADD">
        <w:rPr>
          <w:rFonts w:ascii="Times New Roman" w:hAnsi="Times New Roman"/>
          <w:b/>
          <w:lang w:val="en-AU"/>
        </w:rPr>
        <w:t>catch rates and trials of non-entangling and biodegradable design options in the WCPO to fill key knowledge gaps provided in the report of SC13 ISG-2 on FAD data fields and FAD research plans (Attachment E).</w:t>
      </w:r>
    </w:p>
    <w:p w14:paraId="6C04098F"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71EF9F71" w14:textId="77777777" w:rsidR="0014588F" w:rsidRPr="009C2ADD" w:rsidRDefault="0014588F" w:rsidP="0014588F">
      <w:pPr>
        <w:pStyle w:val="WCPFC"/>
        <w:adjustRightInd w:val="0"/>
        <w:spacing w:after="0"/>
        <w:ind w:left="0" w:firstLine="0"/>
        <w:rPr>
          <w:b/>
        </w:rPr>
      </w:pPr>
      <w:r w:rsidRPr="009C2ADD">
        <w:rPr>
          <w:b/>
        </w:rPr>
        <w:t>SC13 adopted the report of ISG-2 on the FAD data fields and FAD Research Plan (Attachment E).</w:t>
      </w:r>
    </w:p>
    <w:p w14:paraId="10C4B2DB" w14:textId="77777777" w:rsidR="0014588F" w:rsidRPr="009C2ADD" w:rsidRDefault="0014588F" w:rsidP="0014588F">
      <w:pPr>
        <w:pStyle w:val="WCPFC"/>
        <w:numPr>
          <w:ilvl w:val="0"/>
          <w:numId w:val="0"/>
        </w:numPr>
        <w:adjustRightInd w:val="0"/>
        <w:spacing w:after="0"/>
        <w:rPr>
          <w:b/>
        </w:rPr>
      </w:pPr>
    </w:p>
    <w:p w14:paraId="650E3853" w14:textId="77777777" w:rsidR="0014588F" w:rsidRPr="009C2ADD" w:rsidRDefault="0014588F" w:rsidP="0014588F">
      <w:pPr>
        <w:pStyle w:val="Heading2"/>
        <w:adjustRightInd w:val="0"/>
        <w:snapToGrid w:val="0"/>
        <w:rPr>
          <w:color w:val="auto"/>
          <w:szCs w:val="22"/>
          <w:lang w:val="en-AU"/>
        </w:rPr>
      </w:pPr>
      <w:bookmarkStart w:id="48" w:name="_Toc498688659"/>
      <w:r w:rsidRPr="009C2ADD">
        <w:rPr>
          <w:color w:val="auto"/>
          <w:szCs w:val="22"/>
          <w:lang w:val="en-AU"/>
        </w:rPr>
        <w:t xml:space="preserve">6.2 </w:t>
      </w:r>
      <w:r w:rsidRPr="009C2ADD">
        <w:rPr>
          <w:color w:val="auto"/>
          <w:szCs w:val="22"/>
          <w:lang w:val="en-AU"/>
        </w:rPr>
        <w:tab/>
        <w:t>Sharks</w:t>
      </w:r>
      <w:bookmarkEnd w:id="48"/>
    </w:p>
    <w:p w14:paraId="6D93ADE7" w14:textId="77777777" w:rsidR="0014588F" w:rsidRPr="009C2ADD" w:rsidRDefault="0014588F" w:rsidP="0014588F">
      <w:pPr>
        <w:adjustRightInd w:val="0"/>
        <w:snapToGrid w:val="0"/>
        <w:spacing w:after="0"/>
        <w:rPr>
          <w:rFonts w:ascii="Times New Roman" w:hAnsi="Times New Roman"/>
          <w:b/>
        </w:rPr>
      </w:pPr>
    </w:p>
    <w:p w14:paraId="55836A62" w14:textId="77777777" w:rsidR="0014588F" w:rsidRPr="009C2ADD" w:rsidRDefault="0014588F" w:rsidP="0014588F">
      <w:pPr>
        <w:pStyle w:val="Heading3"/>
        <w:adjustRightInd w:val="0"/>
        <w:snapToGrid w:val="0"/>
        <w:spacing w:before="0"/>
        <w:rPr>
          <w:rFonts w:ascii="Times New Roman" w:hAnsi="Times New Roman" w:cs="Times New Roman"/>
        </w:rPr>
      </w:pPr>
      <w:bookmarkStart w:id="49" w:name="_Toc498688660"/>
      <w:r w:rsidRPr="009C2ADD">
        <w:rPr>
          <w:rFonts w:ascii="Times New Roman" w:hAnsi="Times New Roman" w:cs="Times New Roman"/>
        </w:rPr>
        <w:t xml:space="preserve">6.2.1 </w:t>
      </w:r>
      <w:r w:rsidRPr="009C2ADD">
        <w:rPr>
          <w:rFonts w:ascii="Times New Roman" w:hAnsi="Times New Roman" w:cs="Times New Roman"/>
        </w:rPr>
        <w:tab/>
        <w:t>Review of conservation and management measures for sharks</w:t>
      </w:r>
      <w:bookmarkEnd w:id="49"/>
    </w:p>
    <w:p w14:paraId="2D9507FF" w14:textId="77777777" w:rsidR="0014588F" w:rsidRPr="009C2ADD" w:rsidRDefault="0014588F" w:rsidP="0014588F">
      <w:pPr>
        <w:adjustRightInd w:val="0"/>
        <w:snapToGrid w:val="0"/>
        <w:spacing w:after="0"/>
        <w:rPr>
          <w:rFonts w:ascii="Times New Roman" w:hAnsi="Times New Roman"/>
        </w:rPr>
      </w:pPr>
    </w:p>
    <w:p w14:paraId="496085AC" w14:textId="1BC66823"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In relation to Paragraphs 4, 8, and 13 of CMM 2010-07 with reference to data provision, fin to carcass ratios, and the need for a revised or new CMM, SC13 notes that no new information was submitted to SC13 to review the ratio of fin weight to shark carcass weight. Since the adoption of this CMM, SC was unable to confirm the validity of using a 5% fin to carcass ratio and forwards this concern to TCC, noting that an evaluation of the 5% ratio is not currently possible due to insufficient or inconclusive information for all but one of the major fleets implementing these ratios (SC12, para </w:t>
      </w:r>
      <w:r w:rsidR="00341D2D">
        <w:rPr>
          <w:rFonts w:ascii="Times New Roman" w:hAnsi="Times New Roman" w:hint="eastAsia"/>
          <w:b/>
          <w:lang w:val="en-AU" w:eastAsia="ko-KR"/>
        </w:rPr>
        <w:t>714</w:t>
      </w:r>
      <w:r w:rsidRPr="009C2ADD">
        <w:rPr>
          <w:rFonts w:ascii="Times New Roman" w:hAnsi="Times New Roman"/>
          <w:b/>
          <w:lang w:val="en-AU"/>
        </w:rPr>
        <w:t>).</w:t>
      </w:r>
    </w:p>
    <w:p w14:paraId="16F4EEA1" w14:textId="77777777" w:rsidR="0014588F" w:rsidRPr="009C2ADD" w:rsidRDefault="0014588F" w:rsidP="0014588F">
      <w:pPr>
        <w:autoSpaceDE w:val="0"/>
        <w:autoSpaceDN w:val="0"/>
        <w:adjustRightInd w:val="0"/>
        <w:snapToGrid w:val="0"/>
        <w:spacing w:after="0"/>
        <w:rPr>
          <w:rFonts w:ascii="Times New Roman" w:hAnsi="Times New Roman"/>
          <w:b/>
          <w:lang w:val="en-AU"/>
        </w:rPr>
      </w:pPr>
    </w:p>
    <w:p w14:paraId="4D73537B" w14:textId="77777777" w:rsidR="0014588F" w:rsidRPr="009C2ADD" w:rsidRDefault="0014588F" w:rsidP="0014588F">
      <w:pPr>
        <w:pStyle w:val="WCPFC"/>
        <w:adjustRightInd w:val="0"/>
        <w:spacing w:after="0"/>
        <w:rPr>
          <w:b/>
        </w:rPr>
      </w:pPr>
      <w:r w:rsidRPr="009C2ADD">
        <w:rPr>
          <w:b/>
        </w:rPr>
        <w:t>SC13 recommends that:</w:t>
      </w:r>
    </w:p>
    <w:p w14:paraId="5C5669FA" w14:textId="77777777" w:rsidR="0014588F" w:rsidRPr="009C2ADD" w:rsidRDefault="0014588F" w:rsidP="0014588F">
      <w:pPr>
        <w:pStyle w:val="ListParagraph"/>
        <w:numPr>
          <w:ilvl w:val="0"/>
          <w:numId w:val="54"/>
        </w:numPr>
        <w:adjustRightInd w:val="0"/>
        <w:snapToGrid w:val="0"/>
        <w:ind w:left="1080"/>
        <w:contextualSpacing w:val="0"/>
        <w:rPr>
          <w:rFonts w:ascii="Times New Roman" w:hAnsi="Times New Roman"/>
          <w:b/>
        </w:rPr>
      </w:pPr>
      <w:r w:rsidRPr="009C2ADD">
        <w:rPr>
          <w:rFonts w:ascii="Times New Roman" w:hAnsi="Times New Roman"/>
          <w:b/>
        </w:rPr>
        <w:t>TCC13 and WCPFC14 note that no new information was submitted to SC13 to review the ratio of fin weight to shark carcass weight.</w:t>
      </w:r>
    </w:p>
    <w:p w14:paraId="7A2C82EB" w14:textId="77777777" w:rsidR="0014588F" w:rsidRPr="009C2ADD" w:rsidRDefault="0014588F" w:rsidP="0014588F">
      <w:pPr>
        <w:pStyle w:val="ListParagraph"/>
        <w:numPr>
          <w:ilvl w:val="0"/>
          <w:numId w:val="54"/>
        </w:numPr>
        <w:adjustRightInd w:val="0"/>
        <w:snapToGrid w:val="0"/>
        <w:ind w:left="1080"/>
        <w:contextualSpacing w:val="0"/>
        <w:rPr>
          <w:rFonts w:ascii="Times New Roman" w:hAnsi="Times New Roman"/>
          <w:b/>
        </w:rPr>
      </w:pPr>
      <w:r w:rsidRPr="009C2ADD">
        <w:rPr>
          <w:rFonts w:ascii="Times New Roman" w:hAnsi="Times New Roman"/>
          <w:b/>
        </w:rPr>
        <w:t>TCC13 and WCPFC14 elaborate a mechanism for generating the data necessary to review the fins to carcass ratio if such a ratio is to be used as a tool for promoting the full utilization of sharks in the WCPFC.</w:t>
      </w:r>
    </w:p>
    <w:p w14:paraId="18A76F2E" w14:textId="77777777" w:rsidR="0014588F" w:rsidRPr="009C2ADD" w:rsidRDefault="0014588F" w:rsidP="0014588F">
      <w:pPr>
        <w:pStyle w:val="Heading3"/>
        <w:adjustRightInd w:val="0"/>
        <w:snapToGrid w:val="0"/>
        <w:spacing w:before="0"/>
        <w:rPr>
          <w:rFonts w:ascii="Times New Roman" w:hAnsi="Times New Roman" w:cs="Times New Roman"/>
          <w:lang w:eastAsia="ko-KR"/>
        </w:rPr>
      </w:pPr>
    </w:p>
    <w:p w14:paraId="6A60EA49" w14:textId="77777777" w:rsidR="0014588F" w:rsidRPr="009C2ADD" w:rsidRDefault="0014588F" w:rsidP="0014588F">
      <w:pPr>
        <w:pStyle w:val="Heading3"/>
        <w:adjustRightInd w:val="0"/>
        <w:snapToGrid w:val="0"/>
        <w:spacing w:before="0"/>
        <w:rPr>
          <w:rFonts w:ascii="Times New Roman" w:hAnsi="Times New Roman" w:cs="Times New Roman"/>
        </w:rPr>
      </w:pPr>
      <w:bookmarkStart w:id="50" w:name="_Toc498688661"/>
      <w:r w:rsidRPr="009C2ADD">
        <w:rPr>
          <w:rFonts w:ascii="Times New Roman" w:hAnsi="Times New Roman" w:cs="Times New Roman"/>
        </w:rPr>
        <w:t xml:space="preserve">6.2.2 </w:t>
      </w:r>
      <w:r w:rsidRPr="009C2ADD">
        <w:rPr>
          <w:rFonts w:ascii="Times New Roman" w:hAnsi="Times New Roman" w:cs="Times New Roman"/>
        </w:rPr>
        <w:tab/>
        <w:t>Development of a comprehensive shark and ray measure</w:t>
      </w:r>
      <w:bookmarkEnd w:id="50"/>
    </w:p>
    <w:p w14:paraId="2308E3AA" w14:textId="77777777" w:rsidR="0014588F" w:rsidRPr="0070772D" w:rsidRDefault="0014588F" w:rsidP="0014588F">
      <w:pPr>
        <w:autoSpaceDE w:val="0"/>
        <w:autoSpaceDN w:val="0"/>
        <w:adjustRightInd w:val="0"/>
        <w:snapToGrid w:val="0"/>
        <w:spacing w:after="0"/>
        <w:rPr>
          <w:rFonts w:ascii="Times New Roman" w:hAnsi="Times New Roman"/>
          <w:b/>
          <w:lang w:val="en-AU"/>
        </w:rPr>
      </w:pPr>
    </w:p>
    <w:p w14:paraId="2712AEE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adopted the report of ISG-6 on the comprehensive shark CMM (Attachment G).    </w:t>
      </w:r>
    </w:p>
    <w:p w14:paraId="12CB911C" w14:textId="77777777" w:rsidR="0014588F" w:rsidRPr="009C2ADD" w:rsidRDefault="0014588F" w:rsidP="0014588F">
      <w:pPr>
        <w:pStyle w:val="Heading3"/>
        <w:adjustRightInd w:val="0"/>
        <w:snapToGrid w:val="0"/>
        <w:spacing w:before="0"/>
        <w:rPr>
          <w:rFonts w:ascii="Times New Roman" w:hAnsi="Times New Roman" w:cs="Times New Roman"/>
          <w:lang w:eastAsia="ko-KR"/>
        </w:rPr>
      </w:pPr>
    </w:p>
    <w:p w14:paraId="268A8876" w14:textId="77777777" w:rsidR="0014588F" w:rsidRPr="009C2ADD" w:rsidRDefault="0014588F" w:rsidP="0014588F">
      <w:pPr>
        <w:pStyle w:val="Heading3"/>
        <w:adjustRightInd w:val="0"/>
        <w:snapToGrid w:val="0"/>
        <w:spacing w:before="0"/>
        <w:rPr>
          <w:rFonts w:ascii="Times New Roman" w:hAnsi="Times New Roman" w:cs="Times New Roman"/>
        </w:rPr>
      </w:pPr>
      <w:bookmarkStart w:id="51" w:name="_Toc498688662"/>
      <w:r w:rsidRPr="009C2ADD">
        <w:rPr>
          <w:rFonts w:ascii="Times New Roman" w:hAnsi="Times New Roman" w:cs="Times New Roman"/>
        </w:rPr>
        <w:t xml:space="preserve">6.2.3 </w:t>
      </w:r>
      <w:r w:rsidRPr="009C2ADD">
        <w:rPr>
          <w:rFonts w:ascii="Times New Roman" w:hAnsi="Times New Roman" w:cs="Times New Roman"/>
        </w:rPr>
        <w:tab/>
        <w:t>Safe release guidelines</w:t>
      </w:r>
      <w:bookmarkEnd w:id="51"/>
    </w:p>
    <w:p w14:paraId="2BA1CD91"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7957FE1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adopted the report of ISG-5 on the safe release guidelines for manta and mobulid rays (Attachment H).</w:t>
      </w:r>
    </w:p>
    <w:p w14:paraId="3FBB2D44" w14:textId="77777777" w:rsidR="0014588F" w:rsidRPr="009C2ADD" w:rsidRDefault="0014588F" w:rsidP="0014588F">
      <w:pPr>
        <w:pStyle w:val="ListParagraph"/>
        <w:adjustRightInd w:val="0"/>
        <w:snapToGrid w:val="0"/>
        <w:contextualSpacing w:val="0"/>
        <w:rPr>
          <w:rFonts w:ascii="Times New Roman" w:hAnsi="Times New Roman"/>
          <w:b/>
          <w:highlight w:val="yellow"/>
          <w:lang w:val="en-AU"/>
        </w:rPr>
      </w:pPr>
    </w:p>
    <w:p w14:paraId="0AC4680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TCC13 and WCPFC14 note that SC has not yet adopted guidelines for safe release for silky and oceanic whitetip sharks. </w:t>
      </w:r>
    </w:p>
    <w:p w14:paraId="2BD81569" w14:textId="77777777" w:rsidR="0014588F" w:rsidRPr="009C2ADD" w:rsidRDefault="0014588F" w:rsidP="0014588F">
      <w:pPr>
        <w:pStyle w:val="Heading3"/>
        <w:adjustRightInd w:val="0"/>
        <w:snapToGrid w:val="0"/>
        <w:spacing w:before="0"/>
        <w:rPr>
          <w:rFonts w:ascii="Times New Roman" w:hAnsi="Times New Roman" w:cs="Times New Roman"/>
          <w:lang w:val="en-AU" w:eastAsia="ko-KR"/>
        </w:rPr>
      </w:pPr>
    </w:p>
    <w:p w14:paraId="1BBA2574" w14:textId="77777777" w:rsidR="0014588F" w:rsidRPr="009C2ADD" w:rsidRDefault="0014588F" w:rsidP="0014588F">
      <w:pPr>
        <w:pStyle w:val="Heading3"/>
        <w:adjustRightInd w:val="0"/>
        <w:snapToGrid w:val="0"/>
        <w:spacing w:before="0"/>
        <w:rPr>
          <w:rFonts w:ascii="Times New Roman" w:hAnsi="Times New Roman" w:cs="Times New Roman"/>
        </w:rPr>
      </w:pPr>
      <w:bookmarkStart w:id="52" w:name="_Toc498688663"/>
      <w:r w:rsidRPr="009C2ADD">
        <w:rPr>
          <w:rFonts w:ascii="Times New Roman" w:hAnsi="Times New Roman" w:cs="Times New Roman"/>
        </w:rPr>
        <w:t xml:space="preserve">6.2.4 </w:t>
      </w:r>
      <w:r w:rsidRPr="009C2ADD">
        <w:rPr>
          <w:rFonts w:ascii="Times New Roman" w:hAnsi="Times New Roman" w:cs="Times New Roman"/>
        </w:rPr>
        <w:tab/>
        <w:t>Shark research plan</w:t>
      </w:r>
      <w:bookmarkEnd w:id="52"/>
    </w:p>
    <w:p w14:paraId="4F3B917B" w14:textId="77777777" w:rsidR="0014588F" w:rsidRDefault="0014588F" w:rsidP="0014588F">
      <w:pPr>
        <w:autoSpaceDE w:val="0"/>
        <w:autoSpaceDN w:val="0"/>
        <w:adjustRightInd w:val="0"/>
        <w:snapToGrid w:val="0"/>
        <w:spacing w:after="0"/>
        <w:rPr>
          <w:rFonts w:ascii="Times New Roman" w:hAnsi="Times New Roman"/>
          <w:lang w:val="en-AU"/>
        </w:rPr>
      </w:pPr>
    </w:p>
    <w:p w14:paraId="3B48FA52" w14:textId="77777777" w:rsidR="0014588F" w:rsidRPr="00B658D7"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B658D7">
        <w:rPr>
          <w:rFonts w:ascii="Times New Roman" w:hAnsi="Times New Roman"/>
          <w:b/>
          <w:lang w:val="en-AU"/>
        </w:rPr>
        <w:t>SC13 adopted the report of ISG-04 on the Shark Research Plan and future work plan (Attachment I).</w:t>
      </w:r>
    </w:p>
    <w:p w14:paraId="79B7DF12"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1DF5BA17"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3" w:name="_Toc498688664"/>
      <w:r w:rsidRPr="009C2ADD">
        <w:rPr>
          <w:color w:val="auto"/>
          <w:szCs w:val="22"/>
          <w:lang w:val="en-AU"/>
        </w:rPr>
        <w:t xml:space="preserve">6.3 </w:t>
      </w:r>
      <w:r w:rsidRPr="009C2ADD">
        <w:rPr>
          <w:color w:val="auto"/>
          <w:szCs w:val="22"/>
          <w:lang w:val="en-AU"/>
        </w:rPr>
        <w:tab/>
        <w:t>Seabirds</w:t>
      </w:r>
      <w:bookmarkEnd w:id="53"/>
      <w:r w:rsidRPr="009C2ADD">
        <w:rPr>
          <w:color w:val="auto"/>
          <w:szCs w:val="22"/>
          <w:lang w:val="en-AU"/>
        </w:rPr>
        <w:t xml:space="preserve"> </w:t>
      </w:r>
    </w:p>
    <w:p w14:paraId="76F0C444"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0DA66296"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b/>
          <w:lang w:val="en-AU"/>
        </w:rPr>
        <w:t xml:space="preserve">SC13 noted from a number of CCM Part 1 Reports </w:t>
      </w:r>
      <w:proofErr w:type="gramStart"/>
      <w:r w:rsidRPr="009C2ADD">
        <w:rPr>
          <w:rFonts w:ascii="Times New Roman" w:hAnsi="Times New Roman"/>
          <w:b/>
          <w:lang w:val="en-AU"/>
        </w:rPr>
        <w:t>that high bycatch rates</w:t>
      </w:r>
      <w:proofErr w:type="gramEnd"/>
      <w:r w:rsidRPr="009C2ADD">
        <w:rPr>
          <w:rFonts w:ascii="Times New Roman" w:hAnsi="Times New Roman"/>
          <w:b/>
          <w:lang w:val="en-AU"/>
        </w:rPr>
        <w:t xml:space="preserve"> of seabirds, and in particular albatross, continue to be reported by some CCMs fishing in waters south of 30ºS. Therefore, SC13, taking note that SPC is about to initiate a project to assess seabird interactions with WCPFC fisheries and will report the results to SC14, recommends that TCC and the Commission review both observer coverage rates (used to estimate total seabird interactions) and the application of mitigation by fleets operating in this area, to inform what further action, if any, may be required by the Commission to address this issue</w:t>
      </w:r>
      <w:r w:rsidRPr="009C2ADD">
        <w:rPr>
          <w:rFonts w:ascii="Times New Roman" w:hAnsi="Times New Roman"/>
          <w:lang w:val="en-AU"/>
        </w:rPr>
        <w:t>.</w:t>
      </w:r>
    </w:p>
    <w:p w14:paraId="4320CDF6" w14:textId="77777777" w:rsidR="0014588F" w:rsidRPr="009C2ADD" w:rsidRDefault="0014588F" w:rsidP="0014588F">
      <w:pPr>
        <w:adjustRightInd w:val="0"/>
        <w:snapToGrid w:val="0"/>
        <w:spacing w:after="0"/>
        <w:ind w:left="360"/>
        <w:rPr>
          <w:rFonts w:ascii="Times New Roman" w:hAnsi="Times New Roman"/>
          <w:b/>
        </w:rPr>
      </w:pPr>
    </w:p>
    <w:p w14:paraId="5C8A3C6B"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4" w:name="_Toc498688665"/>
      <w:r w:rsidRPr="009C2ADD">
        <w:rPr>
          <w:color w:val="auto"/>
          <w:szCs w:val="22"/>
          <w:lang w:val="en-AU"/>
        </w:rPr>
        <w:t xml:space="preserve">6.4 </w:t>
      </w:r>
      <w:r w:rsidRPr="009C2ADD">
        <w:rPr>
          <w:color w:val="auto"/>
          <w:szCs w:val="22"/>
          <w:lang w:val="en-AU"/>
        </w:rPr>
        <w:tab/>
        <w:t>Sea Turtles</w:t>
      </w:r>
      <w:bookmarkEnd w:id="54"/>
      <w:r w:rsidRPr="009C2ADD">
        <w:rPr>
          <w:color w:val="auto"/>
          <w:szCs w:val="22"/>
          <w:lang w:val="en-AU"/>
        </w:rPr>
        <w:t xml:space="preserve"> </w:t>
      </w:r>
    </w:p>
    <w:p w14:paraId="3E3CBDD9" w14:textId="77777777" w:rsidR="0014588F" w:rsidRPr="009C2ADD" w:rsidRDefault="0014588F" w:rsidP="0014588F">
      <w:pPr>
        <w:adjustRightInd w:val="0"/>
        <w:snapToGrid w:val="0"/>
        <w:spacing w:after="0"/>
        <w:ind w:left="567"/>
        <w:rPr>
          <w:rFonts w:ascii="Times New Roman" w:hAnsi="Times New Roman"/>
        </w:rPr>
      </w:pPr>
    </w:p>
    <w:p w14:paraId="3B4BF3A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TCC and the Commission note the following findings of the Workshop when discussing sea turtle mitigation in the WCPF Convention Area:  </w:t>
      </w:r>
    </w:p>
    <w:p w14:paraId="6BCFA5AF"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The WCPFC does not hold sufficient information to quantify the severity of the threat posed by longline fisheries to sea turtle populations;</w:t>
      </w:r>
    </w:p>
    <w:p w14:paraId="18141E1E"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The effect of large circle hooks (size 16/0 or larger) in reducing interactions is generally greater than the effect of fish bait;</w:t>
      </w:r>
    </w:p>
    <w:p w14:paraId="56D41BD2"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 of fish bait in reducing both interactions and mortality is generally similar to that of removal of the first hook position closest to each float; </w:t>
      </w:r>
    </w:p>
    <w:p w14:paraId="223C269A"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 of large circle hooks (size 16/0 or larger) in reducing both interactions and mortality is generally similar to that of removal of the first two hook positions closest to each float; </w:t>
      </w:r>
    </w:p>
    <w:p w14:paraId="78A19737"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While approximately 20% of the WCPO longline effort is in shallow sets, analysis suggests that &lt;1% of WCPO longline effort is currently subject to mitigation;  </w:t>
      </w:r>
    </w:p>
    <w:p w14:paraId="6A331ECD"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Noting that the workshop separated shallow and deep sets at 10 hooks per basket, it found that</w:t>
      </w:r>
      <w:r w:rsidRPr="009C2ADD">
        <w:rPr>
          <w:rFonts w:ascii="Times New Roman" w:eastAsia="Times New Roman" w:hAnsi="Times New Roman"/>
          <w:b/>
          <w:strike/>
          <w:lang w:val="en-US"/>
        </w:rPr>
        <w:t xml:space="preserve"> </w:t>
      </w:r>
      <w:r w:rsidRPr="009C2ADD">
        <w:rPr>
          <w:rFonts w:ascii="Times New Roman" w:eastAsia="Times New Roman" w:hAnsi="Times New Roman"/>
          <w:b/>
          <w:lang w:val="en-US"/>
        </w:rPr>
        <w:t>although interaction rates are higher in shallow-set longlines, introducing mitigation to deep-set longlines would deliver greater reductions in total interactions as compared to shallow-set longlines due to the four-times greater effort in deep-set longline fisheries;</w:t>
      </w:r>
    </w:p>
    <w:p w14:paraId="4631880C" w14:textId="77777777" w:rsidR="0014588F" w:rsidRPr="009C2ADD" w:rsidRDefault="0014588F" w:rsidP="0014588F">
      <w:pPr>
        <w:numPr>
          <w:ilvl w:val="0"/>
          <w:numId w:val="7"/>
        </w:numPr>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Similarly, introducing mitigation to deep-set longlines would deliver greater reductions in at-vessel mortality as compared to shallow-set mitigation because sea turtles have a higher probability of asphyxiation in deep sets; </w:t>
      </w:r>
    </w:p>
    <w:p w14:paraId="753D0B93"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effects of these and other combinations of mitigation measures are quantified and discussed in the final workshop report “Joint Analysis of Sea Turtle Mitigation Effectiveness” which can serve as a reference for the Commission’s further consideration of CMM 2008-03. </w:t>
      </w:r>
    </w:p>
    <w:p w14:paraId="41F1F0BA" w14:textId="77777777" w:rsidR="0014588F" w:rsidRPr="009C2ADD" w:rsidRDefault="0014588F" w:rsidP="0014588F">
      <w:pPr>
        <w:numPr>
          <w:ilvl w:val="0"/>
          <w:numId w:val="7"/>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It be determined if sufficient data exist to conduct further analyses to evaluate the impacts of various mitigation measures on fisheries operations in WCPO and on populations of sea turtle species. </w:t>
      </w:r>
    </w:p>
    <w:p w14:paraId="79ACDFD1" w14:textId="77777777" w:rsidR="0014588F" w:rsidRPr="009C2ADD" w:rsidRDefault="0014588F" w:rsidP="0014588F">
      <w:pPr>
        <w:adjustRightInd w:val="0"/>
        <w:snapToGrid w:val="0"/>
        <w:spacing w:after="0"/>
        <w:rPr>
          <w:rFonts w:ascii="Times New Roman" w:hAnsi="Times New Roman"/>
        </w:rPr>
      </w:pPr>
    </w:p>
    <w:p w14:paraId="7813435E" w14:textId="77777777" w:rsidR="0014588F" w:rsidRPr="009C2ADD" w:rsidRDefault="0014588F" w:rsidP="0014588F">
      <w:pPr>
        <w:adjustRightInd w:val="0"/>
        <w:snapToGrid w:val="0"/>
        <w:spacing w:after="0"/>
        <w:ind w:firstLine="720"/>
        <w:rPr>
          <w:rFonts w:ascii="Times New Roman" w:eastAsia="바탕" w:hAnsi="Times New Roman"/>
          <w:lang w:eastAsia="ko-KR"/>
        </w:rPr>
      </w:pPr>
    </w:p>
    <w:p w14:paraId="160C6350" w14:textId="77777777" w:rsidR="0014588F" w:rsidRPr="009C2ADD" w:rsidRDefault="0014588F" w:rsidP="0014588F">
      <w:pPr>
        <w:pStyle w:val="Heading1"/>
        <w:adjustRightInd w:val="0"/>
        <w:snapToGrid w:val="0"/>
        <w:rPr>
          <w:rFonts w:ascii="Times New Roman" w:hAnsi="Times New Roman"/>
          <w:sz w:val="22"/>
          <w:szCs w:val="22"/>
        </w:rPr>
      </w:pPr>
      <w:bookmarkStart w:id="55" w:name="_Toc498688666"/>
      <w:r w:rsidRPr="009C2ADD">
        <w:rPr>
          <w:rFonts w:ascii="Times New Roman" w:hAnsi="Times New Roman"/>
          <w:sz w:val="22"/>
          <w:szCs w:val="22"/>
        </w:rPr>
        <w:t>AGENDA ITEM 7 - Other Research Projects</w:t>
      </w:r>
      <w:bookmarkEnd w:id="55"/>
    </w:p>
    <w:p w14:paraId="744AB8C5" w14:textId="77777777" w:rsidR="0014588F" w:rsidRPr="009C2ADD" w:rsidRDefault="0014588F" w:rsidP="0014588F">
      <w:pPr>
        <w:adjustRightInd w:val="0"/>
        <w:snapToGrid w:val="0"/>
        <w:spacing w:after="0"/>
        <w:ind w:left="720" w:hanging="720"/>
        <w:rPr>
          <w:rFonts w:ascii="Times New Roman" w:hAnsi="Times New Roman"/>
          <w:b/>
        </w:rPr>
      </w:pPr>
    </w:p>
    <w:p w14:paraId="719F4D0F" w14:textId="77777777" w:rsidR="0014588F" w:rsidRPr="009C2ADD" w:rsidRDefault="0014588F" w:rsidP="0014588F">
      <w:pPr>
        <w:adjustRightInd w:val="0"/>
        <w:snapToGrid w:val="0"/>
        <w:spacing w:after="0"/>
        <w:ind w:left="720" w:hanging="720"/>
        <w:rPr>
          <w:rFonts w:ascii="Times New Roman" w:hAnsi="Times New Roman"/>
          <w:b/>
        </w:rPr>
      </w:pPr>
    </w:p>
    <w:p w14:paraId="075C1D15"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6" w:name="_Toc498688667"/>
      <w:r w:rsidRPr="009C2ADD">
        <w:rPr>
          <w:color w:val="auto"/>
          <w:szCs w:val="22"/>
          <w:lang w:val="en-AU"/>
        </w:rPr>
        <w:t xml:space="preserve">7.1 </w:t>
      </w:r>
      <w:r w:rsidRPr="009C2ADD">
        <w:rPr>
          <w:color w:val="auto"/>
          <w:szCs w:val="22"/>
          <w:lang w:val="en-AU"/>
        </w:rPr>
        <w:tab/>
        <w:t>West Pacific East Asia Project</w:t>
      </w:r>
      <w:bookmarkEnd w:id="56"/>
      <w:r w:rsidRPr="009C2ADD">
        <w:rPr>
          <w:color w:val="auto"/>
          <w:szCs w:val="22"/>
          <w:lang w:val="en-AU"/>
        </w:rPr>
        <w:t xml:space="preserve"> </w:t>
      </w:r>
    </w:p>
    <w:p w14:paraId="73D46001" w14:textId="77777777" w:rsidR="0014588F" w:rsidRPr="009C2ADD" w:rsidRDefault="0014588F" w:rsidP="0014588F">
      <w:pPr>
        <w:adjustRightInd w:val="0"/>
        <w:snapToGrid w:val="0"/>
        <w:spacing w:after="0"/>
        <w:rPr>
          <w:rFonts w:ascii="Times New Roman" w:hAnsi="Times New Roman"/>
          <w:lang w:val="en-AU" w:eastAsia="ko-KR"/>
        </w:rPr>
      </w:pPr>
    </w:p>
    <w:p w14:paraId="3573FB1A"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 Soh (Secretariat)</w:t>
      </w:r>
      <w:r>
        <w:rPr>
          <w:rFonts w:ascii="Times New Roman" w:hAnsi="Times New Roman"/>
          <w:lang w:val="en-AU"/>
        </w:rPr>
        <w:t xml:space="preserve"> introduced </w:t>
      </w:r>
      <w:r w:rsidRPr="0070772D">
        <w:rPr>
          <w:rFonts w:ascii="Times New Roman" w:hAnsi="Times New Roman"/>
          <w:bCs/>
          <w:lang w:val="en-AU"/>
        </w:rPr>
        <w:t>SC13-RP-WPEA-01</w:t>
      </w:r>
      <w:r w:rsidRPr="009C2ADD">
        <w:rPr>
          <w:rFonts w:ascii="Times New Roman" w:hAnsi="Times New Roman"/>
          <w:lang w:val="en-AU"/>
        </w:rPr>
        <w:t xml:space="preserve"> </w:t>
      </w:r>
      <w:r w:rsidRPr="009C2ADD">
        <w:rPr>
          <w:rFonts w:ascii="Times New Roman" w:hAnsi="Times New Roman"/>
          <w:i/>
          <w:lang w:val="en-AU"/>
        </w:rPr>
        <w:t>Project Progress Report (WPEA)</w:t>
      </w:r>
      <w:r w:rsidRPr="009C2ADD">
        <w:rPr>
          <w:rFonts w:ascii="Times New Roman" w:hAnsi="Times New Roman"/>
          <w:lang w:val="en-AU"/>
        </w:rPr>
        <w:t xml:space="preserve"> and </w:t>
      </w:r>
      <w:r w:rsidRPr="0070772D">
        <w:rPr>
          <w:rFonts w:ascii="Times New Roman" w:hAnsi="Times New Roman"/>
          <w:bCs/>
          <w:lang w:val="en-AU"/>
        </w:rPr>
        <w:t>SC13-RP-WPEA-02</w:t>
      </w:r>
      <w:r w:rsidRPr="009C2ADD">
        <w:rPr>
          <w:rFonts w:ascii="Times New Roman" w:hAnsi="Times New Roman"/>
          <w:lang w:val="en-AU"/>
        </w:rPr>
        <w:t xml:space="preserve"> </w:t>
      </w:r>
      <w:r w:rsidRPr="009C2ADD">
        <w:rPr>
          <w:rFonts w:ascii="Times New Roman" w:hAnsi="Times New Roman"/>
          <w:i/>
          <w:lang w:val="en-AU"/>
        </w:rPr>
        <w:t>Midterm review report on WEA-SM Project (UNDP)</w:t>
      </w:r>
      <w:r w:rsidRPr="009C2ADD">
        <w:rPr>
          <w:rFonts w:ascii="Times New Roman" w:hAnsi="Times New Roman"/>
          <w:lang w:val="en-AU"/>
        </w:rPr>
        <w:t xml:space="preserve">. </w:t>
      </w:r>
      <w:r w:rsidRPr="009C2ADD">
        <w:rPr>
          <w:rFonts w:ascii="Times New Roman" w:hAnsi="Times New Roman"/>
          <w:lang w:val="en-AU" w:eastAsia="ko-KR"/>
        </w:rPr>
        <w:t xml:space="preserve">Due to </w:t>
      </w:r>
      <w:r w:rsidRPr="009C2ADD">
        <w:rPr>
          <w:rFonts w:ascii="Times New Roman" w:hAnsi="Times New Roman"/>
          <w:lang w:val="en-AU"/>
        </w:rPr>
        <w:t>delays in implementing the project in Indonesia and Viet Nam</w:t>
      </w:r>
      <w:r w:rsidRPr="009C2ADD">
        <w:rPr>
          <w:rFonts w:ascii="Times New Roman" w:hAnsi="Times New Roman"/>
          <w:lang w:val="en-AU" w:eastAsia="ko-KR"/>
        </w:rPr>
        <w:t>, t</w:t>
      </w:r>
      <w:r w:rsidRPr="009C2ADD">
        <w:rPr>
          <w:rFonts w:ascii="Times New Roman" w:hAnsi="Times New Roman"/>
          <w:lang w:eastAsia="ko-KR"/>
        </w:rPr>
        <w:t>he fourth Project Board meeting held on 5</w:t>
      </w:r>
      <w:r w:rsidRPr="009C2ADD">
        <w:rPr>
          <w:rFonts w:ascii="Times New Roman" w:hAnsi="Times New Roman"/>
          <w:vertAlign w:val="superscript"/>
          <w:lang w:eastAsia="ko-KR"/>
        </w:rPr>
        <w:t>th</w:t>
      </w:r>
      <w:r w:rsidRPr="009C2ADD">
        <w:rPr>
          <w:rFonts w:ascii="Times New Roman" w:hAnsi="Times New Roman"/>
          <w:lang w:eastAsia="ko-KR"/>
        </w:rPr>
        <w:t xml:space="preserve"> of May 2017 in Yogyakarta, Indonesia, agreed to a no-cost extension of the project for 15 months (by the end of </w:t>
      </w:r>
      <w:r>
        <w:rPr>
          <w:rFonts w:ascii="Times New Roman" w:hAnsi="Times New Roman"/>
          <w:lang w:eastAsia="ko-KR"/>
        </w:rPr>
        <w:t>April</w:t>
      </w:r>
      <w:r w:rsidRPr="009C2ADD">
        <w:rPr>
          <w:rFonts w:ascii="Times New Roman" w:hAnsi="Times New Roman"/>
          <w:lang w:eastAsia="ko-KR"/>
        </w:rPr>
        <w:t xml:space="preserve"> 2019). </w:t>
      </w:r>
    </w:p>
    <w:p w14:paraId="3D74EE23" w14:textId="77777777" w:rsidR="0014588F" w:rsidRPr="009C2ADD" w:rsidRDefault="0014588F" w:rsidP="0014588F">
      <w:pPr>
        <w:adjustRightInd w:val="0"/>
        <w:snapToGrid w:val="0"/>
        <w:spacing w:after="0"/>
        <w:ind w:left="720"/>
        <w:rPr>
          <w:rFonts w:ascii="Times New Roman" w:hAnsi="Times New Roman"/>
          <w:iCs/>
          <w:lang w:val="en-US"/>
        </w:rPr>
      </w:pPr>
    </w:p>
    <w:p w14:paraId="49E07873"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7" w:name="_Toc498688668"/>
      <w:r w:rsidRPr="009C2ADD">
        <w:rPr>
          <w:color w:val="auto"/>
          <w:szCs w:val="22"/>
          <w:lang w:val="en-AU"/>
        </w:rPr>
        <w:t xml:space="preserve">7.2 </w:t>
      </w:r>
      <w:r w:rsidRPr="009C2ADD">
        <w:rPr>
          <w:color w:val="auto"/>
          <w:szCs w:val="22"/>
          <w:lang w:val="en-AU"/>
        </w:rPr>
        <w:tab/>
        <w:t>Pacific Tuna Tagging Project</w:t>
      </w:r>
      <w:bookmarkEnd w:id="57"/>
      <w:r w:rsidRPr="009C2ADD">
        <w:rPr>
          <w:color w:val="auto"/>
          <w:szCs w:val="22"/>
          <w:lang w:val="en-AU"/>
        </w:rPr>
        <w:t xml:space="preserve">  </w:t>
      </w:r>
    </w:p>
    <w:p w14:paraId="4379B569" w14:textId="77777777" w:rsidR="0014588F" w:rsidRPr="009C2ADD" w:rsidRDefault="0014588F" w:rsidP="0014588F">
      <w:pPr>
        <w:adjustRightInd w:val="0"/>
        <w:snapToGrid w:val="0"/>
        <w:spacing w:after="0"/>
        <w:rPr>
          <w:rFonts w:ascii="Times New Roman" w:hAnsi="Times New Roman"/>
          <w:lang w:val="en-AU" w:eastAsia="ko-KR"/>
        </w:rPr>
      </w:pPr>
    </w:p>
    <w:p w14:paraId="2F314A9F"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w:t>
      </w:r>
      <w:r>
        <w:rPr>
          <w:rFonts w:ascii="Times New Roman" w:hAnsi="Times New Roman" w:hint="eastAsia"/>
          <w:lang w:val="en-AU" w:eastAsia="ko-KR"/>
        </w:rPr>
        <w:t>.</w:t>
      </w:r>
      <w:r w:rsidRPr="009C2ADD">
        <w:rPr>
          <w:rFonts w:ascii="Times New Roman" w:hAnsi="Times New Roman"/>
          <w:lang w:val="en-AU"/>
        </w:rPr>
        <w:t xml:space="preserve"> Williams (SPC-OFP) presented </w:t>
      </w:r>
      <w:r w:rsidRPr="0070772D">
        <w:rPr>
          <w:rFonts w:ascii="Times New Roman" w:hAnsi="Times New Roman"/>
          <w:bCs/>
          <w:lang w:val="en-AU"/>
        </w:rPr>
        <w:t>SC13-RP-PTTP-02</w:t>
      </w:r>
      <w:r w:rsidRPr="009C2ADD">
        <w:rPr>
          <w:rFonts w:ascii="Times New Roman" w:hAnsi="Times New Roman"/>
          <w:lang w:val="en-AU"/>
        </w:rPr>
        <w:t xml:space="preserve"> </w:t>
      </w:r>
      <w:r w:rsidRPr="009C2ADD">
        <w:rPr>
          <w:rFonts w:ascii="Times New Roman" w:hAnsi="Times New Roman"/>
          <w:i/>
          <w:lang w:val="en-AU"/>
        </w:rPr>
        <w:t>Pacific Tuna Tagging Project Report and Workplan for 2017-2021</w:t>
      </w:r>
      <w:r w:rsidRPr="009C2ADD">
        <w:rPr>
          <w:rFonts w:ascii="Times New Roman" w:hAnsi="Times New Roman"/>
          <w:lang w:val="en-AU"/>
        </w:rPr>
        <w:t xml:space="preserve">. This report provides background on the PTTP to date, and covers the tagging activities undertaken in 2016-17 under the banner of the PTTP including research voyages, tag recoveries, tag recovery and tag seeding activities, and tagging related analyses. Issues arising in 2017 for PTTP steering committee consideration are highlighted. The PTTP work planned for 2017-2020 is outlined and an agenda for the 2017 meeting of the PTTP steering committee is provided. </w:t>
      </w:r>
    </w:p>
    <w:p w14:paraId="11088890" w14:textId="77777777" w:rsidR="0014588F" w:rsidRPr="009C2ADD" w:rsidRDefault="0014588F" w:rsidP="0014588F">
      <w:pPr>
        <w:pStyle w:val="ListParagraph"/>
        <w:adjustRightInd w:val="0"/>
        <w:snapToGrid w:val="0"/>
        <w:contextualSpacing w:val="0"/>
        <w:rPr>
          <w:rFonts w:ascii="Times New Roman" w:hAnsi="Times New Roman"/>
          <w:lang w:val="en-AU"/>
        </w:rPr>
      </w:pPr>
    </w:p>
    <w:p w14:paraId="0F6BA4C7" w14:textId="77777777" w:rsidR="0014588F" w:rsidRPr="009C2ADD" w:rsidRDefault="0014588F" w:rsidP="0014588F">
      <w:pPr>
        <w:pStyle w:val="WCPFC"/>
        <w:adjustRightInd w:val="0"/>
        <w:spacing w:after="0"/>
        <w:rPr>
          <w:b/>
          <w:lang w:val="en-AU"/>
        </w:rPr>
      </w:pPr>
      <w:r w:rsidRPr="009C2ADD">
        <w:rPr>
          <w:b/>
          <w:lang w:val="en-AU"/>
        </w:rPr>
        <w:t>The Scientific Committee endorsed the PTTP work plan for 2017-2020, and supported:</w:t>
      </w:r>
    </w:p>
    <w:p w14:paraId="2F9D1D11" w14:textId="77777777" w:rsidR="0014588F" w:rsidRPr="009C2ADD" w:rsidRDefault="0014588F" w:rsidP="0014588F">
      <w:pPr>
        <w:numPr>
          <w:ilvl w:val="0"/>
          <w:numId w:val="56"/>
        </w:numPr>
        <w:adjustRightInd w:val="0"/>
        <w:snapToGrid w:val="0"/>
        <w:spacing w:after="0"/>
        <w:ind w:left="1080"/>
        <w:rPr>
          <w:rFonts w:ascii="Times New Roman" w:hAnsi="Times New Roman"/>
          <w:b/>
          <w:lang w:val="en-AU"/>
        </w:rPr>
      </w:pPr>
      <w:r w:rsidRPr="009C2ADD">
        <w:rPr>
          <w:rFonts w:ascii="Times New Roman" w:hAnsi="Times New Roman"/>
          <w:b/>
          <w:lang w:val="en-AU"/>
        </w:rPr>
        <w:t>the PTTP as part of the ongoing work of the SC;</w:t>
      </w:r>
    </w:p>
    <w:p w14:paraId="3970E68C" w14:textId="77777777" w:rsidR="0014588F" w:rsidRPr="009C2ADD" w:rsidRDefault="0014588F" w:rsidP="0014588F">
      <w:pPr>
        <w:numPr>
          <w:ilvl w:val="0"/>
          <w:numId w:val="56"/>
        </w:numPr>
        <w:adjustRightInd w:val="0"/>
        <w:snapToGrid w:val="0"/>
        <w:spacing w:after="0"/>
        <w:ind w:left="1080"/>
        <w:rPr>
          <w:rFonts w:ascii="Times New Roman" w:hAnsi="Times New Roman"/>
          <w:b/>
          <w:lang w:val="en-AU"/>
        </w:rPr>
      </w:pPr>
      <w:r w:rsidRPr="009C2ADD">
        <w:rPr>
          <w:rFonts w:ascii="Times New Roman" w:hAnsi="Times New Roman"/>
          <w:b/>
          <w:lang w:val="en-AU"/>
        </w:rPr>
        <w:t>efforts to identify sustainable financing of the PTTP, through a combination of WCPFC budget support to the extent possible and voluntary contributions from WCPFC members or other stakeholders; and</w:t>
      </w:r>
    </w:p>
    <w:p w14:paraId="3B496CBD" w14:textId="77777777" w:rsidR="0014588F" w:rsidRPr="009C2ADD" w:rsidRDefault="0014588F" w:rsidP="0014588F">
      <w:pPr>
        <w:numPr>
          <w:ilvl w:val="0"/>
          <w:numId w:val="56"/>
        </w:numPr>
        <w:adjustRightInd w:val="0"/>
        <w:snapToGrid w:val="0"/>
        <w:spacing w:after="0"/>
        <w:ind w:left="1080"/>
        <w:rPr>
          <w:rFonts w:ascii="Times New Roman" w:hAnsi="Times New Roman"/>
          <w:b/>
          <w:lang w:val="en-AU"/>
        </w:rPr>
      </w:pPr>
      <w:proofErr w:type="gramStart"/>
      <w:r w:rsidRPr="009C2ADD">
        <w:rPr>
          <w:rFonts w:ascii="Times New Roman" w:hAnsi="Times New Roman"/>
          <w:b/>
          <w:lang w:val="en-AU"/>
        </w:rPr>
        <w:t>an</w:t>
      </w:r>
      <w:proofErr w:type="gramEnd"/>
      <w:r w:rsidRPr="009C2ADD">
        <w:rPr>
          <w:rFonts w:ascii="Times New Roman" w:hAnsi="Times New Roman"/>
          <w:b/>
          <w:lang w:val="en-AU"/>
        </w:rPr>
        <w:t xml:space="preserve"> assessment of the cost-effectiveness of acquiring and running a dedicated tagging vessel.</w:t>
      </w:r>
    </w:p>
    <w:p w14:paraId="0ADD6D60" w14:textId="77777777" w:rsidR="0014588F" w:rsidRPr="009C2ADD" w:rsidRDefault="0014588F" w:rsidP="0014588F">
      <w:pPr>
        <w:adjustRightInd w:val="0"/>
        <w:snapToGrid w:val="0"/>
        <w:spacing w:after="0"/>
        <w:rPr>
          <w:rFonts w:ascii="Times New Roman" w:hAnsi="Times New Roman"/>
          <w:b/>
          <w:lang w:val="en-AU"/>
        </w:rPr>
      </w:pPr>
    </w:p>
    <w:p w14:paraId="6BB99FC3"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8" w:name="_Toc498688669"/>
      <w:r w:rsidRPr="009C2ADD">
        <w:rPr>
          <w:color w:val="auto"/>
          <w:szCs w:val="22"/>
          <w:lang w:val="en-AU"/>
        </w:rPr>
        <w:t xml:space="preserve">7.3 </w:t>
      </w:r>
      <w:r w:rsidRPr="009C2ADD">
        <w:rPr>
          <w:color w:val="auto"/>
          <w:szCs w:val="22"/>
          <w:lang w:val="en-AU"/>
        </w:rPr>
        <w:tab/>
        <w:t>ABNJ (Common Oceans) Tuna Project – Shark and Bycatch Components</w:t>
      </w:r>
      <w:bookmarkEnd w:id="58"/>
    </w:p>
    <w:p w14:paraId="4B32FC44" w14:textId="77777777" w:rsidR="0014588F" w:rsidRPr="009C2ADD" w:rsidRDefault="0014588F" w:rsidP="0014588F">
      <w:pPr>
        <w:adjustRightInd w:val="0"/>
        <w:snapToGrid w:val="0"/>
        <w:spacing w:after="0"/>
        <w:rPr>
          <w:rFonts w:ascii="Times New Roman" w:hAnsi="Times New Roman"/>
          <w:lang w:val="en-AU" w:eastAsia="ko-KR"/>
        </w:rPr>
      </w:pPr>
    </w:p>
    <w:p w14:paraId="7E04A347"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Pr>
          <w:rFonts w:ascii="Times New Roman" w:hAnsi="Times New Roman"/>
          <w:lang w:val="en-AU"/>
        </w:rPr>
        <w:t>.</w:t>
      </w:r>
      <w:r w:rsidRPr="009C2ADD">
        <w:rPr>
          <w:rFonts w:ascii="Times New Roman" w:hAnsi="Times New Roman"/>
          <w:lang w:val="en-AU"/>
        </w:rPr>
        <w:t xml:space="preserve"> Clarke presented </w:t>
      </w:r>
      <w:r w:rsidRPr="0070772D">
        <w:rPr>
          <w:rFonts w:ascii="Times New Roman" w:hAnsi="Times New Roman"/>
          <w:bCs/>
          <w:lang w:val="en-AU"/>
        </w:rPr>
        <w:t>SC13- RP-ABNJ-01</w:t>
      </w:r>
      <w:r w:rsidRPr="009C2ADD">
        <w:rPr>
          <w:rFonts w:ascii="Times New Roman" w:hAnsi="Times New Roman"/>
          <w:lang w:val="en-AU"/>
        </w:rPr>
        <w:t xml:space="preserve"> </w:t>
      </w:r>
      <w:r w:rsidRPr="009C2ADD">
        <w:rPr>
          <w:rFonts w:ascii="Times New Roman" w:hAnsi="Times New Roman"/>
          <w:i/>
          <w:lang w:val="en-AU"/>
        </w:rPr>
        <w:t>Update on the Common Oceans (ABNJ) Tuna Project’s Shark and Bycatch Components 2016-2017</w:t>
      </w:r>
      <w:r w:rsidRPr="009C2ADD">
        <w:rPr>
          <w:rFonts w:ascii="Times New Roman" w:hAnsi="Times New Roman"/>
          <w:lang w:val="en-AU"/>
        </w:rPr>
        <w:t xml:space="preserve">. </w:t>
      </w:r>
      <w:r>
        <w:rPr>
          <w:rFonts w:ascii="Times New Roman" w:hAnsi="Times New Roman"/>
          <w:lang w:val="en-AU" w:eastAsia="ko-KR"/>
        </w:rPr>
        <w:t>She</w:t>
      </w:r>
      <w:r w:rsidRPr="009C2ADD">
        <w:rPr>
          <w:rFonts w:ascii="Times New Roman" w:hAnsi="Times New Roman"/>
          <w:lang w:val="en-AU"/>
        </w:rPr>
        <w:t xml:space="preserve"> also referred delegates to SC13-EB-IP-14 which reported on the outcomes of two Regional Seabird Bycatch Pre-assessment Workshops held in early 2017, and planned a data preparation workshop.</w:t>
      </w:r>
    </w:p>
    <w:p w14:paraId="12F8CE30"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6E0AB06C"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59" w:name="_Toc498688670"/>
      <w:r w:rsidRPr="009C2ADD">
        <w:rPr>
          <w:color w:val="auto"/>
          <w:szCs w:val="22"/>
          <w:lang w:val="en-AU"/>
        </w:rPr>
        <w:t xml:space="preserve">7.4 </w:t>
      </w:r>
      <w:r w:rsidRPr="009C2ADD">
        <w:rPr>
          <w:color w:val="auto"/>
          <w:szCs w:val="22"/>
          <w:lang w:val="en-AU"/>
        </w:rPr>
        <w:tab/>
        <w:t>WCPFC Tissue Bank (Project 35b)</w:t>
      </w:r>
      <w:bookmarkEnd w:id="59"/>
    </w:p>
    <w:p w14:paraId="2B1F06C9" w14:textId="77777777" w:rsidR="0014588F" w:rsidRPr="009C2ADD" w:rsidRDefault="0014588F" w:rsidP="0014588F">
      <w:pPr>
        <w:adjustRightInd w:val="0"/>
        <w:snapToGrid w:val="0"/>
        <w:spacing w:after="0"/>
        <w:rPr>
          <w:rFonts w:ascii="Times New Roman" w:hAnsi="Times New Roman"/>
          <w:lang w:val="en-AU" w:eastAsia="ko-KR"/>
        </w:rPr>
      </w:pPr>
    </w:p>
    <w:p w14:paraId="605427E8"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w:t>
      </w:r>
      <w:r>
        <w:rPr>
          <w:rFonts w:ascii="Times New Roman" w:hAnsi="Times New Roman"/>
          <w:lang w:val="en-AU"/>
        </w:rPr>
        <w:t>.</w:t>
      </w:r>
      <w:r w:rsidRPr="009C2ADD">
        <w:rPr>
          <w:rFonts w:ascii="Times New Roman" w:hAnsi="Times New Roman"/>
          <w:lang w:val="en-AU"/>
        </w:rPr>
        <w:t xml:space="preserve"> Smith presented SC13-RP-P35-01 Project 35: </w:t>
      </w:r>
      <w:r w:rsidRPr="0070772D">
        <w:rPr>
          <w:rFonts w:ascii="Times New Roman" w:hAnsi="Times New Roman"/>
          <w:i/>
          <w:lang w:val="en-AU"/>
        </w:rPr>
        <w:t>Bigeye biology</w:t>
      </w:r>
      <w:r w:rsidRPr="009C2ADD">
        <w:rPr>
          <w:rFonts w:ascii="Times New Roman" w:hAnsi="Times New Roman"/>
          <w:lang w:val="en-AU"/>
        </w:rPr>
        <w:t xml:space="preserve">, Project 35b: </w:t>
      </w:r>
      <w:r w:rsidRPr="0070772D">
        <w:rPr>
          <w:rFonts w:ascii="Times New Roman" w:hAnsi="Times New Roman"/>
          <w:i/>
          <w:lang w:val="en-AU"/>
        </w:rPr>
        <w:t>WCPFC Tuna Tissue Bank</w:t>
      </w:r>
      <w:r w:rsidRPr="009C2ADD">
        <w:rPr>
          <w:rFonts w:ascii="Times New Roman" w:hAnsi="Times New Roman"/>
          <w:lang w:val="en-AU"/>
        </w:rPr>
        <w:t xml:space="preserve"> and SC13-RP-P35b-02 </w:t>
      </w:r>
      <w:r w:rsidRPr="0070772D">
        <w:rPr>
          <w:rFonts w:ascii="Times New Roman" w:hAnsi="Times New Roman"/>
          <w:i/>
          <w:lang w:val="en-AU"/>
        </w:rPr>
        <w:t>Development</w:t>
      </w:r>
      <w:r w:rsidRPr="0070772D">
        <w:rPr>
          <w:rFonts w:ascii="Times New Roman" w:hAnsi="Times New Roman"/>
          <w:i/>
          <w:lang w:val="en-AU" w:eastAsia="ko-KR"/>
        </w:rPr>
        <w:t xml:space="preserve"> of</w:t>
      </w:r>
      <w:r w:rsidRPr="0070772D">
        <w:rPr>
          <w:rFonts w:ascii="Times New Roman" w:hAnsi="Times New Roman"/>
          <w:i/>
          <w:lang w:val="en-AU"/>
        </w:rPr>
        <w:t xml:space="preserve"> a Pacific Community Marine Specimen Bank</w:t>
      </w:r>
      <w:r w:rsidRPr="009C2ADD">
        <w:rPr>
          <w:rFonts w:ascii="Times New Roman" w:hAnsi="Times New Roman"/>
          <w:lang w:val="en-AU"/>
        </w:rPr>
        <w:t xml:space="preserve">. </w:t>
      </w:r>
      <w:r>
        <w:rPr>
          <w:rFonts w:ascii="Times New Roman" w:hAnsi="Times New Roman"/>
          <w:lang w:val="en-AU"/>
        </w:rPr>
        <w:t>N.</w:t>
      </w:r>
      <w:r w:rsidRPr="009C2ADD">
        <w:rPr>
          <w:rFonts w:ascii="Times New Roman" w:hAnsi="Times New Roman"/>
          <w:lang w:val="en-AU"/>
        </w:rPr>
        <w:t xml:space="preserve"> Smith noted that a key result in a busy and productive year was the completion of the bigeye tuna age and growth analyses as reported in Farley </w:t>
      </w:r>
      <w:r w:rsidRPr="009C2ADD">
        <w:rPr>
          <w:rFonts w:ascii="Times New Roman" w:hAnsi="Times New Roman"/>
          <w:i/>
          <w:lang w:val="en-AU"/>
        </w:rPr>
        <w:t>et al</w:t>
      </w:r>
      <w:r w:rsidRPr="009C2ADD">
        <w:rPr>
          <w:rFonts w:ascii="Times New Roman" w:hAnsi="Times New Roman"/>
          <w:lang w:val="en-AU"/>
        </w:rPr>
        <w:t xml:space="preserve">. (2017), an important new input to the stock assessment for bigeye in 2017. The </w:t>
      </w:r>
      <w:r>
        <w:rPr>
          <w:rFonts w:ascii="Times New Roman" w:hAnsi="Times New Roman"/>
          <w:lang w:val="en-AU"/>
        </w:rPr>
        <w:t>Tuna Tissue Bank (</w:t>
      </w:r>
      <w:r w:rsidRPr="009C2ADD">
        <w:rPr>
          <w:rFonts w:ascii="Times New Roman" w:hAnsi="Times New Roman"/>
          <w:lang w:val="en-AU"/>
        </w:rPr>
        <w:t>TTB</w:t>
      </w:r>
      <w:r>
        <w:rPr>
          <w:rFonts w:ascii="Times New Roman" w:hAnsi="Times New Roman"/>
          <w:lang w:val="en-AU"/>
        </w:rPr>
        <w:t>)</w:t>
      </w:r>
      <w:r w:rsidRPr="009C2ADD">
        <w:rPr>
          <w:rFonts w:ascii="Times New Roman" w:hAnsi="Times New Roman"/>
          <w:lang w:val="en-AU"/>
        </w:rPr>
        <w:t xml:space="preserve"> was an important supporting component of the WCPFC science system and continues to be developed and enhanced. A substantive development in 2017 has been the redevelopment of the Biological Data System underpinning the TTB, and the relaunch of the associated web portal (</w:t>
      </w:r>
      <w:hyperlink r:id="rId68" w:history="1">
        <w:r w:rsidRPr="00242013">
          <w:rPr>
            <w:rStyle w:val="Hyperlink"/>
            <w:rFonts w:ascii="Times New Roman" w:hAnsi="Times New Roman"/>
            <w:lang w:val="en-AU"/>
          </w:rPr>
          <w:t>www.spc.int/ofp/PacificSpecimenBank</w:t>
        </w:r>
      </w:hyperlink>
      <w:r w:rsidRPr="009C2ADD">
        <w:rPr>
          <w:rFonts w:ascii="Times New Roman" w:hAnsi="Times New Roman"/>
          <w:lang w:val="en-AU"/>
        </w:rPr>
        <w:t xml:space="preserve">). An important activity in 2016-17 was a quality assurance test for use of samples in modern genetic analyses, the result of which was positive. The outstanding support from the people of PICTs in collecting, storing and transporting specimens for the TTB – at-sea and onshore – is </w:t>
      </w:r>
      <w:r>
        <w:rPr>
          <w:rFonts w:ascii="Times New Roman" w:hAnsi="Times New Roman"/>
          <w:lang w:val="en-AU"/>
        </w:rPr>
        <w:t xml:space="preserve">at </w:t>
      </w:r>
      <w:r w:rsidRPr="009C2ADD">
        <w:rPr>
          <w:rFonts w:ascii="Times New Roman" w:hAnsi="Times New Roman"/>
          <w:lang w:val="en-AU"/>
        </w:rPr>
        <w:t xml:space="preserve">the core </w:t>
      </w:r>
      <w:r>
        <w:rPr>
          <w:rFonts w:ascii="Times New Roman" w:hAnsi="Times New Roman"/>
          <w:lang w:val="en-AU"/>
        </w:rPr>
        <w:t>of</w:t>
      </w:r>
      <w:r w:rsidRPr="009C2ADD">
        <w:rPr>
          <w:rFonts w:ascii="Times New Roman" w:hAnsi="Times New Roman"/>
          <w:lang w:val="en-AU"/>
        </w:rPr>
        <w:t xml:space="preserve"> its success.</w:t>
      </w:r>
    </w:p>
    <w:p w14:paraId="178BD5C9"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6A954613"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Recommendations arising from the Tuna Tissue Bank project this last year include:</w:t>
      </w:r>
    </w:p>
    <w:p w14:paraId="7BAE40BC" w14:textId="77777777" w:rsidR="0014588F" w:rsidRPr="009C2ADD" w:rsidRDefault="0014588F" w:rsidP="0014588F">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regular age, growth and maturity analyses of specimens for all tuna and tuna-like stocks for future stock assessments should be budgeted for and aligned with the stock assessment schedule, noting that additional resources would be required, and that yellowfin tuna would be the next priority species;</w:t>
      </w:r>
    </w:p>
    <w:p w14:paraId="66F65379" w14:textId="77777777" w:rsidR="0014588F" w:rsidRPr="009C2ADD" w:rsidRDefault="0014588F" w:rsidP="0014588F">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as the WCPFC Tuna Tissue bank is intended to be ongoing, and given its success and measured quality to date, incorporate the identified budget into the 2019-20 indicative budgets;</w:t>
      </w:r>
    </w:p>
    <w:p w14:paraId="12ED2772" w14:textId="77777777" w:rsidR="0014588F" w:rsidRPr="009C2ADD" w:rsidRDefault="0014588F" w:rsidP="0014588F">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that interested CCM</w:t>
      </w:r>
      <w:r>
        <w:rPr>
          <w:rFonts w:ascii="Times New Roman" w:hAnsi="Times New Roman"/>
          <w:bCs/>
        </w:rPr>
        <w:t>s</w:t>
      </w:r>
      <w:r w:rsidRPr="009C2ADD">
        <w:rPr>
          <w:rFonts w:ascii="Times New Roman" w:hAnsi="Times New Roman"/>
          <w:bCs/>
        </w:rPr>
        <w:t xml:space="preserve"> visit the Tuna Tissue Bank web-portal and provide any feedback intersessionally to SPC; and</w:t>
      </w:r>
    </w:p>
    <w:p w14:paraId="2F0EF5C4" w14:textId="77777777" w:rsidR="0014588F" w:rsidRPr="009C2ADD" w:rsidRDefault="0014588F" w:rsidP="0014588F">
      <w:pPr>
        <w:pStyle w:val="ListParagraph"/>
        <w:numPr>
          <w:ilvl w:val="1"/>
          <w:numId w:val="57"/>
        </w:numPr>
        <w:autoSpaceDE w:val="0"/>
        <w:autoSpaceDN w:val="0"/>
        <w:adjustRightInd w:val="0"/>
        <w:snapToGrid w:val="0"/>
        <w:ind w:left="1080"/>
        <w:contextualSpacing w:val="0"/>
        <w:rPr>
          <w:rFonts w:ascii="Times New Roman" w:hAnsi="Times New Roman"/>
          <w:bCs/>
        </w:rPr>
      </w:pPr>
      <w:proofErr w:type="gramStart"/>
      <w:r w:rsidRPr="009C2ADD">
        <w:rPr>
          <w:rFonts w:ascii="Times New Roman" w:hAnsi="Times New Roman"/>
          <w:bCs/>
        </w:rPr>
        <w:t>the</w:t>
      </w:r>
      <w:proofErr w:type="gramEnd"/>
      <w:r w:rsidRPr="009C2ADD">
        <w:rPr>
          <w:rFonts w:ascii="Times New Roman" w:hAnsi="Times New Roman"/>
          <w:bCs/>
        </w:rPr>
        <w:t xml:space="preserve"> development and implementation of a multi-level login to the web portal to enhance access for those planning research. </w:t>
      </w:r>
    </w:p>
    <w:p w14:paraId="6BF72044" w14:textId="77777777" w:rsidR="0014588F" w:rsidRPr="009C2ADD" w:rsidRDefault="0014588F" w:rsidP="0014588F">
      <w:pPr>
        <w:pStyle w:val="ListParagraph"/>
        <w:autoSpaceDE w:val="0"/>
        <w:autoSpaceDN w:val="0"/>
        <w:adjustRightInd w:val="0"/>
        <w:snapToGrid w:val="0"/>
        <w:ind w:left="1080" w:firstLine="0"/>
        <w:contextualSpacing w:val="0"/>
        <w:rPr>
          <w:rFonts w:ascii="Times New Roman" w:hAnsi="Times New Roman"/>
          <w:bCs/>
        </w:rPr>
      </w:pPr>
    </w:p>
    <w:p w14:paraId="029DB629"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confirmed that maintaining and enhancing the WCPFC Tuna Tissue Bank (P35b) remains an essential part of the WCPFC science system and supported its inclusion in the proposed budget for 2018.</w:t>
      </w:r>
    </w:p>
    <w:p w14:paraId="7761F41F" w14:textId="77777777" w:rsidR="0014588F" w:rsidRPr="009C2ADD" w:rsidRDefault="0014588F" w:rsidP="0014588F">
      <w:pPr>
        <w:autoSpaceDE w:val="0"/>
        <w:autoSpaceDN w:val="0"/>
        <w:adjustRightInd w:val="0"/>
        <w:snapToGrid w:val="0"/>
        <w:spacing w:after="0"/>
        <w:rPr>
          <w:rFonts w:ascii="Times New Roman" w:hAnsi="Times New Roman"/>
          <w:b/>
          <w:bCs/>
        </w:rPr>
      </w:pPr>
    </w:p>
    <w:p w14:paraId="03DF3012"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agreed to include the WCPFC Tuna Tissue Bank (P35b) in its indicative budget for 2019-20.</w:t>
      </w:r>
    </w:p>
    <w:p w14:paraId="2443CEAD" w14:textId="77777777" w:rsidR="0014588F" w:rsidRPr="009C2ADD" w:rsidRDefault="0014588F" w:rsidP="0014588F">
      <w:pPr>
        <w:autoSpaceDE w:val="0"/>
        <w:autoSpaceDN w:val="0"/>
        <w:adjustRightInd w:val="0"/>
        <w:snapToGrid w:val="0"/>
        <w:spacing w:after="0"/>
        <w:rPr>
          <w:rFonts w:ascii="Times New Roman" w:hAnsi="Times New Roman"/>
          <w:b/>
          <w:bCs/>
        </w:rPr>
      </w:pPr>
    </w:p>
    <w:p w14:paraId="585C75C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agreed the development and implementation of a multi-level login to the web portal which would allow greater access to Tuna Tissue Bank data for those planning research.</w:t>
      </w:r>
    </w:p>
    <w:p w14:paraId="6E2000BA" w14:textId="77777777" w:rsidR="0014588F" w:rsidRPr="009C2ADD" w:rsidRDefault="0014588F" w:rsidP="0014588F">
      <w:pPr>
        <w:pStyle w:val="ListParagraph"/>
        <w:adjustRightInd w:val="0"/>
        <w:snapToGrid w:val="0"/>
        <w:contextualSpacing w:val="0"/>
        <w:rPr>
          <w:rFonts w:ascii="Times New Roman" w:hAnsi="Times New Roman"/>
          <w:bCs/>
        </w:rPr>
      </w:pPr>
    </w:p>
    <w:p w14:paraId="5CC8D5CE" w14:textId="77777777" w:rsidR="0014588F" w:rsidRPr="009C2ADD" w:rsidRDefault="0014588F" w:rsidP="0014588F">
      <w:pPr>
        <w:pStyle w:val="WCPFC"/>
        <w:adjustRightInd w:val="0"/>
        <w:spacing w:after="0"/>
        <w:rPr>
          <w:b/>
          <w:lang w:val="en-AU"/>
        </w:rPr>
      </w:pPr>
      <w:r w:rsidRPr="009C2ADD">
        <w:rPr>
          <w:b/>
          <w:lang w:val="en-AU"/>
        </w:rPr>
        <w:t xml:space="preserve">SC13 supported the recommendations. </w:t>
      </w:r>
    </w:p>
    <w:p w14:paraId="1FBF31CE" w14:textId="77777777" w:rsidR="0014588F" w:rsidRPr="009C2ADD" w:rsidRDefault="0014588F" w:rsidP="0014588F">
      <w:pPr>
        <w:pStyle w:val="WCPFC"/>
        <w:numPr>
          <w:ilvl w:val="0"/>
          <w:numId w:val="0"/>
        </w:numPr>
        <w:adjustRightInd w:val="0"/>
        <w:spacing w:after="0"/>
        <w:ind w:left="567"/>
        <w:rPr>
          <w:b/>
          <w:lang w:val="en-AU"/>
        </w:rPr>
      </w:pPr>
    </w:p>
    <w:p w14:paraId="04E669E1" w14:textId="77777777" w:rsidR="0014588F" w:rsidRPr="009C2ADD" w:rsidRDefault="0014588F" w:rsidP="0014588F">
      <w:pPr>
        <w:pStyle w:val="Heading2"/>
        <w:adjustRightInd w:val="0"/>
        <w:snapToGrid w:val="0"/>
        <w:rPr>
          <w:rFonts w:eastAsiaTheme="minorEastAsia"/>
          <w:color w:val="auto"/>
          <w:szCs w:val="22"/>
          <w:lang w:val="en-AU" w:eastAsia="ko-KR"/>
        </w:rPr>
      </w:pPr>
      <w:bookmarkStart w:id="60" w:name="_Toc498688671"/>
      <w:r w:rsidRPr="009C2ADD">
        <w:rPr>
          <w:color w:val="auto"/>
          <w:szCs w:val="22"/>
          <w:lang w:val="en-AU"/>
        </w:rPr>
        <w:t xml:space="preserve">7.5 </w:t>
      </w:r>
      <w:r w:rsidRPr="009C2ADD">
        <w:rPr>
          <w:color w:val="auto"/>
          <w:szCs w:val="22"/>
          <w:lang w:val="en-AU"/>
        </w:rPr>
        <w:tab/>
        <w:t>Other Projects</w:t>
      </w:r>
      <w:bookmarkEnd w:id="60"/>
    </w:p>
    <w:p w14:paraId="16789F81" w14:textId="77777777" w:rsidR="0014588F" w:rsidRPr="009C2ADD" w:rsidRDefault="0014588F" w:rsidP="0014588F">
      <w:pPr>
        <w:adjustRightInd w:val="0"/>
        <w:snapToGrid w:val="0"/>
        <w:spacing w:after="0"/>
        <w:rPr>
          <w:rFonts w:ascii="Times New Roman" w:hAnsi="Times New Roman"/>
          <w:lang w:val="en-AU" w:eastAsia="ko-KR"/>
        </w:rPr>
      </w:pPr>
    </w:p>
    <w:p w14:paraId="2C8BC545"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 Soh (Secretariat) referred delegates to </w:t>
      </w:r>
      <w:r w:rsidRPr="0070772D">
        <w:rPr>
          <w:rFonts w:ascii="Times New Roman" w:hAnsi="Times New Roman"/>
          <w:bCs/>
          <w:lang w:val="en-AU"/>
        </w:rPr>
        <w:t>SC13-GN-WP-04</w:t>
      </w:r>
      <w:r w:rsidRPr="009C2ADD">
        <w:rPr>
          <w:rFonts w:ascii="Times New Roman" w:hAnsi="Times New Roman"/>
          <w:lang w:val="en-AU"/>
        </w:rPr>
        <w:t xml:space="preserve"> </w:t>
      </w:r>
      <w:r w:rsidRPr="009C2ADD">
        <w:rPr>
          <w:rFonts w:ascii="Times New Roman" w:hAnsi="Times New Roman"/>
          <w:i/>
          <w:lang w:val="en-AU"/>
        </w:rPr>
        <w:t>Intersessional activities of the SC Rev 1</w:t>
      </w:r>
      <w:r w:rsidRPr="009C2ADD">
        <w:rPr>
          <w:rFonts w:ascii="Times New Roman" w:hAnsi="Times New Roman"/>
          <w:lang w:val="en-AU"/>
        </w:rPr>
        <w:t xml:space="preserve"> for a report on other science projects undertaken since SC12</w:t>
      </w:r>
      <w:r>
        <w:rPr>
          <w:rFonts w:ascii="Times New Roman" w:hAnsi="Times New Roman"/>
          <w:lang w:val="en-AU"/>
        </w:rPr>
        <w:t>, including projects with</w:t>
      </w:r>
      <w:r w:rsidRPr="009C2ADD">
        <w:rPr>
          <w:rFonts w:ascii="Times New Roman" w:hAnsi="Times New Roman"/>
          <w:lang w:val="en-AU"/>
        </w:rPr>
        <w:t xml:space="preserve"> funding support</w:t>
      </w:r>
      <w:r>
        <w:rPr>
          <w:rFonts w:ascii="Times New Roman" w:hAnsi="Times New Roman"/>
          <w:lang w:val="en-AU"/>
        </w:rPr>
        <w:t xml:space="preserve">s from </w:t>
      </w:r>
      <w:r>
        <w:rPr>
          <w:rFonts w:ascii="Times New Roman" w:hAnsi="Times New Roman" w:hint="eastAsia"/>
          <w:iCs/>
          <w:lang w:eastAsia="ko-KR"/>
        </w:rPr>
        <w:t>EU</w:t>
      </w:r>
      <w:r>
        <w:rPr>
          <w:rFonts w:ascii="Times New Roman" w:hAnsi="Times New Roman"/>
          <w:iCs/>
          <w:lang w:eastAsia="ko-KR"/>
        </w:rPr>
        <w:t xml:space="preserve">, Korea, </w:t>
      </w:r>
      <w:r w:rsidRPr="009C2ADD">
        <w:rPr>
          <w:rFonts w:ascii="Times New Roman" w:hAnsi="Times New Roman"/>
          <w:lang w:val="en-AU"/>
        </w:rPr>
        <w:t>the International Seafood Sustainability Foundation and the Western Pacific Regional Fishery Management Council.</w:t>
      </w:r>
    </w:p>
    <w:p w14:paraId="091BC4C2"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0957EE0B"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0D53CBE1" w14:textId="77777777" w:rsidR="0014588F" w:rsidRPr="009C2ADD" w:rsidRDefault="0014588F" w:rsidP="0014588F">
      <w:pPr>
        <w:pStyle w:val="Heading1"/>
        <w:adjustRightInd w:val="0"/>
        <w:snapToGrid w:val="0"/>
        <w:rPr>
          <w:rFonts w:ascii="Times New Roman" w:hAnsi="Times New Roman"/>
          <w:sz w:val="22"/>
          <w:szCs w:val="22"/>
        </w:rPr>
      </w:pPr>
      <w:bookmarkStart w:id="61" w:name="_Toc498688672"/>
      <w:r w:rsidRPr="009C2ADD">
        <w:rPr>
          <w:rFonts w:ascii="Times New Roman" w:hAnsi="Times New Roman"/>
          <w:sz w:val="22"/>
          <w:szCs w:val="22"/>
        </w:rPr>
        <w:t>AGENDA ITEM 8 - Cooperation with Other Organisations</w:t>
      </w:r>
      <w:bookmarkEnd w:id="61"/>
    </w:p>
    <w:p w14:paraId="62C12CD6" w14:textId="77777777" w:rsidR="0014588F" w:rsidRPr="009C2ADD" w:rsidRDefault="0014588F" w:rsidP="0014588F">
      <w:pPr>
        <w:adjustRightInd w:val="0"/>
        <w:snapToGrid w:val="0"/>
        <w:spacing w:after="0"/>
        <w:rPr>
          <w:rFonts w:ascii="Times New Roman" w:hAnsi="Times New Roman"/>
        </w:rPr>
      </w:pPr>
    </w:p>
    <w:p w14:paraId="27E1ED21" w14:textId="77777777" w:rsidR="0014588F" w:rsidRPr="009C2ADD" w:rsidRDefault="0014588F" w:rsidP="0014588F">
      <w:pPr>
        <w:adjustRightInd w:val="0"/>
        <w:snapToGrid w:val="0"/>
        <w:spacing w:after="0"/>
        <w:rPr>
          <w:rFonts w:ascii="Times New Roman" w:hAnsi="Times New Roman"/>
        </w:rPr>
      </w:pPr>
    </w:p>
    <w:p w14:paraId="2152C73C"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70772D">
        <w:rPr>
          <w:rFonts w:ascii="Times New Roman" w:hAnsi="Times New Roman"/>
          <w:bCs/>
          <w:lang w:val="en-AU"/>
        </w:rPr>
        <w:t>SC13-GN-IP-01</w:t>
      </w:r>
      <w:r w:rsidRPr="009C2ADD">
        <w:rPr>
          <w:rFonts w:ascii="Times New Roman" w:hAnsi="Times New Roman"/>
          <w:lang w:val="en-AU"/>
        </w:rPr>
        <w:t xml:space="preserve"> </w:t>
      </w:r>
      <w:r>
        <w:rPr>
          <w:rFonts w:ascii="Times New Roman" w:hAnsi="Times New Roman"/>
          <w:lang w:val="en-AU"/>
        </w:rPr>
        <w:t xml:space="preserve">provided </w:t>
      </w:r>
      <w:r w:rsidRPr="009C2ADD">
        <w:rPr>
          <w:rFonts w:ascii="Times New Roman" w:hAnsi="Times New Roman"/>
          <w:lang w:val="en-AU"/>
        </w:rPr>
        <w:t>update</w:t>
      </w:r>
      <w:r>
        <w:rPr>
          <w:rFonts w:ascii="Times New Roman" w:hAnsi="Times New Roman"/>
          <w:lang w:val="en-AU"/>
        </w:rPr>
        <w:t>d information</w:t>
      </w:r>
      <w:r w:rsidRPr="009C2ADD">
        <w:rPr>
          <w:rFonts w:ascii="Times New Roman" w:hAnsi="Times New Roman"/>
          <w:lang w:val="en-AU"/>
        </w:rPr>
        <w:t xml:space="preserve"> on existing and new arrangements</w:t>
      </w:r>
      <w:r>
        <w:rPr>
          <w:rFonts w:ascii="Times New Roman" w:hAnsi="Times New Roman"/>
          <w:lang w:val="en-AU"/>
        </w:rPr>
        <w:t xml:space="preserve"> with other organizations, including </w:t>
      </w:r>
      <w:r w:rsidRPr="009C2ADD">
        <w:rPr>
          <w:rFonts w:ascii="Times New Roman" w:hAnsi="Times New Roman"/>
          <w:lang w:val="en-AU"/>
        </w:rPr>
        <w:t>the signing of two new memoranda with the Commission for the Conservation of Southern Bluefin Tuna (CCSBT)</w:t>
      </w:r>
      <w:r>
        <w:rPr>
          <w:rFonts w:ascii="Times New Roman" w:hAnsi="Times New Roman"/>
          <w:lang w:val="en-AU"/>
        </w:rPr>
        <w:t>.</w:t>
      </w:r>
    </w:p>
    <w:p w14:paraId="7FB1FDC5" w14:textId="77777777" w:rsidR="0014588F" w:rsidRPr="009C2ADD" w:rsidRDefault="0014588F" w:rsidP="0014588F">
      <w:pPr>
        <w:adjustRightInd w:val="0"/>
        <w:snapToGrid w:val="0"/>
        <w:spacing w:after="0"/>
        <w:rPr>
          <w:rFonts w:ascii="Times New Roman" w:hAnsi="Times New Roman"/>
        </w:rPr>
      </w:pPr>
    </w:p>
    <w:p w14:paraId="6A615883" w14:textId="77777777" w:rsidR="0014588F" w:rsidRPr="009C2ADD" w:rsidRDefault="0014588F" w:rsidP="0014588F">
      <w:pPr>
        <w:adjustRightInd w:val="0"/>
        <w:snapToGrid w:val="0"/>
        <w:spacing w:after="0"/>
        <w:rPr>
          <w:rFonts w:ascii="Times New Roman" w:hAnsi="Times New Roman"/>
        </w:rPr>
      </w:pPr>
    </w:p>
    <w:p w14:paraId="338D93A6" w14:textId="77777777" w:rsidR="0014588F" w:rsidRPr="009C2ADD" w:rsidRDefault="0014588F" w:rsidP="0014588F">
      <w:pPr>
        <w:pStyle w:val="Heading1"/>
        <w:adjustRightInd w:val="0"/>
        <w:snapToGrid w:val="0"/>
        <w:rPr>
          <w:rFonts w:ascii="Times New Roman" w:hAnsi="Times New Roman"/>
          <w:sz w:val="22"/>
          <w:szCs w:val="22"/>
        </w:rPr>
      </w:pPr>
      <w:bookmarkStart w:id="62" w:name="_Toc498688673"/>
      <w:r w:rsidRPr="009C2ADD">
        <w:rPr>
          <w:rFonts w:ascii="Times New Roman" w:hAnsi="Times New Roman"/>
          <w:sz w:val="22"/>
          <w:szCs w:val="22"/>
        </w:rPr>
        <w:t>AGENDA ITEM 9 - Special Requirements of Developing States and Participating Territories</w:t>
      </w:r>
      <w:bookmarkEnd w:id="62"/>
    </w:p>
    <w:p w14:paraId="59661D05" w14:textId="77777777" w:rsidR="0014588F" w:rsidRPr="009C2ADD" w:rsidRDefault="0014588F" w:rsidP="0014588F">
      <w:pPr>
        <w:adjustRightInd w:val="0"/>
        <w:snapToGrid w:val="0"/>
        <w:spacing w:after="0"/>
        <w:jc w:val="center"/>
        <w:rPr>
          <w:rFonts w:ascii="Times New Roman" w:hAnsi="Times New Roman"/>
          <w:b/>
        </w:rPr>
      </w:pPr>
    </w:p>
    <w:p w14:paraId="3D74413A" w14:textId="77777777" w:rsidR="0014588F" w:rsidRPr="009C2ADD" w:rsidRDefault="0014588F" w:rsidP="0014588F">
      <w:pPr>
        <w:adjustRightInd w:val="0"/>
        <w:snapToGrid w:val="0"/>
        <w:spacing w:after="0"/>
        <w:jc w:val="center"/>
        <w:rPr>
          <w:rFonts w:ascii="Times New Roman" w:hAnsi="Times New Roman"/>
          <w:b/>
        </w:rPr>
      </w:pPr>
    </w:p>
    <w:p w14:paraId="2FF723F0"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WCPFC Assistant Science Manager, T</w:t>
      </w:r>
      <w:r>
        <w:rPr>
          <w:rFonts w:ascii="Times New Roman" w:hAnsi="Times New Roman"/>
          <w:lang w:val="en-AU"/>
        </w:rPr>
        <w:t>.</w:t>
      </w:r>
      <w:r w:rsidRPr="009C2ADD">
        <w:rPr>
          <w:rFonts w:ascii="Times New Roman" w:hAnsi="Times New Roman"/>
          <w:lang w:val="en-AU"/>
        </w:rPr>
        <w:t xml:space="preserve"> Beeching presented </w:t>
      </w:r>
      <w:r w:rsidRPr="0070772D">
        <w:rPr>
          <w:rFonts w:ascii="Times New Roman" w:hAnsi="Times New Roman"/>
          <w:bCs/>
          <w:lang w:val="en-AU"/>
        </w:rPr>
        <w:t>SC13-RP-JTF-01</w:t>
      </w:r>
      <w:r w:rsidRPr="009C2ADD">
        <w:rPr>
          <w:rFonts w:ascii="Times New Roman" w:hAnsi="Times New Roman"/>
          <w:lang w:val="en-AU"/>
        </w:rPr>
        <w:t xml:space="preserve"> </w:t>
      </w:r>
      <w:r w:rsidRPr="009C2ADD">
        <w:rPr>
          <w:rFonts w:ascii="Times New Roman" w:hAnsi="Times New Roman"/>
          <w:i/>
          <w:lang w:val="en-AU"/>
        </w:rPr>
        <w:t>Japan Trust Fund Status Report (2017)</w:t>
      </w:r>
      <w:r w:rsidRPr="009C2ADD">
        <w:rPr>
          <w:rFonts w:ascii="Times New Roman" w:hAnsi="Times New Roman"/>
          <w:lang w:val="en-AU"/>
        </w:rPr>
        <w:t xml:space="preserve">; and </w:t>
      </w:r>
      <w:r w:rsidRPr="0070772D">
        <w:rPr>
          <w:rFonts w:ascii="Times New Roman" w:hAnsi="Times New Roman"/>
          <w:bCs/>
          <w:lang w:val="en-AU"/>
        </w:rPr>
        <w:t>SC13-RP-JTF-02</w:t>
      </w:r>
      <w:r w:rsidRPr="009C2ADD">
        <w:rPr>
          <w:rFonts w:ascii="Times New Roman" w:hAnsi="Times New Roman"/>
          <w:lang w:val="en-AU"/>
        </w:rPr>
        <w:t xml:space="preserve"> </w:t>
      </w:r>
      <w:r w:rsidRPr="009C2ADD">
        <w:rPr>
          <w:rFonts w:ascii="Times New Roman" w:hAnsi="Times New Roman"/>
          <w:i/>
          <w:lang w:val="en-AU"/>
        </w:rPr>
        <w:t>Japan Trust Fund Steering Committee Report</w:t>
      </w:r>
      <w:r>
        <w:rPr>
          <w:rFonts w:ascii="Times New Roman" w:hAnsi="Times New Roman"/>
          <w:i/>
          <w:lang w:val="en-AU"/>
        </w:rPr>
        <w:t>.</w:t>
      </w:r>
    </w:p>
    <w:p w14:paraId="372A8E2C"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769CFB9B"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eastAsia="ko-KR"/>
        </w:rPr>
        <w:t>It was</w:t>
      </w:r>
      <w:r w:rsidRPr="009C2ADD">
        <w:rPr>
          <w:rFonts w:ascii="Times New Roman" w:hAnsi="Times New Roman"/>
          <w:lang w:val="en-AU"/>
        </w:rPr>
        <w:t xml:space="preserve"> noted </w:t>
      </w:r>
      <w:r>
        <w:rPr>
          <w:rFonts w:ascii="Times New Roman" w:hAnsi="Times New Roman"/>
          <w:lang w:val="en-AU"/>
        </w:rPr>
        <w:t xml:space="preserve">that </w:t>
      </w:r>
      <w:r w:rsidRPr="009C2ADD">
        <w:rPr>
          <w:rFonts w:ascii="Times New Roman" w:hAnsi="Times New Roman"/>
          <w:lang w:val="en-AU"/>
        </w:rPr>
        <w:t xml:space="preserve">the Special Requirements of Developing States and Participating Territories was an important platform on which this Commission must consider the development and delivery of its functions and work.  </w:t>
      </w:r>
    </w:p>
    <w:p w14:paraId="7F6D7067" w14:textId="77777777" w:rsidR="0014588F" w:rsidRPr="009C2ADD" w:rsidRDefault="0014588F" w:rsidP="0014588F">
      <w:pPr>
        <w:adjustRightInd w:val="0"/>
        <w:snapToGrid w:val="0"/>
        <w:spacing w:after="0"/>
        <w:jc w:val="center"/>
        <w:rPr>
          <w:rFonts w:ascii="Times New Roman" w:hAnsi="Times New Roman"/>
          <w:b/>
        </w:rPr>
      </w:pPr>
    </w:p>
    <w:p w14:paraId="247E0C71" w14:textId="77777777" w:rsidR="0014588F" w:rsidRPr="009C2ADD" w:rsidRDefault="0014588F" w:rsidP="0014588F">
      <w:pPr>
        <w:adjustRightInd w:val="0"/>
        <w:snapToGrid w:val="0"/>
        <w:spacing w:after="0"/>
        <w:jc w:val="center"/>
        <w:rPr>
          <w:rFonts w:ascii="Times New Roman" w:hAnsi="Times New Roman"/>
          <w:b/>
        </w:rPr>
      </w:pPr>
    </w:p>
    <w:p w14:paraId="12B0099E" w14:textId="77777777" w:rsidR="0014588F" w:rsidRPr="009C2ADD" w:rsidRDefault="0014588F" w:rsidP="0014588F">
      <w:pPr>
        <w:pStyle w:val="Heading1"/>
        <w:adjustRightInd w:val="0"/>
        <w:snapToGrid w:val="0"/>
        <w:rPr>
          <w:rFonts w:ascii="Times New Roman" w:hAnsi="Times New Roman"/>
          <w:sz w:val="22"/>
          <w:szCs w:val="22"/>
        </w:rPr>
      </w:pPr>
      <w:bookmarkStart w:id="63" w:name="_Toc498688674"/>
      <w:r w:rsidRPr="009C2ADD">
        <w:rPr>
          <w:rFonts w:ascii="Times New Roman" w:hAnsi="Times New Roman"/>
          <w:sz w:val="22"/>
          <w:szCs w:val="22"/>
        </w:rPr>
        <w:t>AGENDA ITEM 10 - Future Work Program and Budget</w:t>
      </w:r>
      <w:bookmarkEnd w:id="63"/>
    </w:p>
    <w:p w14:paraId="066DBF94" w14:textId="77777777" w:rsidR="0014588F" w:rsidRPr="009C2ADD" w:rsidRDefault="0014588F" w:rsidP="0014588F">
      <w:pPr>
        <w:adjustRightInd w:val="0"/>
        <w:snapToGrid w:val="0"/>
        <w:spacing w:after="0"/>
        <w:rPr>
          <w:rFonts w:ascii="Times New Roman" w:hAnsi="Times New Roman"/>
        </w:rPr>
      </w:pPr>
    </w:p>
    <w:p w14:paraId="3B5B47B0" w14:textId="77777777" w:rsidR="0014588F" w:rsidRPr="009C2ADD" w:rsidRDefault="0014588F" w:rsidP="0014588F">
      <w:pPr>
        <w:adjustRightInd w:val="0"/>
        <w:snapToGrid w:val="0"/>
        <w:spacing w:after="0"/>
        <w:rPr>
          <w:rFonts w:ascii="Times New Roman" w:hAnsi="Times New Roman"/>
        </w:rPr>
      </w:pPr>
    </w:p>
    <w:p w14:paraId="37DA0A3F" w14:textId="77777777" w:rsidR="0014588F" w:rsidRPr="009C2ADD" w:rsidRDefault="0014588F" w:rsidP="0014588F">
      <w:pPr>
        <w:pStyle w:val="Heading2"/>
        <w:adjustRightInd w:val="0"/>
        <w:snapToGrid w:val="0"/>
        <w:rPr>
          <w:color w:val="auto"/>
          <w:szCs w:val="22"/>
          <w:lang w:val="en-AU"/>
        </w:rPr>
      </w:pPr>
      <w:bookmarkStart w:id="64" w:name="_Toc498688675"/>
      <w:r w:rsidRPr="009C2ADD">
        <w:rPr>
          <w:color w:val="auto"/>
          <w:szCs w:val="22"/>
          <w:lang w:val="en-AU"/>
        </w:rPr>
        <w:t>10.</w:t>
      </w:r>
      <w:r>
        <w:rPr>
          <w:color w:val="auto"/>
          <w:szCs w:val="22"/>
          <w:lang w:val="en-AU"/>
        </w:rPr>
        <w:t>1</w:t>
      </w:r>
      <w:r w:rsidRPr="009C2ADD">
        <w:rPr>
          <w:color w:val="auto"/>
          <w:szCs w:val="22"/>
          <w:lang w:val="en-AU"/>
        </w:rPr>
        <w:t xml:space="preserve"> </w:t>
      </w:r>
      <w:r w:rsidRPr="009C2ADD">
        <w:rPr>
          <w:color w:val="auto"/>
          <w:szCs w:val="22"/>
          <w:lang w:val="en-AU"/>
        </w:rPr>
        <w:tab/>
        <w:t>Development of the 2018 Work Programme and budget, and projection of 2019-2020 provisional Work Programme and indicative budget</w:t>
      </w:r>
      <w:bookmarkEnd w:id="64"/>
      <w:r w:rsidRPr="009C2ADD">
        <w:rPr>
          <w:color w:val="auto"/>
          <w:szCs w:val="22"/>
          <w:lang w:val="en-AU"/>
        </w:rPr>
        <w:t xml:space="preserve"> </w:t>
      </w:r>
    </w:p>
    <w:p w14:paraId="42C7EE86" w14:textId="77777777" w:rsidR="0014588F" w:rsidRPr="009C2ADD" w:rsidRDefault="0014588F" w:rsidP="0014588F">
      <w:pPr>
        <w:pStyle w:val="ListParagraph"/>
        <w:adjustRightInd w:val="0"/>
        <w:snapToGrid w:val="0"/>
        <w:contextualSpacing w:val="0"/>
        <w:rPr>
          <w:rFonts w:ascii="Times New Roman" w:hAnsi="Times New Roman"/>
        </w:rPr>
      </w:pPr>
    </w:p>
    <w:p w14:paraId="0B166A24" w14:textId="77777777" w:rsidR="0014588F" w:rsidRPr="00590FBF" w:rsidRDefault="0014588F" w:rsidP="0014588F">
      <w:pPr>
        <w:pStyle w:val="WCPFC"/>
        <w:adjustRightInd w:val="0"/>
        <w:spacing w:after="0"/>
        <w:ind w:left="0" w:firstLine="0"/>
        <w:rPr>
          <w:b/>
        </w:rPr>
      </w:pPr>
      <w:r w:rsidRPr="009C2ADD">
        <w:rPr>
          <w:b/>
        </w:rPr>
        <w:t xml:space="preserve">SC13 adopted the proposed </w:t>
      </w:r>
      <w:r w:rsidRPr="00590FBF">
        <w:rPr>
          <w:b/>
        </w:rPr>
        <w:t xml:space="preserve">budget (Table 1) and forwarded it to the FAC at the December WCPFC meeting. </w:t>
      </w:r>
    </w:p>
    <w:p w14:paraId="75F2AA49" w14:textId="77777777" w:rsidR="0014588F" w:rsidRPr="00590FBF" w:rsidRDefault="0014588F" w:rsidP="0014588F">
      <w:pPr>
        <w:pStyle w:val="ListParagraph"/>
        <w:adjustRightInd w:val="0"/>
        <w:snapToGrid w:val="0"/>
        <w:contextualSpacing w:val="0"/>
        <w:rPr>
          <w:rFonts w:ascii="Times New Roman" w:hAnsi="Times New Roman"/>
          <w:b/>
        </w:rPr>
      </w:pPr>
    </w:p>
    <w:p w14:paraId="797BB019" w14:textId="77777777" w:rsidR="0014588F" w:rsidRPr="00590FBF" w:rsidRDefault="0014588F" w:rsidP="0014588F">
      <w:pPr>
        <w:pStyle w:val="ListParagraph"/>
        <w:adjustRightInd w:val="0"/>
        <w:snapToGrid w:val="0"/>
        <w:ind w:left="0" w:firstLine="0"/>
        <w:contextualSpacing w:val="0"/>
        <w:rPr>
          <w:rFonts w:ascii="Times New Roman" w:eastAsia="맑은 고딕" w:hAnsi="Times New Roman"/>
          <w:lang w:eastAsia="ko-KR"/>
        </w:rPr>
      </w:pPr>
      <w:proofErr w:type="gramStart"/>
      <w:r w:rsidRPr="00590FBF">
        <w:rPr>
          <w:rFonts w:ascii="Times New Roman" w:hAnsi="Times New Roman"/>
          <w:b/>
          <w:bCs/>
        </w:rPr>
        <w:t>Table 1.</w:t>
      </w:r>
      <w:proofErr w:type="gramEnd"/>
      <w:r w:rsidRPr="00590FBF">
        <w:rPr>
          <w:rFonts w:ascii="Times New Roman" w:hAnsi="Times New Roman"/>
          <w:b/>
          <w:bCs/>
        </w:rPr>
        <w:t xml:space="preserve"> </w:t>
      </w:r>
      <w:r>
        <w:rPr>
          <w:rFonts w:ascii="Times New Roman" w:hAnsi="Times New Roman"/>
        </w:rPr>
        <w:t xml:space="preserve">Summary of </w:t>
      </w:r>
      <w:r w:rsidRPr="00590FBF">
        <w:rPr>
          <w:rFonts w:ascii="Times New Roman" w:hAnsi="Times New Roman"/>
        </w:rPr>
        <w:t>SC work programme titles and budget for 201</w:t>
      </w:r>
      <w:r w:rsidRPr="00590FBF">
        <w:rPr>
          <w:rFonts w:ascii="Times New Roman" w:eastAsia="맑은 고딕" w:hAnsi="Times New Roman"/>
          <w:lang w:eastAsia="ko-KR"/>
        </w:rPr>
        <w:t>8</w:t>
      </w:r>
      <w:r w:rsidRPr="00590FBF">
        <w:rPr>
          <w:rFonts w:ascii="Times New Roman" w:hAnsi="Times New Roman"/>
        </w:rPr>
        <w:t>, and indicative budget for 201</w:t>
      </w:r>
      <w:r w:rsidRPr="00590FBF">
        <w:rPr>
          <w:rFonts w:ascii="Times New Roman" w:eastAsia="맑은 고딕" w:hAnsi="Times New Roman"/>
          <w:lang w:eastAsia="ko-KR"/>
        </w:rPr>
        <w:t>9</w:t>
      </w:r>
      <w:r w:rsidRPr="00590FBF">
        <w:rPr>
          <w:rFonts w:ascii="Times New Roman" w:hAnsi="Times New Roman"/>
        </w:rPr>
        <w:t>–2020</w:t>
      </w:r>
      <w:r>
        <w:rPr>
          <w:rFonts w:ascii="Times New Roman" w:hAnsi="Times New Roman"/>
        </w:rPr>
        <w:t xml:space="preserve">, </w:t>
      </w:r>
      <w:r w:rsidRPr="00590FBF">
        <w:rPr>
          <w:rFonts w:ascii="Times New Roman" w:hAnsi="Times New Roman"/>
        </w:rPr>
        <w:t>which require</w:t>
      </w:r>
      <w:r>
        <w:rPr>
          <w:rFonts w:ascii="Times New Roman" w:hAnsi="Times New Roman" w:hint="eastAsia"/>
          <w:lang w:eastAsia="ko-KR"/>
        </w:rPr>
        <w:t>s</w:t>
      </w:r>
      <w:r w:rsidRPr="00590FBF">
        <w:rPr>
          <w:rFonts w:ascii="Times New Roman" w:hAnsi="Times New Roman"/>
        </w:rPr>
        <w:t xml:space="preserve"> funding from the Commission’s core budget</w:t>
      </w:r>
      <w:r>
        <w:rPr>
          <w:rFonts w:ascii="Times New Roman" w:hAnsi="Times New Roman"/>
        </w:rPr>
        <w:t xml:space="preserve"> (USD)</w:t>
      </w:r>
      <w:r w:rsidRPr="00590FBF">
        <w:rPr>
          <w:rFonts w:ascii="Times New Roman" w:eastAsia="맑은 고딕" w:hAnsi="Times New Roman"/>
          <w:lang w:eastAsia="ko-KR"/>
        </w:rPr>
        <w:t>.</w:t>
      </w:r>
    </w:p>
    <w:tbl>
      <w:tblPr>
        <w:tblW w:w="5000" w:type="pct"/>
        <w:tblLook w:val="04A0" w:firstRow="1" w:lastRow="0" w:firstColumn="1" w:lastColumn="0" w:noHBand="0" w:noVBand="1"/>
      </w:tblPr>
      <w:tblGrid>
        <w:gridCol w:w="3672"/>
        <w:gridCol w:w="938"/>
        <w:gridCol w:w="990"/>
        <w:gridCol w:w="900"/>
        <w:gridCol w:w="1046"/>
        <w:gridCol w:w="1015"/>
        <w:gridCol w:w="1015"/>
      </w:tblGrid>
      <w:tr w:rsidR="0014588F" w:rsidRPr="002534EE" w14:paraId="63549801" w14:textId="77777777" w:rsidTr="000E6616">
        <w:trPr>
          <w:tblHeader/>
        </w:trPr>
        <w:tc>
          <w:tcPr>
            <w:tcW w:w="19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1F9968" w14:textId="77777777" w:rsidR="0014588F" w:rsidRPr="00590FBF" w:rsidRDefault="0014588F" w:rsidP="000E6616">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Times New Roman" w:hAnsi="Times New Roman"/>
                <w:b/>
                <w:bCs/>
                <w:sz w:val="18"/>
                <w:szCs w:val="18"/>
              </w:rPr>
              <w:t>Project</w:t>
            </w:r>
            <w:r w:rsidRPr="00590FBF">
              <w:rPr>
                <w:rFonts w:ascii="Times New Roman" w:eastAsia="맑은 고딕" w:hAnsi="Times New Roman"/>
                <w:b/>
                <w:bCs/>
                <w:sz w:val="18"/>
                <w:szCs w:val="18"/>
                <w:lang w:eastAsia="ko-KR"/>
              </w:rPr>
              <w:t xml:space="preserve"> title</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CFB07" w14:textId="77777777" w:rsidR="0014588F" w:rsidRPr="00590FBF" w:rsidRDefault="0014588F" w:rsidP="000E6616">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TORs</w:t>
            </w: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729FC" w14:textId="77777777" w:rsidR="0014588F" w:rsidRPr="00590FBF" w:rsidRDefault="0014588F" w:rsidP="000E6616">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Essential</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229EB6" w14:textId="77777777" w:rsidR="0014588F" w:rsidRPr="00590FBF" w:rsidRDefault="0014588F" w:rsidP="000E6616">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P</w:t>
            </w:r>
            <w:r w:rsidRPr="00590FBF">
              <w:rPr>
                <w:rFonts w:ascii="Times New Roman" w:eastAsia="맑은 고딕" w:hAnsi="Times New Roman"/>
                <w:b/>
                <w:bCs/>
                <w:sz w:val="18"/>
                <w:szCs w:val="18"/>
                <w:lang w:eastAsia="ko-KR"/>
              </w:rPr>
              <w:t>riority / Rank</w:t>
            </w:r>
          </w:p>
        </w:tc>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2F70C1" w14:textId="77777777" w:rsidR="0014588F" w:rsidRPr="00590FBF" w:rsidRDefault="0014588F" w:rsidP="000E6616">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2018</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055E47" w14:textId="77777777" w:rsidR="0014588F" w:rsidRPr="00590FBF" w:rsidRDefault="0014588F" w:rsidP="000E6616">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2019</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E8C2D" w14:textId="77777777" w:rsidR="0014588F" w:rsidRPr="00590FBF" w:rsidRDefault="0014588F" w:rsidP="000E6616">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2020</w:t>
            </w:r>
          </w:p>
        </w:tc>
      </w:tr>
      <w:tr w:rsidR="0014588F" w:rsidRPr="002534EE" w14:paraId="5E21C95D"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8404C"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SPC Oceanic Fisheries Programme Budget</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7A76699"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7BDE5"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DCCA84"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1F901"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888,624</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DCA670B"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906,396</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8DFD602"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924,524</w:t>
            </w:r>
          </w:p>
        </w:tc>
      </w:tr>
      <w:tr w:rsidR="0014588F" w:rsidRPr="002534EE" w14:paraId="33E50301"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5136EF4B" w14:textId="77777777" w:rsidR="0014588F" w:rsidRPr="00C72947" w:rsidRDefault="0014588F" w:rsidP="000E6616">
            <w:pPr>
              <w:adjustRightInd w:val="0"/>
              <w:snapToGrid w:val="0"/>
              <w:spacing w:after="0"/>
              <w:jc w:val="left"/>
              <w:rPr>
                <w:rFonts w:ascii="Times New Roman" w:hAnsi="Times New Roman"/>
                <w:sz w:val="18"/>
                <w:szCs w:val="18"/>
                <w:lang w:eastAsia="ko-KR"/>
              </w:rPr>
            </w:pPr>
            <w:r w:rsidRPr="00C72947">
              <w:rPr>
                <w:rFonts w:ascii="Times New Roman" w:eastAsia="맑은 고딕" w:hAnsi="Times New Roman"/>
                <w:sz w:val="18"/>
                <w:szCs w:val="18"/>
                <w:lang w:eastAsia="ko-KR"/>
              </w:rPr>
              <w:t xml:space="preserve">SPC – </w:t>
            </w:r>
            <w:r w:rsidRPr="00C72947">
              <w:rPr>
                <w:rFonts w:ascii="Times New Roman" w:hAnsi="Times New Roman"/>
                <w:sz w:val="18"/>
                <w:szCs w:val="18"/>
              </w:rPr>
              <w:t xml:space="preserve">Additional </w:t>
            </w:r>
            <w:r w:rsidRPr="00C72947">
              <w:rPr>
                <w:rFonts w:ascii="Times New Roman" w:eastAsia="맑은 고딕" w:hAnsi="Times New Roman"/>
                <w:sz w:val="18"/>
                <w:szCs w:val="18"/>
                <w:lang w:eastAsia="ko-KR"/>
              </w:rPr>
              <w:t>r</w:t>
            </w:r>
            <w:r w:rsidRPr="00C72947">
              <w:rPr>
                <w:rFonts w:ascii="Times New Roman" w:hAnsi="Times New Roman"/>
                <w:sz w:val="18"/>
                <w:szCs w:val="18"/>
              </w:rPr>
              <w:t>esourcing</w:t>
            </w:r>
            <w:r w:rsidRPr="00C72947">
              <w:rPr>
                <w:rStyle w:val="FootnoteReference"/>
                <w:rFonts w:ascii="Times New Roman" w:hAnsi="Times New Roman"/>
                <w:sz w:val="18"/>
                <w:szCs w:val="18"/>
              </w:rPr>
              <w:footnoteReference w:id="3"/>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386E969"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9B540D4"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984DD22"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9242C34"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163,200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BC0B257"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164,832</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A867937"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166,480</w:t>
            </w:r>
          </w:p>
        </w:tc>
      </w:tr>
      <w:tr w:rsidR="0014588F" w:rsidRPr="002534EE" w14:paraId="78B4DDF3"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73B116E6" w14:textId="77777777" w:rsidR="0014588F" w:rsidRPr="00C72947" w:rsidRDefault="0014588F" w:rsidP="000E6616">
            <w:pPr>
              <w:adjustRightInd w:val="0"/>
              <w:snapToGrid w:val="0"/>
              <w:spacing w:after="0"/>
              <w:jc w:val="left"/>
              <w:rPr>
                <w:rFonts w:ascii="Times New Roman" w:eastAsia="Times New Roman" w:hAnsi="Times New Roman"/>
                <w:sz w:val="18"/>
                <w:szCs w:val="18"/>
              </w:rPr>
            </w:pPr>
            <w:r w:rsidRPr="00C72947">
              <w:rPr>
                <w:rFonts w:ascii="Times New Roman" w:eastAsia="Times New Roman" w:hAnsi="Times New Roman"/>
                <w:sz w:val="18"/>
                <w:szCs w:val="18"/>
              </w:rPr>
              <w:t>Project 35b. Maintenance and enhancement of the WCPFC Tissue Bank</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BC87814"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4B38125"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56E0EE0"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DAE8C"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p w14:paraId="4B5DFE69"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FF5DBE8"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p w14:paraId="46024459"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004E7EA"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p w14:paraId="3741F731"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r>
      <w:tr w:rsidR="0014588F" w:rsidRPr="002534EE" w14:paraId="6DE63570"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4DB3BA99"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hAnsi="Times New Roman"/>
                <w:sz w:val="18"/>
                <w:szCs w:val="18"/>
                <w:lang w:eastAsia="ko-KR"/>
              </w:rPr>
              <w:t>Project 42 Pacific Tuna Tagging Program</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30A5B13"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F549310"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A9A9845"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Times New Roman" w:hAnsi="Times New Roman"/>
                <w:sz w:val="18"/>
                <w:szCs w:val="18"/>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D0562D" w14:textId="77777777" w:rsidR="0014588F" w:rsidRPr="00590FBF" w:rsidRDefault="0014588F" w:rsidP="000E6616">
            <w:pPr>
              <w:adjustRightInd w:val="0"/>
              <w:snapToGrid w:val="0"/>
              <w:spacing w:after="0"/>
              <w:jc w:val="right"/>
              <w:rPr>
                <w:rFonts w:ascii="Times New Roman" w:hAnsi="Times New Roman"/>
                <w:sz w:val="18"/>
                <w:szCs w:val="18"/>
              </w:rPr>
            </w:pPr>
            <w:r w:rsidRPr="00590FBF">
              <w:rPr>
                <w:rFonts w:ascii="Times New Roman" w:hAnsi="Times New Roman"/>
                <w:sz w:val="18"/>
                <w:szCs w:val="18"/>
              </w:rPr>
              <w:t>500,000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E86BE48" w14:textId="77777777" w:rsidR="0014588F" w:rsidRPr="00590FBF" w:rsidRDefault="0014588F" w:rsidP="000E6616">
            <w:pPr>
              <w:adjustRightInd w:val="0"/>
              <w:snapToGrid w:val="0"/>
              <w:spacing w:after="0"/>
              <w:jc w:val="right"/>
              <w:rPr>
                <w:rFonts w:ascii="Times New Roman" w:hAnsi="Times New Roman"/>
                <w:sz w:val="18"/>
                <w:szCs w:val="18"/>
              </w:rPr>
            </w:pPr>
            <w:r w:rsidRPr="00590FBF">
              <w:rPr>
                <w:rFonts w:ascii="Times New Roman" w:hAnsi="Times New Roman"/>
                <w:sz w:val="18"/>
                <w:szCs w:val="18"/>
              </w:rPr>
              <w:t>650,000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23ECA5D" w14:textId="77777777" w:rsidR="0014588F" w:rsidRPr="00590FBF" w:rsidRDefault="0014588F" w:rsidP="000E6616">
            <w:pPr>
              <w:adjustRightInd w:val="0"/>
              <w:snapToGrid w:val="0"/>
              <w:spacing w:after="0"/>
              <w:jc w:val="right"/>
              <w:rPr>
                <w:rFonts w:ascii="Times New Roman" w:hAnsi="Times New Roman"/>
                <w:sz w:val="18"/>
                <w:szCs w:val="18"/>
              </w:rPr>
            </w:pPr>
            <w:r w:rsidRPr="00590FBF">
              <w:rPr>
                <w:rFonts w:ascii="Times New Roman" w:hAnsi="Times New Roman"/>
                <w:sz w:val="18"/>
                <w:szCs w:val="18"/>
              </w:rPr>
              <w:t>690,000</w:t>
            </w:r>
          </w:p>
        </w:tc>
      </w:tr>
      <w:tr w:rsidR="0014588F" w:rsidRPr="002534EE" w14:paraId="4125DBEC"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339CF9DB" w14:textId="77777777" w:rsidR="0014588F" w:rsidRPr="00C72947" w:rsidRDefault="0014588F" w:rsidP="000E6616">
            <w:pPr>
              <w:adjustRightInd w:val="0"/>
              <w:snapToGrid w:val="0"/>
              <w:spacing w:after="0"/>
              <w:jc w:val="left"/>
              <w:rPr>
                <w:rFonts w:ascii="Times New Roman" w:hAnsi="Times New Roman"/>
                <w:sz w:val="18"/>
                <w:szCs w:val="18"/>
              </w:rPr>
            </w:pPr>
            <w:r w:rsidRPr="00C72947">
              <w:rPr>
                <w:rFonts w:ascii="Times New Roman" w:hAnsi="Times New Roman"/>
                <w:sz w:val="18"/>
                <w:szCs w:val="18"/>
                <w:lang w:eastAsia="ja-JP"/>
              </w:rPr>
              <w:t xml:space="preserve">Project 57. </w:t>
            </w:r>
            <w:r w:rsidRPr="00C72947">
              <w:rPr>
                <w:rFonts w:ascii="Times New Roman" w:hAnsi="Times New Roman"/>
                <w:sz w:val="18"/>
                <w:szCs w:val="18"/>
              </w:rPr>
              <w:t>Identifying appropriate LRPs for elasmobranchs within the WCPFC</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82A1D41"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2B10028"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B5FEB8E"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DC6526"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25,000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7215659"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4FA4B40"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0</w:t>
            </w:r>
          </w:p>
        </w:tc>
      </w:tr>
      <w:tr w:rsidR="0014588F" w:rsidRPr="002534EE" w14:paraId="609A0A9E"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472C85F"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Project 60: Improving purse seine species composition</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27DC3F9"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4DD3EAAB"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5DE7956"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Times New Roman" w:hAnsi="Times New Roman"/>
                <w:sz w:val="18"/>
                <w:szCs w:val="18"/>
              </w:rPr>
              <w:t>Medium</w:t>
            </w:r>
            <w:r w:rsidRPr="00590FBF">
              <w:rPr>
                <w:rFonts w:ascii="Times New Roman" w:eastAsia="맑은 고딕" w:hAnsi="Times New Roman"/>
                <w:sz w:val="18"/>
                <w:szCs w:val="18"/>
                <w:lang w:eastAsia="ko-KR"/>
              </w:rPr>
              <w:t xml:space="preserve"> / 1</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E1C291"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9F204DA"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40,000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4B0E050"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40,000</w:t>
            </w:r>
          </w:p>
        </w:tc>
      </w:tr>
      <w:tr w:rsidR="0014588F" w:rsidRPr="002534EE" w14:paraId="24D3888E"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10963A06"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 xml:space="preserve">Project 68. Estimation of </w:t>
            </w:r>
            <w:r w:rsidRPr="00C72947">
              <w:rPr>
                <w:rFonts w:ascii="Times New Roman" w:hAnsi="Times New Roman"/>
                <w:sz w:val="18"/>
                <w:szCs w:val="18"/>
              </w:rPr>
              <w:t>seabird mortality across the WCPO Convention area</w:t>
            </w:r>
            <w:r w:rsidRPr="00C72947">
              <w:rPr>
                <w:rFonts w:ascii="Times New Roman" w:eastAsia="맑은 고딕" w:hAnsi="Times New Roman"/>
                <w:sz w:val="18"/>
                <w:szCs w:val="18"/>
                <w:lang w:eastAsia="ko-KR"/>
              </w:rPr>
              <w:t xml:space="preserve"> </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E3CBDDC"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B4C9E47"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3560DF4A"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2D706"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hAnsi="Times New Roman"/>
                <w:sz w:val="18"/>
                <w:szCs w:val="18"/>
                <w:lang w:eastAsia="ko-KR"/>
              </w:rPr>
              <w:t>22,500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ADFE369"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hAnsi="Times New Roman"/>
                <w:sz w:val="18"/>
                <w:szCs w:val="18"/>
                <w:lang w:eastAsia="ko-KR"/>
              </w:rPr>
              <w:t>17,500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A241202" w14:textId="77777777" w:rsidR="0014588F" w:rsidRPr="00590FBF" w:rsidRDefault="0014588F" w:rsidP="000E6616">
            <w:pPr>
              <w:adjustRightInd w:val="0"/>
              <w:snapToGrid w:val="0"/>
              <w:spacing w:after="0"/>
              <w:jc w:val="right"/>
              <w:rPr>
                <w:rFonts w:ascii="Times New Roman" w:hAnsi="Times New Roman"/>
                <w:sz w:val="18"/>
                <w:szCs w:val="18"/>
                <w:lang w:eastAsia="ko-KR"/>
              </w:rPr>
            </w:pPr>
          </w:p>
        </w:tc>
      </w:tr>
      <w:tr w:rsidR="0014588F" w:rsidRPr="002534EE" w14:paraId="53C8CF93"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22A8168" w14:textId="77777777" w:rsidR="0014588F" w:rsidRPr="00C72947" w:rsidRDefault="0014588F" w:rsidP="000E6616">
            <w:pPr>
              <w:adjustRightInd w:val="0"/>
              <w:snapToGrid w:val="0"/>
              <w:spacing w:after="0"/>
              <w:jc w:val="left"/>
              <w:rPr>
                <w:rFonts w:ascii="Times New Roman" w:eastAsia="Times New Roman" w:hAnsi="Times New Roman"/>
                <w:sz w:val="18"/>
                <w:szCs w:val="18"/>
              </w:rPr>
            </w:pPr>
            <w:r w:rsidRPr="00C72947">
              <w:rPr>
                <w:rFonts w:ascii="Times New Roman" w:eastAsia="맑은 고딕" w:hAnsi="Times New Roman"/>
                <w:sz w:val="18"/>
                <w:szCs w:val="18"/>
                <w:lang w:eastAsia="ko-KR"/>
              </w:rPr>
              <w:t xml:space="preserve">Project 81. </w:t>
            </w:r>
            <w:r w:rsidRPr="00C72947">
              <w:rPr>
                <w:rFonts w:ascii="Times New Roman" w:hAnsi="Times New Roman"/>
                <w:sz w:val="18"/>
                <w:szCs w:val="18"/>
              </w:rPr>
              <w:t>Further work on bigeye tuna age and growth</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13B35A1C"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294AA27"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C508D08"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High/1</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3F5734"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30,000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E0143ED"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197B35E"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tc>
      </w:tr>
      <w:tr w:rsidR="0014588F" w:rsidRPr="002534EE" w14:paraId="21E867E2"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59D01D9B"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 xml:space="preserve">Project 82. </w:t>
            </w:r>
            <w:r w:rsidRPr="00C72947">
              <w:rPr>
                <w:rFonts w:ascii="Times New Roman" w:hAnsi="Times New Roman"/>
                <w:sz w:val="18"/>
                <w:szCs w:val="18"/>
              </w:rPr>
              <w:t>Yellowfin tuna age and growth</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00CB008"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1C9EBE3"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A6B3A28"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High/2</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A2F070"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100,000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BEEE5B6"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85,000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6EF359C"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tc>
      </w:tr>
      <w:tr w:rsidR="0014588F" w:rsidRPr="002534EE" w14:paraId="16F5E50F"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BE60425"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Project 83. Investigating the potential for a WCPFC tag vessel</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239DE5F"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114E81C"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No</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A194EEB"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Medium</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F5518F"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62,500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94699A9"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481E9DF"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p>
        </w:tc>
      </w:tr>
      <w:tr w:rsidR="0014588F" w:rsidRPr="002534EE" w14:paraId="3FF9965F"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72612A24" w14:textId="77777777" w:rsidR="0014588F" w:rsidRPr="00C72947" w:rsidRDefault="0014588F" w:rsidP="000E6616">
            <w:pPr>
              <w:adjustRightInd w:val="0"/>
              <w:snapToGrid w:val="0"/>
              <w:spacing w:after="0"/>
              <w:jc w:val="left"/>
              <w:rPr>
                <w:rFonts w:ascii="Times New Roman" w:eastAsia="Times New Roman" w:hAnsi="Times New Roman"/>
                <w:sz w:val="18"/>
                <w:szCs w:val="18"/>
              </w:rPr>
            </w:pPr>
            <w:r w:rsidRPr="00C72947">
              <w:rPr>
                <w:rFonts w:ascii="Times New Roman" w:hAnsi="Times New Roman"/>
                <w:bCs/>
                <w:sz w:val="18"/>
                <w:szCs w:val="18"/>
              </w:rPr>
              <w:t xml:space="preserve">Project 88. </w:t>
            </w:r>
            <w:r w:rsidRPr="00C72947">
              <w:rPr>
                <w:rFonts w:ascii="Times New Roman" w:eastAsia="Times New Roman" w:hAnsi="Times New Roman"/>
                <w:sz w:val="18"/>
                <w:szCs w:val="18"/>
              </w:rPr>
              <w:t>Acoustic FAD analyses</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149AA20A"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B470FF6"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No</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03BF7EE"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Medium</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A33BB4"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C3644DB"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120,000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8FC3E94"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72,000</w:t>
            </w:r>
          </w:p>
        </w:tc>
      </w:tr>
      <w:tr w:rsidR="0014588F" w:rsidRPr="002534EE" w14:paraId="5BCFA140"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50A95D9"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Project 90. Better data on fish weights and lengths for scientific analyses</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2238FC7"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94FBF5B"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36CB56A" w14:textId="77777777" w:rsidR="0014588F" w:rsidRPr="00590FBF" w:rsidRDefault="0014588F" w:rsidP="000E6616">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8758F"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4429E75"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40,000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AC5A821"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20,000</w:t>
            </w:r>
          </w:p>
        </w:tc>
      </w:tr>
      <w:tr w:rsidR="0014588F" w:rsidRPr="002534EE" w14:paraId="08825D1D"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4769F4FB" w14:textId="77777777" w:rsidR="0014588F" w:rsidRPr="00C72947" w:rsidRDefault="0014588F" w:rsidP="000E6616">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Unobligated</w:t>
            </w:r>
            <w:r w:rsidRPr="00C72947">
              <w:rPr>
                <w:rFonts w:ascii="Times New Roman" w:hAnsi="Times New Roman"/>
                <w:sz w:val="18"/>
                <w:szCs w:val="18"/>
              </w:rPr>
              <w:t xml:space="preserve"> (Contingency)</w:t>
            </w:r>
            <w:r w:rsidRPr="00C72947">
              <w:rPr>
                <w:rFonts w:ascii="Times New Roman" w:eastAsia="Times New Roman" w:hAnsi="Times New Roman"/>
                <w:sz w:val="18"/>
                <w:szCs w:val="18"/>
              </w:rPr>
              <w:t xml:space="preserve"> Budget </w:t>
            </w:r>
          </w:p>
        </w:tc>
        <w:tc>
          <w:tcPr>
            <w:tcW w:w="490" w:type="pct"/>
            <w:tcBorders>
              <w:top w:val="single" w:sz="4" w:space="0" w:color="auto"/>
              <w:left w:val="single" w:sz="4" w:space="0" w:color="auto"/>
              <w:bottom w:val="single" w:sz="4" w:space="0" w:color="auto"/>
              <w:right w:val="single" w:sz="4" w:space="0" w:color="auto"/>
            </w:tcBorders>
            <w:shd w:val="clear" w:color="auto" w:fill="auto"/>
          </w:tcPr>
          <w:p w14:paraId="46E82E21" w14:textId="77777777" w:rsidR="0014588F" w:rsidRPr="00590FBF" w:rsidRDefault="0014588F" w:rsidP="000E6616">
            <w:pPr>
              <w:adjustRightInd w:val="0"/>
              <w:snapToGrid w:val="0"/>
              <w:spacing w:after="0"/>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43E85DF"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DA2ACB3" w14:textId="77777777" w:rsidR="0014588F" w:rsidRPr="00590FBF" w:rsidRDefault="0014588F" w:rsidP="000E6616">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8566C" w14:textId="77777777" w:rsidR="0014588F" w:rsidRPr="00590FBF" w:rsidRDefault="0014588F" w:rsidP="000E6616">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4A84FC3"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83,000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808E692" w14:textId="77777777" w:rsidR="0014588F" w:rsidRPr="00590FBF" w:rsidRDefault="0014588F" w:rsidP="000E6616">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83,000</w:t>
            </w:r>
          </w:p>
        </w:tc>
      </w:tr>
      <w:tr w:rsidR="0014588F" w:rsidRPr="002534EE" w14:paraId="1CF0E2D5" w14:textId="77777777" w:rsidTr="000E6616">
        <w:tc>
          <w:tcPr>
            <w:tcW w:w="1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ACE92" w14:textId="77777777" w:rsidR="0014588F" w:rsidRPr="00590FBF" w:rsidRDefault="0014588F" w:rsidP="000E6616">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SC13 TOTAL BUDGET</w:t>
            </w:r>
          </w:p>
        </w:tc>
        <w:tc>
          <w:tcPr>
            <w:tcW w:w="1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1370E2" w14:textId="77777777" w:rsidR="0014588F" w:rsidRPr="00590FBF" w:rsidRDefault="0014588F" w:rsidP="000E6616">
            <w:pPr>
              <w:adjustRightInd w:val="0"/>
              <w:snapToGrid w:val="0"/>
              <w:spacing w:after="0"/>
              <w:jc w:val="center"/>
              <w:rPr>
                <w:rFonts w:ascii="Times New Roman" w:eastAsia="Times New Roman" w:hAnsi="Times New Roman"/>
                <w:b/>
                <w:bCs/>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E70A2" w14:textId="77777777" w:rsidR="0014588F" w:rsidRPr="00590FBF" w:rsidRDefault="0014588F" w:rsidP="000E6616">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1,889</w:t>
            </w:r>
            <w:r>
              <w:rPr>
                <w:rFonts w:ascii="Times New Roman" w:eastAsia="맑은 고딕" w:hAnsi="Times New Roman" w:hint="eastAsia"/>
                <w:b/>
                <w:sz w:val="18"/>
                <w:szCs w:val="18"/>
                <w:lang w:eastAsia="ko-KR"/>
              </w:rPr>
              <w:t>,</w:t>
            </w:r>
            <w:r w:rsidRPr="00590FBF">
              <w:rPr>
                <w:rFonts w:ascii="Times New Roman" w:eastAsia="맑은 고딕" w:hAnsi="Times New Roman"/>
                <w:b/>
                <w:sz w:val="18"/>
                <w:szCs w:val="18"/>
                <w:lang w:eastAsia="ko-KR"/>
              </w:rPr>
              <w:t>024</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393CB39" w14:textId="77777777" w:rsidR="0014588F" w:rsidRPr="00590FBF" w:rsidRDefault="0014588F" w:rsidP="000E6616">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2,203,928</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7E81169" w14:textId="77777777" w:rsidR="0014588F" w:rsidRPr="00590FBF" w:rsidRDefault="0014588F" w:rsidP="000E6616">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2,093,205</w:t>
            </w:r>
          </w:p>
        </w:tc>
      </w:tr>
    </w:tbl>
    <w:p w14:paraId="603AB841" w14:textId="77777777" w:rsidR="0014588F" w:rsidRPr="00590FBF" w:rsidRDefault="0014588F" w:rsidP="0014588F">
      <w:pPr>
        <w:pStyle w:val="ListParagraph"/>
        <w:adjustRightInd w:val="0"/>
        <w:snapToGrid w:val="0"/>
        <w:contextualSpacing w:val="0"/>
        <w:rPr>
          <w:rFonts w:ascii="Times New Roman" w:hAnsi="Times New Roman"/>
          <w:b/>
        </w:rPr>
      </w:pPr>
    </w:p>
    <w:p w14:paraId="47BB7C44" w14:textId="77777777" w:rsidR="0014588F" w:rsidRPr="00590FBF" w:rsidRDefault="0014588F" w:rsidP="0014588F">
      <w:pPr>
        <w:pStyle w:val="WCPFC"/>
        <w:adjustRightInd w:val="0"/>
        <w:spacing w:after="0"/>
        <w:ind w:left="0" w:firstLine="0"/>
      </w:pPr>
      <w:r w:rsidRPr="00590FBF">
        <w:t xml:space="preserve">Detailed </w:t>
      </w:r>
      <w:r>
        <w:t xml:space="preserve">description of SC13 work programme, budget and </w:t>
      </w:r>
      <w:r w:rsidRPr="00590FBF">
        <w:t xml:space="preserve">terms of reference for </w:t>
      </w:r>
      <w:r>
        <w:t xml:space="preserve">each project are </w:t>
      </w:r>
      <w:r w:rsidRPr="00590FBF">
        <w:t>in Attachment J.</w:t>
      </w:r>
    </w:p>
    <w:p w14:paraId="7E9B10B2" w14:textId="77777777" w:rsidR="0014588F" w:rsidRPr="00590FBF" w:rsidRDefault="0014588F" w:rsidP="0014588F">
      <w:pPr>
        <w:adjustRightInd w:val="0"/>
        <w:snapToGrid w:val="0"/>
        <w:spacing w:after="0"/>
        <w:rPr>
          <w:rFonts w:ascii="Times New Roman" w:hAnsi="Times New Roman"/>
        </w:rPr>
      </w:pPr>
    </w:p>
    <w:p w14:paraId="1DDC6E42" w14:textId="77777777" w:rsidR="0014588F" w:rsidRPr="00590FBF" w:rsidRDefault="0014588F" w:rsidP="0014588F">
      <w:pPr>
        <w:adjustRightInd w:val="0"/>
        <w:snapToGrid w:val="0"/>
        <w:spacing w:after="0"/>
        <w:rPr>
          <w:rFonts w:ascii="Times New Roman" w:hAnsi="Times New Roman"/>
        </w:rPr>
      </w:pPr>
    </w:p>
    <w:p w14:paraId="2C7E9B8A" w14:textId="77777777" w:rsidR="0014588F" w:rsidRPr="009C2ADD" w:rsidRDefault="0014588F" w:rsidP="0014588F">
      <w:pPr>
        <w:pStyle w:val="Heading1"/>
        <w:adjustRightInd w:val="0"/>
        <w:snapToGrid w:val="0"/>
        <w:rPr>
          <w:rFonts w:ascii="Times New Roman" w:hAnsi="Times New Roman"/>
          <w:sz w:val="22"/>
          <w:szCs w:val="22"/>
        </w:rPr>
      </w:pPr>
      <w:bookmarkStart w:id="65" w:name="_Toc498688676"/>
      <w:r w:rsidRPr="009C2ADD">
        <w:rPr>
          <w:rFonts w:ascii="Times New Roman" w:hAnsi="Times New Roman"/>
          <w:sz w:val="22"/>
          <w:szCs w:val="22"/>
        </w:rPr>
        <w:t>AGENDA ITEM 11 - Administrative Matters</w:t>
      </w:r>
      <w:bookmarkEnd w:id="65"/>
    </w:p>
    <w:p w14:paraId="1021D481" w14:textId="77777777" w:rsidR="0014588F" w:rsidRPr="009C2ADD" w:rsidRDefault="0014588F" w:rsidP="0014588F">
      <w:pPr>
        <w:adjustRightInd w:val="0"/>
        <w:snapToGrid w:val="0"/>
        <w:spacing w:after="0"/>
        <w:rPr>
          <w:rFonts w:ascii="Times New Roman" w:hAnsi="Times New Roman"/>
          <w:lang w:val="en-AU"/>
        </w:rPr>
      </w:pPr>
    </w:p>
    <w:p w14:paraId="7CE20465" w14:textId="77777777" w:rsidR="0014588F" w:rsidRPr="009C2ADD" w:rsidRDefault="0014588F" w:rsidP="0014588F">
      <w:pPr>
        <w:pStyle w:val="WCPFC"/>
        <w:numPr>
          <w:ilvl w:val="0"/>
          <w:numId w:val="0"/>
        </w:numPr>
        <w:adjustRightInd w:val="0"/>
        <w:spacing w:after="0"/>
        <w:ind w:left="567" w:hanging="567"/>
      </w:pPr>
    </w:p>
    <w:p w14:paraId="05CF84FD" w14:textId="77777777" w:rsidR="0014588F" w:rsidRPr="009C2ADD" w:rsidRDefault="0014588F" w:rsidP="0014588F">
      <w:pPr>
        <w:pStyle w:val="Heading2"/>
        <w:adjustRightInd w:val="0"/>
        <w:snapToGrid w:val="0"/>
        <w:rPr>
          <w:color w:val="auto"/>
          <w:szCs w:val="22"/>
          <w:lang w:val="en-AU"/>
        </w:rPr>
      </w:pPr>
      <w:bookmarkStart w:id="66" w:name="_Toc498688677"/>
      <w:r w:rsidRPr="009C2ADD">
        <w:rPr>
          <w:color w:val="auto"/>
          <w:szCs w:val="22"/>
          <w:lang w:val="en-AU"/>
        </w:rPr>
        <w:t>11.</w:t>
      </w:r>
      <w:r>
        <w:rPr>
          <w:color w:val="auto"/>
          <w:szCs w:val="22"/>
          <w:lang w:val="en-AU"/>
        </w:rPr>
        <w:t>1</w:t>
      </w:r>
      <w:r w:rsidRPr="009C2ADD">
        <w:rPr>
          <w:color w:val="auto"/>
          <w:szCs w:val="22"/>
          <w:lang w:val="en-AU"/>
        </w:rPr>
        <w:t xml:space="preserve"> </w:t>
      </w:r>
      <w:r w:rsidRPr="009C2ADD">
        <w:rPr>
          <w:color w:val="auto"/>
          <w:szCs w:val="22"/>
          <w:lang w:val="en-AU"/>
        </w:rPr>
        <w:tab/>
        <w:t>Election of Officers of the Scientific Committee</w:t>
      </w:r>
      <w:bookmarkEnd w:id="66"/>
      <w:r w:rsidRPr="009C2ADD">
        <w:rPr>
          <w:color w:val="auto"/>
          <w:szCs w:val="22"/>
          <w:lang w:val="en-AU"/>
        </w:rPr>
        <w:t xml:space="preserve"> </w:t>
      </w:r>
    </w:p>
    <w:p w14:paraId="052D9FC7" w14:textId="77777777" w:rsidR="0014588F" w:rsidRPr="009C2ADD" w:rsidRDefault="0014588F" w:rsidP="0014588F">
      <w:pPr>
        <w:adjustRightInd w:val="0"/>
        <w:snapToGrid w:val="0"/>
        <w:spacing w:after="0"/>
        <w:rPr>
          <w:rFonts w:ascii="Times New Roman" w:hAnsi="Times New Roman"/>
          <w:lang w:val="en-AU"/>
        </w:rPr>
      </w:pPr>
    </w:p>
    <w:p w14:paraId="42573BC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considered nominations for SC Chair, SC Vice-Chair, but no nominations were made. Members were asked to further consider potential nominations in the intersessional period. </w:t>
      </w:r>
    </w:p>
    <w:p w14:paraId="279E359D"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7B7B9176" w14:textId="77777777" w:rsidR="0014588F" w:rsidRPr="009C2ADD" w:rsidRDefault="0014588F" w:rsidP="0014588F">
      <w:pPr>
        <w:pStyle w:val="Heading2"/>
        <w:adjustRightInd w:val="0"/>
        <w:snapToGrid w:val="0"/>
        <w:rPr>
          <w:color w:val="auto"/>
          <w:szCs w:val="22"/>
          <w:lang w:val="en-AU"/>
        </w:rPr>
      </w:pPr>
      <w:bookmarkStart w:id="67" w:name="_Toc498688678"/>
      <w:r w:rsidRPr="009C2ADD">
        <w:rPr>
          <w:color w:val="auto"/>
          <w:szCs w:val="22"/>
          <w:lang w:val="en-AU"/>
        </w:rPr>
        <w:t xml:space="preserve">11.3 </w:t>
      </w:r>
      <w:r w:rsidRPr="009C2ADD">
        <w:rPr>
          <w:color w:val="auto"/>
          <w:szCs w:val="22"/>
          <w:lang w:val="en-AU"/>
        </w:rPr>
        <w:tab/>
        <w:t>Next meeting</w:t>
      </w:r>
      <w:bookmarkEnd w:id="67"/>
      <w:r w:rsidRPr="009C2ADD">
        <w:rPr>
          <w:color w:val="auto"/>
          <w:szCs w:val="22"/>
          <w:lang w:val="en-AU"/>
        </w:rPr>
        <w:t xml:space="preserve">  </w:t>
      </w:r>
    </w:p>
    <w:p w14:paraId="4E885C5E" w14:textId="77777777" w:rsidR="0014588F" w:rsidRPr="009C2ADD" w:rsidRDefault="0014588F" w:rsidP="0014588F">
      <w:pPr>
        <w:adjustRightInd w:val="0"/>
        <w:snapToGrid w:val="0"/>
        <w:spacing w:after="0"/>
        <w:rPr>
          <w:rFonts w:ascii="Times New Roman" w:hAnsi="Times New Roman"/>
          <w:lang w:val="en-AU" w:eastAsia="ja-JP"/>
        </w:rPr>
      </w:pPr>
    </w:p>
    <w:p w14:paraId="604C6FC4"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confirmed that SC14 would be held in Busan, Korea, during 8 – 16 August 201</w:t>
      </w:r>
      <w:r>
        <w:rPr>
          <w:rFonts w:ascii="Times New Roman" w:hAnsi="Times New Roman"/>
          <w:lang w:val="en-AU"/>
        </w:rPr>
        <w:t>8</w:t>
      </w:r>
      <w:r w:rsidRPr="009C2ADD">
        <w:rPr>
          <w:rFonts w:ascii="Times New Roman" w:hAnsi="Times New Roman"/>
          <w:lang w:val="en-AU"/>
        </w:rPr>
        <w:t xml:space="preserve">, and proposed that SC15 in 2019 be held in Samoa. </w:t>
      </w:r>
    </w:p>
    <w:p w14:paraId="6F68A870" w14:textId="77777777" w:rsidR="0014588F" w:rsidRPr="009C2ADD" w:rsidRDefault="0014588F" w:rsidP="0014588F">
      <w:pPr>
        <w:adjustRightInd w:val="0"/>
        <w:snapToGrid w:val="0"/>
        <w:spacing w:after="0"/>
        <w:rPr>
          <w:rFonts w:ascii="Times New Roman" w:hAnsi="Times New Roman"/>
          <w:lang w:val="en-AU"/>
        </w:rPr>
      </w:pPr>
    </w:p>
    <w:p w14:paraId="1D12C2A8" w14:textId="77777777" w:rsidR="0014588F" w:rsidRPr="009C2ADD" w:rsidRDefault="0014588F" w:rsidP="0014588F">
      <w:pPr>
        <w:adjustRightInd w:val="0"/>
        <w:snapToGrid w:val="0"/>
        <w:spacing w:after="0"/>
        <w:rPr>
          <w:rFonts w:ascii="Times New Roman" w:hAnsi="Times New Roman"/>
          <w:lang w:val="en-AU"/>
        </w:rPr>
      </w:pPr>
    </w:p>
    <w:p w14:paraId="73C26525" w14:textId="77777777" w:rsidR="0014588F" w:rsidRPr="009C2ADD" w:rsidRDefault="0014588F" w:rsidP="0014588F">
      <w:pPr>
        <w:pStyle w:val="Heading1"/>
        <w:adjustRightInd w:val="0"/>
        <w:snapToGrid w:val="0"/>
        <w:rPr>
          <w:rFonts w:ascii="Times New Roman" w:hAnsi="Times New Roman"/>
          <w:sz w:val="22"/>
          <w:szCs w:val="22"/>
        </w:rPr>
      </w:pPr>
      <w:bookmarkStart w:id="68" w:name="_Toc498688679"/>
      <w:r w:rsidRPr="009C2ADD">
        <w:rPr>
          <w:rFonts w:ascii="Times New Roman" w:hAnsi="Times New Roman"/>
          <w:sz w:val="22"/>
          <w:szCs w:val="22"/>
        </w:rPr>
        <w:t>AGENDA ITEM 12 - Other Matters</w:t>
      </w:r>
      <w:bookmarkEnd w:id="68"/>
    </w:p>
    <w:p w14:paraId="03AF2C8A" w14:textId="77777777" w:rsidR="0014588F" w:rsidRPr="009C2ADD" w:rsidRDefault="0014588F" w:rsidP="0014588F">
      <w:pPr>
        <w:adjustRightInd w:val="0"/>
        <w:snapToGrid w:val="0"/>
        <w:spacing w:after="0"/>
        <w:rPr>
          <w:rFonts w:ascii="Times New Roman" w:hAnsi="Times New Roman"/>
          <w:lang w:val="en-AU"/>
        </w:rPr>
      </w:pPr>
    </w:p>
    <w:p w14:paraId="724C536A" w14:textId="77777777" w:rsidR="0014588F" w:rsidRPr="009C2ADD" w:rsidRDefault="0014588F" w:rsidP="0014588F">
      <w:pPr>
        <w:adjustRightInd w:val="0"/>
        <w:snapToGrid w:val="0"/>
        <w:spacing w:after="0"/>
        <w:rPr>
          <w:rFonts w:ascii="Times New Roman" w:hAnsi="Times New Roman"/>
          <w:lang w:val="en-AU"/>
        </w:rPr>
      </w:pPr>
    </w:p>
    <w:p w14:paraId="75290CEE"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No issues were raised under this agenda item. </w:t>
      </w:r>
    </w:p>
    <w:p w14:paraId="42E1F73A" w14:textId="77777777" w:rsidR="0014588F" w:rsidRPr="009C2ADD" w:rsidRDefault="0014588F" w:rsidP="0014588F">
      <w:pPr>
        <w:adjustRightInd w:val="0"/>
        <w:snapToGrid w:val="0"/>
        <w:spacing w:after="0"/>
        <w:rPr>
          <w:rFonts w:ascii="Times New Roman" w:hAnsi="Times New Roman"/>
        </w:rPr>
      </w:pPr>
    </w:p>
    <w:p w14:paraId="71D65425" w14:textId="77777777" w:rsidR="0014588F" w:rsidRPr="009C2ADD" w:rsidRDefault="0014588F" w:rsidP="0014588F">
      <w:pPr>
        <w:adjustRightInd w:val="0"/>
        <w:snapToGrid w:val="0"/>
        <w:spacing w:after="0"/>
        <w:rPr>
          <w:rFonts w:ascii="Times New Roman" w:hAnsi="Times New Roman"/>
        </w:rPr>
      </w:pPr>
    </w:p>
    <w:p w14:paraId="4666F4BF" w14:textId="77777777" w:rsidR="0014588F" w:rsidRPr="009C2ADD" w:rsidRDefault="0014588F" w:rsidP="0014588F">
      <w:pPr>
        <w:pStyle w:val="Heading1"/>
        <w:adjustRightInd w:val="0"/>
        <w:snapToGrid w:val="0"/>
        <w:rPr>
          <w:rFonts w:ascii="Times New Roman" w:hAnsi="Times New Roman"/>
          <w:sz w:val="22"/>
          <w:szCs w:val="22"/>
        </w:rPr>
      </w:pPr>
      <w:bookmarkStart w:id="69" w:name="_Toc498688680"/>
      <w:r w:rsidRPr="009C2ADD">
        <w:rPr>
          <w:rFonts w:ascii="Times New Roman" w:hAnsi="Times New Roman"/>
          <w:sz w:val="22"/>
          <w:szCs w:val="22"/>
        </w:rPr>
        <w:t>AGENDA ITEM 13 - Adoption of the Summary Report of the Thirteenth Regular Session Of The Scientific Committee</w:t>
      </w:r>
      <w:bookmarkEnd w:id="69"/>
    </w:p>
    <w:p w14:paraId="76C80D0A" w14:textId="77777777" w:rsidR="0014588F" w:rsidRPr="009C2ADD" w:rsidRDefault="0014588F" w:rsidP="0014588F">
      <w:pPr>
        <w:pStyle w:val="Heading2"/>
        <w:adjustRightInd w:val="0"/>
        <w:snapToGrid w:val="0"/>
        <w:rPr>
          <w:color w:val="auto"/>
          <w:szCs w:val="22"/>
          <w:lang w:val="en-AU"/>
        </w:rPr>
      </w:pPr>
    </w:p>
    <w:p w14:paraId="73A927AC" w14:textId="77777777" w:rsidR="0014588F" w:rsidRPr="009C2ADD" w:rsidRDefault="0014588F" w:rsidP="0014588F">
      <w:pPr>
        <w:adjustRightInd w:val="0"/>
        <w:snapToGrid w:val="0"/>
        <w:spacing w:after="0"/>
        <w:rPr>
          <w:rFonts w:ascii="Times New Roman" w:hAnsi="Times New Roman"/>
          <w:lang w:val="en-AU" w:eastAsia="ja-JP"/>
        </w:rPr>
      </w:pPr>
    </w:p>
    <w:p w14:paraId="3B63F908" w14:textId="77777777" w:rsidR="0014588F" w:rsidRPr="00D80EAC" w:rsidRDefault="0014588F" w:rsidP="0014588F">
      <w:pPr>
        <w:numPr>
          <w:ilvl w:val="0"/>
          <w:numId w:val="1"/>
        </w:numPr>
        <w:autoSpaceDE w:val="0"/>
        <w:autoSpaceDN w:val="0"/>
        <w:adjustRightInd w:val="0"/>
        <w:snapToGrid w:val="0"/>
        <w:spacing w:after="0"/>
        <w:ind w:left="0" w:firstLine="0"/>
        <w:rPr>
          <w:rFonts w:ascii="Times New Roman" w:hAnsi="Times New Roman"/>
          <w:b/>
          <w:bCs/>
          <w:lang w:val="en-AU"/>
        </w:rPr>
      </w:pPr>
      <w:r w:rsidRPr="00D80EAC">
        <w:rPr>
          <w:rFonts w:ascii="Times New Roman" w:hAnsi="Times New Roman"/>
          <w:b/>
          <w:bCs/>
          <w:lang w:val="en-AU"/>
        </w:rPr>
        <w:t xml:space="preserve">SC13 adopted the recommendations of the Thirteenth Regular Session of the Scientific Committee. The SC13 Summary Report will be adopted intersessionally according to the following schedule: </w:t>
      </w:r>
    </w:p>
    <w:p w14:paraId="05557204" w14:textId="77777777" w:rsidR="0014588F" w:rsidRPr="009C2ADD" w:rsidRDefault="0014588F" w:rsidP="0014588F">
      <w:pPr>
        <w:pStyle w:val="WCPFC"/>
        <w:numPr>
          <w:ilvl w:val="0"/>
          <w:numId w:val="0"/>
        </w:numPr>
        <w:adjustRightInd w:val="0"/>
        <w:spacing w:after="0"/>
        <w:rPr>
          <w:lang w:eastAsia="ko-KR"/>
        </w:rPr>
      </w:pPr>
    </w:p>
    <w:tbl>
      <w:tblPr>
        <w:tblW w:w="5000" w:type="pct"/>
        <w:tblLook w:val="04A0" w:firstRow="1" w:lastRow="0" w:firstColumn="1" w:lastColumn="0" w:noHBand="0" w:noVBand="1"/>
      </w:tblPr>
      <w:tblGrid>
        <w:gridCol w:w="2628"/>
        <w:gridCol w:w="6948"/>
      </w:tblGrid>
      <w:tr w:rsidR="0014588F" w:rsidRPr="009C2ADD" w14:paraId="6E0931BF" w14:textId="77777777" w:rsidTr="000E6616">
        <w:tc>
          <w:tcPr>
            <w:tcW w:w="1372" w:type="pct"/>
            <w:tcBorders>
              <w:top w:val="single" w:sz="4" w:space="0" w:color="auto"/>
              <w:left w:val="nil"/>
              <w:bottom w:val="single" w:sz="4" w:space="0" w:color="auto"/>
              <w:right w:val="nil"/>
            </w:tcBorders>
            <w:shd w:val="clear" w:color="auto" w:fill="A6A6A6" w:themeFill="background1" w:themeFillShade="A6"/>
          </w:tcPr>
          <w:p w14:paraId="3A03A938" w14:textId="77777777" w:rsidR="0014588F" w:rsidRPr="009C2ADD" w:rsidRDefault="0014588F" w:rsidP="000E6616">
            <w:pPr>
              <w:tabs>
                <w:tab w:val="left" w:pos="2977"/>
              </w:tabs>
              <w:autoSpaceDE w:val="0"/>
              <w:autoSpaceDN w:val="0"/>
              <w:adjustRightInd w:val="0"/>
              <w:snapToGrid w:val="0"/>
              <w:spacing w:after="0"/>
              <w:rPr>
                <w:rFonts w:ascii="Times New Roman" w:eastAsia="맑은 고딕" w:hAnsi="Times New Roman"/>
                <w:b/>
                <w:lang w:eastAsia="ko-KR"/>
              </w:rPr>
            </w:pPr>
            <w:r w:rsidRPr="009C2ADD">
              <w:rPr>
                <w:rFonts w:ascii="Times New Roman" w:eastAsia="맑은 고딕" w:hAnsi="Times New Roman"/>
                <w:b/>
                <w:lang w:eastAsia="ko-KR"/>
              </w:rPr>
              <w:t>Due by</w:t>
            </w:r>
          </w:p>
        </w:tc>
        <w:tc>
          <w:tcPr>
            <w:tcW w:w="3628" w:type="pct"/>
            <w:tcBorders>
              <w:top w:val="single" w:sz="4" w:space="0" w:color="auto"/>
              <w:left w:val="nil"/>
              <w:bottom w:val="single" w:sz="4" w:space="0" w:color="auto"/>
              <w:right w:val="nil"/>
            </w:tcBorders>
            <w:shd w:val="clear" w:color="auto" w:fill="A6A6A6" w:themeFill="background1" w:themeFillShade="A6"/>
          </w:tcPr>
          <w:p w14:paraId="397F91CD"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b/>
                <w:lang w:eastAsia="ko-KR"/>
              </w:rPr>
            </w:pPr>
            <w:r w:rsidRPr="009C2ADD">
              <w:rPr>
                <w:rFonts w:ascii="Times New Roman" w:hAnsi="Times New Roman"/>
                <w:b/>
                <w:lang w:eastAsia="ko-KR"/>
              </w:rPr>
              <w:t>Activity</w:t>
            </w:r>
          </w:p>
        </w:tc>
      </w:tr>
      <w:tr w:rsidR="0014588F" w:rsidRPr="009C2ADD" w14:paraId="4FD02368" w14:textId="77777777" w:rsidTr="000E6616">
        <w:tc>
          <w:tcPr>
            <w:tcW w:w="1372" w:type="pct"/>
            <w:tcBorders>
              <w:top w:val="single" w:sz="4" w:space="0" w:color="auto"/>
              <w:left w:val="nil"/>
              <w:bottom w:val="single" w:sz="4" w:space="0" w:color="auto"/>
              <w:right w:val="nil"/>
            </w:tcBorders>
          </w:tcPr>
          <w:p w14:paraId="71C66924"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28 August</w:t>
            </w:r>
          </w:p>
        </w:tc>
        <w:tc>
          <w:tcPr>
            <w:tcW w:w="3628" w:type="pct"/>
            <w:tcBorders>
              <w:top w:val="single" w:sz="4" w:space="0" w:color="auto"/>
              <w:left w:val="nil"/>
              <w:bottom w:val="single" w:sz="4" w:space="0" w:color="auto"/>
              <w:right w:val="nil"/>
            </w:tcBorders>
          </w:tcPr>
          <w:p w14:paraId="63BC748D"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Receive draft report from rapporteurs</w:t>
            </w:r>
          </w:p>
        </w:tc>
      </w:tr>
      <w:tr w:rsidR="0014588F" w:rsidRPr="009C2ADD" w14:paraId="16FC82C0" w14:textId="77777777" w:rsidTr="000E6616">
        <w:tc>
          <w:tcPr>
            <w:tcW w:w="1372" w:type="pct"/>
            <w:tcBorders>
              <w:top w:val="single" w:sz="4" w:space="0" w:color="auto"/>
              <w:left w:val="nil"/>
              <w:bottom w:val="single" w:sz="4" w:space="0" w:color="auto"/>
              <w:right w:val="nil"/>
            </w:tcBorders>
          </w:tcPr>
          <w:p w14:paraId="7EEB32FB"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4</w:t>
            </w:r>
            <w:r w:rsidRPr="009C2ADD">
              <w:rPr>
                <w:rFonts w:ascii="Times New Roman" w:eastAsia="MS Mincho" w:hAnsi="Times New Roman"/>
              </w:rPr>
              <w:t xml:space="preserve"> </w:t>
            </w:r>
            <w:r w:rsidRPr="009C2ADD">
              <w:rPr>
                <w:rFonts w:ascii="Times New Roman" w:hAnsi="Times New Roman"/>
                <w:lang w:eastAsia="ko-KR"/>
              </w:rPr>
              <w:t>September</w:t>
            </w:r>
          </w:p>
        </w:tc>
        <w:tc>
          <w:tcPr>
            <w:tcW w:w="3628" w:type="pct"/>
            <w:tcBorders>
              <w:top w:val="single" w:sz="4" w:space="0" w:color="auto"/>
              <w:left w:val="nil"/>
              <w:bottom w:val="single" w:sz="4" w:space="0" w:color="auto"/>
              <w:right w:val="nil"/>
            </w:tcBorders>
            <w:vAlign w:val="center"/>
            <w:hideMark/>
          </w:tcPr>
          <w:p w14:paraId="200FBE19"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MS Mincho" w:hAnsi="Times New Roman"/>
              </w:rPr>
              <w:t xml:space="preserve">Secretariat clean and send the draft report </w:t>
            </w:r>
            <w:r w:rsidRPr="009C2ADD">
              <w:rPr>
                <w:rFonts w:ascii="Times New Roman" w:eastAsia="맑은 고딕" w:hAnsi="Times New Roman"/>
                <w:lang w:eastAsia="ko-KR"/>
              </w:rPr>
              <w:t>to theme conveners</w:t>
            </w:r>
          </w:p>
        </w:tc>
      </w:tr>
      <w:tr w:rsidR="0014588F" w:rsidRPr="009C2ADD" w14:paraId="59B2EA0B" w14:textId="77777777" w:rsidTr="000E6616">
        <w:tc>
          <w:tcPr>
            <w:tcW w:w="1372" w:type="pct"/>
            <w:tcBorders>
              <w:top w:val="single" w:sz="4" w:space="0" w:color="auto"/>
              <w:left w:val="nil"/>
              <w:bottom w:val="single" w:sz="4" w:space="0" w:color="auto"/>
              <w:right w:val="nil"/>
            </w:tcBorders>
          </w:tcPr>
          <w:p w14:paraId="7030C608"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rPr>
            </w:pPr>
            <w:r w:rsidRPr="009C2ADD">
              <w:rPr>
                <w:rFonts w:ascii="Times New Roman" w:hAnsi="Times New Roman"/>
                <w:lang w:eastAsia="ko-KR"/>
              </w:rPr>
              <w:t>11 September</w:t>
            </w:r>
          </w:p>
        </w:tc>
        <w:tc>
          <w:tcPr>
            <w:tcW w:w="3628" w:type="pct"/>
            <w:tcBorders>
              <w:top w:val="single" w:sz="4" w:space="0" w:color="auto"/>
              <w:left w:val="nil"/>
              <w:bottom w:val="single" w:sz="4" w:space="0" w:color="auto"/>
              <w:right w:val="nil"/>
            </w:tcBorders>
            <w:hideMark/>
          </w:tcPr>
          <w:p w14:paraId="1A2A0949"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MS Mincho" w:hAnsi="Times New Roman"/>
              </w:rPr>
              <w:t xml:space="preserve">Theme convenors </w:t>
            </w:r>
            <w:r w:rsidRPr="009C2ADD">
              <w:rPr>
                <w:rFonts w:ascii="Times New Roman" w:hAnsi="Times New Roman"/>
                <w:lang w:eastAsia="ko-KR"/>
              </w:rPr>
              <w:t>return the report back to the Secretariat</w:t>
            </w:r>
          </w:p>
        </w:tc>
      </w:tr>
      <w:tr w:rsidR="0014588F" w:rsidRPr="009C2ADD" w14:paraId="090C636C" w14:textId="77777777" w:rsidTr="000E6616">
        <w:tc>
          <w:tcPr>
            <w:tcW w:w="1372" w:type="pct"/>
            <w:tcBorders>
              <w:top w:val="single" w:sz="4" w:space="0" w:color="auto"/>
              <w:left w:val="nil"/>
              <w:bottom w:val="single" w:sz="4" w:space="0" w:color="auto"/>
              <w:right w:val="nil"/>
            </w:tcBorders>
          </w:tcPr>
          <w:p w14:paraId="3FC98E80"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13 September</w:t>
            </w:r>
          </w:p>
        </w:tc>
        <w:tc>
          <w:tcPr>
            <w:tcW w:w="3628" w:type="pct"/>
            <w:tcBorders>
              <w:top w:val="single" w:sz="4" w:space="0" w:color="auto"/>
              <w:left w:val="nil"/>
              <w:bottom w:val="single" w:sz="4" w:space="0" w:color="auto"/>
              <w:right w:val="nil"/>
            </w:tcBorders>
            <w:hideMark/>
          </w:tcPr>
          <w:p w14:paraId="326C8A8F"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맑은 고딕" w:hAnsi="Times New Roman"/>
                <w:lang w:eastAsia="ko-KR"/>
              </w:rPr>
              <w:t xml:space="preserve">The </w:t>
            </w:r>
            <w:r w:rsidRPr="009C2ADD">
              <w:rPr>
                <w:rFonts w:ascii="Times New Roman" w:eastAsia="MS Mincho" w:hAnsi="Times New Roman"/>
              </w:rPr>
              <w:t xml:space="preserve">Secretariat </w:t>
            </w:r>
            <w:r w:rsidRPr="009C2ADD">
              <w:rPr>
                <w:rFonts w:ascii="Times New Roman" w:eastAsia="맑은 고딕" w:hAnsi="Times New Roman"/>
                <w:lang w:eastAsia="ko-KR"/>
              </w:rPr>
              <w:t>distributes</w:t>
            </w:r>
            <w:r w:rsidRPr="009C2ADD">
              <w:rPr>
                <w:rFonts w:ascii="Times New Roman" w:eastAsia="MS Mincho" w:hAnsi="Times New Roman"/>
              </w:rPr>
              <w:t xml:space="preserve"> the </w:t>
            </w:r>
            <w:r w:rsidRPr="009C2ADD">
              <w:rPr>
                <w:rFonts w:ascii="Times New Roman" w:eastAsia="맑은 고딕" w:hAnsi="Times New Roman"/>
                <w:lang w:eastAsia="ko-KR"/>
              </w:rPr>
              <w:t xml:space="preserve">draft </w:t>
            </w:r>
            <w:r w:rsidRPr="009C2ADD">
              <w:rPr>
                <w:rFonts w:ascii="Times New Roman" w:eastAsia="MS Mincho" w:hAnsi="Times New Roman"/>
              </w:rPr>
              <w:t xml:space="preserve">report </w:t>
            </w:r>
            <w:r w:rsidRPr="009C2ADD">
              <w:rPr>
                <w:rFonts w:ascii="Times New Roman" w:eastAsia="맑은 고딕" w:hAnsi="Times New Roman"/>
                <w:lang w:eastAsia="ko-KR"/>
              </w:rPr>
              <w:t>to all CCMs and Observers</w:t>
            </w:r>
            <w:r w:rsidRPr="009C2ADD">
              <w:rPr>
                <w:rFonts w:ascii="Times New Roman" w:eastAsia="MS Mincho" w:hAnsi="Times New Roman"/>
              </w:rPr>
              <w:t xml:space="preserve"> by </w:t>
            </w:r>
            <w:r w:rsidRPr="009C2ADD">
              <w:rPr>
                <w:rFonts w:ascii="Times New Roman" w:hAnsi="Times New Roman"/>
                <w:lang w:eastAsia="ko-KR"/>
              </w:rPr>
              <w:t>email (DRAFT version post on SC13 website)</w:t>
            </w:r>
          </w:p>
        </w:tc>
      </w:tr>
      <w:tr w:rsidR="0014588F" w:rsidRPr="009C2ADD" w14:paraId="47387B4F" w14:textId="77777777" w:rsidTr="000E6616">
        <w:tc>
          <w:tcPr>
            <w:tcW w:w="1372" w:type="pct"/>
            <w:tcBorders>
              <w:top w:val="single" w:sz="4" w:space="0" w:color="auto"/>
              <w:left w:val="nil"/>
              <w:bottom w:val="single" w:sz="4" w:space="0" w:color="auto"/>
              <w:right w:val="nil"/>
            </w:tcBorders>
          </w:tcPr>
          <w:p w14:paraId="3B4EE70C" w14:textId="77777777" w:rsidR="0014588F" w:rsidRPr="009C2ADD" w:rsidRDefault="0014588F" w:rsidP="000E6616">
            <w:pPr>
              <w:tabs>
                <w:tab w:val="left" w:pos="2977"/>
              </w:tabs>
              <w:autoSpaceDE w:val="0"/>
              <w:autoSpaceDN w:val="0"/>
              <w:adjustRightInd w:val="0"/>
              <w:snapToGrid w:val="0"/>
              <w:spacing w:after="0"/>
              <w:rPr>
                <w:rFonts w:ascii="Times New Roman" w:hAnsi="Times New Roman"/>
              </w:rPr>
            </w:pPr>
            <w:r w:rsidRPr="009C2ADD">
              <w:rPr>
                <w:rFonts w:ascii="Times New Roman" w:hAnsi="Times New Roman"/>
                <w:lang w:eastAsia="ko-KR"/>
              </w:rPr>
              <w:t xml:space="preserve">25 October </w:t>
            </w:r>
          </w:p>
        </w:tc>
        <w:tc>
          <w:tcPr>
            <w:tcW w:w="3628" w:type="pct"/>
            <w:tcBorders>
              <w:top w:val="single" w:sz="4" w:space="0" w:color="auto"/>
              <w:left w:val="nil"/>
              <w:bottom w:val="single" w:sz="4" w:space="0" w:color="auto"/>
              <w:right w:val="nil"/>
            </w:tcBorders>
            <w:hideMark/>
          </w:tcPr>
          <w:p w14:paraId="5D0295C4" w14:textId="77777777" w:rsidR="0014588F" w:rsidRPr="009C2ADD" w:rsidRDefault="0014588F" w:rsidP="000E6616">
            <w:pPr>
              <w:tabs>
                <w:tab w:val="left" w:pos="2977"/>
              </w:tabs>
              <w:autoSpaceDE w:val="0"/>
              <w:autoSpaceDN w:val="0"/>
              <w:adjustRightInd w:val="0"/>
              <w:snapToGrid w:val="0"/>
              <w:spacing w:after="0"/>
              <w:rPr>
                <w:rFonts w:ascii="Times New Roman" w:eastAsia="MS Mincho" w:hAnsi="Times New Roman"/>
              </w:rPr>
            </w:pPr>
            <w:r w:rsidRPr="009C2ADD">
              <w:rPr>
                <w:rFonts w:ascii="Times New Roman" w:eastAsia="맑은 고딕" w:hAnsi="Times New Roman"/>
                <w:lang w:eastAsia="ko-KR"/>
              </w:rPr>
              <w:t>Deadline for the submission of comments from CCMs and Observers</w:t>
            </w:r>
          </w:p>
        </w:tc>
      </w:tr>
    </w:tbl>
    <w:p w14:paraId="5CDF703F"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02E205F8" w14:textId="77777777" w:rsidR="0014588F" w:rsidRPr="009C2ADD" w:rsidRDefault="0014588F" w:rsidP="0014588F">
      <w:pPr>
        <w:autoSpaceDE w:val="0"/>
        <w:autoSpaceDN w:val="0"/>
        <w:adjustRightInd w:val="0"/>
        <w:snapToGrid w:val="0"/>
        <w:spacing w:after="0"/>
        <w:rPr>
          <w:rFonts w:ascii="Times New Roman" w:hAnsi="Times New Roman"/>
          <w:lang w:val="en-AU"/>
        </w:rPr>
      </w:pPr>
    </w:p>
    <w:p w14:paraId="340BAFD8" w14:textId="77777777" w:rsidR="0014588F" w:rsidRPr="009C2ADD" w:rsidRDefault="0014588F" w:rsidP="0014588F">
      <w:pPr>
        <w:pStyle w:val="Heading1"/>
        <w:adjustRightInd w:val="0"/>
        <w:snapToGrid w:val="0"/>
        <w:rPr>
          <w:rFonts w:ascii="Times New Roman" w:hAnsi="Times New Roman"/>
          <w:sz w:val="22"/>
          <w:szCs w:val="22"/>
        </w:rPr>
      </w:pPr>
      <w:bookmarkStart w:id="70" w:name="_Toc498688681"/>
      <w:r w:rsidRPr="009C2ADD">
        <w:rPr>
          <w:rFonts w:ascii="Times New Roman" w:hAnsi="Times New Roman"/>
          <w:sz w:val="22"/>
          <w:szCs w:val="22"/>
        </w:rPr>
        <w:t>AGENDA ITEM 14 – Close of the Meeting</w:t>
      </w:r>
      <w:bookmarkEnd w:id="70"/>
    </w:p>
    <w:p w14:paraId="3F65C684" w14:textId="77777777" w:rsidR="0014588F" w:rsidRDefault="0014588F" w:rsidP="0014588F">
      <w:pPr>
        <w:autoSpaceDE w:val="0"/>
        <w:autoSpaceDN w:val="0"/>
        <w:adjustRightInd w:val="0"/>
        <w:snapToGrid w:val="0"/>
        <w:spacing w:after="0"/>
        <w:rPr>
          <w:rFonts w:ascii="Times New Roman" w:hAnsi="Times New Roman"/>
          <w:lang w:val="en-AU" w:eastAsia="ko-KR"/>
        </w:rPr>
      </w:pPr>
    </w:p>
    <w:p w14:paraId="3E7D86A7" w14:textId="77777777" w:rsidR="0014588F" w:rsidRPr="009C2ADD" w:rsidRDefault="0014588F" w:rsidP="0014588F">
      <w:pPr>
        <w:autoSpaceDE w:val="0"/>
        <w:autoSpaceDN w:val="0"/>
        <w:adjustRightInd w:val="0"/>
        <w:snapToGrid w:val="0"/>
        <w:spacing w:after="0"/>
        <w:rPr>
          <w:rFonts w:ascii="Times New Roman" w:hAnsi="Times New Roman"/>
          <w:lang w:val="en-AU" w:eastAsia="ko-KR"/>
        </w:rPr>
      </w:pPr>
    </w:p>
    <w:p w14:paraId="70A38031" w14:textId="77777777" w:rsidR="0014588F" w:rsidRPr="009C2ADD" w:rsidRDefault="0014588F" w:rsidP="0014588F">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meeting closed at 6.00pm on Thursday 1</w:t>
      </w:r>
      <w:r>
        <w:rPr>
          <w:rFonts w:ascii="Times New Roman" w:hAnsi="Times New Roman" w:hint="eastAsia"/>
          <w:lang w:val="en-AU" w:eastAsia="ko-KR"/>
        </w:rPr>
        <w:t>7</w:t>
      </w:r>
      <w:r w:rsidRPr="009C2ADD">
        <w:rPr>
          <w:rFonts w:ascii="Times New Roman" w:hAnsi="Times New Roman"/>
          <w:lang w:val="en-AU"/>
        </w:rPr>
        <w:t xml:space="preserve"> August 201</w:t>
      </w:r>
      <w:r>
        <w:rPr>
          <w:rFonts w:ascii="Times New Roman" w:hAnsi="Times New Roman" w:hint="eastAsia"/>
          <w:lang w:val="en-AU" w:eastAsia="ko-KR"/>
        </w:rPr>
        <w:t>7</w:t>
      </w:r>
      <w:r w:rsidRPr="009C2ADD">
        <w:rPr>
          <w:rFonts w:ascii="Times New Roman" w:hAnsi="Times New Roman"/>
          <w:lang w:val="en-AU"/>
        </w:rPr>
        <w:t>.</w:t>
      </w:r>
    </w:p>
    <w:p w14:paraId="4B79DB99" w14:textId="77777777" w:rsidR="0014588F" w:rsidRPr="00137482" w:rsidRDefault="0014588F" w:rsidP="0014588F">
      <w:pPr>
        <w:adjustRightInd w:val="0"/>
        <w:snapToGrid w:val="0"/>
        <w:spacing w:after="0"/>
        <w:rPr>
          <w:rFonts w:ascii="Times New Roman" w:hAnsi="Times New Roman"/>
          <w:sz w:val="20"/>
          <w:szCs w:val="20"/>
          <w:lang w:val="en-US"/>
        </w:rPr>
      </w:pPr>
    </w:p>
    <w:p w14:paraId="6215CD9B" w14:textId="77777777" w:rsidR="0014588F" w:rsidRDefault="0014588F">
      <w:pPr>
        <w:spacing w:after="0"/>
        <w:jc w:val="left"/>
        <w:rPr>
          <w:rFonts w:ascii="Times New Roman" w:hAnsi="Times New Roman"/>
          <w:b/>
          <w:bCs/>
          <w:lang w:val="en-AU" w:eastAsia="en-NZ"/>
        </w:rPr>
      </w:pPr>
    </w:p>
    <w:p w14:paraId="565E8F29" w14:textId="33324E6A" w:rsidR="00E83034" w:rsidRDefault="0014588F">
      <w:pPr>
        <w:spacing w:after="0"/>
        <w:jc w:val="left"/>
        <w:rPr>
          <w:rFonts w:ascii="Times New Roman" w:hAnsi="Times New Roman"/>
          <w:b/>
          <w:bCs/>
          <w:lang w:val="en-AU" w:eastAsia="en-NZ"/>
        </w:rPr>
      </w:pPr>
      <w:r>
        <w:rPr>
          <w:rFonts w:ascii="Times New Roman" w:hAnsi="Times New Roman"/>
          <w:b/>
          <w:bCs/>
          <w:lang w:val="en-AU" w:eastAsia="en-NZ"/>
        </w:rPr>
        <w:br w:type="page"/>
      </w:r>
    </w:p>
    <w:p w14:paraId="0D27B8FC" w14:textId="77777777" w:rsidR="00E83034" w:rsidRDefault="00E83034">
      <w:pPr>
        <w:spacing w:after="0"/>
        <w:jc w:val="left"/>
        <w:rPr>
          <w:rFonts w:ascii="Times New Roman" w:hAnsi="Times New Roman"/>
          <w:b/>
          <w:bCs/>
          <w:lang w:val="en-AU" w:eastAsia="en-NZ"/>
        </w:rPr>
        <w:sectPr w:rsidR="00E83034" w:rsidSect="002114F4">
          <w:footerReference w:type="default" r:id="rId69"/>
          <w:pgSz w:w="12240" w:h="15840" w:code="1"/>
          <w:pgMar w:top="1440" w:right="1440" w:bottom="1440" w:left="1440" w:header="706" w:footer="0" w:gutter="0"/>
          <w:pgNumType w:fmt="lowerRoman" w:start="1"/>
          <w:cols w:space="708"/>
          <w:titlePg/>
          <w:docGrid w:linePitch="360"/>
        </w:sectPr>
      </w:pPr>
    </w:p>
    <w:p w14:paraId="0FCEAEBC" w14:textId="4FD08268" w:rsidR="0014588F" w:rsidRDefault="0014588F">
      <w:pPr>
        <w:spacing w:after="0"/>
        <w:jc w:val="left"/>
        <w:rPr>
          <w:rFonts w:ascii="Times New Roman" w:hAnsi="Times New Roman"/>
          <w:b/>
          <w:bCs/>
          <w:lang w:val="en-AU" w:eastAsia="en-NZ"/>
        </w:rPr>
      </w:pPr>
    </w:p>
    <w:p w14:paraId="4037921B" w14:textId="73F69928" w:rsidR="00A96C67" w:rsidRPr="009C2ADD" w:rsidRDefault="00A96C67" w:rsidP="009C2ADD">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Highly Migratory Fish Stocks in the Western and Central Pacific Ocean</w:t>
      </w:r>
    </w:p>
    <w:p w14:paraId="2EECD965" w14:textId="77777777" w:rsidR="00A96C67" w:rsidRPr="009C2ADD" w:rsidRDefault="00A96C67" w:rsidP="009C2ADD">
      <w:pPr>
        <w:autoSpaceDE w:val="0"/>
        <w:autoSpaceDN w:val="0"/>
        <w:adjustRightInd w:val="0"/>
        <w:snapToGrid w:val="0"/>
        <w:spacing w:after="0"/>
        <w:jc w:val="center"/>
        <w:rPr>
          <w:rFonts w:ascii="Times New Roman" w:hAnsi="Times New Roman"/>
          <w:b/>
          <w:bCs/>
          <w:lang w:val="en-AU" w:eastAsia="en-NZ"/>
        </w:rPr>
      </w:pPr>
    </w:p>
    <w:p w14:paraId="4F5CCB63" w14:textId="77777777" w:rsidR="00A96C67" w:rsidRPr="009C2ADD" w:rsidRDefault="00A96C67" w:rsidP="009C2ADD">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 xml:space="preserve">Scientific Committee </w:t>
      </w:r>
    </w:p>
    <w:p w14:paraId="35F36AAF" w14:textId="77777777" w:rsidR="00A96C67" w:rsidRPr="009C2ADD" w:rsidRDefault="00A96C67" w:rsidP="009C2ADD">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Thirteenth Regular Session</w:t>
      </w:r>
    </w:p>
    <w:p w14:paraId="56508D9F" w14:textId="77777777" w:rsidR="00A96C67" w:rsidRPr="009C2ADD" w:rsidRDefault="00A96C67" w:rsidP="009C2ADD">
      <w:pPr>
        <w:autoSpaceDE w:val="0"/>
        <w:autoSpaceDN w:val="0"/>
        <w:adjustRightInd w:val="0"/>
        <w:snapToGrid w:val="0"/>
        <w:spacing w:after="0"/>
        <w:jc w:val="center"/>
        <w:rPr>
          <w:rFonts w:ascii="Times New Roman" w:hAnsi="Times New Roman"/>
          <w:b/>
          <w:bCs/>
          <w:lang w:val="en-AU" w:eastAsia="ko-KR"/>
        </w:rPr>
      </w:pPr>
    </w:p>
    <w:p w14:paraId="6B55E2A1" w14:textId="77777777" w:rsidR="00A96C67" w:rsidRPr="009C2ADD" w:rsidRDefault="00A96C67" w:rsidP="009C2ADD">
      <w:pPr>
        <w:autoSpaceDE w:val="0"/>
        <w:autoSpaceDN w:val="0"/>
        <w:adjustRightInd w:val="0"/>
        <w:snapToGrid w:val="0"/>
        <w:spacing w:after="0"/>
        <w:jc w:val="center"/>
        <w:rPr>
          <w:rFonts w:ascii="Times New Roman" w:hAnsi="Times New Roman"/>
          <w:bCs/>
          <w:lang w:val="en-AU" w:eastAsia="en-NZ"/>
        </w:rPr>
      </w:pPr>
      <w:r w:rsidRPr="009C2ADD">
        <w:rPr>
          <w:rFonts w:ascii="Times New Roman" w:hAnsi="Times New Roman"/>
          <w:bCs/>
          <w:lang w:val="en-AU" w:eastAsia="en-NZ"/>
        </w:rPr>
        <w:t>Rarotonga, Cook Islands</w:t>
      </w:r>
      <w:r w:rsidRPr="009C2ADD">
        <w:rPr>
          <w:rFonts w:ascii="Times New Roman" w:hAnsi="Times New Roman"/>
          <w:bCs/>
          <w:lang w:val="en-AU" w:eastAsia="en-NZ"/>
        </w:rPr>
        <w:br/>
        <w:t>9 - 17 August 2017</w:t>
      </w:r>
    </w:p>
    <w:p w14:paraId="58E41A78" w14:textId="77777777" w:rsidR="00A96C67" w:rsidRPr="009C2ADD" w:rsidRDefault="00A96C67" w:rsidP="009C2ADD">
      <w:pPr>
        <w:adjustRightInd w:val="0"/>
        <w:snapToGrid w:val="0"/>
        <w:spacing w:after="0"/>
        <w:rPr>
          <w:rFonts w:ascii="Times New Roman" w:eastAsia="맑은 고딕" w:hAnsi="Times New Roman"/>
          <w:lang w:val="en-AU"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D352AD" w:rsidRPr="009C2ADD" w14:paraId="252751BC" w14:textId="77777777" w:rsidTr="00B050AF">
        <w:tc>
          <w:tcPr>
            <w:tcW w:w="9576" w:type="dxa"/>
            <w:tcBorders>
              <w:top w:val="single" w:sz="12" w:space="0" w:color="auto"/>
              <w:left w:val="nil"/>
              <w:bottom w:val="single" w:sz="12" w:space="0" w:color="auto"/>
              <w:right w:val="nil"/>
            </w:tcBorders>
            <w:hideMark/>
          </w:tcPr>
          <w:p w14:paraId="41D861A8" w14:textId="77777777" w:rsidR="00A96C67" w:rsidRPr="009C2ADD" w:rsidRDefault="002E62DC" w:rsidP="009C2ADD">
            <w:pPr>
              <w:adjustRightInd w:val="0"/>
              <w:snapToGrid w:val="0"/>
              <w:spacing w:after="0"/>
              <w:jc w:val="center"/>
              <w:rPr>
                <w:rFonts w:ascii="Times New Roman" w:eastAsia="맑은 고딕" w:hAnsi="Times New Roman"/>
                <w:b/>
                <w:lang w:val="en-AU" w:eastAsia="ko-KR"/>
              </w:rPr>
            </w:pPr>
            <w:r w:rsidRPr="009C2ADD">
              <w:rPr>
                <w:rFonts w:ascii="Times New Roman" w:eastAsia="맑은 고딕" w:hAnsi="Times New Roman"/>
                <w:b/>
                <w:lang w:val="en-AU" w:eastAsia="ko-KR"/>
              </w:rPr>
              <w:t>SUMMARY</w:t>
            </w:r>
            <w:r w:rsidR="00A96C67" w:rsidRPr="009C2ADD">
              <w:rPr>
                <w:rFonts w:ascii="Times New Roman" w:eastAsia="맑은 고딕" w:hAnsi="Times New Roman"/>
                <w:b/>
                <w:lang w:val="en-AU" w:eastAsia="ko-KR"/>
              </w:rPr>
              <w:t xml:space="preserve"> REPORT</w:t>
            </w:r>
          </w:p>
        </w:tc>
      </w:tr>
    </w:tbl>
    <w:p w14:paraId="70775BC1" w14:textId="77777777" w:rsidR="00A96C67" w:rsidRPr="009C2ADD" w:rsidRDefault="00A96C67" w:rsidP="009C2ADD">
      <w:pPr>
        <w:pStyle w:val="WCPFC"/>
        <w:numPr>
          <w:ilvl w:val="0"/>
          <w:numId w:val="0"/>
        </w:numPr>
        <w:adjustRightInd w:val="0"/>
        <w:spacing w:after="0"/>
        <w:ind w:left="720"/>
        <w:rPr>
          <w:b/>
        </w:rPr>
      </w:pPr>
    </w:p>
    <w:p w14:paraId="6481C47A" w14:textId="77777777" w:rsidR="0088767C" w:rsidRDefault="0088767C" w:rsidP="009C2ADD">
      <w:pPr>
        <w:pStyle w:val="WCPFC"/>
        <w:numPr>
          <w:ilvl w:val="0"/>
          <w:numId w:val="0"/>
        </w:numPr>
        <w:adjustRightInd w:val="0"/>
        <w:spacing w:after="0"/>
        <w:ind w:left="720"/>
        <w:rPr>
          <w:b/>
        </w:rPr>
      </w:pPr>
    </w:p>
    <w:p w14:paraId="6BCBD9B6" w14:textId="77777777" w:rsidR="001D5A92" w:rsidRDefault="001D5A92" w:rsidP="009C2ADD">
      <w:pPr>
        <w:pStyle w:val="WCPFC"/>
        <w:numPr>
          <w:ilvl w:val="0"/>
          <w:numId w:val="0"/>
        </w:numPr>
        <w:adjustRightInd w:val="0"/>
        <w:spacing w:after="0"/>
        <w:ind w:left="720"/>
        <w:rPr>
          <w:b/>
        </w:rPr>
      </w:pPr>
    </w:p>
    <w:p w14:paraId="066C12B5" w14:textId="77777777" w:rsidR="001D5A92" w:rsidRPr="009C2ADD" w:rsidRDefault="001D5A92" w:rsidP="009C2ADD">
      <w:pPr>
        <w:pStyle w:val="WCPFC"/>
        <w:numPr>
          <w:ilvl w:val="0"/>
          <w:numId w:val="0"/>
        </w:numPr>
        <w:adjustRightInd w:val="0"/>
        <w:spacing w:after="0"/>
        <w:ind w:left="720"/>
        <w:rPr>
          <w:b/>
        </w:rPr>
      </w:pPr>
    </w:p>
    <w:p w14:paraId="2E07FFBD" w14:textId="77777777" w:rsidR="00A96C67" w:rsidRPr="009C2ADD" w:rsidRDefault="00A96C67" w:rsidP="009C2ADD">
      <w:pPr>
        <w:pStyle w:val="Heading1"/>
        <w:adjustRightInd w:val="0"/>
        <w:snapToGrid w:val="0"/>
        <w:rPr>
          <w:rFonts w:ascii="Times New Roman" w:eastAsia="맑은 고딕" w:hAnsi="Times New Roman"/>
          <w:sz w:val="22"/>
          <w:szCs w:val="22"/>
        </w:rPr>
      </w:pPr>
      <w:bookmarkStart w:id="71" w:name="_Toc458856355"/>
      <w:bookmarkStart w:id="72" w:name="_Toc430954629"/>
      <w:bookmarkStart w:id="73" w:name="_Toc491850302"/>
      <w:bookmarkStart w:id="74" w:name="_Toc491851808"/>
      <w:r w:rsidRPr="009C2ADD">
        <w:rPr>
          <w:rFonts w:ascii="Times New Roman" w:hAnsi="Times New Roman"/>
          <w:sz w:val="22"/>
          <w:szCs w:val="22"/>
        </w:rPr>
        <w:t xml:space="preserve">AGENDA ITEM 1 – </w:t>
      </w:r>
      <w:r w:rsidR="004E4E20" w:rsidRPr="009C2ADD">
        <w:rPr>
          <w:rFonts w:ascii="Times New Roman" w:hAnsi="Times New Roman"/>
          <w:sz w:val="22"/>
          <w:szCs w:val="22"/>
        </w:rPr>
        <w:t>Opening of the Meeting</w:t>
      </w:r>
      <w:bookmarkEnd w:id="71"/>
      <w:bookmarkEnd w:id="72"/>
      <w:bookmarkEnd w:id="73"/>
      <w:bookmarkEnd w:id="74"/>
    </w:p>
    <w:p w14:paraId="03EABC9F" w14:textId="77777777" w:rsidR="003D4C86" w:rsidRPr="009C2ADD" w:rsidRDefault="003D4C86" w:rsidP="009C2ADD">
      <w:pPr>
        <w:adjustRightInd w:val="0"/>
        <w:snapToGrid w:val="0"/>
        <w:spacing w:after="0"/>
        <w:rPr>
          <w:rFonts w:ascii="Times New Roman" w:hAnsi="Times New Roman"/>
          <w:lang w:val="en-AU" w:eastAsia="en-NZ"/>
        </w:rPr>
      </w:pPr>
    </w:p>
    <w:p w14:paraId="615B6BA9" w14:textId="77777777" w:rsidR="0088767C" w:rsidRPr="009C2ADD" w:rsidRDefault="0088767C" w:rsidP="009C2ADD">
      <w:pPr>
        <w:adjustRightInd w:val="0"/>
        <w:snapToGrid w:val="0"/>
        <w:spacing w:after="0"/>
        <w:rPr>
          <w:rFonts w:ascii="Times New Roman" w:hAnsi="Times New Roman"/>
          <w:lang w:val="en-AU" w:eastAsia="en-NZ"/>
        </w:rPr>
      </w:pPr>
    </w:p>
    <w:p w14:paraId="5F52D3C3" w14:textId="77777777" w:rsidR="00A96C67" w:rsidRPr="008B5C6F" w:rsidRDefault="00A96C67" w:rsidP="008B5C6F">
      <w:pPr>
        <w:pStyle w:val="WCPFC"/>
        <w:numPr>
          <w:ilvl w:val="0"/>
          <w:numId w:val="177"/>
        </w:numPr>
        <w:autoSpaceDE w:val="0"/>
        <w:autoSpaceDN w:val="0"/>
        <w:adjustRightInd w:val="0"/>
        <w:spacing w:after="0"/>
        <w:ind w:left="0" w:firstLine="0"/>
        <w:rPr>
          <w:lang w:val="en-AU"/>
        </w:rPr>
      </w:pPr>
      <w:r w:rsidRPr="008B5C6F">
        <w:rPr>
          <w:lang w:val="en-AU"/>
        </w:rPr>
        <w:t xml:space="preserve">The Thirteenth Regular Session of the Scientific Committee of the Commission for the Conservation and Management of Highly Migratory Fish Stocks in the Western and Central Pacific Ocean took place from 9 - 17 August 2017 at the National Auditorium, Marairenga, Rarotonga, </w:t>
      </w:r>
      <w:proofErr w:type="gramStart"/>
      <w:r w:rsidRPr="008B5C6F">
        <w:rPr>
          <w:lang w:val="en-AU"/>
        </w:rPr>
        <w:t>Cook</w:t>
      </w:r>
      <w:proofErr w:type="gramEnd"/>
      <w:r w:rsidRPr="008B5C6F">
        <w:rPr>
          <w:lang w:val="en-AU"/>
        </w:rPr>
        <w:t xml:space="preserve"> Islands. </w:t>
      </w:r>
    </w:p>
    <w:p w14:paraId="2F44AD4B"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0792BBEE" w14:textId="69A58CC1" w:rsidR="002E62DC" w:rsidRPr="009C2ADD" w:rsidRDefault="002E62D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following WCPFC Members, Cooperating Non-members and Participating Territories (CCMs) attended SC13: American Samoa, Australia, China, Cook Islands, European Union (EU), Federated States of Micronesia (FSM), Fiji, French Polynesia, Indonesia, Japan, Kiribati, Republic of Korea, </w:t>
      </w:r>
      <w:r w:rsidR="00B177F7">
        <w:rPr>
          <w:rFonts w:ascii="Times New Roman" w:hAnsi="Times New Roman" w:hint="eastAsia"/>
          <w:lang w:val="en-AU" w:eastAsia="ko-KR"/>
        </w:rPr>
        <w:t xml:space="preserve">Republic of </w:t>
      </w:r>
      <w:r w:rsidRPr="009C2ADD">
        <w:rPr>
          <w:rFonts w:ascii="Times New Roman" w:hAnsi="Times New Roman"/>
          <w:lang w:val="en-AU"/>
        </w:rPr>
        <w:t>Marshall Islands</w:t>
      </w:r>
      <w:r w:rsidR="00B177F7">
        <w:rPr>
          <w:rFonts w:ascii="Times New Roman" w:hAnsi="Times New Roman" w:hint="eastAsia"/>
          <w:lang w:val="en-AU" w:eastAsia="ko-KR"/>
        </w:rPr>
        <w:t xml:space="preserve"> (RMI)</w:t>
      </w:r>
      <w:r w:rsidRPr="009C2ADD">
        <w:rPr>
          <w:rFonts w:ascii="Times New Roman" w:hAnsi="Times New Roman"/>
          <w:lang w:val="en-AU"/>
        </w:rPr>
        <w:t>, Nauru, New Caledonia, New Zealand, Niue, Palau, Philippines, Papua New Guinea</w:t>
      </w:r>
      <w:r w:rsidR="00B177F7">
        <w:rPr>
          <w:rFonts w:ascii="Times New Roman" w:hAnsi="Times New Roman" w:hint="eastAsia"/>
          <w:lang w:val="en-AU" w:eastAsia="ko-KR"/>
        </w:rPr>
        <w:t xml:space="preserve"> (PNG)</w:t>
      </w:r>
      <w:r w:rsidRPr="009C2ADD">
        <w:rPr>
          <w:rFonts w:ascii="Times New Roman" w:hAnsi="Times New Roman"/>
          <w:lang w:val="en-AU"/>
        </w:rPr>
        <w:t>, Samoa, Solomon Islands, Chinese Taipei, Tokelau, Tonga, Tuvalu, United States of America (USA), Vanuatu and Vietnam.</w:t>
      </w:r>
    </w:p>
    <w:p w14:paraId="6783A8D2" w14:textId="77777777" w:rsidR="00D352AD" w:rsidRPr="009C2ADD" w:rsidRDefault="00D352AD" w:rsidP="009C2ADD">
      <w:pPr>
        <w:pStyle w:val="ListParagraph"/>
        <w:adjustRightInd w:val="0"/>
        <w:snapToGrid w:val="0"/>
        <w:contextualSpacing w:val="0"/>
        <w:rPr>
          <w:rFonts w:ascii="Times New Roman" w:hAnsi="Times New Roman"/>
          <w:lang w:val="en-AU"/>
        </w:rPr>
      </w:pPr>
    </w:p>
    <w:p w14:paraId="23405601" w14:textId="0C909E1D" w:rsidR="002E62DC" w:rsidRPr="009C2ADD" w:rsidRDefault="002E62D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Observers from the following inter-governmental organizations attended SC13: Pacific Islands Forum Fisheries Agency (FFA), Inter-American Tropical Tuna Commission (IATTC), Parties to the Nauru Agreement (PNA), the Pacific Community (SPC) and the Food and Agriculture Organization of the United Nations (FAO).</w:t>
      </w:r>
    </w:p>
    <w:p w14:paraId="62E35172" w14:textId="77777777" w:rsidR="00D352AD" w:rsidRPr="009C2ADD" w:rsidRDefault="00D352AD" w:rsidP="009C2ADD">
      <w:pPr>
        <w:pStyle w:val="ListParagraph"/>
        <w:adjustRightInd w:val="0"/>
        <w:snapToGrid w:val="0"/>
        <w:contextualSpacing w:val="0"/>
        <w:rPr>
          <w:rFonts w:ascii="Times New Roman" w:hAnsi="Times New Roman"/>
          <w:lang w:val="en-AU"/>
        </w:rPr>
      </w:pPr>
    </w:p>
    <w:p w14:paraId="76303535" w14:textId="77777777" w:rsidR="002E62DC" w:rsidRPr="009C2ADD" w:rsidRDefault="002E62D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Observers from the following non-governmental organizations attended SC13: American Tunaboat Association, Birdlife International, Greenpeace, International Seafood Sustainability Foundation (ISSF), Marine Stewardship Council (MSC), The Nature Conservancy, The Pew Charitable Trusts (Pew), Sustainable Fisheries Partnership (SFP), and Worldwide Fund for Nature (WWF).</w:t>
      </w:r>
    </w:p>
    <w:p w14:paraId="44C56075" w14:textId="77777777" w:rsidR="00F95F57" w:rsidRDefault="00F95F57" w:rsidP="00F95F57">
      <w:pPr>
        <w:autoSpaceDE w:val="0"/>
        <w:autoSpaceDN w:val="0"/>
        <w:adjustRightInd w:val="0"/>
        <w:snapToGrid w:val="0"/>
        <w:spacing w:after="0"/>
        <w:rPr>
          <w:rFonts w:ascii="Times New Roman" w:hAnsi="Times New Roman"/>
          <w:lang w:val="en-AU"/>
        </w:rPr>
      </w:pPr>
    </w:p>
    <w:p w14:paraId="32763215" w14:textId="77777777" w:rsidR="00A96C67" w:rsidRPr="009C2ADD" w:rsidRDefault="00A96C67"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full list of participants can be found at </w:t>
      </w:r>
      <w:r w:rsidRPr="009C2ADD">
        <w:rPr>
          <w:rFonts w:ascii="Times New Roman" w:hAnsi="Times New Roman"/>
          <w:b/>
          <w:lang w:val="en-AU"/>
        </w:rPr>
        <w:t>Attachment A</w:t>
      </w:r>
      <w:r w:rsidRPr="009C2ADD">
        <w:rPr>
          <w:rFonts w:ascii="Times New Roman" w:hAnsi="Times New Roman"/>
          <w:lang w:val="en-AU"/>
        </w:rPr>
        <w:t>.</w:t>
      </w:r>
    </w:p>
    <w:p w14:paraId="45B87F2B"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7B6C24F8" w14:textId="3296F6AB" w:rsidR="00A96C67" w:rsidRPr="009C2ADD" w:rsidRDefault="0088767C" w:rsidP="009C2ADD">
      <w:pPr>
        <w:pStyle w:val="WCPFC"/>
        <w:numPr>
          <w:ilvl w:val="0"/>
          <w:numId w:val="0"/>
        </w:numPr>
        <w:adjustRightInd w:val="0"/>
        <w:spacing w:after="0"/>
        <w:ind w:left="567" w:hanging="567"/>
        <w:rPr>
          <w:b/>
        </w:rPr>
      </w:pPr>
      <w:r w:rsidRPr="009C2ADD">
        <w:rPr>
          <w:b/>
        </w:rPr>
        <w:t xml:space="preserve">1.1 </w:t>
      </w:r>
      <w:r w:rsidRPr="009C2ADD">
        <w:rPr>
          <w:b/>
        </w:rPr>
        <w:tab/>
      </w:r>
      <w:r w:rsidR="00A96C67" w:rsidRPr="009C2ADD">
        <w:rPr>
          <w:b/>
        </w:rPr>
        <w:t>Welcome address</w:t>
      </w:r>
    </w:p>
    <w:p w14:paraId="51F37F05" w14:textId="77777777" w:rsidR="00D352AD" w:rsidRPr="009C2ADD" w:rsidRDefault="00D352AD" w:rsidP="009C2ADD">
      <w:pPr>
        <w:pStyle w:val="WCPFC"/>
        <w:numPr>
          <w:ilvl w:val="0"/>
          <w:numId w:val="0"/>
        </w:numPr>
        <w:adjustRightInd w:val="0"/>
        <w:spacing w:after="0"/>
        <w:ind w:left="567" w:hanging="567"/>
        <w:rPr>
          <w:b/>
        </w:rPr>
      </w:pPr>
    </w:p>
    <w:p w14:paraId="7ED33A06" w14:textId="77777777" w:rsidR="007B6284" w:rsidRPr="009C2ADD"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Delegates were welcomed by a formal traditional touru, followed by a prayer led by the Reverend Vaka Ngaro.</w:t>
      </w:r>
    </w:p>
    <w:p w14:paraId="055CB9F6"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0865E2CE" w14:textId="230E6E6B" w:rsidR="007B6284" w:rsidRPr="009C2ADD"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Honourable Minister M</w:t>
      </w:r>
      <w:r w:rsidR="0050437C">
        <w:rPr>
          <w:rFonts w:ascii="Times New Roman" w:hAnsi="Times New Roman" w:hint="eastAsia"/>
          <w:lang w:val="en-AU" w:eastAsia="ko-KR"/>
        </w:rPr>
        <w:t>.</w:t>
      </w:r>
      <w:r w:rsidRPr="009C2ADD">
        <w:rPr>
          <w:rFonts w:ascii="Times New Roman" w:hAnsi="Times New Roman"/>
          <w:lang w:val="en-AU"/>
        </w:rPr>
        <w:t xml:space="preserve"> Brown, Minister for Finance and acting Prime Minister, Cook Islands, acknowledged the Aronga Mana of this land of Tupapa Maraerenga and warmly welcomed delegates to the Cook Islands. He acknowledged the efforts of scientists, managers and organisations in moving the WCPFC forward since it last met in the 2003 Preparatory Conference in the Cook Islands. He highlighted critical issues before the SC, including the status of key fisheries, stock assessments, data and statistics, harvest strategies, ecosystem and bycatch mitigation and future research priorities.  The Hon Minister noted that the outcomes of these discussions would provide the scientific advice upon which conservation and management measures will be developed, and that these measures will impact twenty percent of the world’s area, many stocks of fisheries and marine species, a multi-billion-dollar industry and the livelihoods of thousands if not millions of peoples.  He stated that the Cook Islands was proud of being stewards of its marine heritage and large ocean state status and highlighted the recent adoption of the Marae Moana (Marine Park) legislation as an indication of the Cook Islands’ commitment to sustainable fisheries management.  He congratulated the Western and Central Pacific Fisheries Commission (WCPFC) for becoming a role model for other Regional Fisheries Management Organisations.   The full remarks of the Hon Minister Brown can be found at </w:t>
      </w:r>
      <w:r w:rsidRPr="009C2ADD">
        <w:rPr>
          <w:rFonts w:ascii="Times New Roman" w:hAnsi="Times New Roman"/>
          <w:b/>
          <w:lang w:val="en-AU"/>
        </w:rPr>
        <w:t>Attachment B</w:t>
      </w:r>
      <w:r w:rsidRPr="009C2ADD">
        <w:rPr>
          <w:rFonts w:ascii="Times New Roman" w:hAnsi="Times New Roman"/>
          <w:lang w:val="en-AU"/>
        </w:rPr>
        <w:t>.</w:t>
      </w:r>
    </w:p>
    <w:p w14:paraId="5156CF5C"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4C1CE395" w14:textId="78616D79" w:rsidR="00D352AD" w:rsidRPr="009C2ADD"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SC Chair, </w:t>
      </w:r>
      <w:r w:rsidR="00897E02">
        <w:rPr>
          <w:rFonts w:ascii="Times New Roman" w:hAnsi="Times New Roman" w:hint="eastAsia"/>
          <w:lang w:val="en-AU" w:eastAsia="ko-KR"/>
        </w:rPr>
        <w:t>B.</w:t>
      </w:r>
      <w:r w:rsidR="00897E02" w:rsidRPr="009C2ADD">
        <w:rPr>
          <w:rFonts w:ascii="Times New Roman" w:hAnsi="Times New Roman"/>
          <w:lang w:val="en-AU"/>
        </w:rPr>
        <w:t xml:space="preserve"> </w:t>
      </w:r>
      <w:r w:rsidRPr="009C2ADD">
        <w:rPr>
          <w:rFonts w:ascii="Times New Roman" w:hAnsi="Times New Roman"/>
          <w:lang w:val="en-AU"/>
        </w:rPr>
        <w:t>Muller (RMI), thanked the acting Prime Minister for his kind words of welcome, and expressed appreciation to the government of the Cook Islands for hosting the meeting.  She highlighted several key issues for deliberation at this year’s meeting, including consideration of data gaps, review of the results of several key stock assessments, development of scientific advice for the development of the Commission’s harvest strategy framework, review of FAD research plan and shark research plans, development of a comprehensive shark and ray measure, and development of the future SC work programmes and budget.  She introduced the four theme convenors who would be assisting her and Vice Chair Aisake Batibasaga to synthesise the outcomes of the discussions.  She thanked the Oceanic Fisheries Programme of the Pacific Community (SPC-OFP), the scienti</w:t>
      </w:r>
      <w:r w:rsidR="005F4E98" w:rsidRPr="009C2ADD">
        <w:rPr>
          <w:rFonts w:ascii="Times New Roman" w:hAnsi="Times New Roman"/>
          <w:lang w:val="en-AU"/>
        </w:rPr>
        <w:t xml:space="preserve">fic services provider, who </w:t>
      </w:r>
      <w:r w:rsidRPr="009C2ADD">
        <w:rPr>
          <w:rFonts w:ascii="Times New Roman" w:hAnsi="Times New Roman"/>
          <w:lang w:val="en-AU"/>
        </w:rPr>
        <w:t xml:space="preserve">prepared more than 40 papers and reports for the meeting, and the many contributions from CCMs and Observers. </w:t>
      </w:r>
    </w:p>
    <w:p w14:paraId="0A5DD0B8"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622EAB2D" w14:textId="22CB2FEB" w:rsidR="007B6284" w:rsidRPr="009C2ADD"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his opening remarks, the Executive Director F</w:t>
      </w:r>
      <w:r w:rsidR="0050437C">
        <w:rPr>
          <w:rFonts w:ascii="Times New Roman" w:hAnsi="Times New Roman" w:hint="eastAsia"/>
          <w:lang w:val="en-AU" w:eastAsia="ko-KR"/>
        </w:rPr>
        <w:t>.</w:t>
      </w:r>
      <w:r w:rsidRPr="009C2ADD">
        <w:rPr>
          <w:rFonts w:ascii="Times New Roman" w:hAnsi="Times New Roman"/>
          <w:lang w:val="en-AU"/>
        </w:rPr>
        <w:t xml:space="preserve"> Teo expressed his profound gratitude for the work of SC Chair B</w:t>
      </w:r>
      <w:r w:rsidR="0050437C">
        <w:rPr>
          <w:rFonts w:ascii="Times New Roman" w:hAnsi="Times New Roman" w:hint="eastAsia"/>
          <w:lang w:val="en-AU" w:eastAsia="ko-KR"/>
        </w:rPr>
        <w:t>.</w:t>
      </w:r>
      <w:r w:rsidRPr="009C2ADD">
        <w:rPr>
          <w:rFonts w:ascii="Times New Roman" w:hAnsi="Times New Roman"/>
          <w:lang w:val="en-AU"/>
        </w:rPr>
        <w:t xml:space="preserve"> Muller, who would be stepping down as of the end of this meeting, and acknowledged the presence of delegates and representatives from CCMs and observer organisations.  He noted that the meeting’s substantive agenda was reflective of the critical role of the Scientific Committee in providing advice to the Commission.  He also noted that the Commission Chair R</w:t>
      </w:r>
      <w:r w:rsidR="00897E02">
        <w:rPr>
          <w:rFonts w:ascii="Times New Roman" w:hAnsi="Times New Roman" w:hint="eastAsia"/>
          <w:lang w:val="en-AU" w:eastAsia="ko-KR"/>
        </w:rPr>
        <w:t>.</w:t>
      </w:r>
      <w:r w:rsidRPr="009C2ADD">
        <w:rPr>
          <w:rFonts w:ascii="Times New Roman" w:hAnsi="Times New Roman"/>
          <w:lang w:val="en-AU"/>
        </w:rPr>
        <w:t xml:space="preserve"> Moss-Christian had asked him to convey SC13’s advice and recommendations on the stock assessment outcomes for bigeye and yellowfin tuna for the development of topical tuna measure in time for adoption at WCPFC14.  While noting there were several key issues under consideration, he highlighted the need for clear guidance on the development of harvest strategies, and the development of a comprehensive measure for sharks, including mantra and mobula rays.  Finally, he expressed appreciation of the </w:t>
      </w:r>
      <w:r w:rsidR="003F4983" w:rsidRPr="009C2ADD">
        <w:rPr>
          <w:rFonts w:ascii="Times New Roman" w:hAnsi="Times New Roman"/>
          <w:lang w:val="en-AU"/>
        </w:rPr>
        <w:t>high-quality</w:t>
      </w:r>
      <w:r w:rsidRPr="009C2ADD">
        <w:rPr>
          <w:rFonts w:ascii="Times New Roman" w:hAnsi="Times New Roman"/>
          <w:lang w:val="en-AU"/>
        </w:rPr>
        <w:t xml:space="preserve"> work of the SPC-</w:t>
      </w:r>
      <w:r w:rsidR="003F4983" w:rsidRPr="009C2ADD">
        <w:rPr>
          <w:rFonts w:ascii="Times New Roman" w:hAnsi="Times New Roman"/>
          <w:lang w:val="en-AU"/>
        </w:rPr>
        <w:t>OFP,</w:t>
      </w:r>
      <w:r w:rsidRPr="009C2ADD">
        <w:rPr>
          <w:rFonts w:ascii="Times New Roman" w:hAnsi="Times New Roman"/>
          <w:lang w:val="en-AU"/>
        </w:rPr>
        <w:t xml:space="preserve"> the theme Convenors and scientists from members and observers who have made valuable contributions to assist the work of the meeting (</w:t>
      </w:r>
      <w:r w:rsidRPr="009C2ADD">
        <w:rPr>
          <w:rFonts w:ascii="Times New Roman" w:hAnsi="Times New Roman"/>
          <w:b/>
          <w:lang w:val="en-AU"/>
        </w:rPr>
        <w:t>Attachment C</w:t>
      </w:r>
      <w:r w:rsidRPr="009C2ADD">
        <w:rPr>
          <w:rFonts w:ascii="Times New Roman" w:hAnsi="Times New Roman"/>
          <w:lang w:val="en-AU"/>
        </w:rPr>
        <w:t>).</w:t>
      </w:r>
    </w:p>
    <w:p w14:paraId="3C5E3C5C" w14:textId="77777777" w:rsidR="00D352AD" w:rsidRPr="009C2ADD" w:rsidRDefault="00D352AD" w:rsidP="009C2ADD">
      <w:pPr>
        <w:autoSpaceDE w:val="0"/>
        <w:autoSpaceDN w:val="0"/>
        <w:adjustRightInd w:val="0"/>
        <w:snapToGrid w:val="0"/>
        <w:spacing w:after="0"/>
        <w:rPr>
          <w:rFonts w:ascii="Times New Roman" w:hAnsi="Times New Roman"/>
          <w:lang w:val="en-AU"/>
        </w:rPr>
      </w:pPr>
    </w:p>
    <w:p w14:paraId="3369D502" w14:textId="0B3E2F74" w:rsidR="00A96C67" w:rsidRPr="009C2ADD" w:rsidRDefault="0088767C" w:rsidP="009C2ADD">
      <w:pPr>
        <w:pStyle w:val="WCPFC"/>
        <w:numPr>
          <w:ilvl w:val="0"/>
          <w:numId w:val="0"/>
        </w:numPr>
        <w:adjustRightInd w:val="0"/>
        <w:spacing w:after="0"/>
        <w:rPr>
          <w:b/>
        </w:rPr>
      </w:pPr>
      <w:r w:rsidRPr="009C2ADD">
        <w:rPr>
          <w:b/>
        </w:rPr>
        <w:t>1.2</w:t>
      </w:r>
      <w:r w:rsidRPr="009C2ADD">
        <w:rPr>
          <w:b/>
        </w:rPr>
        <w:tab/>
      </w:r>
      <w:r w:rsidR="00A96C67" w:rsidRPr="009C2ADD">
        <w:rPr>
          <w:b/>
        </w:rPr>
        <w:t>Meeting arrangements</w:t>
      </w:r>
    </w:p>
    <w:p w14:paraId="063E691F" w14:textId="77777777" w:rsidR="00D352AD" w:rsidRPr="009C2ADD" w:rsidRDefault="00D352AD" w:rsidP="009C2ADD">
      <w:pPr>
        <w:pStyle w:val="WCPFC"/>
        <w:numPr>
          <w:ilvl w:val="0"/>
          <w:numId w:val="0"/>
        </w:numPr>
        <w:adjustRightInd w:val="0"/>
        <w:spacing w:after="0"/>
        <w:rPr>
          <w:b/>
        </w:rPr>
      </w:pPr>
    </w:p>
    <w:p w14:paraId="4E5C720B" w14:textId="3714A3DA" w:rsidR="007B6284" w:rsidRPr="0050437C"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50437C">
        <w:rPr>
          <w:rFonts w:ascii="Times New Roman" w:hAnsi="Times New Roman"/>
          <w:lang w:val="en-AU"/>
        </w:rPr>
        <w:t>The SC Chair ran through meeting arrangements including session and break times and side events. She introduced the Vice Chair A</w:t>
      </w:r>
      <w:r w:rsidR="0050437C" w:rsidRPr="0050437C">
        <w:rPr>
          <w:rFonts w:ascii="Times New Roman" w:hAnsi="Times New Roman" w:hint="eastAsia"/>
          <w:lang w:val="en-AU" w:eastAsia="ko-KR"/>
        </w:rPr>
        <w:t>.</w:t>
      </w:r>
      <w:r w:rsidRPr="0050437C">
        <w:rPr>
          <w:rFonts w:ascii="Times New Roman" w:hAnsi="Times New Roman"/>
          <w:lang w:val="en-AU"/>
        </w:rPr>
        <w:t xml:space="preserve"> Batibasaga, the theme convenors and the informal small working groups (ICGs).</w:t>
      </w:r>
      <w:r w:rsidR="0050437C" w:rsidRPr="0050437C">
        <w:rPr>
          <w:rFonts w:ascii="Times New Roman" w:hAnsi="Times New Roman" w:hint="eastAsia"/>
          <w:lang w:val="en-AU" w:eastAsia="ko-KR"/>
        </w:rPr>
        <w:t xml:space="preserve"> </w:t>
      </w:r>
      <w:r w:rsidRPr="0050437C">
        <w:rPr>
          <w:rFonts w:ascii="Times New Roman" w:hAnsi="Times New Roman"/>
          <w:lang w:val="en-AU"/>
        </w:rPr>
        <w:t>The theme conveners and their assigned themes were:</w:t>
      </w:r>
    </w:p>
    <w:tbl>
      <w:tblPr>
        <w:tblW w:w="4784" w:type="pct"/>
        <w:tblInd w:w="284" w:type="dxa"/>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4218"/>
        <w:gridCol w:w="4944"/>
      </w:tblGrid>
      <w:tr w:rsidR="00D352AD" w:rsidRPr="009C2ADD" w14:paraId="5F7BF9AF" w14:textId="77777777" w:rsidTr="00464B7F">
        <w:trPr>
          <w:trHeight w:val="223"/>
        </w:trPr>
        <w:tc>
          <w:tcPr>
            <w:tcW w:w="2302" w:type="pct"/>
            <w:tcMar>
              <w:top w:w="0" w:type="dxa"/>
              <w:left w:w="108" w:type="dxa"/>
              <w:bottom w:w="0" w:type="dxa"/>
              <w:right w:w="108" w:type="dxa"/>
            </w:tcMar>
            <w:hideMark/>
          </w:tcPr>
          <w:p w14:paraId="4B900050" w14:textId="77777777" w:rsidR="007B6284" w:rsidRPr="009C2ADD" w:rsidRDefault="007B6284" w:rsidP="00464B7F">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Data and Statistics theme</w:t>
            </w:r>
          </w:p>
        </w:tc>
        <w:tc>
          <w:tcPr>
            <w:tcW w:w="2698" w:type="pct"/>
            <w:tcMar>
              <w:top w:w="0" w:type="dxa"/>
              <w:left w:w="108" w:type="dxa"/>
              <w:bottom w:w="0" w:type="dxa"/>
              <w:right w:w="108" w:type="dxa"/>
            </w:tcMar>
            <w:hideMark/>
          </w:tcPr>
          <w:p w14:paraId="48A43B19" w14:textId="195636BF" w:rsidR="007B6284" w:rsidRPr="009C2ADD" w:rsidRDefault="007B6284" w:rsidP="00AF4DD6">
            <w:pPr>
              <w:adjustRightInd w:val="0"/>
              <w:snapToGrid w:val="0"/>
              <w:spacing w:after="0"/>
              <w:ind w:left="720" w:hanging="38"/>
              <w:rPr>
                <w:rFonts w:ascii="Times New Roman" w:eastAsia="맑은 고딕" w:hAnsi="Times New Roman"/>
                <w:lang w:eastAsia="en-NZ"/>
              </w:rPr>
            </w:pPr>
            <w:r w:rsidRPr="009C2ADD">
              <w:rPr>
                <w:rFonts w:ascii="Times New Roman" w:eastAsia="맑은 고딕" w:hAnsi="Times New Roman"/>
                <w:lang w:eastAsia="en-NZ"/>
              </w:rPr>
              <w:t>V</w:t>
            </w:r>
            <w:r w:rsidR="00464B7F">
              <w:rPr>
                <w:rFonts w:ascii="Times New Roman" w:eastAsia="맑은 고딕" w:hAnsi="Times New Roman"/>
                <w:lang w:eastAsia="en-NZ"/>
              </w:rPr>
              <w:t>.</w:t>
            </w:r>
            <w:r w:rsidRPr="009C2ADD">
              <w:rPr>
                <w:rFonts w:ascii="Times New Roman" w:eastAsia="맑은 고딕" w:hAnsi="Times New Roman"/>
                <w:lang w:eastAsia="en-NZ"/>
              </w:rPr>
              <w:t xml:space="preserve"> Post (USA)</w:t>
            </w:r>
          </w:p>
        </w:tc>
      </w:tr>
      <w:tr w:rsidR="00D352AD" w:rsidRPr="009C2ADD" w14:paraId="23E6E243" w14:textId="77777777" w:rsidTr="00464B7F">
        <w:tc>
          <w:tcPr>
            <w:tcW w:w="2302" w:type="pct"/>
            <w:tcMar>
              <w:top w:w="0" w:type="dxa"/>
              <w:left w:w="108" w:type="dxa"/>
              <w:bottom w:w="0" w:type="dxa"/>
              <w:right w:w="108" w:type="dxa"/>
            </w:tcMar>
            <w:hideMark/>
          </w:tcPr>
          <w:p w14:paraId="322692FB" w14:textId="77777777" w:rsidR="007B6284" w:rsidRPr="009C2ADD" w:rsidRDefault="007B6284" w:rsidP="00464B7F">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Stock Assessment theme</w:t>
            </w:r>
          </w:p>
        </w:tc>
        <w:tc>
          <w:tcPr>
            <w:tcW w:w="2698" w:type="pct"/>
            <w:tcMar>
              <w:top w:w="0" w:type="dxa"/>
              <w:left w:w="108" w:type="dxa"/>
              <w:bottom w:w="0" w:type="dxa"/>
              <w:right w:w="108" w:type="dxa"/>
            </w:tcMar>
            <w:hideMark/>
          </w:tcPr>
          <w:p w14:paraId="3EAA3CAF" w14:textId="24323550" w:rsidR="007B6284" w:rsidRPr="009C2ADD" w:rsidRDefault="007B6284" w:rsidP="00464B7F">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J. Brodziak (USA) and H. Nishida (Japan)</w:t>
            </w:r>
          </w:p>
        </w:tc>
      </w:tr>
      <w:tr w:rsidR="00D352AD" w:rsidRPr="009C2ADD" w14:paraId="61D73221" w14:textId="77777777" w:rsidTr="00464B7F">
        <w:tc>
          <w:tcPr>
            <w:tcW w:w="2302" w:type="pct"/>
            <w:tcMar>
              <w:top w:w="0" w:type="dxa"/>
              <w:left w:w="108" w:type="dxa"/>
              <w:bottom w:w="0" w:type="dxa"/>
              <w:right w:w="108" w:type="dxa"/>
            </w:tcMar>
            <w:hideMark/>
          </w:tcPr>
          <w:p w14:paraId="6B82F243" w14:textId="77777777" w:rsidR="007B6284" w:rsidRPr="009C2ADD" w:rsidRDefault="007B6284" w:rsidP="00464B7F">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Management Issues theme</w:t>
            </w:r>
          </w:p>
        </w:tc>
        <w:tc>
          <w:tcPr>
            <w:tcW w:w="2698" w:type="pct"/>
            <w:tcMar>
              <w:top w:w="0" w:type="dxa"/>
              <w:left w:w="108" w:type="dxa"/>
              <w:bottom w:w="0" w:type="dxa"/>
              <w:right w:w="108" w:type="dxa"/>
            </w:tcMar>
            <w:hideMark/>
          </w:tcPr>
          <w:p w14:paraId="01EC5074" w14:textId="3533FF7A" w:rsidR="007B6284" w:rsidRPr="009C2ADD" w:rsidRDefault="007B6284" w:rsidP="00464B7F">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R. Campbell (Australia)</w:t>
            </w:r>
          </w:p>
        </w:tc>
      </w:tr>
      <w:tr w:rsidR="00D352AD" w:rsidRPr="009C2ADD" w14:paraId="753A11BE" w14:textId="77777777" w:rsidTr="00464B7F">
        <w:tc>
          <w:tcPr>
            <w:tcW w:w="2302" w:type="pct"/>
            <w:tcMar>
              <w:top w:w="0" w:type="dxa"/>
              <w:left w:w="108" w:type="dxa"/>
              <w:bottom w:w="0" w:type="dxa"/>
              <w:right w:w="108" w:type="dxa"/>
            </w:tcMar>
            <w:hideMark/>
          </w:tcPr>
          <w:p w14:paraId="17AAFA7A" w14:textId="77777777" w:rsidR="007B6284" w:rsidRPr="009C2ADD" w:rsidRDefault="007B6284" w:rsidP="00464B7F">
            <w:pPr>
              <w:adjustRightInd w:val="0"/>
              <w:snapToGrid w:val="0"/>
              <w:spacing w:after="0"/>
              <w:ind w:left="76"/>
              <w:rPr>
                <w:rFonts w:ascii="Times New Roman" w:eastAsia="맑은 고딕" w:hAnsi="Times New Roman"/>
                <w:lang w:eastAsia="en-NZ"/>
              </w:rPr>
            </w:pPr>
            <w:r w:rsidRPr="009C2ADD">
              <w:rPr>
                <w:rFonts w:ascii="Times New Roman" w:eastAsia="맑은 고딕" w:hAnsi="Times New Roman"/>
                <w:lang w:eastAsia="en-NZ"/>
              </w:rPr>
              <w:t>Ecosystem and Bycatch Mitigation theme</w:t>
            </w:r>
          </w:p>
        </w:tc>
        <w:tc>
          <w:tcPr>
            <w:tcW w:w="2698" w:type="pct"/>
            <w:tcMar>
              <w:top w:w="0" w:type="dxa"/>
              <w:left w:w="108" w:type="dxa"/>
              <w:bottom w:w="0" w:type="dxa"/>
              <w:right w:w="108" w:type="dxa"/>
            </w:tcMar>
            <w:hideMark/>
          </w:tcPr>
          <w:p w14:paraId="683931D8" w14:textId="26DCB4C0" w:rsidR="007B6284" w:rsidRPr="009C2ADD" w:rsidRDefault="007B6284" w:rsidP="00464B7F">
            <w:pPr>
              <w:adjustRightInd w:val="0"/>
              <w:snapToGrid w:val="0"/>
              <w:spacing w:after="0"/>
              <w:ind w:left="720"/>
              <w:rPr>
                <w:rFonts w:ascii="Times New Roman" w:eastAsia="맑은 고딕" w:hAnsi="Times New Roman"/>
                <w:lang w:eastAsia="en-NZ"/>
              </w:rPr>
            </w:pPr>
            <w:r w:rsidRPr="009C2ADD">
              <w:rPr>
                <w:rFonts w:ascii="Times New Roman" w:eastAsia="맑은 고딕" w:hAnsi="Times New Roman"/>
                <w:lang w:eastAsia="en-NZ"/>
              </w:rPr>
              <w:t>J. Annala (NZ) and A. Batibasaga (Fiji)</w:t>
            </w:r>
          </w:p>
        </w:tc>
      </w:tr>
    </w:tbl>
    <w:p w14:paraId="4CEFCCE2" w14:textId="77777777" w:rsidR="001D5A92" w:rsidRPr="009C2ADD" w:rsidRDefault="001D5A92" w:rsidP="001D5A92">
      <w:pPr>
        <w:pStyle w:val="WCPFC"/>
        <w:numPr>
          <w:ilvl w:val="0"/>
          <w:numId w:val="0"/>
        </w:numPr>
        <w:adjustRightInd w:val="0"/>
        <w:spacing w:after="0"/>
      </w:pPr>
    </w:p>
    <w:p w14:paraId="38E7B4C1" w14:textId="77777777" w:rsidR="00A96C67" w:rsidRPr="009C2ADD" w:rsidRDefault="007B6284" w:rsidP="009C2ADD">
      <w:pPr>
        <w:pStyle w:val="WCPFC"/>
        <w:numPr>
          <w:ilvl w:val="0"/>
          <w:numId w:val="0"/>
        </w:numPr>
        <w:adjustRightInd w:val="0"/>
        <w:spacing w:after="0"/>
      </w:pPr>
      <w:r w:rsidRPr="009C2ADD">
        <w:t>The informal small working groups were:</w:t>
      </w:r>
    </w:p>
    <w:tbl>
      <w:tblPr>
        <w:tblW w:w="4784" w:type="pct"/>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5233"/>
        <w:gridCol w:w="2763"/>
      </w:tblGrid>
      <w:tr w:rsidR="000D6033" w:rsidRPr="009C2ADD" w14:paraId="5A001F1F" w14:textId="77777777" w:rsidTr="000D6033">
        <w:trPr>
          <w:trHeight w:val="278"/>
        </w:trPr>
        <w:tc>
          <w:tcPr>
            <w:tcW w:w="636" w:type="pct"/>
            <w:tcBorders>
              <w:left w:val="nil"/>
              <w:bottom w:val="single" w:sz="4" w:space="0" w:color="000000"/>
              <w:right w:val="nil"/>
            </w:tcBorders>
            <w:shd w:val="clear" w:color="auto" w:fill="auto"/>
            <w:vAlign w:val="center"/>
          </w:tcPr>
          <w:p w14:paraId="2C0E0FCE" w14:textId="77777777" w:rsidR="000D6033" w:rsidRPr="009C2ADD" w:rsidRDefault="000D6033" w:rsidP="009C2ADD">
            <w:pPr>
              <w:adjustRightInd w:val="0"/>
              <w:snapToGrid w:val="0"/>
              <w:spacing w:after="0"/>
              <w:jc w:val="center"/>
              <w:rPr>
                <w:rFonts w:ascii="Times New Roman" w:eastAsia="맑은 고딕" w:hAnsi="Times New Roman"/>
                <w:b/>
                <w:lang w:eastAsia="en-NZ"/>
              </w:rPr>
            </w:pPr>
            <w:r w:rsidRPr="009C2ADD">
              <w:rPr>
                <w:rFonts w:ascii="Times New Roman" w:eastAsia="맑은 고딕" w:hAnsi="Times New Roman"/>
                <w:b/>
                <w:lang w:eastAsia="en-NZ"/>
              </w:rPr>
              <w:t>ISG-ID</w:t>
            </w:r>
          </w:p>
        </w:tc>
        <w:tc>
          <w:tcPr>
            <w:tcW w:w="2856" w:type="pct"/>
            <w:tcBorders>
              <w:left w:val="nil"/>
              <w:bottom w:val="single" w:sz="4" w:space="0" w:color="000000"/>
              <w:right w:val="nil"/>
            </w:tcBorders>
            <w:shd w:val="clear" w:color="auto" w:fill="auto"/>
            <w:vAlign w:val="center"/>
          </w:tcPr>
          <w:p w14:paraId="32811473" w14:textId="77777777" w:rsidR="000D6033" w:rsidRPr="009C2ADD" w:rsidRDefault="000D6033" w:rsidP="009C2ADD">
            <w:pPr>
              <w:adjustRightInd w:val="0"/>
              <w:snapToGrid w:val="0"/>
              <w:spacing w:after="0"/>
              <w:jc w:val="left"/>
              <w:rPr>
                <w:rFonts w:ascii="Times New Roman" w:eastAsia="맑은 고딕" w:hAnsi="Times New Roman"/>
                <w:b/>
                <w:lang w:val="en-US" w:eastAsia="ko-KR"/>
              </w:rPr>
            </w:pPr>
            <w:r w:rsidRPr="009C2ADD">
              <w:rPr>
                <w:rFonts w:ascii="Times New Roman" w:eastAsia="맑은 고딕" w:hAnsi="Times New Roman"/>
                <w:b/>
                <w:lang w:val="en-US" w:eastAsia="ko-KR"/>
              </w:rPr>
              <w:t>Title</w:t>
            </w:r>
          </w:p>
        </w:tc>
        <w:tc>
          <w:tcPr>
            <w:tcW w:w="1508" w:type="pct"/>
            <w:tcBorders>
              <w:left w:val="nil"/>
              <w:bottom w:val="single" w:sz="4" w:space="0" w:color="000000"/>
              <w:right w:val="nil"/>
            </w:tcBorders>
            <w:shd w:val="clear" w:color="auto" w:fill="auto"/>
            <w:vAlign w:val="center"/>
          </w:tcPr>
          <w:p w14:paraId="484D569A" w14:textId="77777777" w:rsidR="000D6033" w:rsidRPr="009C2ADD" w:rsidRDefault="000D6033" w:rsidP="009C2ADD">
            <w:pPr>
              <w:adjustRightInd w:val="0"/>
              <w:snapToGrid w:val="0"/>
              <w:spacing w:after="0"/>
              <w:jc w:val="left"/>
              <w:rPr>
                <w:rFonts w:ascii="Times New Roman" w:eastAsia="맑은 고딕" w:hAnsi="Times New Roman"/>
                <w:b/>
                <w:lang w:val="en-US" w:eastAsia="ko-KR"/>
              </w:rPr>
            </w:pPr>
            <w:r w:rsidRPr="009C2ADD">
              <w:rPr>
                <w:rFonts w:ascii="Times New Roman" w:eastAsia="맑은 고딕" w:hAnsi="Times New Roman"/>
                <w:b/>
                <w:lang w:val="en-US" w:eastAsia="ko-KR"/>
              </w:rPr>
              <w:t>Facilitator</w:t>
            </w:r>
          </w:p>
        </w:tc>
      </w:tr>
      <w:tr w:rsidR="000D6033" w:rsidRPr="009C2ADD" w14:paraId="54E9FF8E" w14:textId="77777777" w:rsidTr="000D6033">
        <w:trPr>
          <w:trHeight w:val="278"/>
        </w:trPr>
        <w:tc>
          <w:tcPr>
            <w:tcW w:w="636" w:type="pct"/>
            <w:tcBorders>
              <w:left w:val="nil"/>
              <w:bottom w:val="nil"/>
              <w:right w:val="nil"/>
            </w:tcBorders>
            <w:shd w:val="clear" w:color="auto" w:fill="auto"/>
            <w:vAlign w:val="center"/>
          </w:tcPr>
          <w:p w14:paraId="51B6C58C" w14:textId="77777777" w:rsidR="000D6033" w:rsidRPr="009C2ADD" w:rsidRDefault="000D6033" w:rsidP="009C2ADD">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ISG-1</w:t>
            </w:r>
          </w:p>
        </w:tc>
        <w:tc>
          <w:tcPr>
            <w:tcW w:w="2856" w:type="pct"/>
            <w:tcBorders>
              <w:left w:val="nil"/>
              <w:bottom w:val="nil"/>
              <w:right w:val="nil"/>
            </w:tcBorders>
            <w:shd w:val="clear" w:color="auto" w:fill="auto"/>
            <w:vAlign w:val="center"/>
          </w:tcPr>
          <w:p w14:paraId="0FAD2C43" w14:textId="2353799E" w:rsidR="000D6033" w:rsidRPr="009C2ADD" w:rsidRDefault="000D6033" w:rsidP="009C2ADD">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Guidelines for submission of economic data</w:t>
            </w:r>
          </w:p>
        </w:tc>
        <w:tc>
          <w:tcPr>
            <w:tcW w:w="1508" w:type="pct"/>
            <w:tcBorders>
              <w:left w:val="nil"/>
              <w:bottom w:val="nil"/>
              <w:right w:val="nil"/>
            </w:tcBorders>
            <w:shd w:val="clear" w:color="auto" w:fill="auto"/>
            <w:vAlign w:val="center"/>
          </w:tcPr>
          <w:p w14:paraId="326B2EAA" w14:textId="1B7EFFED" w:rsidR="000D6033" w:rsidRPr="009C2ADD" w:rsidRDefault="000D6033" w:rsidP="0050437C">
            <w:pPr>
              <w:adjustRightInd w:val="0"/>
              <w:snapToGrid w:val="0"/>
              <w:spacing w:after="0"/>
              <w:rPr>
                <w:rFonts w:ascii="Times New Roman" w:eastAsia="맑은 고딕" w:hAnsi="Times New Roman"/>
                <w:lang w:val="en-US" w:eastAsia="ko-KR"/>
              </w:rPr>
            </w:pPr>
            <w:r w:rsidRPr="009C2ADD">
              <w:rPr>
                <w:rFonts w:ascii="Times New Roman" w:hAnsi="Times New Roman"/>
                <w:noProof/>
                <w:color w:val="000000"/>
              </w:rPr>
              <w:t>A</w:t>
            </w:r>
            <w:r w:rsidR="0050437C">
              <w:rPr>
                <w:rFonts w:ascii="Times New Roman" w:hAnsi="Times New Roman" w:hint="eastAsia"/>
                <w:noProof/>
                <w:color w:val="000000"/>
                <w:lang w:eastAsia="ko-KR"/>
              </w:rPr>
              <w:t>.</w:t>
            </w:r>
            <w:r w:rsidRPr="009C2ADD">
              <w:rPr>
                <w:rFonts w:ascii="Times New Roman" w:hAnsi="Times New Roman"/>
                <w:noProof/>
                <w:color w:val="000000"/>
              </w:rPr>
              <w:t xml:space="preserve"> Batibasaga</w:t>
            </w:r>
          </w:p>
        </w:tc>
      </w:tr>
      <w:tr w:rsidR="000D6033" w:rsidRPr="009C2ADD" w14:paraId="1A1AB37E" w14:textId="77777777" w:rsidTr="000D6033">
        <w:tc>
          <w:tcPr>
            <w:tcW w:w="636" w:type="pct"/>
            <w:tcBorders>
              <w:top w:val="nil"/>
              <w:left w:val="nil"/>
              <w:bottom w:val="nil"/>
              <w:right w:val="nil"/>
            </w:tcBorders>
            <w:shd w:val="clear" w:color="auto" w:fill="auto"/>
            <w:vAlign w:val="center"/>
          </w:tcPr>
          <w:p w14:paraId="2FFDD596" w14:textId="77777777" w:rsidR="000D6033" w:rsidRPr="009C2ADD" w:rsidRDefault="000D6033" w:rsidP="009C2ADD">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ISG-2</w:t>
            </w:r>
          </w:p>
        </w:tc>
        <w:tc>
          <w:tcPr>
            <w:tcW w:w="2856" w:type="pct"/>
            <w:tcBorders>
              <w:top w:val="nil"/>
              <w:left w:val="nil"/>
              <w:bottom w:val="nil"/>
              <w:right w:val="nil"/>
            </w:tcBorders>
            <w:shd w:val="clear" w:color="auto" w:fill="auto"/>
            <w:vAlign w:val="center"/>
          </w:tcPr>
          <w:p w14:paraId="3167F86B" w14:textId="6DC6BACE" w:rsidR="000D6033" w:rsidRPr="009C2ADD" w:rsidRDefault="000D6033" w:rsidP="009C2ADD">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FAD data fields and FAD Research Plan</w:t>
            </w:r>
          </w:p>
        </w:tc>
        <w:tc>
          <w:tcPr>
            <w:tcW w:w="1508" w:type="pct"/>
            <w:tcBorders>
              <w:top w:val="nil"/>
              <w:left w:val="nil"/>
              <w:bottom w:val="nil"/>
              <w:right w:val="nil"/>
            </w:tcBorders>
            <w:shd w:val="clear" w:color="auto" w:fill="auto"/>
          </w:tcPr>
          <w:p w14:paraId="528A2E2F" w14:textId="722CE5F6" w:rsidR="000D6033" w:rsidRPr="009C2ADD" w:rsidRDefault="000D6033" w:rsidP="0050437C">
            <w:pPr>
              <w:adjustRightInd w:val="0"/>
              <w:snapToGrid w:val="0"/>
              <w:spacing w:after="0"/>
              <w:rPr>
                <w:rFonts w:ascii="Times New Roman" w:eastAsia="맑은 고딕" w:hAnsi="Times New Roman"/>
                <w:lang w:val="en-US" w:eastAsia="ko-KR"/>
              </w:rPr>
            </w:pPr>
            <w:r w:rsidRPr="009C2ADD">
              <w:rPr>
                <w:rFonts w:ascii="Times New Roman" w:hAnsi="Times New Roman"/>
                <w:noProof/>
                <w:color w:val="000000"/>
              </w:rPr>
              <w:t>J</w:t>
            </w:r>
            <w:r w:rsidR="0050437C">
              <w:rPr>
                <w:rFonts w:ascii="Times New Roman" w:hAnsi="Times New Roman" w:hint="eastAsia"/>
                <w:noProof/>
                <w:color w:val="000000"/>
                <w:lang w:eastAsia="ko-KR"/>
              </w:rPr>
              <w:t>.</w:t>
            </w:r>
            <w:r w:rsidRPr="009C2ADD">
              <w:rPr>
                <w:rFonts w:ascii="Times New Roman" w:hAnsi="Times New Roman"/>
                <w:noProof/>
                <w:color w:val="000000"/>
              </w:rPr>
              <w:t xml:space="preserve"> Santiago</w:t>
            </w:r>
          </w:p>
        </w:tc>
      </w:tr>
      <w:tr w:rsidR="000D6033" w:rsidRPr="009C2ADD" w14:paraId="09D2F0F5" w14:textId="77777777" w:rsidTr="000D6033">
        <w:tc>
          <w:tcPr>
            <w:tcW w:w="636" w:type="pct"/>
            <w:tcBorders>
              <w:top w:val="nil"/>
              <w:left w:val="nil"/>
              <w:bottom w:val="nil"/>
              <w:right w:val="nil"/>
            </w:tcBorders>
            <w:shd w:val="clear" w:color="auto" w:fill="auto"/>
            <w:vAlign w:val="center"/>
          </w:tcPr>
          <w:p w14:paraId="0D64AA44" w14:textId="77777777" w:rsidR="000D6033" w:rsidRPr="009C2ADD" w:rsidRDefault="000D6033" w:rsidP="009C2ADD">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ISG-3</w:t>
            </w:r>
          </w:p>
        </w:tc>
        <w:tc>
          <w:tcPr>
            <w:tcW w:w="2856" w:type="pct"/>
            <w:tcBorders>
              <w:top w:val="nil"/>
              <w:left w:val="nil"/>
              <w:bottom w:val="nil"/>
              <w:right w:val="nil"/>
            </w:tcBorders>
            <w:shd w:val="clear" w:color="auto" w:fill="auto"/>
            <w:vAlign w:val="center"/>
          </w:tcPr>
          <w:p w14:paraId="69E49CBC" w14:textId="3F7EF76B" w:rsidR="000D6033" w:rsidRPr="009C2ADD" w:rsidRDefault="000D6033" w:rsidP="00AF4DD6">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eastAsia="ko-KR"/>
              </w:rPr>
              <w:t xml:space="preserve">Target reference point for SP albacore </w:t>
            </w:r>
          </w:p>
        </w:tc>
        <w:tc>
          <w:tcPr>
            <w:tcW w:w="1508" w:type="pct"/>
            <w:tcBorders>
              <w:top w:val="nil"/>
              <w:left w:val="nil"/>
              <w:bottom w:val="nil"/>
              <w:right w:val="nil"/>
            </w:tcBorders>
            <w:shd w:val="clear" w:color="auto" w:fill="auto"/>
            <w:vAlign w:val="center"/>
          </w:tcPr>
          <w:p w14:paraId="64B4DEC4" w14:textId="00F6E55C" w:rsidR="000D6033" w:rsidRPr="009C2ADD" w:rsidRDefault="000D6033" w:rsidP="009C2ADD">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Cancelled</w:t>
            </w:r>
          </w:p>
        </w:tc>
      </w:tr>
      <w:tr w:rsidR="000D6033" w:rsidRPr="009C2ADD" w14:paraId="2E7BAD27" w14:textId="77777777" w:rsidTr="000D6033">
        <w:tc>
          <w:tcPr>
            <w:tcW w:w="636" w:type="pct"/>
            <w:tcBorders>
              <w:top w:val="nil"/>
              <w:left w:val="nil"/>
              <w:bottom w:val="nil"/>
              <w:right w:val="nil"/>
            </w:tcBorders>
            <w:shd w:val="clear" w:color="auto" w:fill="auto"/>
            <w:vAlign w:val="center"/>
          </w:tcPr>
          <w:p w14:paraId="7C7292C2" w14:textId="77777777" w:rsidR="000D6033" w:rsidRPr="009C2ADD" w:rsidRDefault="000D6033" w:rsidP="009C2ADD">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ISG-4</w:t>
            </w:r>
          </w:p>
        </w:tc>
        <w:tc>
          <w:tcPr>
            <w:tcW w:w="2856" w:type="pct"/>
            <w:tcBorders>
              <w:top w:val="nil"/>
              <w:left w:val="nil"/>
              <w:bottom w:val="nil"/>
              <w:right w:val="nil"/>
            </w:tcBorders>
            <w:shd w:val="clear" w:color="auto" w:fill="auto"/>
            <w:vAlign w:val="center"/>
          </w:tcPr>
          <w:p w14:paraId="52751FAD" w14:textId="77777777" w:rsidR="000D6033" w:rsidRPr="009C2ADD" w:rsidRDefault="000D6033" w:rsidP="009C2ADD">
            <w:pPr>
              <w:adjustRightInd w:val="0"/>
              <w:snapToGrid w:val="0"/>
              <w:spacing w:after="0"/>
              <w:ind w:left="720" w:hanging="720"/>
              <w:rPr>
                <w:rFonts w:ascii="Times New Roman" w:eastAsia="맑은 고딕" w:hAnsi="Times New Roman"/>
                <w:lang w:val="en-AU" w:eastAsia="ko-KR"/>
              </w:rPr>
            </w:pPr>
            <w:r w:rsidRPr="009C2ADD">
              <w:rPr>
                <w:rFonts w:ascii="Times New Roman" w:eastAsia="맑은 고딕" w:hAnsi="Times New Roman"/>
                <w:lang w:val="en-US" w:eastAsia="ko-KR"/>
              </w:rPr>
              <w:t>Shark Research Plan and future work plan</w:t>
            </w:r>
          </w:p>
        </w:tc>
        <w:tc>
          <w:tcPr>
            <w:tcW w:w="1508" w:type="pct"/>
            <w:tcBorders>
              <w:top w:val="nil"/>
              <w:left w:val="nil"/>
              <w:bottom w:val="nil"/>
              <w:right w:val="nil"/>
            </w:tcBorders>
            <w:shd w:val="clear" w:color="auto" w:fill="auto"/>
            <w:vAlign w:val="center"/>
          </w:tcPr>
          <w:p w14:paraId="10C9F2FE" w14:textId="04E690AD" w:rsidR="000D6033" w:rsidRPr="009C2ADD" w:rsidRDefault="000D6033" w:rsidP="0050437C">
            <w:pPr>
              <w:adjustRightInd w:val="0"/>
              <w:snapToGrid w:val="0"/>
              <w:spacing w:after="0"/>
              <w:rPr>
                <w:rFonts w:ascii="Times New Roman" w:eastAsia="맑은 고딕" w:hAnsi="Times New Roman"/>
                <w:lang w:eastAsia="ko-KR"/>
              </w:rPr>
            </w:pPr>
            <w:r w:rsidRPr="009C2ADD">
              <w:rPr>
                <w:rFonts w:ascii="Times New Roman" w:eastAsia="맑은 고딕" w:hAnsi="Times New Roman"/>
                <w:lang w:eastAsia="ko-KR"/>
              </w:rPr>
              <w:t>J</w:t>
            </w:r>
            <w:r w:rsidR="0050437C">
              <w:rPr>
                <w:rFonts w:ascii="Times New Roman" w:eastAsia="맑은 고딕" w:hAnsi="Times New Roman" w:hint="eastAsia"/>
                <w:lang w:eastAsia="ko-KR"/>
              </w:rPr>
              <w:t>.</w:t>
            </w:r>
            <w:r w:rsidRPr="009C2ADD">
              <w:rPr>
                <w:rFonts w:ascii="Times New Roman" w:eastAsia="맑은 고딕" w:hAnsi="Times New Roman"/>
                <w:lang w:eastAsia="ko-KR"/>
              </w:rPr>
              <w:t xml:space="preserve"> Larcombe</w:t>
            </w:r>
          </w:p>
        </w:tc>
      </w:tr>
      <w:tr w:rsidR="000D6033" w:rsidRPr="009C2ADD" w14:paraId="1F2FDEA2" w14:textId="77777777" w:rsidTr="000D6033">
        <w:tc>
          <w:tcPr>
            <w:tcW w:w="636" w:type="pct"/>
            <w:tcBorders>
              <w:top w:val="nil"/>
              <w:left w:val="nil"/>
              <w:bottom w:val="nil"/>
              <w:right w:val="nil"/>
            </w:tcBorders>
            <w:shd w:val="clear" w:color="auto" w:fill="auto"/>
            <w:vAlign w:val="center"/>
          </w:tcPr>
          <w:p w14:paraId="59AE7175" w14:textId="77777777" w:rsidR="000D6033" w:rsidRPr="009C2ADD" w:rsidRDefault="000D6033" w:rsidP="009C2ADD">
            <w:pPr>
              <w:adjustRightInd w:val="0"/>
              <w:snapToGrid w:val="0"/>
              <w:spacing w:after="0"/>
              <w:jc w:val="center"/>
              <w:rPr>
                <w:rFonts w:ascii="Times New Roman" w:eastAsia="맑은 고딕" w:hAnsi="Times New Roman"/>
                <w:lang w:eastAsia="en-NZ"/>
              </w:rPr>
            </w:pPr>
            <w:r w:rsidRPr="009C2ADD">
              <w:rPr>
                <w:rFonts w:ascii="Times New Roman" w:eastAsia="맑은 고딕" w:hAnsi="Times New Roman"/>
                <w:lang w:eastAsia="en-NZ"/>
              </w:rPr>
              <w:t>ISG-5</w:t>
            </w:r>
          </w:p>
        </w:tc>
        <w:tc>
          <w:tcPr>
            <w:tcW w:w="2856" w:type="pct"/>
            <w:tcBorders>
              <w:top w:val="nil"/>
              <w:left w:val="nil"/>
              <w:bottom w:val="nil"/>
              <w:right w:val="nil"/>
            </w:tcBorders>
            <w:shd w:val="clear" w:color="auto" w:fill="auto"/>
            <w:vAlign w:val="center"/>
          </w:tcPr>
          <w:p w14:paraId="14436980" w14:textId="77777777" w:rsidR="000D6033" w:rsidRPr="009C2ADD" w:rsidRDefault="000D6033" w:rsidP="009C2ADD">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Safe release guidelines for manta and mobula rays</w:t>
            </w:r>
          </w:p>
        </w:tc>
        <w:tc>
          <w:tcPr>
            <w:tcW w:w="1508" w:type="pct"/>
            <w:tcBorders>
              <w:top w:val="nil"/>
              <w:left w:val="nil"/>
              <w:bottom w:val="nil"/>
              <w:right w:val="nil"/>
            </w:tcBorders>
            <w:shd w:val="clear" w:color="auto" w:fill="auto"/>
            <w:vAlign w:val="center"/>
          </w:tcPr>
          <w:p w14:paraId="4EC2B894" w14:textId="1C48F74B" w:rsidR="000D6033" w:rsidRPr="009C2ADD" w:rsidRDefault="000D6033" w:rsidP="0050437C">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M</w:t>
            </w:r>
            <w:r w:rsidR="0050437C">
              <w:rPr>
                <w:rFonts w:ascii="Times New Roman" w:eastAsia="맑은 고딕" w:hAnsi="Times New Roman" w:hint="eastAsia"/>
                <w:lang w:val="en-US" w:eastAsia="ko-KR"/>
              </w:rPr>
              <w:t>.</w:t>
            </w:r>
            <w:r w:rsidRPr="009C2ADD">
              <w:rPr>
                <w:rFonts w:ascii="Times New Roman" w:eastAsia="맑은 고딕" w:hAnsi="Times New Roman"/>
                <w:lang w:val="en-US" w:eastAsia="ko-KR"/>
              </w:rPr>
              <w:t xml:space="preserve"> Hutchinson </w:t>
            </w:r>
          </w:p>
        </w:tc>
      </w:tr>
      <w:tr w:rsidR="000D6033" w:rsidRPr="009C2ADD" w14:paraId="0E0F4597" w14:textId="77777777" w:rsidTr="000D6033">
        <w:tc>
          <w:tcPr>
            <w:tcW w:w="636" w:type="pct"/>
            <w:tcBorders>
              <w:top w:val="nil"/>
              <w:left w:val="nil"/>
              <w:bottom w:val="nil"/>
              <w:right w:val="nil"/>
            </w:tcBorders>
            <w:shd w:val="clear" w:color="auto" w:fill="auto"/>
            <w:vAlign w:val="center"/>
          </w:tcPr>
          <w:p w14:paraId="0A7CB0AA" w14:textId="77777777" w:rsidR="000D6033" w:rsidRPr="009C2ADD" w:rsidRDefault="000D6033" w:rsidP="009C2ADD">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en-NZ"/>
              </w:rPr>
              <w:t>ISG-</w:t>
            </w:r>
            <w:r w:rsidRPr="009C2ADD">
              <w:rPr>
                <w:rFonts w:ascii="Times New Roman" w:eastAsia="맑은 고딕" w:hAnsi="Times New Roman"/>
                <w:lang w:eastAsia="ko-KR"/>
              </w:rPr>
              <w:t>6</w:t>
            </w:r>
          </w:p>
        </w:tc>
        <w:tc>
          <w:tcPr>
            <w:tcW w:w="2856" w:type="pct"/>
            <w:tcBorders>
              <w:top w:val="nil"/>
              <w:left w:val="nil"/>
              <w:bottom w:val="nil"/>
              <w:right w:val="nil"/>
            </w:tcBorders>
            <w:shd w:val="clear" w:color="auto" w:fill="auto"/>
            <w:vAlign w:val="center"/>
          </w:tcPr>
          <w:p w14:paraId="6C922BFE" w14:textId="77777777" w:rsidR="000D6033" w:rsidRPr="009C2ADD" w:rsidRDefault="000D6033" w:rsidP="009C2ADD">
            <w:pPr>
              <w:adjustRightInd w:val="0"/>
              <w:snapToGrid w:val="0"/>
              <w:spacing w:after="0"/>
              <w:rPr>
                <w:rFonts w:ascii="Times New Roman" w:eastAsia="맑은 고딕" w:hAnsi="Times New Roman"/>
                <w:lang w:eastAsia="en-NZ"/>
              </w:rPr>
            </w:pPr>
            <w:r w:rsidRPr="009C2ADD">
              <w:rPr>
                <w:rFonts w:ascii="Times New Roman" w:eastAsia="맑은 고딕" w:hAnsi="Times New Roman"/>
                <w:lang w:eastAsia="en-NZ"/>
              </w:rPr>
              <w:t>Comprehensive shark and ray measure</w:t>
            </w:r>
          </w:p>
        </w:tc>
        <w:tc>
          <w:tcPr>
            <w:tcW w:w="1508" w:type="pct"/>
            <w:tcBorders>
              <w:top w:val="nil"/>
              <w:left w:val="nil"/>
              <w:bottom w:val="nil"/>
              <w:right w:val="nil"/>
            </w:tcBorders>
            <w:shd w:val="clear" w:color="auto" w:fill="auto"/>
            <w:vAlign w:val="center"/>
          </w:tcPr>
          <w:p w14:paraId="4C164985" w14:textId="3643C5CC" w:rsidR="000D6033" w:rsidRPr="009C2ADD" w:rsidRDefault="000D6033" w:rsidP="0050437C">
            <w:pPr>
              <w:adjustRightInd w:val="0"/>
              <w:snapToGrid w:val="0"/>
              <w:spacing w:after="0"/>
              <w:rPr>
                <w:rFonts w:ascii="Times New Roman" w:eastAsia="맑은 고딕" w:hAnsi="Times New Roman"/>
                <w:lang w:eastAsia="ko-KR"/>
              </w:rPr>
            </w:pPr>
            <w:r w:rsidRPr="009C2ADD">
              <w:rPr>
                <w:rFonts w:ascii="Times New Roman" w:eastAsia="맑은 고딕" w:hAnsi="Times New Roman"/>
                <w:lang w:eastAsia="ko-KR"/>
              </w:rPr>
              <w:t>S</w:t>
            </w:r>
            <w:r w:rsidR="0050437C">
              <w:rPr>
                <w:rFonts w:ascii="Times New Roman" w:eastAsia="맑은 고딕" w:hAnsi="Times New Roman" w:hint="eastAsia"/>
                <w:lang w:eastAsia="ko-KR"/>
              </w:rPr>
              <w:t>.</w:t>
            </w:r>
            <w:r w:rsidRPr="009C2ADD">
              <w:rPr>
                <w:rFonts w:ascii="Times New Roman" w:eastAsia="맑은 고딕" w:hAnsi="Times New Roman"/>
                <w:lang w:eastAsia="ko-KR"/>
              </w:rPr>
              <w:t xml:space="preserve"> Varsamos</w:t>
            </w:r>
          </w:p>
        </w:tc>
      </w:tr>
      <w:tr w:rsidR="000D6033" w:rsidRPr="009C2ADD" w14:paraId="640CB9D9" w14:textId="77777777" w:rsidTr="000D6033">
        <w:tc>
          <w:tcPr>
            <w:tcW w:w="636" w:type="pct"/>
            <w:tcBorders>
              <w:top w:val="nil"/>
              <w:left w:val="nil"/>
              <w:bottom w:val="nil"/>
              <w:right w:val="nil"/>
            </w:tcBorders>
            <w:shd w:val="clear" w:color="auto" w:fill="auto"/>
            <w:vAlign w:val="center"/>
          </w:tcPr>
          <w:p w14:paraId="7AED7643" w14:textId="77777777" w:rsidR="000D6033" w:rsidRPr="009C2ADD" w:rsidRDefault="000D6033" w:rsidP="009C2ADD">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ko-KR"/>
              </w:rPr>
              <w:t>ISG-7</w:t>
            </w:r>
          </w:p>
        </w:tc>
        <w:tc>
          <w:tcPr>
            <w:tcW w:w="2856" w:type="pct"/>
            <w:tcBorders>
              <w:top w:val="nil"/>
              <w:left w:val="nil"/>
              <w:bottom w:val="nil"/>
              <w:right w:val="nil"/>
            </w:tcBorders>
            <w:shd w:val="clear" w:color="auto" w:fill="auto"/>
            <w:vAlign w:val="center"/>
          </w:tcPr>
          <w:p w14:paraId="02DEE254" w14:textId="77777777" w:rsidR="000D6033" w:rsidRPr="009C2ADD" w:rsidRDefault="000D6033" w:rsidP="009C2ADD">
            <w:pPr>
              <w:adjustRightInd w:val="0"/>
              <w:snapToGrid w:val="0"/>
              <w:spacing w:after="0"/>
              <w:rPr>
                <w:rFonts w:ascii="Times New Roman" w:eastAsia="맑은 고딕" w:hAnsi="Times New Roman"/>
                <w:i/>
                <w:lang w:eastAsia="ko-KR"/>
              </w:rPr>
            </w:pPr>
            <w:r w:rsidRPr="009C2ADD">
              <w:rPr>
                <w:rFonts w:ascii="Times New Roman" w:eastAsia="맑은 고딕" w:hAnsi="Times New Roman"/>
                <w:lang w:eastAsia="ko-KR"/>
              </w:rPr>
              <w:t>Development of SC Budget for 2017 – 2019</w:t>
            </w:r>
          </w:p>
        </w:tc>
        <w:tc>
          <w:tcPr>
            <w:tcW w:w="1508" w:type="pct"/>
            <w:tcBorders>
              <w:top w:val="nil"/>
              <w:left w:val="nil"/>
              <w:bottom w:val="nil"/>
              <w:right w:val="nil"/>
            </w:tcBorders>
            <w:shd w:val="clear" w:color="auto" w:fill="auto"/>
            <w:vAlign w:val="center"/>
          </w:tcPr>
          <w:p w14:paraId="2707747D" w14:textId="6107FCDF" w:rsidR="000D6033" w:rsidRPr="009C2ADD" w:rsidRDefault="000D6033" w:rsidP="0050437C">
            <w:pPr>
              <w:adjustRightInd w:val="0"/>
              <w:snapToGrid w:val="0"/>
              <w:spacing w:after="0"/>
              <w:rPr>
                <w:rFonts w:ascii="Times New Roman" w:eastAsia="바탕" w:hAnsi="Times New Roman"/>
                <w:lang w:eastAsia="ko-KR"/>
              </w:rPr>
            </w:pPr>
            <w:r w:rsidRPr="009C2ADD">
              <w:rPr>
                <w:rFonts w:ascii="Times New Roman" w:eastAsia="바탕" w:hAnsi="Times New Roman"/>
                <w:lang w:eastAsia="ko-KR"/>
              </w:rPr>
              <w:t>B</w:t>
            </w:r>
            <w:r w:rsidR="0050437C">
              <w:rPr>
                <w:rFonts w:ascii="Times New Roman" w:eastAsia="바탕" w:hAnsi="Times New Roman" w:hint="eastAsia"/>
                <w:lang w:eastAsia="ko-KR"/>
              </w:rPr>
              <w:t>.</w:t>
            </w:r>
            <w:r w:rsidRPr="009C2ADD">
              <w:rPr>
                <w:rFonts w:ascii="Times New Roman" w:eastAsia="바탕" w:hAnsi="Times New Roman"/>
                <w:lang w:eastAsia="ko-KR"/>
              </w:rPr>
              <w:t xml:space="preserve"> Muller</w:t>
            </w:r>
          </w:p>
        </w:tc>
      </w:tr>
      <w:tr w:rsidR="000D6033" w:rsidRPr="009C2ADD" w14:paraId="5E7B20BB" w14:textId="77777777" w:rsidTr="000D6033">
        <w:tc>
          <w:tcPr>
            <w:tcW w:w="636" w:type="pct"/>
            <w:tcBorders>
              <w:top w:val="nil"/>
              <w:left w:val="nil"/>
              <w:right w:val="nil"/>
            </w:tcBorders>
            <w:shd w:val="clear" w:color="auto" w:fill="auto"/>
            <w:vAlign w:val="center"/>
          </w:tcPr>
          <w:p w14:paraId="57429CE3" w14:textId="77777777" w:rsidR="000D6033" w:rsidRPr="009C2ADD" w:rsidRDefault="000D6033" w:rsidP="009C2ADD">
            <w:pPr>
              <w:adjustRightInd w:val="0"/>
              <w:snapToGrid w:val="0"/>
              <w:spacing w:after="0"/>
              <w:jc w:val="center"/>
              <w:rPr>
                <w:rFonts w:ascii="Times New Roman" w:eastAsia="맑은 고딕" w:hAnsi="Times New Roman"/>
                <w:lang w:eastAsia="ko-KR"/>
              </w:rPr>
            </w:pPr>
            <w:r w:rsidRPr="009C2ADD">
              <w:rPr>
                <w:rFonts w:ascii="Times New Roman" w:eastAsia="맑은 고딕" w:hAnsi="Times New Roman"/>
                <w:lang w:eastAsia="en-NZ"/>
              </w:rPr>
              <w:t>ISG-</w:t>
            </w:r>
            <w:r w:rsidRPr="009C2ADD">
              <w:rPr>
                <w:rFonts w:ascii="Times New Roman" w:eastAsia="맑은 고딕" w:hAnsi="Times New Roman"/>
                <w:lang w:eastAsia="ko-KR"/>
              </w:rPr>
              <w:t>8</w:t>
            </w:r>
          </w:p>
        </w:tc>
        <w:tc>
          <w:tcPr>
            <w:tcW w:w="2856" w:type="pct"/>
            <w:tcBorders>
              <w:top w:val="nil"/>
              <w:left w:val="nil"/>
              <w:right w:val="nil"/>
            </w:tcBorders>
            <w:shd w:val="clear" w:color="auto" w:fill="auto"/>
            <w:vAlign w:val="center"/>
          </w:tcPr>
          <w:p w14:paraId="31898F40" w14:textId="77777777" w:rsidR="000D6033" w:rsidRPr="009C2ADD" w:rsidRDefault="000D6033" w:rsidP="009C2ADD">
            <w:pPr>
              <w:adjustRightInd w:val="0"/>
              <w:snapToGrid w:val="0"/>
              <w:spacing w:after="0"/>
              <w:rPr>
                <w:rFonts w:ascii="Times New Roman" w:eastAsia="맑은 고딕" w:hAnsi="Times New Roman"/>
                <w:lang w:val="en-US" w:eastAsia="ko-KR"/>
              </w:rPr>
            </w:pPr>
            <w:r w:rsidRPr="009C2ADD">
              <w:rPr>
                <w:rFonts w:ascii="Times New Roman" w:eastAsia="맑은 고딕" w:hAnsi="Times New Roman"/>
                <w:lang w:val="en-US" w:eastAsia="ko-KR"/>
              </w:rPr>
              <w:t>Performance Indicators and Monitoring Strategies</w:t>
            </w:r>
          </w:p>
        </w:tc>
        <w:tc>
          <w:tcPr>
            <w:tcW w:w="1508" w:type="pct"/>
            <w:tcBorders>
              <w:top w:val="nil"/>
              <w:left w:val="nil"/>
              <w:right w:val="nil"/>
            </w:tcBorders>
            <w:shd w:val="clear" w:color="auto" w:fill="auto"/>
            <w:vAlign w:val="center"/>
          </w:tcPr>
          <w:p w14:paraId="41E08C82" w14:textId="0A7CE815" w:rsidR="000D6033" w:rsidRPr="009C2ADD" w:rsidRDefault="000D6033" w:rsidP="0050437C">
            <w:pPr>
              <w:adjustRightInd w:val="0"/>
              <w:snapToGrid w:val="0"/>
              <w:spacing w:after="0"/>
              <w:rPr>
                <w:rFonts w:ascii="Times New Roman" w:eastAsia="맑은 고딕" w:hAnsi="Times New Roman"/>
                <w:lang w:eastAsia="en-NZ"/>
              </w:rPr>
            </w:pPr>
            <w:r w:rsidRPr="009C2ADD">
              <w:rPr>
                <w:rFonts w:ascii="Times New Roman" w:eastAsia="맑은 고딕" w:hAnsi="Times New Roman"/>
                <w:lang w:val="en-US" w:eastAsia="ko-KR"/>
              </w:rPr>
              <w:t>R</w:t>
            </w:r>
            <w:r w:rsidR="0050437C">
              <w:rPr>
                <w:rFonts w:ascii="Times New Roman" w:eastAsia="맑은 고딕" w:hAnsi="Times New Roman" w:hint="eastAsia"/>
                <w:lang w:val="en-US" w:eastAsia="ko-KR"/>
              </w:rPr>
              <w:t>.</w:t>
            </w:r>
            <w:r w:rsidRPr="009C2ADD">
              <w:rPr>
                <w:rFonts w:ascii="Times New Roman" w:eastAsia="맑은 고딕" w:hAnsi="Times New Roman"/>
                <w:lang w:val="en-US" w:eastAsia="ko-KR"/>
              </w:rPr>
              <w:t xml:space="preserve"> Campbell</w:t>
            </w:r>
          </w:p>
        </w:tc>
      </w:tr>
    </w:tbl>
    <w:p w14:paraId="34A3870B" w14:textId="77777777" w:rsidR="007B6284" w:rsidRPr="009C2ADD" w:rsidRDefault="007B6284" w:rsidP="009C2ADD">
      <w:pPr>
        <w:pStyle w:val="WCPFC"/>
        <w:numPr>
          <w:ilvl w:val="0"/>
          <w:numId w:val="0"/>
        </w:numPr>
        <w:adjustRightInd w:val="0"/>
        <w:spacing w:after="0"/>
        <w:ind w:left="567"/>
      </w:pPr>
    </w:p>
    <w:p w14:paraId="33C1A1FF" w14:textId="77777777" w:rsidR="000D6033" w:rsidRPr="009C2ADD" w:rsidRDefault="007B628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query from EU relating to progress on the Shark limit reference point (LRP) Project, New Zealand noted that both the Project and its scope of work had been approved, but the available funding was not enough to secure any tender bids. Discussions were now underway to consider a reduction of scope or means to increase the funding. </w:t>
      </w:r>
    </w:p>
    <w:p w14:paraId="00807410" w14:textId="2670810A" w:rsidR="007B6284" w:rsidRPr="009C2ADD" w:rsidRDefault="007B6284" w:rsidP="009C2ADD">
      <w:pPr>
        <w:autoSpaceDE w:val="0"/>
        <w:autoSpaceDN w:val="0"/>
        <w:adjustRightInd w:val="0"/>
        <w:snapToGrid w:val="0"/>
        <w:spacing w:after="0"/>
        <w:rPr>
          <w:rFonts w:ascii="Times New Roman" w:hAnsi="Times New Roman"/>
          <w:lang w:val="en-AU"/>
        </w:rPr>
      </w:pPr>
      <w:r w:rsidRPr="009C2ADD">
        <w:rPr>
          <w:rFonts w:ascii="Times New Roman" w:hAnsi="Times New Roman"/>
          <w:lang w:val="en-AU"/>
        </w:rPr>
        <w:t xml:space="preserve">     </w:t>
      </w:r>
    </w:p>
    <w:p w14:paraId="5AF12CBA" w14:textId="6BAF2EAF" w:rsidR="00A96C67" w:rsidRPr="009C2ADD" w:rsidRDefault="0088767C" w:rsidP="009C2ADD">
      <w:pPr>
        <w:pStyle w:val="WCPFC"/>
        <w:numPr>
          <w:ilvl w:val="0"/>
          <w:numId w:val="0"/>
        </w:numPr>
        <w:adjustRightInd w:val="0"/>
        <w:spacing w:after="0"/>
        <w:rPr>
          <w:b/>
        </w:rPr>
      </w:pPr>
      <w:r w:rsidRPr="009C2ADD">
        <w:rPr>
          <w:b/>
        </w:rPr>
        <w:t xml:space="preserve">1.3 </w:t>
      </w:r>
      <w:r w:rsidRPr="009C2ADD">
        <w:rPr>
          <w:b/>
        </w:rPr>
        <w:tab/>
      </w:r>
      <w:r w:rsidR="00A96C67" w:rsidRPr="009C2ADD">
        <w:rPr>
          <w:b/>
        </w:rPr>
        <w:t xml:space="preserve">Issues arising from the Commission </w:t>
      </w:r>
    </w:p>
    <w:p w14:paraId="45132876" w14:textId="77777777" w:rsidR="000D6033" w:rsidRPr="009C2ADD" w:rsidRDefault="000D6033" w:rsidP="009C2ADD">
      <w:pPr>
        <w:pStyle w:val="WCPFC"/>
        <w:numPr>
          <w:ilvl w:val="0"/>
          <w:numId w:val="0"/>
        </w:numPr>
        <w:adjustRightInd w:val="0"/>
        <w:spacing w:after="0"/>
        <w:rPr>
          <w:b/>
        </w:rPr>
      </w:pPr>
    </w:p>
    <w:p w14:paraId="714DCE22" w14:textId="7D3CD2D1" w:rsidR="00A96C67" w:rsidRPr="009C2ADD" w:rsidRDefault="00F95F5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 xml:space="preserve">The Science Manager </w:t>
      </w:r>
      <w:r w:rsidR="009C216F" w:rsidRPr="009C2ADD">
        <w:rPr>
          <w:rFonts w:ascii="Times New Roman" w:hAnsi="Times New Roman"/>
          <w:lang w:val="en-AU"/>
        </w:rPr>
        <w:t>S</w:t>
      </w:r>
      <w:r w:rsidR="00897E02">
        <w:rPr>
          <w:rFonts w:ascii="Times New Roman" w:hAnsi="Times New Roman" w:hint="eastAsia"/>
          <w:lang w:val="en-AU" w:eastAsia="ko-KR"/>
        </w:rPr>
        <w:t>.</w:t>
      </w:r>
      <w:r w:rsidR="0034646F" w:rsidRPr="009C2ADD">
        <w:rPr>
          <w:rFonts w:ascii="Times New Roman" w:hAnsi="Times New Roman"/>
          <w:lang w:val="en-AU"/>
        </w:rPr>
        <w:t xml:space="preserve"> So</w:t>
      </w:r>
      <w:r>
        <w:rPr>
          <w:rFonts w:ascii="Times New Roman" w:hAnsi="Times New Roman" w:hint="eastAsia"/>
          <w:lang w:val="en-AU" w:eastAsia="ko-KR"/>
        </w:rPr>
        <w:t>h</w:t>
      </w:r>
      <w:r w:rsidR="0034646F" w:rsidRPr="009C2ADD">
        <w:rPr>
          <w:rFonts w:ascii="Times New Roman" w:hAnsi="Times New Roman"/>
          <w:lang w:val="en-AU"/>
        </w:rPr>
        <w:t xml:space="preserve"> </w:t>
      </w:r>
      <w:r w:rsidR="00115942" w:rsidRPr="009C2ADD">
        <w:rPr>
          <w:rFonts w:ascii="Times New Roman" w:hAnsi="Times New Roman"/>
          <w:lang w:val="en-AU"/>
        </w:rPr>
        <w:t xml:space="preserve">introduced </w:t>
      </w:r>
      <w:r w:rsidR="00115942" w:rsidRPr="0070772D">
        <w:rPr>
          <w:rFonts w:ascii="Times New Roman" w:hAnsi="Times New Roman"/>
          <w:bCs/>
          <w:lang w:val="en-AU"/>
        </w:rPr>
        <w:t>SC13-GN-WP-03</w:t>
      </w:r>
      <w:r w:rsidR="0034646F" w:rsidRPr="009C2ADD">
        <w:rPr>
          <w:rFonts w:ascii="Times New Roman" w:hAnsi="Times New Roman"/>
          <w:lang w:val="en-AU"/>
        </w:rPr>
        <w:t xml:space="preserve"> </w:t>
      </w:r>
      <w:r w:rsidR="00115942" w:rsidRPr="009C2ADD">
        <w:rPr>
          <w:rFonts w:ascii="Times New Roman" w:hAnsi="Times New Roman"/>
          <w:i/>
          <w:lang w:val="en-AU"/>
        </w:rPr>
        <w:t>Iss</w:t>
      </w:r>
      <w:r w:rsidR="0034646F" w:rsidRPr="009C2ADD">
        <w:rPr>
          <w:rFonts w:ascii="Times New Roman" w:hAnsi="Times New Roman"/>
          <w:i/>
          <w:lang w:val="en-AU"/>
        </w:rPr>
        <w:t>ues arising from the Commission</w:t>
      </w:r>
      <w:r w:rsidR="00115942" w:rsidRPr="009C2ADD">
        <w:rPr>
          <w:rFonts w:ascii="Times New Roman" w:hAnsi="Times New Roman"/>
          <w:i/>
          <w:lang w:val="en-AU"/>
        </w:rPr>
        <w:t>,</w:t>
      </w:r>
      <w:r w:rsidR="00115942" w:rsidRPr="009C2ADD">
        <w:rPr>
          <w:rFonts w:ascii="Times New Roman" w:hAnsi="Times New Roman"/>
          <w:lang w:val="en-AU"/>
        </w:rPr>
        <w:t xml:space="preserve"> noting that it covered recommendations from SC12 and SC-related information and requests from WCPFC13. Most of these issues were reflected in the SC13 agenda and meeting papers.  </w:t>
      </w:r>
    </w:p>
    <w:p w14:paraId="0B0409D1"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50E9EF9A" w14:textId="3A9EDC98" w:rsidR="00A96C67" w:rsidRPr="009C2ADD" w:rsidRDefault="0088767C" w:rsidP="009C2ADD">
      <w:pPr>
        <w:pStyle w:val="WCPFC"/>
        <w:numPr>
          <w:ilvl w:val="0"/>
          <w:numId w:val="0"/>
        </w:numPr>
        <w:adjustRightInd w:val="0"/>
        <w:spacing w:after="0"/>
        <w:rPr>
          <w:b/>
        </w:rPr>
      </w:pPr>
      <w:r w:rsidRPr="009C2ADD">
        <w:rPr>
          <w:b/>
        </w:rPr>
        <w:t xml:space="preserve">1.4 </w:t>
      </w:r>
      <w:r w:rsidRPr="009C2ADD">
        <w:rPr>
          <w:b/>
        </w:rPr>
        <w:tab/>
      </w:r>
      <w:r w:rsidR="00A96C67" w:rsidRPr="009C2ADD">
        <w:rPr>
          <w:b/>
        </w:rPr>
        <w:t xml:space="preserve">Adoption of the agenda </w:t>
      </w:r>
    </w:p>
    <w:p w14:paraId="34F94D53" w14:textId="77777777" w:rsidR="000D6033" w:rsidRPr="009C2ADD" w:rsidRDefault="000D6033" w:rsidP="009C2ADD">
      <w:pPr>
        <w:pStyle w:val="WCPFC"/>
        <w:numPr>
          <w:ilvl w:val="0"/>
          <w:numId w:val="0"/>
        </w:numPr>
        <w:adjustRightInd w:val="0"/>
        <w:spacing w:after="0"/>
        <w:rPr>
          <w:b/>
        </w:rPr>
      </w:pPr>
    </w:p>
    <w:p w14:paraId="3999CD86" w14:textId="77777777" w:rsidR="00115942" w:rsidRPr="009C2ADD" w:rsidRDefault="00115942"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SC13 provisional agenda was adopted (</w:t>
      </w:r>
      <w:r w:rsidRPr="009C2ADD">
        <w:rPr>
          <w:rFonts w:ascii="Times New Roman" w:hAnsi="Times New Roman"/>
          <w:b/>
          <w:lang w:val="en-AU"/>
        </w:rPr>
        <w:t>Attachment D</w:t>
      </w:r>
      <w:r w:rsidRPr="009C2ADD">
        <w:rPr>
          <w:rFonts w:ascii="Times New Roman" w:hAnsi="Times New Roman"/>
          <w:lang w:val="en-AU"/>
        </w:rPr>
        <w:t>).</w:t>
      </w:r>
    </w:p>
    <w:p w14:paraId="5B183E0B"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5C6E5AB4" w14:textId="77777777" w:rsidR="00A96C67" w:rsidRPr="009C2ADD" w:rsidRDefault="00115942"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SC Chair also noted that both the Chair’s and Vice Chair’s positions would become vacant as of the end SC13 and replacements would need to be recommended for the next two years, which will be discussed under Agenda 11.2</w:t>
      </w:r>
    </w:p>
    <w:p w14:paraId="48B15F85"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109AA11B" w14:textId="7B819825" w:rsidR="00A96C67" w:rsidRPr="009C2ADD" w:rsidRDefault="0088767C" w:rsidP="009C2ADD">
      <w:pPr>
        <w:pStyle w:val="WCPFC"/>
        <w:numPr>
          <w:ilvl w:val="0"/>
          <w:numId w:val="0"/>
        </w:numPr>
        <w:adjustRightInd w:val="0"/>
        <w:spacing w:after="0"/>
        <w:rPr>
          <w:b/>
        </w:rPr>
      </w:pPr>
      <w:r w:rsidRPr="009C2ADD">
        <w:rPr>
          <w:b/>
        </w:rPr>
        <w:t xml:space="preserve">1.5 </w:t>
      </w:r>
      <w:r w:rsidRPr="009C2ADD">
        <w:rPr>
          <w:b/>
        </w:rPr>
        <w:tab/>
      </w:r>
      <w:r w:rsidR="00A96C67" w:rsidRPr="009C2ADD">
        <w:rPr>
          <w:b/>
        </w:rPr>
        <w:t xml:space="preserve">Reporting arrangements </w:t>
      </w:r>
    </w:p>
    <w:p w14:paraId="57AA4D2D" w14:textId="77777777" w:rsidR="000D6033" w:rsidRPr="009C2ADD" w:rsidRDefault="000D6033" w:rsidP="009C2ADD">
      <w:pPr>
        <w:pStyle w:val="WCPFC"/>
        <w:numPr>
          <w:ilvl w:val="0"/>
          <w:numId w:val="0"/>
        </w:numPr>
        <w:adjustRightInd w:val="0"/>
        <w:spacing w:after="0"/>
        <w:rPr>
          <w:b/>
        </w:rPr>
      </w:pPr>
    </w:p>
    <w:p w14:paraId="17234A00" w14:textId="7E139E6F" w:rsidR="006A740B" w:rsidRPr="009C2ADD" w:rsidRDefault="006A740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SC Chair noted that SC13 would adopt its recommendations at the meeting, and develop a Summary Report with an Executive Summary which would be adopted intersessi</w:t>
      </w:r>
      <w:r w:rsidR="0048180B" w:rsidRPr="009C2ADD">
        <w:rPr>
          <w:rFonts w:ascii="Times New Roman" w:hAnsi="Times New Roman"/>
          <w:lang w:val="en-AU"/>
        </w:rPr>
        <w:t>onally.</w:t>
      </w:r>
      <w:r w:rsidRPr="009C2ADD">
        <w:rPr>
          <w:rFonts w:ascii="Times New Roman" w:hAnsi="Times New Roman"/>
          <w:lang w:val="en-AU"/>
        </w:rPr>
        <w:t xml:space="preserve"> The Executive Summary would include a synopsis of stock status and management advice and implications, research plans, findings or conclusions on the stock status, reports and recommendations</w:t>
      </w:r>
      <w:r w:rsidR="008918CA">
        <w:rPr>
          <w:rFonts w:ascii="Times New Roman" w:hAnsi="Times New Roman"/>
          <w:lang w:val="en-AU"/>
        </w:rPr>
        <w:t>,</w:t>
      </w:r>
      <w:r w:rsidRPr="009C2ADD">
        <w:rPr>
          <w:rFonts w:ascii="Times New Roman" w:hAnsi="Times New Roman"/>
          <w:lang w:val="en-AU"/>
        </w:rPr>
        <w:t xml:space="preserve"> as directed by the Commission or at the initiative of the SC (Paragraph 2, Article 12 of the Convention</w:t>
      </w:r>
      <w:r w:rsidR="00FC11FE">
        <w:rPr>
          <w:rFonts w:ascii="Times New Roman" w:hAnsi="Times New Roman"/>
          <w:lang w:val="en-AU"/>
        </w:rPr>
        <w:t>)</w:t>
      </w:r>
      <w:r w:rsidRPr="009C2ADD">
        <w:rPr>
          <w:rFonts w:ascii="Times New Roman" w:hAnsi="Times New Roman"/>
          <w:lang w:val="en-AU"/>
        </w:rPr>
        <w:t xml:space="preserve">. </w:t>
      </w:r>
      <w:r w:rsidR="00977B42" w:rsidRPr="009C2ADD">
        <w:rPr>
          <w:rFonts w:ascii="Times New Roman" w:hAnsi="Times New Roman"/>
          <w:lang w:val="en-AU"/>
        </w:rPr>
        <w:t>The</w:t>
      </w:r>
      <w:r w:rsidRPr="009C2ADD">
        <w:rPr>
          <w:rFonts w:ascii="Times New Roman" w:hAnsi="Times New Roman"/>
          <w:lang w:val="en-AU"/>
        </w:rPr>
        <w:t xml:space="preserve"> recommendations will be adopted at the meeting and the Summary Report will be adopted intersessionally. </w:t>
      </w:r>
    </w:p>
    <w:p w14:paraId="3B5FABB6"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3FDA9686" w14:textId="3EC15714" w:rsidR="00A96C67" w:rsidRPr="009C2ADD" w:rsidRDefault="006A740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SC Chair </w:t>
      </w:r>
      <w:r w:rsidR="00897E02">
        <w:rPr>
          <w:rFonts w:ascii="Times New Roman" w:hAnsi="Times New Roman" w:hint="eastAsia"/>
          <w:lang w:val="en-AU" w:eastAsia="ko-KR"/>
        </w:rPr>
        <w:t>introduced</w:t>
      </w:r>
      <w:r w:rsidRPr="009C2ADD">
        <w:rPr>
          <w:rFonts w:ascii="Times New Roman" w:hAnsi="Times New Roman"/>
          <w:lang w:val="en-AU"/>
        </w:rPr>
        <w:t xml:space="preserve"> the two lead rapporteurs, Melissa Idiens and Lyn Goldsworthy who w</w:t>
      </w:r>
      <w:r w:rsidR="0048180B" w:rsidRPr="009C2ADD">
        <w:rPr>
          <w:rFonts w:ascii="Times New Roman" w:hAnsi="Times New Roman"/>
          <w:lang w:val="en-AU"/>
        </w:rPr>
        <w:t>ould</w:t>
      </w:r>
      <w:r w:rsidRPr="009C2ADD">
        <w:rPr>
          <w:rFonts w:ascii="Times New Roman" w:hAnsi="Times New Roman"/>
          <w:lang w:val="en-AU"/>
        </w:rPr>
        <w:t xml:space="preserve"> compile the Summary Report.</w:t>
      </w:r>
    </w:p>
    <w:p w14:paraId="423C68DB"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3FCD792F" w14:textId="35B6B6FB" w:rsidR="00A96C67" w:rsidRPr="009C2ADD" w:rsidRDefault="0088767C" w:rsidP="009C2ADD">
      <w:pPr>
        <w:pStyle w:val="WCPFC"/>
        <w:numPr>
          <w:ilvl w:val="0"/>
          <w:numId w:val="0"/>
        </w:numPr>
        <w:adjustRightInd w:val="0"/>
        <w:spacing w:after="0"/>
        <w:rPr>
          <w:b/>
        </w:rPr>
      </w:pPr>
      <w:r w:rsidRPr="009C2ADD">
        <w:rPr>
          <w:b/>
        </w:rPr>
        <w:t xml:space="preserve">1.6 </w:t>
      </w:r>
      <w:r w:rsidRPr="009C2ADD">
        <w:rPr>
          <w:b/>
        </w:rPr>
        <w:tab/>
      </w:r>
      <w:r w:rsidR="00A96C67" w:rsidRPr="009C2ADD">
        <w:rPr>
          <w:b/>
        </w:rPr>
        <w:t>Intersessional activities of the Scientific Committee</w:t>
      </w:r>
    </w:p>
    <w:p w14:paraId="228F7952" w14:textId="77777777" w:rsidR="000D6033" w:rsidRPr="009C2ADD" w:rsidRDefault="000D6033" w:rsidP="009C2ADD">
      <w:pPr>
        <w:pStyle w:val="WCPFC"/>
        <w:numPr>
          <w:ilvl w:val="0"/>
          <w:numId w:val="0"/>
        </w:numPr>
        <w:adjustRightInd w:val="0"/>
        <w:spacing w:after="0"/>
        <w:rPr>
          <w:b/>
        </w:rPr>
      </w:pPr>
    </w:p>
    <w:p w14:paraId="48AEC622" w14:textId="354D8A47" w:rsidR="006245CA" w:rsidRPr="009C2ADD" w:rsidRDefault="006245C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Science Manager provided a brief introduction to </w:t>
      </w:r>
      <w:r w:rsidRPr="0070772D">
        <w:rPr>
          <w:rFonts w:ascii="Times New Roman" w:hAnsi="Times New Roman"/>
          <w:bCs/>
          <w:lang w:val="en-AU"/>
        </w:rPr>
        <w:t>SC13-GN-WP-04</w:t>
      </w:r>
      <w:r w:rsidR="0034646F" w:rsidRPr="009C2ADD">
        <w:rPr>
          <w:rFonts w:ascii="Times New Roman" w:hAnsi="Times New Roman"/>
          <w:lang w:val="en-AU"/>
        </w:rPr>
        <w:t xml:space="preserve"> </w:t>
      </w:r>
      <w:r w:rsidRPr="009C2ADD">
        <w:rPr>
          <w:rFonts w:ascii="Times New Roman" w:hAnsi="Times New Roman"/>
          <w:i/>
          <w:lang w:val="en-AU"/>
        </w:rPr>
        <w:t>Intersessional activities of the Scientific Committee</w:t>
      </w:r>
      <w:r w:rsidRPr="009C2ADD">
        <w:rPr>
          <w:rFonts w:ascii="Times New Roman" w:hAnsi="Times New Roman"/>
          <w:lang w:val="en-AU"/>
        </w:rPr>
        <w:t xml:space="preserve">.  The paper provided summaries of scientific services from the SPC-OFP, progress and status of eleven SC work programmes, cooperation with other organizations where the Secretariat attended their meetings, and a summary of four research projects (ABNJ (Common Oceans) </w:t>
      </w:r>
      <w:r w:rsidR="00897E02">
        <w:rPr>
          <w:rFonts w:ascii="Times New Roman" w:hAnsi="Times New Roman" w:hint="eastAsia"/>
          <w:lang w:val="en-AU" w:eastAsia="ko-KR"/>
        </w:rPr>
        <w:t>T</w:t>
      </w:r>
      <w:r w:rsidRPr="009C2ADD">
        <w:rPr>
          <w:rFonts w:ascii="Times New Roman" w:hAnsi="Times New Roman"/>
          <w:lang w:val="en-AU"/>
        </w:rPr>
        <w:t xml:space="preserve">una </w:t>
      </w:r>
      <w:r w:rsidR="00897E02">
        <w:rPr>
          <w:rFonts w:ascii="Times New Roman" w:hAnsi="Times New Roman" w:hint="eastAsia"/>
          <w:lang w:val="en-AU" w:eastAsia="ko-KR"/>
        </w:rPr>
        <w:t>P</w:t>
      </w:r>
      <w:r w:rsidRPr="009C2ADD">
        <w:rPr>
          <w:rFonts w:ascii="Times New Roman" w:hAnsi="Times New Roman"/>
          <w:lang w:val="en-AU"/>
        </w:rPr>
        <w:t xml:space="preserve">roject, the Japan Trust Fund (JTF) project, the WCPFC Tissue Bank project and the West Pacific East Asia project). </w:t>
      </w:r>
    </w:p>
    <w:p w14:paraId="73F3D9D2" w14:textId="77777777" w:rsidR="005F4E98" w:rsidRPr="009C2ADD" w:rsidRDefault="005F4E98" w:rsidP="009C2ADD">
      <w:pPr>
        <w:adjustRightInd w:val="0"/>
        <w:snapToGrid w:val="0"/>
        <w:spacing w:after="0"/>
        <w:jc w:val="center"/>
        <w:outlineLvl w:val="0"/>
        <w:rPr>
          <w:rFonts w:ascii="Times New Roman" w:eastAsia="Times New Roman" w:hAnsi="Times New Roman"/>
          <w:b/>
          <w:caps/>
          <w:lang w:val="en-AU" w:eastAsia="en-NZ"/>
        </w:rPr>
      </w:pPr>
      <w:bookmarkStart w:id="75" w:name="_Toc458856362"/>
    </w:p>
    <w:p w14:paraId="752DF782" w14:textId="77777777" w:rsidR="000D6033" w:rsidRPr="009C2ADD" w:rsidRDefault="000D6033" w:rsidP="009C2ADD">
      <w:pPr>
        <w:adjustRightInd w:val="0"/>
        <w:snapToGrid w:val="0"/>
        <w:spacing w:after="0"/>
        <w:jc w:val="center"/>
        <w:outlineLvl w:val="0"/>
        <w:rPr>
          <w:rFonts w:ascii="Times New Roman" w:eastAsia="Times New Roman" w:hAnsi="Times New Roman"/>
          <w:b/>
          <w:caps/>
          <w:lang w:val="en-AU" w:eastAsia="en-NZ"/>
        </w:rPr>
      </w:pPr>
    </w:p>
    <w:p w14:paraId="6CF83477" w14:textId="77777777" w:rsidR="00A96C67" w:rsidRPr="009C2ADD" w:rsidRDefault="00A96C67" w:rsidP="009C2ADD">
      <w:pPr>
        <w:pStyle w:val="Heading1"/>
        <w:adjustRightInd w:val="0"/>
        <w:snapToGrid w:val="0"/>
        <w:rPr>
          <w:rFonts w:ascii="Times New Roman" w:hAnsi="Times New Roman"/>
          <w:sz w:val="22"/>
          <w:szCs w:val="22"/>
        </w:rPr>
      </w:pPr>
      <w:bookmarkStart w:id="76" w:name="_Toc491850303"/>
      <w:bookmarkStart w:id="77" w:name="_Toc491851809"/>
      <w:r w:rsidRPr="009C2ADD">
        <w:rPr>
          <w:rFonts w:ascii="Times New Roman" w:hAnsi="Times New Roman"/>
          <w:sz w:val="22"/>
          <w:szCs w:val="22"/>
        </w:rPr>
        <w:t>AGENDA ITEM 2 – Review of Fisheries</w:t>
      </w:r>
      <w:bookmarkEnd w:id="75"/>
      <w:bookmarkEnd w:id="76"/>
      <w:bookmarkEnd w:id="77"/>
    </w:p>
    <w:p w14:paraId="090197B8" w14:textId="77777777" w:rsidR="003D4C86" w:rsidRPr="009C2ADD" w:rsidRDefault="003D4C86" w:rsidP="009C2ADD">
      <w:pPr>
        <w:autoSpaceDE w:val="0"/>
        <w:autoSpaceDN w:val="0"/>
        <w:adjustRightInd w:val="0"/>
        <w:snapToGrid w:val="0"/>
        <w:spacing w:after="0"/>
        <w:ind w:left="720" w:hanging="720"/>
        <w:outlineLvl w:val="1"/>
        <w:rPr>
          <w:rFonts w:ascii="Times New Roman" w:eastAsia="Times New Roman" w:hAnsi="Times New Roman"/>
          <w:b/>
          <w:bCs/>
          <w:lang w:eastAsia="en-NZ"/>
        </w:rPr>
      </w:pPr>
      <w:bookmarkStart w:id="78" w:name="_Toc458856363"/>
    </w:p>
    <w:p w14:paraId="7F7D2352" w14:textId="77777777" w:rsidR="000D6033" w:rsidRPr="009C2ADD" w:rsidRDefault="000D6033" w:rsidP="009C2ADD">
      <w:pPr>
        <w:autoSpaceDE w:val="0"/>
        <w:autoSpaceDN w:val="0"/>
        <w:adjustRightInd w:val="0"/>
        <w:snapToGrid w:val="0"/>
        <w:spacing w:after="0"/>
        <w:ind w:left="720" w:hanging="720"/>
        <w:outlineLvl w:val="1"/>
        <w:rPr>
          <w:rFonts w:ascii="Times New Roman" w:eastAsia="Times New Roman" w:hAnsi="Times New Roman"/>
          <w:b/>
          <w:bCs/>
          <w:lang w:eastAsia="en-NZ"/>
        </w:rPr>
      </w:pPr>
    </w:p>
    <w:p w14:paraId="1D262345" w14:textId="3D969878" w:rsidR="00A96C67" w:rsidRPr="009C2ADD" w:rsidRDefault="00C54C2D" w:rsidP="009C2ADD">
      <w:pPr>
        <w:pStyle w:val="Heading2"/>
        <w:adjustRightInd w:val="0"/>
        <w:snapToGrid w:val="0"/>
        <w:rPr>
          <w:color w:val="auto"/>
          <w:szCs w:val="22"/>
        </w:rPr>
      </w:pPr>
      <w:bookmarkStart w:id="79" w:name="_Toc491851810"/>
      <w:r w:rsidRPr="009C2ADD">
        <w:rPr>
          <w:color w:val="auto"/>
          <w:szCs w:val="22"/>
        </w:rPr>
        <w:t xml:space="preserve">2.1 </w:t>
      </w:r>
      <w:r w:rsidR="0088767C" w:rsidRPr="009C2ADD">
        <w:rPr>
          <w:color w:val="auto"/>
          <w:szCs w:val="22"/>
        </w:rPr>
        <w:tab/>
      </w:r>
      <w:r w:rsidR="00A96C67" w:rsidRPr="009C2ADD">
        <w:rPr>
          <w:color w:val="auto"/>
          <w:szCs w:val="22"/>
        </w:rPr>
        <w:t>Overview of Western and Central Pacific Ocean (WCPO) fisheries</w:t>
      </w:r>
      <w:bookmarkEnd w:id="78"/>
      <w:bookmarkEnd w:id="79"/>
    </w:p>
    <w:p w14:paraId="0B265122" w14:textId="77777777" w:rsidR="00123214" w:rsidRPr="009C2ADD" w:rsidRDefault="00123214" w:rsidP="009C2ADD">
      <w:pPr>
        <w:adjustRightInd w:val="0"/>
        <w:snapToGrid w:val="0"/>
        <w:spacing w:after="0"/>
        <w:rPr>
          <w:rFonts w:ascii="Times New Roman" w:hAnsi="Times New Roman"/>
        </w:rPr>
      </w:pPr>
    </w:p>
    <w:p w14:paraId="5B23D519" w14:textId="79EE4A56"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w:t>
      </w:r>
      <w:r w:rsidR="0050437C">
        <w:rPr>
          <w:rFonts w:ascii="Times New Roman" w:hAnsi="Times New Roman" w:hint="eastAsia"/>
          <w:lang w:val="en-AU" w:eastAsia="ko-KR"/>
        </w:rPr>
        <w:t>.</w:t>
      </w:r>
      <w:r w:rsidRPr="009C2ADD">
        <w:rPr>
          <w:rFonts w:ascii="Times New Roman" w:hAnsi="Times New Roman"/>
          <w:lang w:val="en-AU"/>
        </w:rPr>
        <w:t xml:space="preserve"> Williams (SPC-OFP) and C</w:t>
      </w:r>
      <w:r w:rsidR="0050437C">
        <w:rPr>
          <w:rFonts w:ascii="Times New Roman" w:hAnsi="Times New Roman" w:hint="eastAsia"/>
          <w:lang w:val="en-AU" w:eastAsia="ko-KR"/>
        </w:rPr>
        <w:t>.</w:t>
      </w:r>
      <w:r w:rsidRPr="009C2ADD">
        <w:rPr>
          <w:rFonts w:ascii="Times New Roman" w:hAnsi="Times New Roman"/>
          <w:lang w:val="en-AU"/>
        </w:rPr>
        <w:t xml:space="preserve"> Reid (FFA) introduced </w:t>
      </w:r>
      <w:r w:rsidRPr="0070772D">
        <w:rPr>
          <w:rFonts w:ascii="Times New Roman" w:hAnsi="Times New Roman"/>
          <w:bCs/>
          <w:lang w:val="en-AU"/>
        </w:rPr>
        <w:t>SC13-GN-WP-01</w:t>
      </w:r>
      <w:r w:rsidRPr="009C2ADD">
        <w:rPr>
          <w:rFonts w:ascii="Times New Roman" w:hAnsi="Times New Roman"/>
          <w:lang w:val="en-AU"/>
        </w:rPr>
        <w:t xml:space="preserve"> </w:t>
      </w:r>
      <w:r w:rsidRPr="009C2ADD">
        <w:rPr>
          <w:rFonts w:ascii="Times New Roman" w:hAnsi="Times New Roman"/>
          <w:i/>
          <w:lang w:val="en-AU"/>
        </w:rPr>
        <w:t>Overview of tuna fisheries in the western and central Pacific Ocean, including economic conditions – 2016</w:t>
      </w:r>
      <w:r w:rsidRPr="009C2ADD">
        <w:rPr>
          <w:rFonts w:ascii="Times New Roman" w:hAnsi="Times New Roman"/>
          <w:lang w:val="en-AU"/>
        </w:rPr>
        <w:t xml:space="preserve">, which provided an overview of the WCPO key fisheries, including billfish and trends in purse-seine fishery capacity.  They noted that </w:t>
      </w:r>
      <w:r w:rsidRPr="0070772D">
        <w:rPr>
          <w:rFonts w:ascii="Times New Roman" w:hAnsi="Times New Roman"/>
          <w:bCs/>
          <w:lang w:val="en-AU"/>
        </w:rPr>
        <w:t>SC13-ST-IP-01</w:t>
      </w:r>
      <w:r w:rsidRPr="009C2ADD">
        <w:rPr>
          <w:rFonts w:ascii="Times New Roman" w:hAnsi="Times New Roman"/>
          <w:lang w:val="en-AU"/>
        </w:rPr>
        <w:t xml:space="preserve"> </w:t>
      </w:r>
      <w:r w:rsidRPr="009C2ADD">
        <w:rPr>
          <w:rFonts w:ascii="Times New Roman" w:hAnsi="Times New Roman"/>
          <w:i/>
          <w:lang w:val="en-AU"/>
        </w:rPr>
        <w:t>Estimates of annual catches in the WCPFC Statistical Area</w:t>
      </w:r>
      <w:r w:rsidRPr="009C2ADD">
        <w:rPr>
          <w:rFonts w:ascii="Times New Roman" w:hAnsi="Times New Roman"/>
          <w:lang w:val="en-AU"/>
        </w:rPr>
        <w:t>,</w:t>
      </w:r>
      <w:r w:rsidR="0034646F" w:rsidRPr="009C2ADD">
        <w:rPr>
          <w:rFonts w:ascii="Times New Roman" w:hAnsi="Times New Roman"/>
          <w:lang w:val="en-AU"/>
        </w:rPr>
        <w:t xml:space="preserve"> </w:t>
      </w:r>
      <w:r w:rsidRPr="009C2ADD">
        <w:rPr>
          <w:rFonts w:ascii="Times New Roman" w:hAnsi="Times New Roman"/>
          <w:lang w:val="en-AU"/>
        </w:rPr>
        <w:t>and Annual Reports- Part 1 provide</w:t>
      </w:r>
      <w:r w:rsidR="0034646F" w:rsidRPr="009C2ADD">
        <w:rPr>
          <w:rFonts w:ascii="Times New Roman" w:hAnsi="Times New Roman"/>
          <w:lang w:val="en-AU"/>
        </w:rPr>
        <w:t>d</w:t>
      </w:r>
      <w:r w:rsidRPr="009C2ADD">
        <w:rPr>
          <w:rFonts w:ascii="Times New Roman" w:hAnsi="Times New Roman"/>
          <w:lang w:val="en-AU"/>
        </w:rPr>
        <w:t xml:space="preserve"> additional detail.</w:t>
      </w:r>
    </w:p>
    <w:p w14:paraId="7EC0EC9B"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08B3016B"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provisional total WCP–CA tuna catch for 2016 was estimated at 2,717,850 mt, the second highest on record and nearly 120,000 mt below the previous record catch in 2014 (2,851,087 mt); this catch represented 79% of the total Pacific Ocean catch of 3,406,269 mt, and 56% of the global tuna catch (the provisional estimate for 2016 is 4,</w:t>
      </w:r>
      <w:r w:rsidR="0034646F" w:rsidRPr="009C2ADD">
        <w:rPr>
          <w:rFonts w:ascii="Times New Roman" w:hAnsi="Times New Roman"/>
          <w:lang w:val="en-AU"/>
        </w:rPr>
        <w:t>795,867 mt, and when finalised wa</w:t>
      </w:r>
      <w:r w:rsidRPr="009C2ADD">
        <w:rPr>
          <w:rFonts w:ascii="Times New Roman" w:hAnsi="Times New Roman"/>
          <w:lang w:val="en-AU"/>
        </w:rPr>
        <w:t xml:space="preserve">s expected to be the second highest on record). </w:t>
      </w:r>
    </w:p>
    <w:p w14:paraId="4C3FF22F"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564A1779"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2016 WCP–CA catch of skipjack (1,816,650 mt – 67% of the total catch) was the fourth highest recorded, nearly 160,000 mt less than the record in 2014 (1,977,019 mt). The WCP–CA yellowfin catch for 2016 (650,491 mt – 24%) was the highest recorded (more than 40,000 mt higher than the previous record catch of 2008 – 609,458 mt); the increase in yellowfin tuna catch from 2015 levels was mainly due to increased catches in the purse seine fishery and the Indonesia and Philippines domestic fisheries. The WCP–CA bigeye catch for 2016 (152,806 mt – 6%) was an increase on 2015 catch and around average for the past ten y</w:t>
      </w:r>
      <w:r w:rsidR="005F4E98" w:rsidRPr="009C2ADD">
        <w:rPr>
          <w:rFonts w:ascii="Times New Roman" w:hAnsi="Times New Roman"/>
          <w:lang w:val="en-AU"/>
        </w:rPr>
        <w:t xml:space="preserve">ears. The 2016 WCP–CA albacore </w:t>
      </w:r>
      <w:r w:rsidRPr="009C2ADD">
        <w:rPr>
          <w:rFonts w:ascii="Times New Roman" w:hAnsi="Times New Roman"/>
          <w:lang w:val="en-AU"/>
        </w:rPr>
        <w:t>catch (97,822 mt – 4%) was the lowest since 1996 and around 50,000 mt lower than the record catch in 2002 at 147,793 mt. The south Pacific albacore catch in 2016 (68,601 mt) was about 13,000 mt lower than in 2015 and nearly 20,000 mt lower than the record catch in 2010 of 87,292 mt (although the 2016 estimates for some fleets are provisional).</w:t>
      </w:r>
    </w:p>
    <w:p w14:paraId="06ECFB03"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7373603C" w14:textId="45A6C0A6" w:rsidR="009719D9"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2016 purse </w:t>
      </w:r>
      <w:r w:rsidR="009719D9" w:rsidRPr="009C2ADD">
        <w:rPr>
          <w:rFonts w:ascii="Times New Roman" w:hAnsi="Times New Roman"/>
          <w:lang w:val="en-AU"/>
        </w:rPr>
        <w:t xml:space="preserve">seine catch of 1,858,198 mt was the third highest catch on record, higher than in 2016, but more than 160,000 mt lower than the record in 2014 (2,028,630 mt); the main reasons for the increase in catch compared to 2015 </w:t>
      </w:r>
      <w:r w:rsidR="00D54394">
        <w:rPr>
          <w:rFonts w:ascii="Times New Roman" w:hAnsi="Times New Roman" w:hint="eastAsia"/>
          <w:lang w:val="en-AU" w:eastAsia="ko-KR"/>
        </w:rPr>
        <w:t>are</w:t>
      </w:r>
      <w:r w:rsidR="00D54394" w:rsidRPr="009C2ADD">
        <w:rPr>
          <w:rFonts w:ascii="Times New Roman" w:hAnsi="Times New Roman"/>
          <w:lang w:val="en-AU"/>
        </w:rPr>
        <w:t xml:space="preserve"> </w:t>
      </w:r>
      <w:r w:rsidR="009719D9" w:rsidRPr="009C2ADD">
        <w:rPr>
          <w:rFonts w:ascii="Times New Roman" w:hAnsi="Times New Roman"/>
          <w:lang w:val="en-AU"/>
        </w:rPr>
        <w:t>related to increased effort and improved conditions (catch rates) in the fishery. The 2016 purse-seine skipjack catch (1,408,110 mt; 75% of total catch) was about 200,000 mt lower than the record in 2014, but almost identical to the 2015 catch level. The 2016 purse-seine catch estimate for yellowfin tuna (394,756 mt; 21%) was the second highest on record (423,788 mt in 2008) coming after a poor catc</w:t>
      </w:r>
      <w:r w:rsidRPr="009C2ADD">
        <w:rPr>
          <w:rFonts w:ascii="Times New Roman" w:hAnsi="Times New Roman"/>
          <w:lang w:val="en-AU"/>
        </w:rPr>
        <w:t>h year in 2015 and appeared</w:t>
      </w:r>
      <w:r w:rsidR="009719D9" w:rsidRPr="009C2ADD">
        <w:rPr>
          <w:rFonts w:ascii="Times New Roman" w:hAnsi="Times New Roman"/>
          <w:lang w:val="en-AU"/>
        </w:rPr>
        <w:t xml:space="preserve"> to be due to increased catches of large yellowfin from unassociated-school set types. The provisional catch estimate for bigeye tuna for 2016 (63,304 mt) was an increase from the relatively low catch level in 2015.</w:t>
      </w:r>
    </w:p>
    <w:p w14:paraId="0C7A7286"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2C3FD17D" w14:textId="77777777" w:rsidR="009719D9" w:rsidRPr="009C2ADD" w:rsidRDefault="009C21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2016 pole and </w:t>
      </w:r>
      <w:r w:rsidR="009719D9" w:rsidRPr="009C2ADD">
        <w:rPr>
          <w:rFonts w:ascii="Times New Roman" w:hAnsi="Times New Roman"/>
          <w:lang w:val="en-AU"/>
        </w:rPr>
        <w:t xml:space="preserve">line catch (199,457 mt) was the lowest annual catch since the </w:t>
      </w:r>
      <w:r w:rsidR="0034646F" w:rsidRPr="009C2ADD">
        <w:rPr>
          <w:rFonts w:ascii="Times New Roman" w:hAnsi="Times New Roman"/>
          <w:lang w:val="en-AU"/>
        </w:rPr>
        <w:t>late-1960s, although estimates we</w:t>
      </w:r>
      <w:r w:rsidR="009719D9" w:rsidRPr="009C2ADD">
        <w:rPr>
          <w:rFonts w:ascii="Times New Roman" w:hAnsi="Times New Roman"/>
          <w:lang w:val="en-AU"/>
        </w:rPr>
        <w:t>re typically revised upwards by the start of SC meetings each year. Japanese distant-water and offshore fleets (90,343 mt in 2016), and the Indonesian fleets (108,327 mt in 2016), account</w:t>
      </w:r>
      <w:r w:rsidR="0034646F" w:rsidRPr="009C2ADD">
        <w:rPr>
          <w:rFonts w:ascii="Times New Roman" w:hAnsi="Times New Roman"/>
          <w:lang w:val="en-AU"/>
        </w:rPr>
        <w:t>ed</w:t>
      </w:r>
      <w:r w:rsidR="009719D9" w:rsidRPr="009C2ADD">
        <w:rPr>
          <w:rFonts w:ascii="Times New Roman" w:hAnsi="Times New Roman"/>
          <w:lang w:val="en-AU"/>
        </w:rPr>
        <w:t xml:space="preserve"> for nearly all of the WCP–CA pole</w:t>
      </w:r>
      <w:r w:rsidRPr="009C2ADD">
        <w:rPr>
          <w:rFonts w:ascii="Times New Roman" w:hAnsi="Times New Roman"/>
          <w:lang w:val="en-AU"/>
        </w:rPr>
        <w:t xml:space="preserve"> and </w:t>
      </w:r>
      <w:r w:rsidR="009719D9" w:rsidRPr="009C2ADD">
        <w:rPr>
          <w:rFonts w:ascii="Times New Roman" w:hAnsi="Times New Roman"/>
          <w:lang w:val="en-AU"/>
        </w:rPr>
        <w:t>line catch (99% in 2016).</w:t>
      </w:r>
    </w:p>
    <w:p w14:paraId="159CA753"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27546D45" w14:textId="29398070"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provisional WCP–CA longline catch (231,860 mt) for 2016 was lower than the average for the past five years. The WCP–CA albacore longline catch (71,571 mt – 31%) for 2016 was the lowest since 2000, 30,000 mt lower that the record of 101,816 mt attained in 2010. The provisional bigeye catch (64,131 mt – 28%) for 2016 was the lowest since 1996, mainly due to continued reduction in effort in the main bigeye tuna fishery (refer to Pilling et al., 2017 for more detail). The yellowfin catch for 2016 (90,539 mt – 39%) was around the average for the past five years. </w:t>
      </w:r>
    </w:p>
    <w:p w14:paraId="688333FC"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6CF0C721" w14:textId="6B29E758"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2016 South Pacific troll albacore catch (2,097 mt) was the lowest catch since 2009. The New Zealand troll fleet (137 vessels catching 1,952 mt in 2016) and the United States troll fleet (6 vessels catching 151 mt in 2016) accounted for all the 2016 albacore troll catch. </w:t>
      </w:r>
    </w:p>
    <w:p w14:paraId="79C9EC5F"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6C143FBC"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Market conditions for the tuna raw materials of the WCP-CA during 2016 saw improvements in prices for canning lightmeat raw material (skipjack and yellowfin) and sashimi grade products but some deterioration in the price for albacore for canning.</w:t>
      </w:r>
    </w:p>
    <w:p w14:paraId="47874189"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5FDE0E26" w14:textId="63492E8B"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Prices in the major markets for WCP-CA skipjack were higher in 2016 compared with 2015, underpinned by low supplies of raw material and despite continuing poor demand at end markets. The Bangkok benchmark (4-7.5lb) and Thai import prices were higher by 23% ($1,395/mt) and 19% respectively. Similar trends occurred in other markets with prices in General Santos 17% higher while prices at Yaizu Port in Japan increased 21% in USD terms (9% in JPY terms). Yellowfin prices on canning markets in 2016 reversed recent declines, albeit moderately with Thai import prices increasing by 2% to US$1,605/mt and Yaizu prices by 11% to US$2,309/mt.</w:t>
      </w:r>
    </w:p>
    <w:p w14:paraId="6DBF9981"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64D1B593"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fresh yellowfin import prices (c.i.f., USD) in 2016, from all sources, rose 9% (-2% in JPY</w:t>
      </w:r>
      <w:r w:rsidR="0034646F" w:rsidRPr="009C2ADD">
        <w:rPr>
          <w:rFonts w:ascii="Times New Roman" w:hAnsi="Times New Roman"/>
          <w:lang w:val="en-AU"/>
        </w:rPr>
        <w:t xml:space="preserve"> terms) while Yaizu port fresh and </w:t>
      </w:r>
      <w:r w:rsidRPr="009C2ADD">
        <w:rPr>
          <w:rFonts w:ascii="Times New Roman" w:hAnsi="Times New Roman"/>
          <w:lang w:val="en-AU"/>
        </w:rPr>
        <w:t>frozen prices (ex-vessel) increased by 7% (-4%) reversing the previous year’s respective declines of 11% and 18%. US fresh yellowfin import prices (f.a.s.) in 2016 declined 3% relative to 2015 following a 2% decline in 2015.</w:t>
      </w:r>
    </w:p>
    <w:p w14:paraId="088E42D3"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5C2FA636"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fresh bigeye import prices (c.i.f., USD) in 2016, from all sources, improved by 12% in USD terms (up 1% in JPY terms) while Japan selected ports frozen longline prices (ex-vessel) improved 21% (9%)  </w:t>
      </w:r>
      <w:r w:rsidR="0034646F" w:rsidRPr="009C2ADD">
        <w:rPr>
          <w:rFonts w:ascii="Times New Roman" w:hAnsi="Times New Roman"/>
          <w:lang w:val="en-AU"/>
        </w:rPr>
        <w:t xml:space="preserve">which </w:t>
      </w:r>
      <w:r w:rsidRPr="009C2ADD">
        <w:rPr>
          <w:rFonts w:ascii="Times New Roman" w:hAnsi="Times New Roman"/>
          <w:lang w:val="en-AU"/>
        </w:rPr>
        <w:t>revers</w:t>
      </w:r>
      <w:r w:rsidR="0034646F" w:rsidRPr="009C2ADD">
        <w:rPr>
          <w:rFonts w:ascii="Times New Roman" w:hAnsi="Times New Roman"/>
          <w:lang w:val="en-AU"/>
        </w:rPr>
        <w:t>ed</w:t>
      </w:r>
      <w:r w:rsidRPr="009C2ADD">
        <w:rPr>
          <w:rFonts w:ascii="Times New Roman" w:hAnsi="Times New Roman"/>
          <w:lang w:val="en-AU"/>
        </w:rPr>
        <w:t xml:space="preserve"> the previous year’s 14% decline partly as a result of the substantial strengthening of the Yen. US fresh bigeye import prices (f.a.s.) in 2016 registered a decline of 3% relative to 2015.</w:t>
      </w:r>
    </w:p>
    <w:p w14:paraId="0D66E146"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2B084F58" w14:textId="77777777" w:rsidR="009719D9" w:rsidRPr="009C2ADD" w:rsidRDefault="00971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total estimated delivered value of catch in the WCP-CA increased by 11% to $5.3 bi</w:t>
      </w:r>
      <w:r w:rsidR="0034646F" w:rsidRPr="009C2ADD">
        <w:rPr>
          <w:rFonts w:ascii="Times New Roman" w:hAnsi="Times New Roman"/>
          <w:lang w:val="en-AU"/>
        </w:rPr>
        <w:t>llion during 2016. This reversed</w:t>
      </w:r>
      <w:r w:rsidRPr="009C2ADD">
        <w:rPr>
          <w:rFonts w:ascii="Times New Roman" w:hAnsi="Times New Roman"/>
          <w:lang w:val="en-AU"/>
        </w:rPr>
        <w:t xml:space="preserve"> the declining trend evident since the 2012 peak when the value reached $7.5 billion. The value of </w:t>
      </w:r>
      <w:r w:rsidR="0034646F" w:rsidRPr="009C2ADD">
        <w:rPr>
          <w:rFonts w:ascii="Times New Roman" w:hAnsi="Times New Roman"/>
          <w:lang w:val="en-AU"/>
        </w:rPr>
        <w:t xml:space="preserve">the purse </w:t>
      </w:r>
      <w:r w:rsidRPr="009C2ADD">
        <w:rPr>
          <w:rFonts w:ascii="Times New Roman" w:hAnsi="Times New Roman"/>
          <w:lang w:val="en-AU"/>
        </w:rPr>
        <w:t>seine tuna catch for 2016 is $2.8 billion (54% of total value) compared with $2.3 billion in 2015. The value of the longline tuna ca</w:t>
      </w:r>
      <w:r w:rsidR="0034646F" w:rsidRPr="009C2ADD">
        <w:rPr>
          <w:rFonts w:ascii="Times New Roman" w:hAnsi="Times New Roman"/>
          <w:lang w:val="en-AU"/>
        </w:rPr>
        <w:t>tch in the WCPFC area for 2016 wa</w:t>
      </w:r>
      <w:r w:rsidRPr="009C2ADD">
        <w:rPr>
          <w:rFonts w:ascii="Times New Roman" w:hAnsi="Times New Roman"/>
          <w:lang w:val="en-AU"/>
        </w:rPr>
        <w:t xml:space="preserve">s $1.5 billion (24% of total), a decrease of 5% on 2015. In terms of value by species, all species increased in value except for albacore which declined 13% to $293 million (6% of total catch value). The value of the bigeye catch increased by 8% to $697 million (13%). The value of the skipjack catch increased 19% to $2.7 billion (51%). The value of yellowfin catch increased by 7% to $1.6 billion (31%).  </w:t>
      </w:r>
    </w:p>
    <w:p w14:paraId="3B271FE5"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78D8A1C1" w14:textId="28EE1912" w:rsidR="00A96C67"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There was overall improvement in 2016 compared with 2015 with </w:t>
      </w:r>
      <w:r w:rsidR="00977B42" w:rsidRPr="009C2ADD">
        <w:rPr>
          <w:rFonts w:ascii="Times New Roman" w:hAnsi="Times New Roman"/>
          <w:lang w:val="en-AU"/>
        </w:rPr>
        <w:t>respect</w:t>
      </w:r>
      <w:r w:rsidRPr="009C2ADD">
        <w:rPr>
          <w:rFonts w:ascii="Times New Roman" w:hAnsi="Times New Roman"/>
          <w:lang w:val="en-AU"/>
        </w:rPr>
        <w:t xml:space="preserve"> to economic conditions in the purse </w:t>
      </w:r>
      <w:r w:rsidR="009719D9" w:rsidRPr="009C2ADD">
        <w:rPr>
          <w:rFonts w:ascii="Times New Roman" w:hAnsi="Times New Roman"/>
          <w:lang w:val="en-AU"/>
        </w:rPr>
        <w:t>seine, tropical longline and southern lo</w:t>
      </w:r>
      <w:r w:rsidRPr="009C2ADD">
        <w:rPr>
          <w:rFonts w:ascii="Times New Roman" w:hAnsi="Times New Roman"/>
          <w:lang w:val="en-AU"/>
        </w:rPr>
        <w:t>ngline fisheries of the WCP-CA</w:t>
      </w:r>
      <w:r w:rsidR="009719D9" w:rsidRPr="009C2ADD">
        <w:rPr>
          <w:rFonts w:ascii="Times New Roman" w:hAnsi="Times New Roman"/>
          <w:lang w:val="en-AU"/>
        </w:rPr>
        <w:t xml:space="preserve">. For the purse seine fishery, there was deterioration in catch rates but the declines in costs and improvements in prices more than offset this deterioration. For the tropical </w:t>
      </w:r>
      <w:r w:rsidRPr="009C2ADD">
        <w:rPr>
          <w:rFonts w:ascii="Times New Roman" w:hAnsi="Times New Roman"/>
          <w:lang w:val="en-AU"/>
        </w:rPr>
        <w:t xml:space="preserve">longline fishery conditions </w:t>
      </w:r>
      <w:r w:rsidR="009719D9" w:rsidRPr="009C2ADD">
        <w:rPr>
          <w:rFonts w:ascii="Times New Roman" w:hAnsi="Times New Roman"/>
          <w:lang w:val="en-AU"/>
        </w:rPr>
        <w:t xml:space="preserve">improved noticeably since 2014 owing to significant declines in cost reflecting falls in fuel prices. For the southern longline fishery economic conditions improved significantly since 2014 due to falling fuel costs with the fish price remaining around its long-term average. The economic conditions </w:t>
      </w:r>
      <w:r w:rsidRPr="009C2ADD">
        <w:rPr>
          <w:rFonts w:ascii="Times New Roman" w:hAnsi="Times New Roman"/>
          <w:lang w:val="en-AU"/>
        </w:rPr>
        <w:t xml:space="preserve">index in 2016 was </w:t>
      </w:r>
      <w:r w:rsidR="009719D9" w:rsidRPr="009C2ADD">
        <w:rPr>
          <w:rFonts w:ascii="Times New Roman" w:hAnsi="Times New Roman"/>
          <w:lang w:val="en-AU"/>
        </w:rPr>
        <w:t>at its highest level since 2008 with the improvement driven by low fuel prices but being hampered by persistent low catch rates.</w:t>
      </w:r>
    </w:p>
    <w:p w14:paraId="29C2718F" w14:textId="77777777" w:rsidR="00ED3D9A" w:rsidRDefault="00ED3D9A" w:rsidP="009C2ADD">
      <w:pPr>
        <w:pStyle w:val="WCPFC"/>
        <w:numPr>
          <w:ilvl w:val="0"/>
          <w:numId w:val="0"/>
        </w:numPr>
        <w:adjustRightInd w:val="0"/>
        <w:spacing w:after="0"/>
        <w:ind w:left="567"/>
        <w:rPr>
          <w:lang w:eastAsia="ko-KR"/>
        </w:rPr>
      </w:pPr>
    </w:p>
    <w:p w14:paraId="3625D3A8" w14:textId="77777777" w:rsidR="009608F1" w:rsidRPr="009C2ADD" w:rsidRDefault="009608F1" w:rsidP="009C2ADD">
      <w:pPr>
        <w:pStyle w:val="WCPFC"/>
        <w:numPr>
          <w:ilvl w:val="0"/>
          <w:numId w:val="0"/>
        </w:numPr>
        <w:adjustRightInd w:val="0"/>
        <w:spacing w:after="0"/>
        <w:ind w:left="567"/>
        <w:rPr>
          <w:lang w:eastAsia="ko-KR"/>
        </w:rPr>
      </w:pPr>
    </w:p>
    <w:p w14:paraId="238B4BF3" w14:textId="2F170DBB" w:rsidR="00A96C67" w:rsidRPr="009C2ADD" w:rsidRDefault="00535BED" w:rsidP="009C2ADD">
      <w:pPr>
        <w:pStyle w:val="WCPFC"/>
        <w:numPr>
          <w:ilvl w:val="0"/>
          <w:numId w:val="0"/>
        </w:numPr>
        <w:adjustRightInd w:val="0"/>
        <w:spacing w:after="0"/>
        <w:jc w:val="center"/>
      </w:pPr>
      <w:r w:rsidRPr="009C2ADD">
        <w:rPr>
          <w:noProof/>
          <w:lang w:val="en-US" w:eastAsia="ko-KR"/>
        </w:rPr>
        <w:drawing>
          <wp:inline distT="0" distB="0" distL="0" distR="0" wp14:anchorId="63937DF8" wp14:editId="24E874B8">
            <wp:extent cx="4067504" cy="1797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2399" cy="1795695"/>
                    </a:xfrm>
                    <a:prstGeom prst="rect">
                      <a:avLst/>
                    </a:prstGeom>
                    <a:noFill/>
                    <a:ln>
                      <a:noFill/>
                    </a:ln>
                  </pic:spPr>
                </pic:pic>
              </a:graphicData>
            </a:graphic>
          </wp:inline>
        </w:drawing>
      </w:r>
    </w:p>
    <w:p w14:paraId="7C147260" w14:textId="70861691" w:rsidR="00A96C67" w:rsidRPr="009C2ADD" w:rsidRDefault="00ED3D9A" w:rsidP="009C2ADD">
      <w:pPr>
        <w:pStyle w:val="WCPFC"/>
        <w:numPr>
          <w:ilvl w:val="0"/>
          <w:numId w:val="0"/>
        </w:numPr>
        <w:adjustRightInd w:val="0"/>
        <w:spacing w:after="0"/>
        <w:jc w:val="left"/>
      </w:pPr>
      <w:proofErr w:type="gramStart"/>
      <w:r w:rsidRPr="009C2ADD">
        <w:rPr>
          <w:b/>
        </w:rPr>
        <w:t>Figure 1.</w:t>
      </w:r>
      <w:proofErr w:type="gramEnd"/>
      <w:r w:rsidRPr="009C2ADD">
        <w:rPr>
          <w:b/>
        </w:rPr>
        <w:t xml:space="preserve"> </w:t>
      </w:r>
      <w:proofErr w:type="gramStart"/>
      <w:r w:rsidRPr="009C2ADD">
        <w:t>Catch (mt) of albacore, bigeye, skipjack and yellowfin in the WCP–CA,</w:t>
      </w:r>
      <w:r w:rsidR="000D6033" w:rsidRPr="009C2ADD">
        <w:t xml:space="preserve"> </w:t>
      </w:r>
      <w:r w:rsidR="009C216F" w:rsidRPr="009C2ADD">
        <w:t xml:space="preserve">by longline, pole and </w:t>
      </w:r>
      <w:r w:rsidRPr="009C2ADD">
        <w:t>line, purse seine and other gear types.</w:t>
      </w:r>
      <w:proofErr w:type="gramEnd"/>
    </w:p>
    <w:p w14:paraId="144E8839" w14:textId="655356BC" w:rsidR="009353D2" w:rsidRPr="009C2ADD" w:rsidRDefault="00535BED" w:rsidP="009C2ADD">
      <w:pPr>
        <w:adjustRightInd w:val="0"/>
        <w:snapToGrid w:val="0"/>
        <w:spacing w:after="0"/>
        <w:jc w:val="center"/>
        <w:rPr>
          <w:rFonts w:ascii="Times New Roman" w:hAnsi="Times New Roman"/>
        </w:rPr>
      </w:pPr>
      <w:r w:rsidRPr="009C2ADD">
        <w:rPr>
          <w:rFonts w:ascii="Times New Roman" w:hAnsi="Times New Roman"/>
          <w:noProof/>
          <w:lang w:val="en-US" w:eastAsia="ko-KR"/>
        </w:rPr>
        <w:drawing>
          <wp:inline distT="0" distB="0" distL="0" distR="0" wp14:anchorId="2C548835" wp14:editId="61DA57F5">
            <wp:extent cx="4162096" cy="18397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6873" cy="1837453"/>
                    </a:xfrm>
                    <a:prstGeom prst="rect">
                      <a:avLst/>
                    </a:prstGeom>
                    <a:noFill/>
                    <a:ln>
                      <a:noFill/>
                    </a:ln>
                  </pic:spPr>
                </pic:pic>
              </a:graphicData>
            </a:graphic>
          </wp:inline>
        </w:drawing>
      </w:r>
    </w:p>
    <w:p w14:paraId="23CCB4CC" w14:textId="4E9C6FAB" w:rsidR="009353D2" w:rsidRDefault="009353D2" w:rsidP="009608F1">
      <w:pPr>
        <w:adjustRightInd w:val="0"/>
        <w:snapToGrid w:val="0"/>
        <w:spacing w:after="0"/>
        <w:jc w:val="left"/>
        <w:rPr>
          <w:rFonts w:ascii="Times New Roman" w:hAnsi="Times New Roman"/>
          <w:lang w:eastAsia="ko-KR"/>
        </w:rPr>
      </w:pPr>
      <w:bookmarkStart w:id="80" w:name="_Ref78102327"/>
      <w:bookmarkStart w:id="81" w:name="_Ref141331362"/>
      <w:proofErr w:type="gramStart"/>
      <w:r w:rsidRPr="009C2ADD">
        <w:rPr>
          <w:rFonts w:ascii="Times New Roman" w:hAnsi="Times New Roman"/>
          <w:b/>
        </w:rPr>
        <w:t xml:space="preserve">Figure </w:t>
      </w:r>
      <w:bookmarkEnd w:id="80"/>
      <w:bookmarkEnd w:id="81"/>
      <w:r w:rsidRPr="009C2ADD">
        <w:rPr>
          <w:rFonts w:ascii="Times New Roman" w:hAnsi="Times New Roman"/>
          <w:b/>
        </w:rPr>
        <w:t>2</w:t>
      </w:r>
      <w:r w:rsidR="000D6033" w:rsidRPr="009C2ADD">
        <w:rPr>
          <w:rFonts w:ascii="Times New Roman" w:hAnsi="Times New Roman"/>
          <w:b/>
        </w:rPr>
        <w:t>.</w:t>
      </w:r>
      <w:proofErr w:type="gramEnd"/>
      <w:r w:rsidR="000D6033" w:rsidRPr="009C2ADD">
        <w:rPr>
          <w:rFonts w:ascii="Times New Roman" w:hAnsi="Times New Roman"/>
          <w:b/>
        </w:rPr>
        <w:t xml:space="preserve"> </w:t>
      </w:r>
      <w:r w:rsidRPr="009C2ADD">
        <w:rPr>
          <w:rFonts w:ascii="Times New Roman" w:hAnsi="Times New Roman"/>
        </w:rPr>
        <w:t>Catch (mt) of albacore, bigeye, skipjack and yellowfin in the WCP–CA</w:t>
      </w:r>
    </w:p>
    <w:p w14:paraId="12398568" w14:textId="77777777" w:rsidR="009608F1" w:rsidRDefault="009608F1" w:rsidP="009608F1">
      <w:pPr>
        <w:adjustRightInd w:val="0"/>
        <w:snapToGrid w:val="0"/>
        <w:spacing w:after="0"/>
        <w:jc w:val="left"/>
        <w:rPr>
          <w:rFonts w:ascii="Times New Roman" w:hAnsi="Times New Roman"/>
          <w:lang w:eastAsia="ko-KR"/>
        </w:rPr>
      </w:pPr>
    </w:p>
    <w:p w14:paraId="7F40B186" w14:textId="7DD261D6" w:rsidR="009353D2" w:rsidRPr="009C2ADD" w:rsidRDefault="00535BED" w:rsidP="009C2ADD">
      <w:pPr>
        <w:adjustRightInd w:val="0"/>
        <w:snapToGrid w:val="0"/>
        <w:spacing w:after="0"/>
        <w:jc w:val="center"/>
        <w:rPr>
          <w:rFonts w:ascii="Times New Roman" w:hAnsi="Times New Roman"/>
        </w:rPr>
      </w:pPr>
      <w:r w:rsidRPr="009C2ADD">
        <w:rPr>
          <w:rFonts w:ascii="Times New Roman" w:hAnsi="Times New Roman"/>
          <w:b/>
          <w:noProof/>
          <w:lang w:val="en-US" w:eastAsia="ko-KR"/>
        </w:rPr>
        <w:drawing>
          <wp:inline distT="0" distB="0" distL="0" distR="0" wp14:anchorId="41FA2F6C" wp14:editId="114D69AE">
            <wp:extent cx="3626069" cy="17568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29158" cy="1758384"/>
                    </a:xfrm>
                    <a:prstGeom prst="rect">
                      <a:avLst/>
                    </a:prstGeom>
                    <a:noFill/>
                    <a:ln>
                      <a:noFill/>
                    </a:ln>
                  </pic:spPr>
                </pic:pic>
              </a:graphicData>
            </a:graphic>
          </wp:inline>
        </w:drawing>
      </w:r>
    </w:p>
    <w:p w14:paraId="6FE76374" w14:textId="62DBA1A3" w:rsidR="009353D2" w:rsidRPr="009C2ADD" w:rsidRDefault="00535BED" w:rsidP="009C2ADD">
      <w:pPr>
        <w:adjustRightInd w:val="0"/>
        <w:snapToGrid w:val="0"/>
        <w:spacing w:after="0"/>
        <w:jc w:val="center"/>
        <w:rPr>
          <w:rFonts w:ascii="Times New Roman" w:hAnsi="Times New Roman"/>
        </w:rPr>
      </w:pPr>
      <w:r w:rsidRPr="009C2ADD">
        <w:rPr>
          <w:rFonts w:ascii="Times New Roman" w:hAnsi="Times New Roman"/>
          <w:noProof/>
          <w:lang w:val="en-US" w:eastAsia="ko-KR"/>
        </w:rPr>
        <w:drawing>
          <wp:inline distT="0" distB="0" distL="0" distR="0" wp14:anchorId="35FA17BA" wp14:editId="2689B9B1">
            <wp:extent cx="3752193" cy="1831149"/>
            <wp:effectExtent l="0" t="0" r="127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52193" cy="1831149"/>
                    </a:xfrm>
                    <a:prstGeom prst="rect">
                      <a:avLst/>
                    </a:prstGeom>
                    <a:noFill/>
                    <a:ln>
                      <a:noFill/>
                    </a:ln>
                  </pic:spPr>
                </pic:pic>
              </a:graphicData>
            </a:graphic>
          </wp:inline>
        </w:drawing>
      </w:r>
    </w:p>
    <w:p w14:paraId="0328F11A" w14:textId="5D476669" w:rsidR="009353D2" w:rsidRPr="009C2ADD" w:rsidRDefault="009353D2" w:rsidP="009C2ADD">
      <w:pPr>
        <w:pStyle w:val="Caption"/>
        <w:adjustRightInd w:val="0"/>
        <w:snapToGrid w:val="0"/>
        <w:ind w:left="0" w:firstLine="0"/>
        <w:jc w:val="left"/>
        <w:rPr>
          <w:b w:val="0"/>
          <w:szCs w:val="22"/>
        </w:rPr>
      </w:pPr>
      <w:r w:rsidRPr="009C2ADD">
        <w:rPr>
          <w:szCs w:val="22"/>
        </w:rPr>
        <w:t xml:space="preserve">Figures 3 and 4: </w:t>
      </w:r>
      <w:r w:rsidRPr="009C2ADD">
        <w:rPr>
          <w:b w:val="0"/>
          <w:szCs w:val="22"/>
        </w:rPr>
        <w:t xml:space="preserve">Catch value by gear type and </w:t>
      </w:r>
      <w:r w:rsidR="0069607E">
        <w:rPr>
          <w:b w:val="0"/>
          <w:szCs w:val="22"/>
        </w:rPr>
        <w:t>r</w:t>
      </w:r>
      <w:r w:rsidRPr="009C2ADD">
        <w:rPr>
          <w:b w:val="0"/>
          <w:szCs w:val="22"/>
        </w:rPr>
        <w:t>elative value share of</w:t>
      </w:r>
      <w:r w:rsidR="000D6033" w:rsidRPr="009C2ADD">
        <w:rPr>
          <w:b w:val="0"/>
          <w:szCs w:val="22"/>
        </w:rPr>
        <w:t xml:space="preserve"> </w:t>
      </w:r>
      <w:r w:rsidRPr="009C2ADD">
        <w:rPr>
          <w:b w:val="0"/>
          <w:szCs w:val="22"/>
        </w:rPr>
        <w:t>gear type in the estimated delivered values of WCP-CA catch, 1990–2016</w:t>
      </w:r>
    </w:p>
    <w:p w14:paraId="54B62924" w14:textId="77777777" w:rsidR="009353D2" w:rsidRPr="009C2ADD" w:rsidRDefault="009353D2" w:rsidP="009C2ADD">
      <w:pPr>
        <w:adjustRightInd w:val="0"/>
        <w:snapToGrid w:val="0"/>
        <w:spacing w:after="0"/>
        <w:jc w:val="center"/>
        <w:rPr>
          <w:rFonts w:ascii="Times New Roman" w:hAnsi="Times New Roman"/>
        </w:rPr>
      </w:pPr>
    </w:p>
    <w:p w14:paraId="6B553AD8" w14:textId="7C2BC9D4" w:rsidR="009353D2" w:rsidRPr="009C2ADD" w:rsidRDefault="00535BED" w:rsidP="009C2ADD">
      <w:pPr>
        <w:adjustRightInd w:val="0"/>
        <w:snapToGrid w:val="0"/>
        <w:spacing w:after="0"/>
        <w:jc w:val="center"/>
        <w:rPr>
          <w:rFonts w:ascii="Times New Roman" w:hAnsi="Times New Roman"/>
        </w:rPr>
      </w:pPr>
      <w:r w:rsidRPr="009C2ADD">
        <w:rPr>
          <w:rFonts w:ascii="Times New Roman" w:hAnsi="Times New Roman"/>
          <w:b/>
          <w:noProof/>
          <w:lang w:val="en-US" w:eastAsia="ko-KR"/>
        </w:rPr>
        <w:drawing>
          <wp:inline distT="0" distB="0" distL="0" distR="0" wp14:anchorId="566D1E13" wp14:editId="61BF1F97">
            <wp:extent cx="3390900" cy="163830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90900" cy="1638300"/>
                    </a:xfrm>
                    <a:prstGeom prst="rect">
                      <a:avLst/>
                    </a:prstGeom>
                    <a:noFill/>
                    <a:ln>
                      <a:noFill/>
                    </a:ln>
                  </pic:spPr>
                </pic:pic>
              </a:graphicData>
            </a:graphic>
          </wp:inline>
        </w:drawing>
      </w:r>
      <w:r w:rsidRPr="009C2ADD">
        <w:rPr>
          <w:rFonts w:ascii="Times New Roman" w:hAnsi="Times New Roman"/>
          <w:b/>
          <w:noProof/>
          <w:lang w:val="en-US" w:eastAsia="ko-KR"/>
        </w:rPr>
        <w:drawing>
          <wp:inline distT="0" distB="0" distL="0" distR="0" wp14:anchorId="3327A122" wp14:editId="4D36624C">
            <wp:extent cx="3390900"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90900" cy="1638300"/>
                    </a:xfrm>
                    <a:prstGeom prst="rect">
                      <a:avLst/>
                    </a:prstGeom>
                    <a:noFill/>
                    <a:ln>
                      <a:noFill/>
                    </a:ln>
                  </pic:spPr>
                </pic:pic>
              </a:graphicData>
            </a:graphic>
          </wp:inline>
        </w:drawing>
      </w:r>
    </w:p>
    <w:p w14:paraId="2E244A4D" w14:textId="1E012441" w:rsidR="00633618" w:rsidRPr="009C2ADD" w:rsidRDefault="00633618" w:rsidP="009C2ADD">
      <w:pPr>
        <w:adjustRightInd w:val="0"/>
        <w:snapToGrid w:val="0"/>
        <w:spacing w:after="0"/>
        <w:jc w:val="left"/>
        <w:rPr>
          <w:rFonts w:ascii="Times New Roman" w:eastAsia="Times New Roman" w:hAnsi="Times New Roman"/>
          <w:lang w:val="en-US"/>
        </w:rPr>
      </w:pPr>
      <w:r w:rsidRPr="009C2ADD">
        <w:rPr>
          <w:rFonts w:ascii="Times New Roman" w:eastAsia="Times New Roman" w:hAnsi="Times New Roman"/>
          <w:b/>
          <w:lang w:val="en-US"/>
        </w:rPr>
        <w:t xml:space="preserve">Figures 5 and 6: </w:t>
      </w:r>
      <w:r w:rsidRPr="009C2ADD">
        <w:rPr>
          <w:rFonts w:ascii="Times New Roman" w:eastAsia="Times New Roman" w:hAnsi="Times New Roman"/>
          <w:lang w:val="en-US"/>
        </w:rPr>
        <w:t xml:space="preserve">Catch value by species and </w:t>
      </w:r>
      <w:r w:rsidR="00897E02">
        <w:rPr>
          <w:rFonts w:ascii="Times New Roman" w:hAnsi="Times New Roman" w:hint="eastAsia"/>
          <w:lang w:val="en-US" w:eastAsia="ko-KR"/>
        </w:rPr>
        <w:t>r</w:t>
      </w:r>
      <w:r w:rsidRPr="009C2ADD">
        <w:rPr>
          <w:rFonts w:ascii="Times New Roman" w:eastAsia="Times New Roman" w:hAnsi="Times New Roman"/>
          <w:lang w:val="en-US"/>
        </w:rPr>
        <w:t>elative share of</w:t>
      </w:r>
      <w:r w:rsidR="000D6033" w:rsidRPr="009C2ADD">
        <w:rPr>
          <w:rFonts w:ascii="Times New Roman" w:eastAsia="Times New Roman" w:hAnsi="Times New Roman"/>
          <w:lang w:val="en-US"/>
        </w:rPr>
        <w:t xml:space="preserve"> </w:t>
      </w:r>
      <w:r w:rsidRPr="009C2ADD">
        <w:rPr>
          <w:rFonts w:ascii="Times New Roman" w:eastAsia="Times New Roman" w:hAnsi="Times New Roman"/>
          <w:lang w:val="en-US"/>
        </w:rPr>
        <w:t>species type in the estimated delivered values of WCP-CA catch, 1990–2016</w:t>
      </w:r>
    </w:p>
    <w:p w14:paraId="4143418A" w14:textId="77777777" w:rsidR="00B1191E" w:rsidRDefault="00B1191E" w:rsidP="0070772D">
      <w:pPr>
        <w:adjustRightInd w:val="0"/>
        <w:snapToGrid w:val="0"/>
        <w:spacing w:after="0"/>
        <w:jc w:val="left"/>
        <w:rPr>
          <w:rFonts w:ascii="Times New Roman" w:hAnsi="Times New Roman"/>
          <w:lang w:eastAsia="ko-KR"/>
        </w:rPr>
      </w:pPr>
    </w:p>
    <w:p w14:paraId="362BFAFE" w14:textId="11CCF18E" w:rsidR="004A25DA" w:rsidRPr="0070772D" w:rsidRDefault="004A25DA" w:rsidP="0070772D">
      <w:pPr>
        <w:adjustRightInd w:val="0"/>
        <w:snapToGrid w:val="0"/>
        <w:spacing w:after="0"/>
        <w:jc w:val="left"/>
        <w:rPr>
          <w:rFonts w:ascii="Times New Roman" w:hAnsi="Times New Roman"/>
          <w:b/>
          <w:lang w:eastAsia="ko-KR"/>
        </w:rPr>
      </w:pPr>
      <w:r w:rsidRPr="0070772D">
        <w:rPr>
          <w:rFonts w:ascii="Times New Roman" w:hAnsi="Times New Roman"/>
          <w:b/>
          <w:lang w:eastAsia="ko-KR"/>
        </w:rPr>
        <w:t>Discussion</w:t>
      </w:r>
    </w:p>
    <w:p w14:paraId="5048BECF" w14:textId="77777777" w:rsidR="004A25DA" w:rsidRPr="009C2ADD" w:rsidRDefault="004A25DA" w:rsidP="0070772D">
      <w:pPr>
        <w:adjustRightInd w:val="0"/>
        <w:snapToGrid w:val="0"/>
        <w:spacing w:after="0"/>
        <w:jc w:val="left"/>
        <w:rPr>
          <w:rFonts w:ascii="Times New Roman" w:hAnsi="Times New Roman"/>
          <w:lang w:eastAsia="ko-KR"/>
        </w:rPr>
      </w:pPr>
    </w:p>
    <w:p w14:paraId="4C36359B" w14:textId="0942D75C"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Vanuatu, on behalf of FFA </w:t>
      </w:r>
      <w:r w:rsidR="00D5432C">
        <w:rPr>
          <w:rFonts w:ascii="Times New Roman" w:hAnsi="Times New Roman"/>
          <w:lang w:val="en-AU"/>
        </w:rPr>
        <w:t>member</w:t>
      </w:r>
      <w:r w:rsidRPr="009C2ADD">
        <w:rPr>
          <w:rFonts w:ascii="Times New Roman" w:hAnsi="Times New Roman"/>
          <w:lang w:val="en-AU"/>
        </w:rPr>
        <w:t xml:space="preserve">s, expressed concern over the large numbers of small yellowfin and skipjack tuna being taken by some fisheries, and proposed that some form of management restraint be considered as part of the tropical tuna bridging measure, including provisions for appropriate levels of data from these fisheries to be collected and reported to support </w:t>
      </w:r>
      <w:r w:rsidR="006E3D29" w:rsidRPr="009C2ADD">
        <w:rPr>
          <w:rFonts w:ascii="Times New Roman" w:hAnsi="Times New Roman"/>
          <w:lang w:val="en-AU"/>
        </w:rPr>
        <w:t>the management of these stocks.</w:t>
      </w:r>
      <w:r w:rsidRPr="009C2ADD">
        <w:rPr>
          <w:rFonts w:ascii="Times New Roman" w:hAnsi="Times New Roman"/>
          <w:lang w:val="en-AU"/>
        </w:rPr>
        <w:t xml:space="preserve"> They further noted the increased catches of yellowfin from unassociated schools and asked if these changes might be due to a change in reporting or increased effort.</w:t>
      </w:r>
    </w:p>
    <w:p w14:paraId="02219154"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56B3596B" w14:textId="77777777"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also queried how much of the in</w:t>
      </w:r>
      <w:r w:rsidR="006E3D29" w:rsidRPr="009C2ADD">
        <w:rPr>
          <w:rFonts w:ascii="Times New Roman" w:hAnsi="Times New Roman"/>
          <w:lang w:val="en-AU"/>
        </w:rPr>
        <w:t>creased catches of yellowfin were</w:t>
      </w:r>
      <w:r w:rsidRPr="009C2ADD">
        <w:rPr>
          <w:rFonts w:ascii="Times New Roman" w:hAnsi="Times New Roman"/>
          <w:lang w:val="en-AU"/>
        </w:rPr>
        <w:t xml:space="preserve"> related to improved reporting or increased effort, noting recent efforts by Indonesia to improve their reporting.  </w:t>
      </w:r>
    </w:p>
    <w:p w14:paraId="5486E3A4"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397A3D1B" w14:textId="68F92966" w:rsidR="00B1191E" w:rsidRPr="009C2ADD" w:rsidRDefault="00D54394"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 xml:space="preserve">P. </w:t>
      </w:r>
      <w:r w:rsidR="00B1191E" w:rsidRPr="009C2ADD">
        <w:rPr>
          <w:rFonts w:ascii="Times New Roman" w:hAnsi="Times New Roman"/>
          <w:lang w:val="en-AU"/>
        </w:rPr>
        <w:t>Williams clarified that there had been an increase in availability of tunas and that this might be related to</w:t>
      </w:r>
      <w:r w:rsidR="006E3D29" w:rsidRPr="009C2ADD">
        <w:rPr>
          <w:rFonts w:ascii="Times New Roman" w:hAnsi="Times New Roman"/>
          <w:lang w:val="en-AU"/>
        </w:rPr>
        <w:t xml:space="preserve"> environmental conditions. He </w:t>
      </w:r>
      <w:r w:rsidR="00B1191E" w:rsidRPr="009C2ADD">
        <w:rPr>
          <w:rFonts w:ascii="Times New Roman" w:hAnsi="Times New Roman"/>
          <w:lang w:val="en-AU"/>
        </w:rPr>
        <w:t>agreed that the increased catch from Indonesia might be the result of improved reporting, and further noted that this may have implications for the accuracy of estimates from previous years.</w:t>
      </w:r>
    </w:p>
    <w:p w14:paraId="57BE7EE5"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2187097B" w14:textId="39B612D5"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PNA </w:t>
      </w:r>
      <w:r w:rsidR="00D5432C">
        <w:rPr>
          <w:rFonts w:ascii="Times New Roman" w:hAnsi="Times New Roman"/>
          <w:lang w:val="en-AU"/>
        </w:rPr>
        <w:t>member</w:t>
      </w:r>
      <w:r w:rsidRPr="009C2ADD">
        <w:rPr>
          <w:rFonts w:ascii="Times New Roman" w:hAnsi="Times New Roman"/>
          <w:lang w:val="en-AU"/>
        </w:rPr>
        <w:t xml:space="preserve">s noted the positive features in the overview.  For </w:t>
      </w:r>
      <w:r w:rsidR="003F4983" w:rsidRPr="009C2ADD">
        <w:rPr>
          <w:rFonts w:ascii="Times New Roman" w:hAnsi="Times New Roman"/>
          <w:lang w:val="en-AU"/>
        </w:rPr>
        <w:t>example,</w:t>
      </w:r>
      <w:r w:rsidRPr="009C2ADD">
        <w:rPr>
          <w:rFonts w:ascii="Times New Roman" w:hAnsi="Times New Roman"/>
          <w:lang w:val="en-AU"/>
        </w:rPr>
        <w:t xml:space="preserve"> in the tropical purse seine f</w:t>
      </w:r>
      <w:r w:rsidR="0034646F" w:rsidRPr="009C2ADD">
        <w:rPr>
          <w:rFonts w:ascii="Times New Roman" w:hAnsi="Times New Roman"/>
          <w:lang w:val="en-AU"/>
        </w:rPr>
        <w:t>ishery fleet size and effort was</w:t>
      </w:r>
      <w:r w:rsidRPr="009C2ADD">
        <w:rPr>
          <w:rFonts w:ascii="Times New Roman" w:hAnsi="Times New Roman"/>
          <w:lang w:val="en-AU"/>
        </w:rPr>
        <w:t xml:space="preserve"> relatively stable, catch rates high</w:t>
      </w:r>
      <w:r w:rsidR="0034646F" w:rsidRPr="009C2ADD">
        <w:rPr>
          <w:rFonts w:ascii="Times New Roman" w:hAnsi="Times New Roman"/>
          <w:lang w:val="en-AU"/>
        </w:rPr>
        <w:t>, and stock status indications we</w:t>
      </w:r>
      <w:r w:rsidRPr="009C2ADD">
        <w:rPr>
          <w:rFonts w:ascii="Times New Roman" w:hAnsi="Times New Roman"/>
          <w:lang w:val="en-AU"/>
        </w:rPr>
        <w:t xml:space="preserve">re positive.  A major </w:t>
      </w:r>
      <w:r w:rsidR="0034646F" w:rsidRPr="009C2ADD">
        <w:rPr>
          <w:rFonts w:ascii="Times New Roman" w:hAnsi="Times New Roman"/>
          <w:lang w:val="en-AU"/>
        </w:rPr>
        <w:t>question now was</w:t>
      </w:r>
      <w:r w:rsidRPr="009C2ADD">
        <w:rPr>
          <w:rFonts w:ascii="Times New Roman" w:hAnsi="Times New Roman"/>
          <w:lang w:val="en-AU"/>
        </w:rPr>
        <w:t xml:space="preserve"> the extent</w:t>
      </w:r>
      <w:r w:rsidR="0034646F" w:rsidRPr="009C2ADD">
        <w:rPr>
          <w:rFonts w:ascii="Times New Roman" w:hAnsi="Times New Roman"/>
          <w:lang w:val="en-AU"/>
        </w:rPr>
        <w:t xml:space="preserve"> to which these developments were</w:t>
      </w:r>
      <w:r w:rsidRPr="009C2ADD">
        <w:rPr>
          <w:rFonts w:ascii="Times New Roman" w:hAnsi="Times New Roman"/>
          <w:lang w:val="en-AU"/>
        </w:rPr>
        <w:t xml:space="preserve"> a result of management measures or environmental co</w:t>
      </w:r>
      <w:r w:rsidR="0034646F" w:rsidRPr="009C2ADD">
        <w:rPr>
          <w:rFonts w:ascii="Times New Roman" w:hAnsi="Times New Roman"/>
          <w:lang w:val="en-AU"/>
        </w:rPr>
        <w:t xml:space="preserve">nditions.  PNA suggested </w:t>
      </w:r>
      <w:r w:rsidR="003F4983" w:rsidRPr="009C2ADD">
        <w:rPr>
          <w:rFonts w:ascii="Times New Roman" w:hAnsi="Times New Roman"/>
          <w:lang w:val="en-AU"/>
        </w:rPr>
        <w:t>that a</w:t>
      </w:r>
      <w:r w:rsidRPr="009C2ADD">
        <w:rPr>
          <w:rFonts w:ascii="Times New Roman" w:hAnsi="Times New Roman"/>
          <w:lang w:val="en-AU"/>
        </w:rPr>
        <w:t xml:space="preserve"> systematic analysis of this question</w:t>
      </w:r>
      <w:r w:rsidR="0034646F" w:rsidRPr="009C2ADD">
        <w:rPr>
          <w:rFonts w:ascii="Times New Roman" w:hAnsi="Times New Roman"/>
          <w:lang w:val="en-AU"/>
        </w:rPr>
        <w:t xml:space="preserve"> would be useful.</w:t>
      </w:r>
    </w:p>
    <w:p w14:paraId="051B323B"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548370E6" w14:textId="18FD5AFC"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bookmarkStart w:id="82" w:name="_Hlk490470380"/>
      <w:bookmarkStart w:id="83" w:name="_Hlk490139336"/>
      <w:r w:rsidRPr="009C2ADD">
        <w:rPr>
          <w:rFonts w:ascii="Times New Roman" w:hAnsi="Times New Roman"/>
          <w:lang w:val="en-AU"/>
        </w:rPr>
        <w:t xml:space="preserve">China queried the reasons behind the changes in purse seine catch rates in recent years, </w:t>
      </w:r>
      <w:r w:rsidR="0034646F" w:rsidRPr="009C2ADD">
        <w:rPr>
          <w:rFonts w:ascii="Times New Roman" w:hAnsi="Times New Roman"/>
          <w:lang w:val="en-AU"/>
        </w:rPr>
        <w:t xml:space="preserve">and </w:t>
      </w:r>
      <w:r w:rsidRPr="009C2ADD">
        <w:rPr>
          <w:rFonts w:ascii="Times New Roman" w:hAnsi="Times New Roman"/>
          <w:lang w:val="en-AU"/>
        </w:rPr>
        <w:t>suggest</w:t>
      </w:r>
      <w:r w:rsidR="0034646F" w:rsidRPr="009C2ADD">
        <w:rPr>
          <w:rFonts w:ascii="Times New Roman" w:hAnsi="Times New Roman"/>
          <w:lang w:val="en-AU"/>
        </w:rPr>
        <w:t xml:space="preserve">ed </w:t>
      </w:r>
      <w:r w:rsidRPr="009C2ADD">
        <w:rPr>
          <w:rFonts w:ascii="Times New Roman" w:hAnsi="Times New Roman"/>
          <w:lang w:val="en-AU"/>
        </w:rPr>
        <w:t xml:space="preserve">that changes in fishing effort may have had an impact.  </w:t>
      </w:r>
      <w:r w:rsidR="001D4336">
        <w:rPr>
          <w:rFonts w:ascii="Times New Roman" w:hAnsi="Times New Roman" w:hint="eastAsia"/>
          <w:lang w:val="en-AU" w:eastAsia="ko-KR"/>
        </w:rPr>
        <w:t xml:space="preserve">P. </w:t>
      </w:r>
      <w:r w:rsidRPr="009C2ADD">
        <w:rPr>
          <w:rFonts w:ascii="Times New Roman" w:hAnsi="Times New Roman"/>
          <w:lang w:val="en-AU"/>
        </w:rPr>
        <w:t xml:space="preserve">Williams noted that, to some extent, changes in </w:t>
      </w:r>
      <w:r w:rsidR="003F4983" w:rsidRPr="009C2ADD">
        <w:rPr>
          <w:rFonts w:ascii="Times New Roman" w:hAnsi="Times New Roman"/>
          <w:lang w:val="en-AU"/>
        </w:rPr>
        <w:t>effort may</w:t>
      </w:r>
      <w:r w:rsidRPr="009C2ADD">
        <w:rPr>
          <w:rFonts w:ascii="Times New Roman" w:hAnsi="Times New Roman"/>
          <w:lang w:val="en-AU"/>
        </w:rPr>
        <w:t xml:space="preserve"> be related to more searching and transit days during the recent strong  El </w:t>
      </w:r>
      <w:r w:rsidR="009C216F" w:rsidRPr="009C2ADD">
        <w:rPr>
          <w:rFonts w:ascii="Times New Roman" w:hAnsi="Times New Roman"/>
          <w:lang w:val="en-AU"/>
        </w:rPr>
        <w:t xml:space="preserve">Niño </w:t>
      </w:r>
      <w:r w:rsidRPr="009C2ADD">
        <w:rPr>
          <w:rFonts w:ascii="Times New Roman" w:hAnsi="Times New Roman"/>
          <w:lang w:val="en-AU"/>
        </w:rPr>
        <w:t xml:space="preserve">conditions, with fleets fishing further away from ports of transhipment or unloading. </w:t>
      </w:r>
    </w:p>
    <w:p w14:paraId="06089FBF" w14:textId="77777777" w:rsidR="000D6033" w:rsidRPr="009C2ADD" w:rsidRDefault="000D6033" w:rsidP="009C2ADD">
      <w:pPr>
        <w:pStyle w:val="ListParagraph"/>
        <w:adjustRightInd w:val="0"/>
        <w:snapToGrid w:val="0"/>
        <w:contextualSpacing w:val="0"/>
        <w:rPr>
          <w:rFonts w:ascii="Times New Roman" w:hAnsi="Times New Roman"/>
          <w:lang w:val="en-AU"/>
        </w:rPr>
      </w:pPr>
    </w:p>
    <w:p w14:paraId="518F10C1" w14:textId="4A9834B6"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also asked for clarification on why the skipjack size composition appeared to vary significantly over the last 6-7 years. SPC indicated that this would require further elaboration on the question and then investigation </w:t>
      </w:r>
      <w:r w:rsidR="003F4983" w:rsidRPr="009C2ADD">
        <w:rPr>
          <w:rFonts w:ascii="Times New Roman" w:hAnsi="Times New Roman"/>
          <w:lang w:val="en-AU"/>
        </w:rPr>
        <w:t>to</w:t>
      </w:r>
      <w:r w:rsidRPr="009C2ADD">
        <w:rPr>
          <w:rFonts w:ascii="Times New Roman" w:hAnsi="Times New Roman"/>
          <w:lang w:val="en-AU"/>
        </w:rPr>
        <w:t xml:space="preserve"> provide a comprehensive response, and that discussion in the </w:t>
      </w:r>
      <w:r w:rsidR="00E93786">
        <w:rPr>
          <w:rFonts w:ascii="Times New Roman" w:hAnsi="Times New Roman" w:hint="eastAsia"/>
          <w:lang w:val="en-AU" w:eastAsia="ko-KR"/>
        </w:rPr>
        <w:t>margins</w:t>
      </w:r>
      <w:r w:rsidR="00E93786" w:rsidRPr="009C2ADD">
        <w:rPr>
          <w:rFonts w:ascii="Times New Roman" w:hAnsi="Times New Roman"/>
          <w:lang w:val="en-AU"/>
        </w:rPr>
        <w:t xml:space="preserve"> </w:t>
      </w:r>
      <w:r w:rsidRPr="009C2ADD">
        <w:rPr>
          <w:rFonts w:ascii="Times New Roman" w:hAnsi="Times New Roman"/>
          <w:lang w:val="en-AU"/>
        </w:rPr>
        <w:t xml:space="preserve">of the SC could be more appropriate on this question.  </w:t>
      </w:r>
    </w:p>
    <w:p w14:paraId="2A6F74D6" w14:textId="77777777" w:rsidR="000D6033" w:rsidRPr="009C2ADD" w:rsidRDefault="000D6033" w:rsidP="009C2ADD">
      <w:pPr>
        <w:pStyle w:val="ListParagraph"/>
        <w:adjustRightInd w:val="0"/>
        <w:snapToGrid w:val="0"/>
        <w:contextualSpacing w:val="0"/>
        <w:rPr>
          <w:rFonts w:ascii="Times New Roman" w:hAnsi="Times New Roman"/>
          <w:lang w:val="en-AU"/>
        </w:rPr>
      </w:pPr>
    </w:p>
    <w:bookmarkEnd w:id="82"/>
    <w:bookmarkEnd w:id="83"/>
    <w:p w14:paraId="788296D9" w14:textId="51448D99" w:rsidR="00B1191E" w:rsidRPr="009C2ADD" w:rsidRDefault="00B1191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what might be driving the oscillation in skipjack prices over the last decade. </w:t>
      </w:r>
      <w:r w:rsidR="001D4336">
        <w:rPr>
          <w:rFonts w:ascii="Times New Roman" w:hAnsi="Times New Roman" w:hint="eastAsia"/>
          <w:lang w:val="en-AU" w:eastAsia="ko-KR"/>
        </w:rPr>
        <w:t>C.</w:t>
      </w:r>
      <w:r w:rsidR="00977B42">
        <w:rPr>
          <w:rFonts w:ascii="Times New Roman" w:hAnsi="Times New Roman"/>
          <w:lang w:val="en-AU" w:eastAsia="ko-KR"/>
        </w:rPr>
        <w:t xml:space="preserve"> </w:t>
      </w:r>
      <w:r w:rsidRPr="009C2ADD">
        <w:rPr>
          <w:rFonts w:ascii="Times New Roman" w:hAnsi="Times New Roman"/>
          <w:lang w:val="en-AU"/>
        </w:rPr>
        <w:t xml:space="preserve">Reid replied that some of the fluctuation may be related to periods of strong growth in supply and adjustment to processing capacity but that skipjack prices over the long term have generally followed a similar pattern to global food commodity prices as reflected in the FAO food price index. </w:t>
      </w:r>
    </w:p>
    <w:p w14:paraId="44E201C3" w14:textId="77777777" w:rsidR="002214B8" w:rsidRPr="009C2ADD" w:rsidRDefault="002214B8" w:rsidP="009C2ADD">
      <w:pPr>
        <w:autoSpaceDE w:val="0"/>
        <w:autoSpaceDN w:val="0"/>
        <w:adjustRightInd w:val="0"/>
        <w:snapToGrid w:val="0"/>
        <w:spacing w:after="0"/>
        <w:rPr>
          <w:rFonts w:ascii="Times New Roman" w:hAnsi="Times New Roman"/>
          <w:lang w:val="en-AU"/>
        </w:rPr>
      </w:pPr>
    </w:p>
    <w:p w14:paraId="2D6A644B" w14:textId="556412E7" w:rsidR="00F02BCE" w:rsidRPr="009C2ADD" w:rsidRDefault="00CD1D72" w:rsidP="009C2ADD">
      <w:pPr>
        <w:pStyle w:val="Heading2"/>
        <w:adjustRightInd w:val="0"/>
        <w:snapToGrid w:val="0"/>
        <w:rPr>
          <w:color w:val="auto"/>
          <w:szCs w:val="22"/>
        </w:rPr>
      </w:pPr>
      <w:bookmarkStart w:id="84" w:name="_Toc491851811"/>
      <w:r w:rsidRPr="009C2ADD">
        <w:rPr>
          <w:color w:val="auto"/>
          <w:szCs w:val="22"/>
        </w:rPr>
        <w:t xml:space="preserve">2.2 </w:t>
      </w:r>
      <w:r w:rsidR="0088767C" w:rsidRPr="009C2ADD">
        <w:rPr>
          <w:color w:val="auto"/>
          <w:szCs w:val="22"/>
        </w:rPr>
        <w:tab/>
      </w:r>
      <w:r w:rsidR="00F02BCE" w:rsidRPr="009C2ADD">
        <w:rPr>
          <w:color w:val="auto"/>
          <w:szCs w:val="22"/>
        </w:rPr>
        <w:t>Overview of Eastern and Pacific Ocean fisheries (EPO)</w:t>
      </w:r>
      <w:bookmarkEnd w:id="84"/>
    </w:p>
    <w:p w14:paraId="0B0029F2" w14:textId="77777777" w:rsidR="00123214" w:rsidRPr="009C2ADD" w:rsidRDefault="00123214" w:rsidP="009C2ADD">
      <w:pPr>
        <w:adjustRightInd w:val="0"/>
        <w:snapToGrid w:val="0"/>
        <w:spacing w:after="0"/>
        <w:rPr>
          <w:rFonts w:ascii="Times New Roman" w:hAnsi="Times New Roman"/>
        </w:rPr>
      </w:pPr>
    </w:p>
    <w:p w14:paraId="65964B8A" w14:textId="45A59859"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K</w:t>
      </w:r>
      <w:r w:rsidR="000E2C7A">
        <w:rPr>
          <w:rFonts w:ascii="Times New Roman" w:hAnsi="Times New Roman" w:hint="eastAsia"/>
          <w:lang w:val="en-AU" w:eastAsia="ko-KR"/>
        </w:rPr>
        <w:t>.</w:t>
      </w:r>
      <w:r w:rsidRPr="009C2ADD">
        <w:rPr>
          <w:rFonts w:ascii="Times New Roman" w:hAnsi="Times New Roman"/>
          <w:lang w:val="en-AU"/>
        </w:rPr>
        <w:t xml:space="preserve"> S</w:t>
      </w:r>
      <w:r w:rsidR="00DC649A">
        <w:rPr>
          <w:rFonts w:ascii="Times New Roman" w:hAnsi="Times New Roman" w:hint="eastAsia"/>
          <w:lang w:val="en-AU" w:eastAsia="ko-KR"/>
        </w:rPr>
        <w:t>c</w:t>
      </w:r>
      <w:r w:rsidRPr="009C2ADD">
        <w:rPr>
          <w:rFonts w:ascii="Times New Roman" w:hAnsi="Times New Roman"/>
          <w:lang w:val="en-AU"/>
        </w:rPr>
        <w:t xml:space="preserve">haefer (IATTC) presented </w:t>
      </w:r>
      <w:r w:rsidRPr="0070772D">
        <w:rPr>
          <w:rFonts w:ascii="Times New Roman" w:hAnsi="Times New Roman"/>
          <w:bCs/>
          <w:lang w:val="en-AU"/>
        </w:rPr>
        <w:t>SC13-GN-WP-02</w:t>
      </w:r>
      <w:r w:rsidRPr="009C2ADD">
        <w:rPr>
          <w:rFonts w:ascii="Times New Roman" w:hAnsi="Times New Roman"/>
          <w:lang w:val="en-AU"/>
        </w:rPr>
        <w:t xml:space="preserve"> </w:t>
      </w:r>
      <w:r w:rsidRPr="009C2ADD">
        <w:rPr>
          <w:rFonts w:ascii="Times New Roman" w:hAnsi="Times New Roman"/>
          <w:i/>
          <w:lang w:val="en-AU"/>
        </w:rPr>
        <w:t>Tunas, billfishes and other pelagic species in the eastern Pacific Ocean in 2016</w:t>
      </w:r>
      <w:r w:rsidRPr="009C2ADD">
        <w:rPr>
          <w:rFonts w:ascii="Times New Roman" w:hAnsi="Times New Roman"/>
          <w:lang w:val="en-AU"/>
        </w:rPr>
        <w:t xml:space="preserve">, which addressed the fisheries, assessments and conservation measures for the major stocks of tropical tunas in the Eastern Pacific Ocean. </w:t>
      </w:r>
    </w:p>
    <w:p w14:paraId="10E20A1D" w14:textId="77777777" w:rsidR="000D6033" w:rsidRPr="009C2ADD" w:rsidRDefault="000D6033" w:rsidP="009C2ADD">
      <w:pPr>
        <w:autoSpaceDE w:val="0"/>
        <w:autoSpaceDN w:val="0"/>
        <w:adjustRightInd w:val="0"/>
        <w:snapToGrid w:val="0"/>
        <w:spacing w:after="0"/>
        <w:rPr>
          <w:rFonts w:ascii="Times New Roman" w:hAnsi="Times New Roman"/>
          <w:lang w:val="en-AU"/>
        </w:rPr>
      </w:pPr>
    </w:p>
    <w:p w14:paraId="51DCD31C" w14:textId="7777777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fishing capacity of the purse-seine fleet fishing in the eastern Pacific Ocean (EPO) </w:t>
      </w:r>
      <w:r w:rsidR="0034646F" w:rsidRPr="009C2ADD">
        <w:rPr>
          <w:rFonts w:ascii="Times New Roman" w:hAnsi="Times New Roman"/>
          <w:lang w:val="en-AU"/>
        </w:rPr>
        <w:t xml:space="preserve">had </w:t>
      </w:r>
      <w:r w:rsidRPr="009C2ADD">
        <w:rPr>
          <w:rFonts w:ascii="Times New Roman" w:hAnsi="Times New Roman"/>
          <w:lang w:val="en-AU"/>
        </w:rPr>
        <w:t>increased</w:t>
      </w:r>
      <w:r w:rsidR="0034646F" w:rsidRPr="009C2ADD">
        <w:rPr>
          <w:rFonts w:ascii="Times New Roman" w:hAnsi="Times New Roman"/>
          <w:lang w:val="en-AU"/>
        </w:rPr>
        <w:t xml:space="preserve"> rapidly from 1995 to 2005, </w:t>
      </w:r>
      <w:r w:rsidRPr="009C2ADD">
        <w:rPr>
          <w:rFonts w:ascii="Times New Roman" w:hAnsi="Times New Roman"/>
          <w:lang w:val="en-AU"/>
        </w:rPr>
        <w:t xml:space="preserve">was fairly stable during 2006-2014, but </w:t>
      </w:r>
      <w:r w:rsidR="0034646F" w:rsidRPr="009C2ADD">
        <w:rPr>
          <w:rFonts w:ascii="Times New Roman" w:hAnsi="Times New Roman"/>
          <w:lang w:val="en-AU"/>
        </w:rPr>
        <w:t xml:space="preserve">again </w:t>
      </w:r>
      <w:r w:rsidRPr="009C2ADD">
        <w:rPr>
          <w:rFonts w:ascii="Times New Roman" w:hAnsi="Times New Roman"/>
          <w:lang w:val="en-AU"/>
        </w:rPr>
        <w:t>increased in 2016 to 249 vessels and a total well volume of 262,000 cubic meters. The reported nominal annual longline e</w:t>
      </w:r>
      <w:r w:rsidR="0034646F" w:rsidRPr="009C2ADD">
        <w:rPr>
          <w:rFonts w:ascii="Times New Roman" w:hAnsi="Times New Roman"/>
          <w:lang w:val="en-AU"/>
        </w:rPr>
        <w:t>ffort had</w:t>
      </w:r>
      <w:r w:rsidRPr="009C2ADD">
        <w:rPr>
          <w:rFonts w:ascii="Times New Roman" w:hAnsi="Times New Roman"/>
          <w:lang w:val="en-AU"/>
        </w:rPr>
        <w:t xml:space="preserve"> fluctuated between about 300 and 100 million hooks over the past thirty years. The peak of about 300 million hooks in 2002</w:t>
      </w:r>
      <w:r w:rsidR="0034646F" w:rsidRPr="009C2ADD">
        <w:rPr>
          <w:rFonts w:ascii="Times New Roman" w:hAnsi="Times New Roman"/>
          <w:lang w:val="en-AU"/>
        </w:rPr>
        <w:t xml:space="preserve"> </w:t>
      </w:r>
      <w:r w:rsidRPr="009C2ADD">
        <w:rPr>
          <w:rFonts w:ascii="Times New Roman" w:hAnsi="Times New Roman"/>
          <w:lang w:val="en-AU"/>
        </w:rPr>
        <w:t>-</w:t>
      </w:r>
      <w:r w:rsidR="0034646F" w:rsidRPr="009C2ADD">
        <w:rPr>
          <w:rFonts w:ascii="Times New Roman" w:hAnsi="Times New Roman"/>
          <w:lang w:val="en-AU"/>
        </w:rPr>
        <w:t xml:space="preserve"> </w:t>
      </w:r>
      <w:r w:rsidRPr="009C2ADD">
        <w:rPr>
          <w:rFonts w:ascii="Times New Roman" w:hAnsi="Times New Roman"/>
          <w:lang w:val="en-AU"/>
        </w:rPr>
        <w:t>2003 was followed by a distinct decline to about 100 million hoo</w:t>
      </w:r>
      <w:r w:rsidR="0034646F" w:rsidRPr="009C2ADD">
        <w:rPr>
          <w:rFonts w:ascii="Times New Roman" w:hAnsi="Times New Roman"/>
          <w:lang w:val="en-AU"/>
        </w:rPr>
        <w:t>ks, but in recent years this had</w:t>
      </w:r>
      <w:r w:rsidRPr="009C2ADD">
        <w:rPr>
          <w:rFonts w:ascii="Times New Roman" w:hAnsi="Times New Roman"/>
          <w:lang w:val="en-AU"/>
        </w:rPr>
        <w:t xml:space="preserve"> increased to about 200 million hooks. Total tuna catches increased starting in 1999, peaked in 2003, and in 2016 were slightly above the average of the previous ten years.</w:t>
      </w:r>
    </w:p>
    <w:p w14:paraId="41476A59"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F9BBB2E" w14:textId="30BF1CF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For yellowfin tuna, catches were fairly stable from 1986</w:t>
      </w:r>
      <w:r w:rsidR="0034646F" w:rsidRPr="009C2ADD">
        <w:rPr>
          <w:rFonts w:ascii="Times New Roman" w:hAnsi="Times New Roman"/>
          <w:lang w:val="en-AU"/>
        </w:rPr>
        <w:t xml:space="preserve"> </w:t>
      </w:r>
      <w:r w:rsidRPr="009C2ADD">
        <w:rPr>
          <w:rFonts w:ascii="Times New Roman" w:hAnsi="Times New Roman"/>
          <w:lang w:val="en-AU"/>
        </w:rPr>
        <w:t>-</w:t>
      </w:r>
      <w:r w:rsidR="0034646F" w:rsidRPr="009C2ADD">
        <w:rPr>
          <w:rFonts w:ascii="Times New Roman" w:hAnsi="Times New Roman"/>
          <w:lang w:val="en-AU"/>
        </w:rPr>
        <w:t xml:space="preserve"> </w:t>
      </w:r>
      <w:r w:rsidRPr="009C2ADD">
        <w:rPr>
          <w:rFonts w:ascii="Times New Roman" w:hAnsi="Times New Roman"/>
          <w:lang w:val="en-AU"/>
        </w:rPr>
        <w:t>1999 followed by a peak during 2001-2003, a substantial decline during 2006 - 2008, and then a steady upward tren</w:t>
      </w:r>
      <w:r w:rsidR="0034646F" w:rsidRPr="009C2ADD">
        <w:rPr>
          <w:rFonts w:ascii="Times New Roman" w:hAnsi="Times New Roman"/>
          <w:lang w:val="en-AU"/>
        </w:rPr>
        <w:t>d. The 2016 catch from dolphin-</w:t>
      </w:r>
      <w:r w:rsidRPr="009C2ADD">
        <w:rPr>
          <w:rFonts w:ascii="Times New Roman" w:hAnsi="Times New Roman"/>
          <w:lang w:val="en-AU"/>
        </w:rPr>
        <w:t>associated schools was less than the previous three years, for sets on floating objects there was a substantial increase, and for unassociated schools the catch was similar to 2015 at about double the average of the previous four years. The current stock assessment method used for yellowfin is Stock Synthesis 3. Recent estimates indicate</w:t>
      </w:r>
      <w:r w:rsidR="0034646F" w:rsidRPr="009C2ADD">
        <w:rPr>
          <w:rFonts w:ascii="Times New Roman" w:hAnsi="Times New Roman"/>
          <w:lang w:val="en-AU"/>
        </w:rPr>
        <w:t>d</w:t>
      </w:r>
      <w:r w:rsidRPr="009C2ADD">
        <w:rPr>
          <w:rFonts w:ascii="Times New Roman" w:hAnsi="Times New Roman"/>
          <w:lang w:val="en-AU"/>
        </w:rPr>
        <w:t xml:space="preserve"> that the yellowf</w:t>
      </w:r>
      <w:r w:rsidR="0034646F" w:rsidRPr="009C2ADD">
        <w:rPr>
          <w:rFonts w:ascii="Times New Roman" w:hAnsi="Times New Roman"/>
          <w:lang w:val="en-AU"/>
        </w:rPr>
        <w:t>in spawning biomass in the EPO wa</w:t>
      </w:r>
      <w:r w:rsidRPr="009C2ADD">
        <w:rPr>
          <w:rFonts w:ascii="Times New Roman" w:hAnsi="Times New Roman"/>
          <w:lang w:val="en-AU"/>
        </w:rPr>
        <w:t>s below the target reference point (S&lt;S</w:t>
      </w:r>
      <w:r w:rsidR="00A265B1" w:rsidRPr="00104C78">
        <w:rPr>
          <w:rFonts w:ascii="Times New Roman" w:hAnsi="Times New Roman"/>
          <w:vertAlign w:val="subscript"/>
          <w:lang w:val="en-AU"/>
        </w:rPr>
        <w:t>MSY</w:t>
      </w:r>
      <w:r w:rsidRPr="009C2ADD">
        <w:rPr>
          <w:rFonts w:ascii="Times New Roman" w:hAnsi="Times New Roman"/>
          <w:lang w:val="en-AU"/>
        </w:rPr>
        <w:t xml:space="preserve">), </w:t>
      </w:r>
      <w:bookmarkStart w:id="85" w:name="_Hlk489634474"/>
      <w:r w:rsidR="0034646F" w:rsidRPr="009C2ADD">
        <w:rPr>
          <w:rFonts w:ascii="Times New Roman" w:hAnsi="Times New Roman"/>
          <w:lang w:val="en-AU"/>
        </w:rPr>
        <w:t>but that fishing mortality wa</w:t>
      </w:r>
      <w:r w:rsidRPr="009C2ADD">
        <w:rPr>
          <w:rFonts w:ascii="Times New Roman" w:hAnsi="Times New Roman"/>
          <w:lang w:val="en-AU"/>
        </w:rPr>
        <w:t>s less than the level corresponding to the MSY (F&lt;F</w:t>
      </w:r>
      <w:r w:rsidR="00A265B1" w:rsidRPr="00104C78">
        <w:rPr>
          <w:rFonts w:ascii="Times New Roman" w:hAnsi="Times New Roman"/>
          <w:vertAlign w:val="subscript"/>
          <w:lang w:val="en-AU"/>
        </w:rPr>
        <w:t>MSY</w:t>
      </w:r>
      <w:r w:rsidRPr="009C2ADD">
        <w:rPr>
          <w:rFonts w:ascii="Times New Roman" w:hAnsi="Times New Roman"/>
          <w:lang w:val="en-AU"/>
        </w:rPr>
        <w:t>).</w:t>
      </w:r>
      <w:bookmarkEnd w:id="85"/>
      <w:r w:rsidRPr="009C2ADD">
        <w:rPr>
          <w:rFonts w:ascii="Times New Roman" w:hAnsi="Times New Roman"/>
          <w:lang w:val="en-AU"/>
        </w:rPr>
        <w:t xml:space="preserve"> However, the estimates of t</w:t>
      </w:r>
      <w:r w:rsidR="0034646F" w:rsidRPr="009C2ADD">
        <w:rPr>
          <w:rFonts w:ascii="Times New Roman" w:hAnsi="Times New Roman"/>
          <w:lang w:val="en-AU"/>
        </w:rPr>
        <w:t>he current status of the stock</w:t>
      </w:r>
      <w:r w:rsidR="003F4983" w:rsidRPr="009C2ADD">
        <w:rPr>
          <w:rFonts w:ascii="Times New Roman" w:hAnsi="Times New Roman"/>
          <w:lang w:val="en-AU"/>
        </w:rPr>
        <w:t xml:space="preserve"> </w:t>
      </w:r>
      <w:r w:rsidR="0034646F" w:rsidRPr="009C2ADD">
        <w:rPr>
          <w:rFonts w:ascii="Times New Roman" w:hAnsi="Times New Roman"/>
          <w:lang w:val="en-AU"/>
        </w:rPr>
        <w:t>we</w:t>
      </w:r>
      <w:r w:rsidRPr="009C2ADD">
        <w:rPr>
          <w:rFonts w:ascii="Times New Roman" w:hAnsi="Times New Roman"/>
          <w:lang w:val="en-AU"/>
        </w:rPr>
        <w:t xml:space="preserve">re considerably more pessimistic if a </w:t>
      </w:r>
      <w:r w:rsidR="0034646F" w:rsidRPr="009C2ADD">
        <w:rPr>
          <w:rFonts w:ascii="Times New Roman" w:hAnsi="Times New Roman"/>
          <w:lang w:val="en-AU"/>
        </w:rPr>
        <w:t>stock-recruitment relationship wa</w:t>
      </w:r>
      <w:r w:rsidRPr="009C2ADD">
        <w:rPr>
          <w:rFonts w:ascii="Times New Roman" w:hAnsi="Times New Roman"/>
          <w:lang w:val="en-AU"/>
        </w:rPr>
        <w:t xml:space="preserve">s assumed, if a higher value </w:t>
      </w:r>
      <w:r w:rsidR="0034646F" w:rsidRPr="009C2ADD">
        <w:rPr>
          <w:rFonts w:ascii="Times New Roman" w:hAnsi="Times New Roman"/>
          <w:lang w:val="en-AU"/>
        </w:rPr>
        <w:t>wa</w:t>
      </w:r>
      <w:r w:rsidRPr="009C2ADD">
        <w:rPr>
          <w:rFonts w:ascii="Times New Roman" w:hAnsi="Times New Roman"/>
          <w:lang w:val="en-AU"/>
        </w:rPr>
        <w:t>s assumed for the average size of the older fish, or if lo</w:t>
      </w:r>
      <w:r w:rsidR="0034646F" w:rsidRPr="009C2ADD">
        <w:rPr>
          <w:rFonts w:ascii="Times New Roman" w:hAnsi="Times New Roman"/>
          <w:lang w:val="en-AU"/>
        </w:rPr>
        <w:t>wer rates of natural mortality we</w:t>
      </w:r>
      <w:r w:rsidRPr="009C2ADD">
        <w:rPr>
          <w:rFonts w:ascii="Times New Roman" w:hAnsi="Times New Roman"/>
          <w:lang w:val="en-AU"/>
        </w:rPr>
        <w:t xml:space="preserve">re assumed for adults. </w:t>
      </w:r>
    </w:p>
    <w:p w14:paraId="67A08CEE"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4689DAB" w14:textId="7777777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w:t>
      </w:r>
      <w:r w:rsidR="0034646F" w:rsidRPr="009C2ADD">
        <w:rPr>
          <w:rFonts w:ascii="Times New Roman" w:hAnsi="Times New Roman"/>
          <w:lang w:val="en-AU"/>
        </w:rPr>
        <w:t xml:space="preserve">status of the skipjack stock was </w:t>
      </w:r>
      <w:r w:rsidRPr="009C2ADD">
        <w:rPr>
          <w:rFonts w:ascii="Times New Roman" w:hAnsi="Times New Roman"/>
          <w:lang w:val="en-AU"/>
        </w:rPr>
        <w:t>evaluated using eight different data- and model-based indic</w:t>
      </w:r>
      <w:r w:rsidR="0034646F" w:rsidRPr="009C2ADD">
        <w:rPr>
          <w:rFonts w:ascii="Times New Roman" w:hAnsi="Times New Roman"/>
          <w:lang w:val="en-AU"/>
        </w:rPr>
        <w:t>ators. The purse-seine catch had</w:t>
      </w:r>
      <w:r w:rsidRPr="009C2ADD">
        <w:rPr>
          <w:rFonts w:ascii="Times New Roman" w:hAnsi="Times New Roman"/>
          <w:lang w:val="en-AU"/>
        </w:rPr>
        <w:t xml:space="preserve"> been increasing significantly since 1995, and in 2016 was the highest ever recorded, and substantially above the upper reference level. Following a large peak in 1999, the catch per day</w:t>
      </w:r>
      <w:r w:rsidR="0034646F" w:rsidRPr="009C2ADD">
        <w:rPr>
          <w:rFonts w:ascii="Times New Roman" w:hAnsi="Times New Roman"/>
          <w:lang w:val="en-AU"/>
        </w:rPr>
        <w:t xml:space="preserve"> fished on floating objects had </w:t>
      </w:r>
      <w:r w:rsidRPr="009C2ADD">
        <w:rPr>
          <w:rFonts w:ascii="Times New Roman" w:hAnsi="Times New Roman"/>
          <w:lang w:val="en-AU"/>
        </w:rPr>
        <w:t>generally fluctuated between an average level and the uppe</w:t>
      </w:r>
      <w:r w:rsidR="0034646F" w:rsidRPr="009C2ADD">
        <w:rPr>
          <w:rFonts w:ascii="Times New Roman" w:hAnsi="Times New Roman"/>
          <w:lang w:val="en-AU"/>
        </w:rPr>
        <w:t>r reference level, but in 2016 wa</w:t>
      </w:r>
      <w:r w:rsidRPr="009C2ADD">
        <w:rPr>
          <w:rFonts w:ascii="Times New Roman" w:hAnsi="Times New Roman"/>
          <w:lang w:val="en-AU"/>
        </w:rPr>
        <w:t>s well above the upper reference level. The catch per day fi</w:t>
      </w:r>
      <w:r w:rsidR="0034646F" w:rsidRPr="009C2ADD">
        <w:rPr>
          <w:rFonts w:ascii="Times New Roman" w:hAnsi="Times New Roman"/>
          <w:lang w:val="en-AU"/>
        </w:rPr>
        <w:t>shed on unassociated schools had</w:t>
      </w:r>
      <w:r w:rsidRPr="009C2ADD">
        <w:rPr>
          <w:rFonts w:ascii="Times New Roman" w:hAnsi="Times New Roman"/>
          <w:lang w:val="en-AU"/>
        </w:rPr>
        <w:t xml:space="preserve"> fluctuated at high levels since 2005, and in 2016 was similar to 2015 and well above the upper reference level. The ave</w:t>
      </w:r>
      <w:r w:rsidR="0034646F" w:rsidRPr="009C2ADD">
        <w:rPr>
          <w:rFonts w:ascii="Times New Roman" w:hAnsi="Times New Roman"/>
          <w:lang w:val="en-AU"/>
        </w:rPr>
        <w:t>rage weight had</w:t>
      </w:r>
      <w:r w:rsidRPr="009C2ADD">
        <w:rPr>
          <w:rFonts w:ascii="Times New Roman" w:hAnsi="Times New Roman"/>
          <w:lang w:val="en-AU"/>
        </w:rPr>
        <w:t xml:space="preserve"> been steadily decreasing over the past fifteen years, and in 2016 was the lowest in the past four decades, and below the lower reference level. The relat</w:t>
      </w:r>
      <w:r w:rsidR="0034646F" w:rsidRPr="009C2ADD">
        <w:rPr>
          <w:rFonts w:ascii="Times New Roman" w:hAnsi="Times New Roman"/>
          <w:lang w:val="en-AU"/>
        </w:rPr>
        <w:t>ive biomass and recruitment had</w:t>
      </w:r>
      <w:r w:rsidRPr="009C2ADD">
        <w:rPr>
          <w:rFonts w:ascii="Times New Roman" w:hAnsi="Times New Roman"/>
          <w:lang w:val="en-AU"/>
        </w:rPr>
        <w:t xml:space="preserve"> been fairly high since 2002, but in 2016 substantially increased to well above their upper reference l</w:t>
      </w:r>
      <w:r w:rsidR="0034646F" w:rsidRPr="009C2ADD">
        <w:rPr>
          <w:rFonts w:ascii="Times New Roman" w:hAnsi="Times New Roman"/>
          <w:lang w:val="en-AU"/>
        </w:rPr>
        <w:t>evels. The exploitation rate had</w:t>
      </w:r>
      <w:r w:rsidRPr="009C2ADD">
        <w:rPr>
          <w:rFonts w:ascii="Times New Roman" w:hAnsi="Times New Roman"/>
          <w:lang w:val="en-AU"/>
        </w:rPr>
        <w:t xml:space="preserve"> remained close to average d</w:t>
      </w:r>
      <w:r w:rsidR="0034646F" w:rsidRPr="009C2ADD">
        <w:rPr>
          <w:rFonts w:ascii="Times New Roman" w:hAnsi="Times New Roman"/>
          <w:lang w:val="en-AU"/>
        </w:rPr>
        <w:t>uring this same period.  There wa</w:t>
      </w:r>
      <w:r w:rsidRPr="009C2ADD">
        <w:rPr>
          <w:rFonts w:ascii="Times New Roman" w:hAnsi="Times New Roman"/>
          <w:lang w:val="en-AU"/>
        </w:rPr>
        <w:t xml:space="preserve">s uncertainty about the status of skipjack tuna in the EPO, and there may be differences in the status of the stock </w:t>
      </w:r>
      <w:r w:rsidR="0034646F" w:rsidRPr="009C2ADD">
        <w:rPr>
          <w:rFonts w:ascii="Times New Roman" w:hAnsi="Times New Roman"/>
          <w:lang w:val="en-AU"/>
        </w:rPr>
        <w:t>among regions.  However, there was no evidence that indicated</w:t>
      </w:r>
      <w:r w:rsidRPr="009C2ADD">
        <w:rPr>
          <w:rFonts w:ascii="Times New Roman" w:hAnsi="Times New Roman"/>
          <w:lang w:val="en-AU"/>
        </w:rPr>
        <w:t xml:space="preserve"> a credible risk to overexploitation of the skipjack stock(s). </w:t>
      </w:r>
    </w:p>
    <w:p w14:paraId="154B6FBD"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2C756750" w14:textId="23A1C4E7" w:rsidR="00F02BCE"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There had</w:t>
      </w:r>
      <w:r w:rsidR="00F02BCE" w:rsidRPr="009C2ADD">
        <w:rPr>
          <w:rFonts w:ascii="Times New Roman" w:hAnsi="Times New Roman"/>
          <w:lang w:val="en-AU"/>
        </w:rPr>
        <w:t xml:space="preserve"> been substantial historical changes in the bigeye fishery in th</w:t>
      </w:r>
      <w:r w:rsidRPr="009C2ADD">
        <w:rPr>
          <w:rFonts w:ascii="Times New Roman" w:hAnsi="Times New Roman"/>
          <w:lang w:val="en-AU"/>
        </w:rPr>
        <w:t xml:space="preserve">e EPO. Beginning in 1994, purse </w:t>
      </w:r>
      <w:r w:rsidR="00F02BCE" w:rsidRPr="009C2ADD">
        <w:rPr>
          <w:rFonts w:ascii="Times New Roman" w:hAnsi="Times New Roman"/>
          <w:lang w:val="en-AU"/>
        </w:rPr>
        <w:t>seine catches increased substantially, due to the expanded use of drifting fish-aggregating devices (FADs) in the equatorial</w:t>
      </w:r>
      <w:r w:rsidRPr="009C2ADD">
        <w:rPr>
          <w:rFonts w:ascii="Times New Roman" w:hAnsi="Times New Roman"/>
          <w:lang w:val="en-AU"/>
        </w:rPr>
        <w:t xml:space="preserve"> EPO. The estimated total purse </w:t>
      </w:r>
      <w:r w:rsidR="00F02BCE" w:rsidRPr="009C2ADD">
        <w:rPr>
          <w:rFonts w:ascii="Times New Roman" w:hAnsi="Times New Roman"/>
          <w:lang w:val="en-AU"/>
        </w:rPr>
        <w:t xml:space="preserve">seine catch of bigeye of </w:t>
      </w:r>
      <w:r w:rsidRPr="009C2ADD">
        <w:rPr>
          <w:rFonts w:ascii="Times New Roman" w:hAnsi="Times New Roman"/>
          <w:lang w:val="en-AU"/>
        </w:rPr>
        <w:t>56,000 mt in 2016 wa</w:t>
      </w:r>
      <w:r w:rsidR="00F02BCE" w:rsidRPr="009C2ADD">
        <w:rPr>
          <w:rFonts w:ascii="Times New Roman" w:hAnsi="Times New Roman"/>
          <w:lang w:val="en-AU"/>
        </w:rPr>
        <w:t>s slightly less than the average of the previous six years.  The estimated longline catch of bigeye of 35,000</w:t>
      </w:r>
      <w:r w:rsidRPr="009C2ADD">
        <w:rPr>
          <w:rFonts w:ascii="Times New Roman" w:hAnsi="Times New Roman"/>
          <w:lang w:val="en-AU"/>
        </w:rPr>
        <w:t xml:space="preserve"> mt in 2016 wa</w:t>
      </w:r>
      <w:r w:rsidR="00F02BCE" w:rsidRPr="009C2ADD">
        <w:rPr>
          <w:rFonts w:ascii="Times New Roman" w:hAnsi="Times New Roman"/>
          <w:lang w:val="en-AU"/>
        </w:rPr>
        <w:t>s comparable to that of the previous six years. The current stock assessment method used for bigeye is Stock Synthesis 3.  Recent estimates indicate that the spawnin</w:t>
      </w:r>
      <w:r w:rsidRPr="009C2ADD">
        <w:rPr>
          <w:rFonts w:ascii="Times New Roman" w:hAnsi="Times New Roman"/>
          <w:lang w:val="en-AU"/>
        </w:rPr>
        <w:t>g biomass of bigeye in the EPO wa</w:t>
      </w:r>
      <w:r w:rsidR="00F02BCE" w:rsidRPr="009C2ADD">
        <w:rPr>
          <w:rFonts w:ascii="Times New Roman" w:hAnsi="Times New Roman"/>
          <w:lang w:val="en-AU"/>
        </w:rPr>
        <w:t>s above the target reference point (S&gt;S</w:t>
      </w:r>
      <w:r w:rsidR="00A265B1" w:rsidRPr="00104C78">
        <w:rPr>
          <w:rFonts w:ascii="Times New Roman" w:hAnsi="Times New Roman"/>
          <w:vertAlign w:val="subscript"/>
          <w:lang w:val="en-AU"/>
        </w:rPr>
        <w:t>MSY</w:t>
      </w:r>
      <w:r w:rsidRPr="009C2ADD">
        <w:rPr>
          <w:rFonts w:ascii="Times New Roman" w:hAnsi="Times New Roman"/>
          <w:lang w:val="en-AU"/>
        </w:rPr>
        <w:t>), and fishing mortality wa</w:t>
      </w:r>
      <w:r w:rsidR="00F02BCE" w:rsidRPr="009C2ADD">
        <w:rPr>
          <w:rFonts w:ascii="Times New Roman" w:hAnsi="Times New Roman"/>
          <w:lang w:val="en-AU"/>
        </w:rPr>
        <w:t>s less than the level corresponding to the MSY (F&lt;F</w:t>
      </w:r>
      <w:r w:rsidR="00A265B1" w:rsidRPr="00104C78">
        <w:rPr>
          <w:rFonts w:ascii="Times New Roman" w:hAnsi="Times New Roman"/>
          <w:vertAlign w:val="subscript"/>
          <w:lang w:val="en-AU"/>
        </w:rPr>
        <w:t>MSY</w:t>
      </w:r>
      <w:r w:rsidR="00F02BCE" w:rsidRPr="009C2ADD">
        <w:rPr>
          <w:rFonts w:ascii="Times New Roman" w:hAnsi="Times New Roman"/>
          <w:lang w:val="en-AU"/>
        </w:rPr>
        <w:t>). As for yellowfin, the estimates of t</w:t>
      </w:r>
      <w:r w:rsidRPr="009C2ADD">
        <w:rPr>
          <w:rFonts w:ascii="Times New Roman" w:hAnsi="Times New Roman"/>
          <w:lang w:val="en-AU"/>
        </w:rPr>
        <w:t>he current status of the stock wa</w:t>
      </w:r>
      <w:r w:rsidR="00F02BCE" w:rsidRPr="009C2ADD">
        <w:rPr>
          <w:rFonts w:ascii="Times New Roman" w:hAnsi="Times New Roman"/>
          <w:lang w:val="en-AU"/>
        </w:rPr>
        <w:t xml:space="preserve">s considerably more pessimistic if a </w:t>
      </w:r>
      <w:r w:rsidRPr="009C2ADD">
        <w:rPr>
          <w:rFonts w:ascii="Times New Roman" w:hAnsi="Times New Roman"/>
          <w:lang w:val="en-AU"/>
        </w:rPr>
        <w:t>stock-recruitment relationship wa</w:t>
      </w:r>
      <w:r w:rsidR="00F02BCE" w:rsidRPr="009C2ADD">
        <w:rPr>
          <w:rFonts w:ascii="Times New Roman" w:hAnsi="Times New Roman"/>
          <w:lang w:val="en-AU"/>
        </w:rPr>
        <w:t xml:space="preserve">s </w:t>
      </w:r>
      <w:r w:rsidRPr="009C2ADD">
        <w:rPr>
          <w:rFonts w:ascii="Times New Roman" w:hAnsi="Times New Roman"/>
          <w:lang w:val="en-AU"/>
        </w:rPr>
        <w:t>assumed, if a higher value wa</w:t>
      </w:r>
      <w:r w:rsidR="00F02BCE" w:rsidRPr="009C2ADD">
        <w:rPr>
          <w:rFonts w:ascii="Times New Roman" w:hAnsi="Times New Roman"/>
          <w:lang w:val="en-AU"/>
        </w:rPr>
        <w:t>s assumed for the average size of the older fish, or if lowe</w:t>
      </w:r>
      <w:r w:rsidRPr="009C2ADD">
        <w:rPr>
          <w:rFonts w:ascii="Times New Roman" w:hAnsi="Times New Roman"/>
          <w:lang w:val="en-AU"/>
        </w:rPr>
        <w:t>r rates of natural mortality were</w:t>
      </w:r>
      <w:r w:rsidR="00F02BCE" w:rsidRPr="009C2ADD">
        <w:rPr>
          <w:rFonts w:ascii="Times New Roman" w:hAnsi="Times New Roman"/>
          <w:lang w:val="en-AU"/>
        </w:rPr>
        <w:t xml:space="preserve"> assumed for adults.</w:t>
      </w:r>
    </w:p>
    <w:p w14:paraId="4B3837C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F0938C3" w14:textId="26051AAA"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At the 2017 IATTC annual meeting Resolution C-17-02 was adopted on the conservation measures for tropical tunas in the EPO during 2018-2020, and amendment to</w:t>
      </w:r>
      <w:r w:rsidR="0034646F" w:rsidRPr="009C2ADD">
        <w:rPr>
          <w:rFonts w:ascii="Times New Roman" w:hAnsi="Times New Roman"/>
          <w:lang w:val="en-AU"/>
        </w:rPr>
        <w:t xml:space="preserve"> resolution C-17-01. It included</w:t>
      </w:r>
      <w:r w:rsidRPr="009C2ADD">
        <w:rPr>
          <w:rFonts w:ascii="Times New Roman" w:hAnsi="Times New Roman"/>
          <w:lang w:val="en-AU"/>
        </w:rPr>
        <w:t xml:space="preserve"> an annual EPO-wide 72-day closure for purse-seine vessels of carrying capacity greater than 182 </w:t>
      </w:r>
      <w:r w:rsidR="0034646F" w:rsidRPr="009C2ADD">
        <w:rPr>
          <w:rFonts w:ascii="Times New Roman" w:hAnsi="Times New Roman"/>
          <w:lang w:val="en-AU"/>
        </w:rPr>
        <w:t>m</w:t>
      </w:r>
      <w:r w:rsidRPr="009C2ADD">
        <w:rPr>
          <w:rFonts w:ascii="Times New Roman" w:hAnsi="Times New Roman"/>
          <w:lang w:val="en-AU"/>
        </w:rPr>
        <w:t xml:space="preserve">t, along with a 30-day closure of a core offshore FAD fishing area. For longline vessels greater than 24 m length </w:t>
      </w:r>
      <w:r w:rsidR="0034646F" w:rsidRPr="009C2ADD">
        <w:rPr>
          <w:rFonts w:ascii="Times New Roman" w:hAnsi="Times New Roman"/>
          <w:lang w:val="en-AU"/>
        </w:rPr>
        <w:t>overall, the resolution included</w:t>
      </w:r>
      <w:r w:rsidRPr="009C2ADD">
        <w:rPr>
          <w:rFonts w:ascii="Times New Roman" w:hAnsi="Times New Roman"/>
          <w:lang w:val="en-AU"/>
        </w:rPr>
        <w:t xml:space="preserve"> bigeye catch limits for China, Japan, Korea, Chinese Taipei, and the United</w:t>
      </w:r>
      <w:r w:rsidR="0034646F" w:rsidRPr="009C2ADD">
        <w:rPr>
          <w:rFonts w:ascii="Times New Roman" w:hAnsi="Times New Roman"/>
          <w:lang w:val="en-AU"/>
        </w:rPr>
        <w:t xml:space="preserve"> States, and those countries could</w:t>
      </w:r>
      <w:r w:rsidRPr="009C2ADD">
        <w:rPr>
          <w:rFonts w:ascii="Times New Roman" w:hAnsi="Times New Roman"/>
          <w:lang w:val="en-AU"/>
        </w:rPr>
        <w:t xml:space="preserve"> make a single transfer up to 30% of their catch limit</w:t>
      </w:r>
      <w:r w:rsidR="0034646F" w:rsidRPr="009C2ADD">
        <w:rPr>
          <w:rFonts w:ascii="Times New Roman" w:hAnsi="Times New Roman"/>
          <w:lang w:val="en-AU"/>
        </w:rPr>
        <w:t xml:space="preserve"> to one another. Other members we</w:t>
      </w:r>
      <w:r w:rsidRPr="009C2ADD">
        <w:rPr>
          <w:rFonts w:ascii="Times New Roman" w:hAnsi="Times New Roman"/>
          <w:lang w:val="en-AU"/>
        </w:rPr>
        <w:t xml:space="preserve">re limited to the </w:t>
      </w:r>
      <w:proofErr w:type="gramStart"/>
      <w:r w:rsidRPr="009C2ADD">
        <w:rPr>
          <w:rFonts w:ascii="Times New Roman" w:hAnsi="Times New Roman"/>
          <w:lang w:val="en-AU"/>
        </w:rPr>
        <w:t>greater</w:t>
      </w:r>
      <w:proofErr w:type="gramEnd"/>
      <w:r w:rsidRPr="009C2ADD">
        <w:rPr>
          <w:rFonts w:ascii="Times New Roman" w:hAnsi="Times New Roman"/>
          <w:lang w:val="en-AU"/>
        </w:rPr>
        <w:t xml:space="preserve"> of 500</w:t>
      </w:r>
      <w:r w:rsidR="0034646F" w:rsidRPr="009C2ADD">
        <w:rPr>
          <w:rFonts w:ascii="Times New Roman" w:hAnsi="Times New Roman"/>
          <w:lang w:val="en-AU"/>
        </w:rPr>
        <w:t xml:space="preserve"> m</w:t>
      </w:r>
      <w:r w:rsidRPr="009C2ADD">
        <w:rPr>
          <w:rFonts w:ascii="Times New Roman" w:hAnsi="Times New Roman"/>
          <w:lang w:val="en-AU"/>
        </w:rPr>
        <w:t>t or their respective catches in 2001. FAD management measures were also adopted, including limits on the n</w:t>
      </w:r>
      <w:r w:rsidR="0034646F" w:rsidRPr="009C2ADD">
        <w:rPr>
          <w:rFonts w:ascii="Times New Roman" w:hAnsi="Times New Roman"/>
          <w:lang w:val="en-AU"/>
        </w:rPr>
        <w:t>umbers of FADs individual purse seine vessels could</w:t>
      </w:r>
      <w:r w:rsidRPr="009C2ADD">
        <w:rPr>
          <w:rFonts w:ascii="Times New Roman" w:hAnsi="Times New Roman"/>
          <w:lang w:val="en-AU"/>
        </w:rPr>
        <w:t xml:space="preserve"> actively monitor at any one time, restriction on FAD deployments and requirement to be picking up some FADs preceding vessel closure periods, and as of </w:t>
      </w:r>
      <w:r w:rsidR="003F4983" w:rsidRPr="009C2ADD">
        <w:rPr>
          <w:rFonts w:ascii="Times New Roman" w:hAnsi="Times New Roman"/>
          <w:lang w:val="en-AU"/>
        </w:rPr>
        <w:t>1 January 2019,</w:t>
      </w:r>
      <w:r w:rsidRPr="009C2ADD">
        <w:rPr>
          <w:rFonts w:ascii="Times New Roman" w:hAnsi="Times New Roman"/>
          <w:lang w:val="en-AU"/>
        </w:rPr>
        <w:t xml:space="preserve"> only FADs designed to be of low-risk of entan</w:t>
      </w:r>
      <w:r w:rsidR="0034646F" w:rsidRPr="009C2ADD">
        <w:rPr>
          <w:rFonts w:ascii="Times New Roman" w:hAnsi="Times New Roman"/>
          <w:lang w:val="en-AU"/>
        </w:rPr>
        <w:t>glement for sharks and turtles a</w:t>
      </w:r>
      <w:r w:rsidRPr="009C2ADD">
        <w:rPr>
          <w:rFonts w:ascii="Times New Roman" w:hAnsi="Times New Roman"/>
          <w:lang w:val="en-AU"/>
        </w:rPr>
        <w:t>re to be deployed.</w:t>
      </w:r>
    </w:p>
    <w:p w14:paraId="142A3694" w14:textId="77777777" w:rsidR="00C529CB" w:rsidRDefault="00C529CB" w:rsidP="009C2ADD">
      <w:pPr>
        <w:pStyle w:val="ListParagraph"/>
        <w:adjustRightInd w:val="0"/>
        <w:snapToGrid w:val="0"/>
        <w:contextualSpacing w:val="0"/>
        <w:rPr>
          <w:rFonts w:ascii="Times New Roman" w:hAnsi="Times New Roman"/>
          <w:lang w:val="en-AU" w:eastAsia="ko-KR"/>
        </w:rPr>
      </w:pPr>
    </w:p>
    <w:p w14:paraId="7E5B8CB4" w14:textId="20A6F264" w:rsidR="004A25DA" w:rsidRPr="0070772D" w:rsidRDefault="004A25DA" w:rsidP="009C2ADD">
      <w:pPr>
        <w:pStyle w:val="ListParagraph"/>
        <w:adjustRightInd w:val="0"/>
        <w:snapToGrid w:val="0"/>
        <w:contextualSpacing w:val="0"/>
        <w:rPr>
          <w:rFonts w:ascii="Times New Roman" w:hAnsi="Times New Roman"/>
          <w:b/>
          <w:lang w:val="en-AU" w:eastAsia="ko-KR"/>
        </w:rPr>
      </w:pPr>
      <w:r w:rsidRPr="0070772D">
        <w:rPr>
          <w:rFonts w:ascii="Times New Roman" w:hAnsi="Times New Roman"/>
          <w:b/>
          <w:lang w:val="en-AU" w:eastAsia="ko-KR"/>
        </w:rPr>
        <w:t>Discussion</w:t>
      </w:r>
    </w:p>
    <w:p w14:paraId="1931D778" w14:textId="77777777" w:rsidR="004A25DA" w:rsidRPr="009C2ADD" w:rsidRDefault="004A25DA" w:rsidP="009C2ADD">
      <w:pPr>
        <w:pStyle w:val="ListParagraph"/>
        <w:adjustRightInd w:val="0"/>
        <w:snapToGrid w:val="0"/>
        <w:contextualSpacing w:val="0"/>
        <w:rPr>
          <w:rFonts w:ascii="Times New Roman" w:hAnsi="Times New Roman"/>
          <w:lang w:val="en-AU" w:eastAsia="ko-KR"/>
        </w:rPr>
      </w:pPr>
    </w:p>
    <w:p w14:paraId="0FD35C5F" w14:textId="160969DE"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on behalf of FFA, noted that the number of sets up</w:t>
      </w:r>
      <w:r w:rsidR="0034646F" w:rsidRPr="009C2ADD">
        <w:rPr>
          <w:rFonts w:ascii="Times New Roman" w:hAnsi="Times New Roman"/>
          <w:lang w:val="en-AU"/>
        </w:rPr>
        <w:t>on FADs had</w:t>
      </w:r>
      <w:r w:rsidRPr="009C2ADD">
        <w:rPr>
          <w:rFonts w:ascii="Times New Roman" w:hAnsi="Times New Roman"/>
          <w:lang w:val="en-AU"/>
        </w:rPr>
        <w:t xml:space="preserve"> significantly increased between 2015 and 2016, building on a number of years of increasing FAD use in the EPO, and asked if this was the result of a more general shift in fishing behaviour by the fleets operating in the IATTC or if there were simply more FADs in the </w:t>
      </w:r>
      <w:r w:rsidR="0034646F" w:rsidRPr="009C2ADD">
        <w:rPr>
          <w:rFonts w:ascii="Times New Roman" w:hAnsi="Times New Roman"/>
          <w:lang w:val="en-AU"/>
        </w:rPr>
        <w:t>water available to those fleets.</w:t>
      </w:r>
      <w:r w:rsidRPr="009C2ADD">
        <w:rPr>
          <w:rFonts w:ascii="Times New Roman" w:hAnsi="Times New Roman"/>
          <w:lang w:val="en-AU"/>
        </w:rPr>
        <w:t xml:space="preserve">  Australia also noted the outcomes of the 2015 stock assessment for both yellowfin and bigeye in the eastern Pacif</w:t>
      </w:r>
      <w:r w:rsidR="0034646F" w:rsidRPr="009C2ADD">
        <w:rPr>
          <w:rFonts w:ascii="Times New Roman" w:hAnsi="Times New Roman"/>
          <w:lang w:val="en-AU"/>
        </w:rPr>
        <w:t>ic Ocean suggested both stocks we</w:t>
      </w:r>
      <w:r w:rsidRPr="009C2ADD">
        <w:rPr>
          <w:rFonts w:ascii="Times New Roman" w:hAnsi="Times New Roman"/>
          <w:lang w:val="en-AU"/>
        </w:rPr>
        <w:t>re close to the interim target reference points that h</w:t>
      </w:r>
      <w:r w:rsidR="0034646F" w:rsidRPr="009C2ADD">
        <w:rPr>
          <w:rFonts w:ascii="Times New Roman" w:hAnsi="Times New Roman"/>
          <w:lang w:val="en-AU"/>
        </w:rPr>
        <w:t>ad</w:t>
      </w:r>
      <w:r w:rsidRPr="009C2ADD">
        <w:rPr>
          <w:rFonts w:ascii="Times New Roman" w:hAnsi="Times New Roman"/>
          <w:lang w:val="en-AU"/>
        </w:rPr>
        <w:t xml:space="preserve"> been agreed at IATTC. However, the standards and ref</w:t>
      </w:r>
      <w:r w:rsidR="0034646F" w:rsidRPr="009C2ADD">
        <w:rPr>
          <w:rFonts w:ascii="Times New Roman" w:hAnsi="Times New Roman"/>
          <w:lang w:val="en-AU"/>
        </w:rPr>
        <w:t>erence points adopted by IATTC we</w:t>
      </w:r>
      <w:r w:rsidRPr="009C2ADD">
        <w:rPr>
          <w:rFonts w:ascii="Times New Roman" w:hAnsi="Times New Roman"/>
          <w:lang w:val="en-AU"/>
        </w:rPr>
        <w:t xml:space="preserve">re lower than the WCPFC standards for the Western </w:t>
      </w:r>
      <w:r w:rsidR="006F662B" w:rsidRPr="009C2ADD">
        <w:rPr>
          <w:rFonts w:ascii="Times New Roman" w:hAnsi="Times New Roman"/>
          <w:lang w:val="en-AU"/>
        </w:rPr>
        <w:t>Pacific Ocean</w:t>
      </w:r>
      <w:r w:rsidRPr="009C2ADD">
        <w:rPr>
          <w:rFonts w:ascii="Times New Roman" w:hAnsi="Times New Roman"/>
          <w:lang w:val="en-AU"/>
        </w:rPr>
        <w:t>.    </w:t>
      </w:r>
    </w:p>
    <w:p w14:paraId="327C7F05"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3A8B5F96" w14:textId="7777777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IATTC clarified that the increase in the numb</w:t>
      </w:r>
      <w:r w:rsidR="0034646F" w:rsidRPr="009C2ADD">
        <w:rPr>
          <w:rFonts w:ascii="Times New Roman" w:hAnsi="Times New Roman"/>
          <w:lang w:val="en-AU"/>
        </w:rPr>
        <w:t>er of sets on floating objects wa</w:t>
      </w:r>
      <w:r w:rsidRPr="009C2ADD">
        <w:rPr>
          <w:rFonts w:ascii="Times New Roman" w:hAnsi="Times New Roman"/>
          <w:lang w:val="en-AU"/>
        </w:rPr>
        <w:t xml:space="preserve">s due to both an increase in capacity and a change in fishing strategy for some of the top performing vessels in multiple FAD sets per day.  With respect to the question about differences between WCPFC and IATTC reference points used </w:t>
      </w:r>
      <w:r w:rsidR="0034646F" w:rsidRPr="009C2ADD">
        <w:rPr>
          <w:rFonts w:ascii="Times New Roman" w:hAnsi="Times New Roman"/>
          <w:lang w:val="en-AU"/>
        </w:rPr>
        <w:t>within stock assessments there we</w:t>
      </w:r>
      <w:r w:rsidRPr="009C2ADD">
        <w:rPr>
          <w:rFonts w:ascii="Times New Roman" w:hAnsi="Times New Roman"/>
          <w:lang w:val="en-AU"/>
        </w:rPr>
        <w:t xml:space="preserve">re definitely some fundamental differences, and </w:t>
      </w:r>
      <w:r w:rsidR="0034646F" w:rsidRPr="009C2ADD">
        <w:rPr>
          <w:rFonts w:ascii="Times New Roman" w:hAnsi="Times New Roman"/>
          <w:lang w:val="en-AU"/>
        </w:rPr>
        <w:t xml:space="preserve">it </w:t>
      </w:r>
      <w:r w:rsidRPr="009C2ADD">
        <w:rPr>
          <w:rFonts w:ascii="Times New Roman" w:hAnsi="Times New Roman"/>
          <w:lang w:val="en-AU"/>
        </w:rPr>
        <w:t>would be good to seek some harmony between the two commissions.</w:t>
      </w:r>
    </w:p>
    <w:p w14:paraId="3DF3FCE2"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0FDEC461" w14:textId="7777777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no</w:t>
      </w:r>
      <w:r w:rsidR="0034646F" w:rsidRPr="009C2ADD">
        <w:rPr>
          <w:rFonts w:ascii="Times New Roman" w:hAnsi="Times New Roman"/>
          <w:lang w:val="en-AU"/>
        </w:rPr>
        <w:t>ted the growth work for b</w:t>
      </w:r>
      <w:r w:rsidRPr="009C2ADD">
        <w:rPr>
          <w:rFonts w:ascii="Times New Roman" w:hAnsi="Times New Roman"/>
          <w:lang w:val="en-AU"/>
        </w:rPr>
        <w:t>igeye that was presented by Maunder et al</w:t>
      </w:r>
      <w:r w:rsidR="0034646F" w:rsidRPr="009C2ADD">
        <w:rPr>
          <w:rFonts w:ascii="Times New Roman" w:hAnsi="Times New Roman"/>
          <w:lang w:val="en-AU"/>
        </w:rPr>
        <w:t>.</w:t>
      </w:r>
      <w:r w:rsidRPr="009C2ADD">
        <w:rPr>
          <w:rFonts w:ascii="Times New Roman" w:hAnsi="Times New Roman"/>
          <w:lang w:val="en-AU"/>
        </w:rPr>
        <w:t xml:space="preserve"> at the May 2017 IATTC SAC8 meeting - a growth curve designed for species, such a</w:t>
      </w:r>
      <w:r w:rsidR="0034646F" w:rsidRPr="009C2ADD">
        <w:rPr>
          <w:rFonts w:ascii="Times New Roman" w:hAnsi="Times New Roman"/>
          <w:lang w:val="en-AU"/>
        </w:rPr>
        <w:t>s some tropical tunas, that had</w:t>
      </w:r>
      <w:r w:rsidRPr="009C2ADD">
        <w:rPr>
          <w:rFonts w:ascii="Times New Roman" w:hAnsi="Times New Roman"/>
          <w:lang w:val="en-AU"/>
        </w:rPr>
        <w:t xml:space="preserve"> an apparent linear relationship between length and age, followed by a marked reduction of growth after the onset of sexual maturity, and asked for IATTC’s view on the utility of this approach and whether it was incorporated into the IATTC 2016 bigeye assessment. IA</w:t>
      </w:r>
      <w:r w:rsidR="0034646F" w:rsidRPr="009C2ADD">
        <w:rPr>
          <w:rFonts w:ascii="Times New Roman" w:hAnsi="Times New Roman"/>
          <w:lang w:val="en-AU"/>
        </w:rPr>
        <w:t>TTC responded that this work had</w:t>
      </w:r>
      <w:r w:rsidRPr="009C2ADD">
        <w:rPr>
          <w:rFonts w:ascii="Times New Roman" w:hAnsi="Times New Roman"/>
          <w:lang w:val="en-AU"/>
        </w:rPr>
        <w:t xml:space="preserve"> not yet been incorporated into the IATTC bigeye tuna assessment, but was being considered for the next assessment.</w:t>
      </w:r>
    </w:p>
    <w:p w14:paraId="32079C36"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0206A44" w14:textId="77777777"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Kiribati and Tonga both expressed their concern of any cross over effects that may occur with respect to the management of shared stocks. Kiribati noted that a target reference point of SB</w:t>
      </w:r>
      <w:r w:rsidRPr="0070772D">
        <w:rPr>
          <w:rFonts w:ascii="Times New Roman" w:hAnsi="Times New Roman"/>
          <w:vertAlign w:val="subscript"/>
          <w:lang w:val="en-AU"/>
        </w:rPr>
        <w:t>MSY</w:t>
      </w:r>
      <w:r w:rsidRPr="009C2ADD">
        <w:rPr>
          <w:rFonts w:ascii="Times New Roman" w:hAnsi="Times New Roman"/>
          <w:lang w:val="en-AU"/>
        </w:rPr>
        <w:t xml:space="preserve"> had been selected by IATTC for bigeye tuna, yet the IATTC assessment of the Pa</w:t>
      </w:r>
      <w:r w:rsidR="0034646F" w:rsidRPr="009C2ADD">
        <w:rPr>
          <w:rFonts w:ascii="Times New Roman" w:hAnsi="Times New Roman"/>
          <w:lang w:val="en-AU"/>
        </w:rPr>
        <w:t>cific-wide bigeye stock suggested</w:t>
      </w:r>
      <w:r w:rsidRPr="009C2ADD">
        <w:rPr>
          <w:rFonts w:ascii="Times New Roman" w:hAnsi="Times New Roman"/>
          <w:lang w:val="en-AU"/>
        </w:rPr>
        <w:t xml:space="preserve"> that SB</w:t>
      </w:r>
      <w:r w:rsidRPr="0070772D">
        <w:rPr>
          <w:rFonts w:ascii="Times New Roman" w:hAnsi="Times New Roman"/>
          <w:vertAlign w:val="subscript"/>
          <w:lang w:val="en-AU"/>
        </w:rPr>
        <w:t>MSY</w:t>
      </w:r>
      <w:r w:rsidR="0034646F" w:rsidRPr="009C2ADD">
        <w:rPr>
          <w:rFonts w:ascii="Times New Roman" w:hAnsi="Times New Roman"/>
          <w:lang w:val="en-AU"/>
        </w:rPr>
        <w:t xml:space="preserve"> for bigeye wa</w:t>
      </w:r>
      <w:r w:rsidRPr="009C2ADD">
        <w:rPr>
          <w:rFonts w:ascii="Times New Roman" w:hAnsi="Times New Roman"/>
          <w:lang w:val="en-AU"/>
        </w:rPr>
        <w:t>s not much different from the limit reference point agreed in the western and central Pacific for the same stock. FFA members were concerned that if different conclusions about the same stock continue</w:t>
      </w:r>
      <w:r w:rsidR="0034646F" w:rsidRPr="009C2ADD">
        <w:rPr>
          <w:rFonts w:ascii="Times New Roman" w:hAnsi="Times New Roman"/>
          <w:lang w:val="en-AU"/>
        </w:rPr>
        <w:t>d</w:t>
      </w:r>
      <w:r w:rsidRPr="009C2ADD">
        <w:rPr>
          <w:rFonts w:ascii="Times New Roman" w:hAnsi="Times New Roman"/>
          <w:lang w:val="en-AU"/>
        </w:rPr>
        <w:t xml:space="preserve"> to be reached by WCPFC and IATTC, this might result in efforts to reduce fishing effort in the west in order to keep the stock above its limit reference point with a reasonable de</w:t>
      </w:r>
      <w:r w:rsidR="0034646F" w:rsidRPr="009C2ADD">
        <w:rPr>
          <w:rFonts w:ascii="Times New Roman" w:hAnsi="Times New Roman"/>
          <w:lang w:val="en-AU"/>
        </w:rPr>
        <w:t>gree of certainty, while there wa</w:t>
      </w:r>
      <w:r w:rsidRPr="009C2ADD">
        <w:rPr>
          <w:rFonts w:ascii="Times New Roman" w:hAnsi="Times New Roman"/>
          <w:lang w:val="en-AU"/>
        </w:rPr>
        <w:t>s increasing effort in the east in order to drive the stock down to SB</w:t>
      </w:r>
      <w:r w:rsidRPr="0070772D">
        <w:rPr>
          <w:rFonts w:ascii="Times New Roman" w:hAnsi="Times New Roman"/>
          <w:vertAlign w:val="subscript"/>
          <w:lang w:val="en-AU"/>
        </w:rPr>
        <w:t>MSY</w:t>
      </w:r>
      <w:r w:rsidR="0034646F" w:rsidRPr="009C2ADD">
        <w:rPr>
          <w:rFonts w:ascii="Times New Roman" w:hAnsi="Times New Roman"/>
          <w:lang w:val="en-AU"/>
        </w:rPr>
        <w:t xml:space="preserve"> so it could</w:t>
      </w:r>
      <w:r w:rsidRPr="009C2ADD">
        <w:rPr>
          <w:rFonts w:ascii="Times New Roman" w:hAnsi="Times New Roman"/>
          <w:lang w:val="en-AU"/>
        </w:rPr>
        <w:t xml:space="preserve"> achieve its maximum sustainable yield. </w:t>
      </w:r>
    </w:p>
    <w:p w14:paraId="535594D6"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699B947" w14:textId="3CF76AAA"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IATTC noted that tagging data ac</w:t>
      </w:r>
      <w:r w:rsidR="0034646F" w:rsidRPr="009C2ADD">
        <w:rPr>
          <w:rFonts w:ascii="Times New Roman" w:hAnsi="Times New Roman"/>
          <w:lang w:val="en-AU"/>
        </w:rPr>
        <w:t>ross the equatorial Pacific did</w:t>
      </w:r>
      <w:r w:rsidRPr="009C2ADD">
        <w:rPr>
          <w:rFonts w:ascii="Times New Roman" w:hAnsi="Times New Roman"/>
          <w:lang w:val="en-AU"/>
        </w:rPr>
        <w:t xml:space="preserve"> not support a single bigeye stock </w:t>
      </w:r>
      <w:r w:rsidR="0034646F" w:rsidRPr="009C2ADD">
        <w:rPr>
          <w:rFonts w:ascii="Times New Roman" w:hAnsi="Times New Roman"/>
          <w:lang w:val="en-AU"/>
        </w:rPr>
        <w:t>across the Pacific, as there were</w:t>
      </w:r>
      <w:r w:rsidRPr="009C2ADD">
        <w:rPr>
          <w:rFonts w:ascii="Times New Roman" w:hAnsi="Times New Roman"/>
          <w:lang w:val="en-AU"/>
        </w:rPr>
        <w:t xml:space="preserve"> several putative stocks, but </w:t>
      </w:r>
      <w:r w:rsidR="00A80D76" w:rsidRPr="009C2ADD">
        <w:rPr>
          <w:rFonts w:ascii="Times New Roman" w:hAnsi="Times New Roman"/>
          <w:lang w:val="en-AU"/>
        </w:rPr>
        <w:t xml:space="preserve">with </w:t>
      </w:r>
      <w:r w:rsidRPr="009C2ADD">
        <w:rPr>
          <w:rFonts w:ascii="Times New Roman" w:hAnsi="Times New Roman"/>
          <w:lang w:val="en-AU"/>
        </w:rPr>
        <w:t>considerable mixing between the WCPFC and IATTC regions.</w:t>
      </w:r>
    </w:p>
    <w:p w14:paraId="2F2A6906"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26594F5" w14:textId="022F387A"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question from SPC regarding sensitivity analysis for </w:t>
      </w:r>
      <w:r w:rsidR="0034646F" w:rsidRPr="009C2ADD">
        <w:rPr>
          <w:rFonts w:ascii="Times New Roman" w:hAnsi="Times New Roman"/>
          <w:lang w:val="en-AU"/>
        </w:rPr>
        <w:t xml:space="preserve">the </w:t>
      </w:r>
      <w:r w:rsidRPr="009C2ADD">
        <w:rPr>
          <w:rFonts w:ascii="Times New Roman" w:hAnsi="Times New Roman"/>
          <w:lang w:val="en-AU"/>
        </w:rPr>
        <w:t xml:space="preserve">bigeye and </w:t>
      </w:r>
      <w:r w:rsidR="003C443D" w:rsidRPr="009C2ADD">
        <w:rPr>
          <w:rFonts w:ascii="Times New Roman" w:hAnsi="Times New Roman"/>
          <w:lang w:val="en-AU"/>
        </w:rPr>
        <w:t>yellowfin assessment reports, </w:t>
      </w:r>
      <w:r w:rsidRPr="009C2ADD">
        <w:rPr>
          <w:rFonts w:ascii="Times New Roman" w:hAnsi="Times New Roman"/>
          <w:lang w:val="en-AU"/>
        </w:rPr>
        <w:t xml:space="preserve">IATTC noted that the primary sensitivity analyses presented in </w:t>
      </w:r>
      <w:r w:rsidR="0034646F" w:rsidRPr="009C2ADD">
        <w:rPr>
          <w:rFonts w:ascii="Times New Roman" w:hAnsi="Times New Roman"/>
          <w:lang w:val="en-AU"/>
        </w:rPr>
        <w:t>those stock assessment reports wa</w:t>
      </w:r>
      <w:r w:rsidRPr="009C2ADD">
        <w:rPr>
          <w:rFonts w:ascii="Times New Roman" w:hAnsi="Times New Roman"/>
          <w:lang w:val="en-AU"/>
        </w:rPr>
        <w:t>s for the steep</w:t>
      </w:r>
      <w:r w:rsidR="0034646F" w:rsidRPr="009C2ADD">
        <w:rPr>
          <w:rFonts w:ascii="Times New Roman" w:hAnsi="Times New Roman"/>
          <w:lang w:val="en-AU"/>
        </w:rPr>
        <w:t>ness parameter, although there we</w:t>
      </w:r>
      <w:r w:rsidRPr="009C2ADD">
        <w:rPr>
          <w:rFonts w:ascii="Times New Roman" w:hAnsi="Times New Roman"/>
          <w:lang w:val="en-AU"/>
        </w:rPr>
        <w:t>re other sensitivities looked at within assessments.</w:t>
      </w:r>
    </w:p>
    <w:p w14:paraId="27B14A40"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E1075BD" w14:textId="43F1F871"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EU inquired about the </w:t>
      </w:r>
      <w:r w:rsidR="00977B42">
        <w:rPr>
          <w:rFonts w:ascii="Times New Roman" w:hAnsi="Times New Roman"/>
          <w:lang w:val="en-AU"/>
        </w:rPr>
        <w:t>skipjack tuna</w:t>
      </w:r>
      <w:r w:rsidRPr="009C2ADD">
        <w:rPr>
          <w:rFonts w:ascii="Times New Roman" w:hAnsi="Times New Roman"/>
          <w:lang w:val="en-AU"/>
        </w:rPr>
        <w:t xml:space="preserve"> catch distribution in 2016</w:t>
      </w:r>
      <w:r w:rsidR="0034646F" w:rsidRPr="009C2ADD">
        <w:rPr>
          <w:rFonts w:ascii="Times New Roman" w:hAnsi="Times New Roman"/>
          <w:lang w:val="en-AU"/>
        </w:rPr>
        <w:t xml:space="preserve"> and </w:t>
      </w:r>
      <w:r w:rsidRPr="009C2ADD">
        <w:rPr>
          <w:rFonts w:ascii="Times New Roman" w:hAnsi="Times New Roman"/>
          <w:lang w:val="en-AU"/>
        </w:rPr>
        <w:t xml:space="preserve">pointed out a significant difference in the amount of </w:t>
      </w:r>
      <w:r w:rsidR="00977B42">
        <w:rPr>
          <w:rFonts w:ascii="Times New Roman" w:hAnsi="Times New Roman"/>
          <w:lang w:val="en-AU"/>
        </w:rPr>
        <w:t>skipjack tuna</w:t>
      </w:r>
      <w:r w:rsidRPr="009C2ADD">
        <w:rPr>
          <w:rFonts w:ascii="Times New Roman" w:hAnsi="Times New Roman"/>
          <w:lang w:val="en-AU"/>
        </w:rPr>
        <w:t xml:space="preserve"> at the boundary between IATTC and</w:t>
      </w:r>
      <w:r w:rsidR="0034646F" w:rsidRPr="009C2ADD">
        <w:rPr>
          <w:rFonts w:ascii="Times New Roman" w:hAnsi="Times New Roman"/>
          <w:lang w:val="en-AU"/>
        </w:rPr>
        <w:t xml:space="preserve"> WCPFC, between slide 16 of the IATTC</w:t>
      </w:r>
      <w:r w:rsidRPr="009C2ADD">
        <w:rPr>
          <w:rFonts w:ascii="Times New Roman" w:hAnsi="Times New Roman"/>
          <w:lang w:val="en-AU"/>
        </w:rPr>
        <w:t xml:space="preserve"> presentation and figure 25 of </w:t>
      </w:r>
      <w:r w:rsidRPr="0070772D">
        <w:rPr>
          <w:rFonts w:ascii="Times New Roman" w:hAnsi="Times New Roman"/>
          <w:bCs/>
          <w:lang w:val="en-AU"/>
        </w:rPr>
        <w:t>SC13-GN-WP-01</w:t>
      </w:r>
      <w:r w:rsidR="0034646F" w:rsidRPr="009C2ADD">
        <w:rPr>
          <w:rFonts w:ascii="Times New Roman" w:hAnsi="Times New Roman"/>
          <w:lang w:val="en-AU"/>
        </w:rPr>
        <w:t>. (I</w:t>
      </w:r>
      <w:r w:rsidRPr="009C2ADD">
        <w:rPr>
          <w:rFonts w:ascii="Times New Roman" w:hAnsi="Times New Roman"/>
          <w:lang w:val="en-AU"/>
        </w:rPr>
        <w:t xml:space="preserve">n the WCPFC the </w:t>
      </w:r>
      <w:r w:rsidR="00977B42">
        <w:rPr>
          <w:rFonts w:ascii="Times New Roman" w:hAnsi="Times New Roman"/>
          <w:lang w:val="en-AU"/>
        </w:rPr>
        <w:t>skipjack tuna</w:t>
      </w:r>
      <w:r w:rsidRPr="009C2ADD">
        <w:rPr>
          <w:rFonts w:ascii="Times New Roman" w:hAnsi="Times New Roman"/>
          <w:lang w:val="en-AU"/>
        </w:rPr>
        <w:t> catch distribution moved from central towards western regions, whereas in IATTC it moved towards the boundary with WCPFC</w:t>
      </w:r>
      <w:r w:rsidR="0034646F" w:rsidRPr="009C2ADD">
        <w:rPr>
          <w:rFonts w:ascii="Times New Roman" w:hAnsi="Times New Roman"/>
          <w:lang w:val="en-AU"/>
        </w:rPr>
        <w:t>.</w:t>
      </w:r>
      <w:r w:rsidRPr="009C2ADD">
        <w:rPr>
          <w:rFonts w:ascii="Times New Roman" w:hAnsi="Times New Roman"/>
          <w:lang w:val="en-AU"/>
        </w:rPr>
        <w:t>) </w:t>
      </w:r>
      <w:r w:rsidR="0034646F" w:rsidRPr="009C2ADD">
        <w:rPr>
          <w:rFonts w:ascii="Times New Roman" w:hAnsi="Times New Roman"/>
          <w:lang w:val="en-AU"/>
        </w:rPr>
        <w:t xml:space="preserve">  They</w:t>
      </w:r>
      <w:r w:rsidRPr="009C2ADD">
        <w:rPr>
          <w:rFonts w:ascii="Times New Roman" w:hAnsi="Times New Roman"/>
          <w:lang w:val="en-AU"/>
        </w:rPr>
        <w:t xml:space="preserve"> asked what could explain such a difference </w:t>
      </w:r>
      <w:r w:rsidR="0034646F" w:rsidRPr="009C2ADD">
        <w:rPr>
          <w:rFonts w:ascii="Times New Roman" w:hAnsi="Times New Roman"/>
          <w:lang w:val="en-AU"/>
        </w:rPr>
        <w:t xml:space="preserve">along </w:t>
      </w:r>
      <w:r w:rsidRPr="009C2ADD">
        <w:rPr>
          <w:rFonts w:ascii="Times New Roman" w:hAnsi="Times New Roman"/>
          <w:lang w:val="en-AU"/>
        </w:rPr>
        <w:t>boundary between the two organisations.</w:t>
      </w:r>
      <w:r w:rsidR="0034646F" w:rsidRPr="009C2ADD">
        <w:rPr>
          <w:rFonts w:ascii="Times New Roman" w:hAnsi="Times New Roman"/>
          <w:lang w:val="en-AU"/>
        </w:rPr>
        <w:t xml:space="preserve"> </w:t>
      </w:r>
      <w:r w:rsidR="0050437C">
        <w:rPr>
          <w:rFonts w:ascii="Times New Roman" w:hAnsi="Times New Roman" w:hint="eastAsia"/>
          <w:lang w:val="en-AU" w:eastAsia="ko-KR"/>
        </w:rPr>
        <w:t xml:space="preserve">K. </w:t>
      </w:r>
      <w:r w:rsidRPr="009C2ADD">
        <w:rPr>
          <w:rFonts w:ascii="Times New Roman" w:hAnsi="Times New Roman"/>
          <w:lang w:val="en-AU"/>
        </w:rPr>
        <w:t>S</w:t>
      </w:r>
      <w:r w:rsidR="004A25DA">
        <w:rPr>
          <w:rFonts w:ascii="Times New Roman" w:hAnsi="Times New Roman" w:hint="eastAsia"/>
          <w:lang w:val="en-AU" w:eastAsia="ko-KR"/>
        </w:rPr>
        <w:t>c</w:t>
      </w:r>
      <w:r w:rsidRPr="009C2ADD">
        <w:rPr>
          <w:rFonts w:ascii="Times New Roman" w:hAnsi="Times New Roman"/>
          <w:lang w:val="en-AU"/>
        </w:rPr>
        <w:t xml:space="preserve">haefer </w:t>
      </w:r>
      <w:r w:rsidR="0034646F" w:rsidRPr="009C2ADD">
        <w:rPr>
          <w:rFonts w:ascii="Times New Roman" w:hAnsi="Times New Roman"/>
          <w:lang w:val="en-AU"/>
        </w:rPr>
        <w:t xml:space="preserve">noted his </w:t>
      </w:r>
      <w:r w:rsidRPr="009C2ADD">
        <w:rPr>
          <w:rFonts w:ascii="Times New Roman" w:hAnsi="Times New Roman"/>
          <w:lang w:val="en-AU"/>
        </w:rPr>
        <w:t xml:space="preserve">confidence in the accuracy </w:t>
      </w:r>
      <w:r w:rsidR="006C2F35" w:rsidRPr="009C2ADD">
        <w:rPr>
          <w:rFonts w:ascii="Times New Roman" w:hAnsi="Times New Roman"/>
          <w:lang w:val="en-AU"/>
        </w:rPr>
        <w:t>of the</w:t>
      </w:r>
      <w:r w:rsidRPr="009C2ADD">
        <w:rPr>
          <w:rFonts w:ascii="Times New Roman" w:hAnsi="Times New Roman"/>
          <w:lang w:val="en-AU"/>
        </w:rPr>
        <w:t xml:space="preserve"> data presented by IATTC on 2016 </w:t>
      </w:r>
      <w:r w:rsidR="00977B42">
        <w:rPr>
          <w:rFonts w:ascii="Times New Roman" w:hAnsi="Times New Roman"/>
          <w:lang w:val="en-AU"/>
        </w:rPr>
        <w:t>skipjack tuna</w:t>
      </w:r>
      <w:r w:rsidRPr="009C2ADD">
        <w:rPr>
          <w:rFonts w:ascii="Times New Roman" w:hAnsi="Times New Roman"/>
          <w:lang w:val="en-AU"/>
        </w:rPr>
        <w:t xml:space="preserve"> ca</w:t>
      </w:r>
      <w:r w:rsidR="0034646F" w:rsidRPr="009C2ADD">
        <w:rPr>
          <w:rFonts w:ascii="Times New Roman" w:hAnsi="Times New Roman"/>
          <w:lang w:val="en-AU"/>
        </w:rPr>
        <w:t>tch distributions and suggested</w:t>
      </w:r>
      <w:r w:rsidRPr="009C2ADD">
        <w:rPr>
          <w:rFonts w:ascii="Times New Roman" w:hAnsi="Times New Roman"/>
          <w:lang w:val="en-AU"/>
        </w:rPr>
        <w:t xml:space="preserve"> the differences related to the PS fishing effort of vessels potentially restricted to fishing wit</w:t>
      </w:r>
      <w:r w:rsidR="0034646F" w:rsidRPr="009C2ADD">
        <w:rPr>
          <w:rFonts w:ascii="Times New Roman" w:hAnsi="Times New Roman"/>
          <w:lang w:val="en-AU"/>
        </w:rPr>
        <w:t>hin the IATTC region.  There had</w:t>
      </w:r>
      <w:r w:rsidRPr="009C2ADD">
        <w:rPr>
          <w:rFonts w:ascii="Times New Roman" w:hAnsi="Times New Roman"/>
          <w:lang w:val="en-AU"/>
        </w:rPr>
        <w:t xml:space="preserve"> also been very high CPUE of </w:t>
      </w:r>
      <w:r w:rsidR="00977B42">
        <w:rPr>
          <w:rFonts w:ascii="Times New Roman" w:hAnsi="Times New Roman"/>
          <w:lang w:val="en-AU"/>
        </w:rPr>
        <w:t>skipjack tuna</w:t>
      </w:r>
      <w:r w:rsidRPr="009C2ADD">
        <w:rPr>
          <w:rFonts w:ascii="Times New Roman" w:hAnsi="Times New Roman"/>
          <w:lang w:val="en-AU"/>
        </w:rPr>
        <w:t xml:space="preserve"> on </w:t>
      </w:r>
      <w:r w:rsidR="003225B9">
        <w:rPr>
          <w:rFonts w:ascii="Times New Roman" w:hAnsi="Times New Roman"/>
          <w:lang w:val="en-AU"/>
        </w:rPr>
        <w:t>drifting fish aggregating device (</w:t>
      </w:r>
      <w:r w:rsidRPr="009C2ADD">
        <w:rPr>
          <w:rFonts w:ascii="Times New Roman" w:hAnsi="Times New Roman"/>
          <w:lang w:val="en-AU"/>
        </w:rPr>
        <w:t>dFAD</w:t>
      </w:r>
      <w:r w:rsidR="003225B9">
        <w:rPr>
          <w:rFonts w:ascii="Times New Roman" w:hAnsi="Times New Roman"/>
          <w:lang w:val="en-AU"/>
        </w:rPr>
        <w:t>)</w:t>
      </w:r>
      <w:r w:rsidRPr="009C2ADD">
        <w:rPr>
          <w:rFonts w:ascii="Times New Roman" w:hAnsi="Times New Roman"/>
          <w:lang w:val="en-AU"/>
        </w:rPr>
        <w:t xml:space="preserve"> sets in the equatorial central Pacific between 140-160</w:t>
      </w:r>
      <w:r w:rsidR="004A25DA">
        <w:rPr>
          <w:rFonts w:ascii="Times New Roman" w:hAnsi="Times New Roman"/>
          <w:lang w:val="en-AU"/>
        </w:rPr>
        <w:t>ᴼ</w:t>
      </w:r>
      <w:r w:rsidRPr="009C2ADD">
        <w:rPr>
          <w:rFonts w:ascii="Times New Roman" w:hAnsi="Times New Roman"/>
          <w:lang w:val="en-AU"/>
        </w:rPr>
        <w:t>W in recent years.</w:t>
      </w:r>
    </w:p>
    <w:p w14:paraId="0790D089"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8819B85" w14:textId="2B0F863F"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queried whether the use of di</w:t>
      </w:r>
      <w:r w:rsidR="004F2646" w:rsidRPr="009C2ADD">
        <w:rPr>
          <w:rFonts w:ascii="Times New Roman" w:hAnsi="Times New Roman"/>
          <w:lang w:val="en-AU"/>
        </w:rPr>
        <w:t>fferent stock assessment models</w:t>
      </w:r>
      <w:r w:rsidR="0034646F" w:rsidRPr="009C2ADD">
        <w:rPr>
          <w:rFonts w:ascii="Times New Roman" w:hAnsi="Times New Roman"/>
          <w:lang w:val="en-AU"/>
        </w:rPr>
        <w:t>,</w:t>
      </w:r>
      <w:r w:rsidRPr="009C2ADD">
        <w:rPr>
          <w:rFonts w:ascii="Times New Roman" w:hAnsi="Times New Roman"/>
          <w:lang w:val="en-AU"/>
        </w:rPr>
        <w:t xml:space="preserve"> specifically </w:t>
      </w:r>
      <w:r w:rsidR="006233F1" w:rsidRPr="009C2ADD">
        <w:rPr>
          <w:rFonts w:ascii="Times New Roman" w:hAnsi="Times New Roman"/>
        </w:rPr>
        <w:t>MULTIFAN-CL</w:t>
      </w:r>
      <w:r w:rsidRPr="009C2ADD">
        <w:rPr>
          <w:rFonts w:ascii="Times New Roman" w:hAnsi="Times New Roman"/>
          <w:lang w:val="en-AU"/>
        </w:rPr>
        <w:t xml:space="preserve"> and Stock Synthesis version </w:t>
      </w:r>
      <w:r w:rsidR="004F2646" w:rsidRPr="009C2ADD">
        <w:rPr>
          <w:rFonts w:ascii="Times New Roman" w:hAnsi="Times New Roman"/>
          <w:lang w:val="en-AU"/>
        </w:rPr>
        <w:t>3</w:t>
      </w:r>
      <w:r w:rsidR="0034646F" w:rsidRPr="009C2ADD">
        <w:rPr>
          <w:rFonts w:ascii="Times New Roman" w:hAnsi="Times New Roman"/>
          <w:lang w:val="en-AU"/>
        </w:rPr>
        <w:t>,</w:t>
      </w:r>
      <w:r w:rsidR="004F2646" w:rsidRPr="009C2ADD">
        <w:rPr>
          <w:rFonts w:ascii="Times New Roman" w:hAnsi="Times New Roman"/>
          <w:lang w:val="en-AU"/>
        </w:rPr>
        <w:t xml:space="preserve"> generate</w:t>
      </w:r>
      <w:r w:rsidR="0034646F" w:rsidRPr="009C2ADD">
        <w:rPr>
          <w:rFonts w:ascii="Times New Roman" w:hAnsi="Times New Roman"/>
          <w:lang w:val="en-AU"/>
        </w:rPr>
        <w:t>d</w:t>
      </w:r>
      <w:r w:rsidR="004F2646" w:rsidRPr="009C2ADD">
        <w:rPr>
          <w:rFonts w:ascii="Times New Roman" w:hAnsi="Times New Roman"/>
          <w:lang w:val="en-AU"/>
        </w:rPr>
        <w:t xml:space="preserve"> inconsistency.</w:t>
      </w:r>
      <w:r w:rsidRPr="009C2ADD">
        <w:rPr>
          <w:rFonts w:ascii="Times New Roman" w:hAnsi="Times New Roman"/>
          <w:lang w:val="en-AU"/>
        </w:rPr>
        <w:t xml:space="preserve"> IATTC responded that SPC and IATTC had determined that the models generated similar results, and that IATTC stock assessment scientists chose to use the stock synthesis model because it provided more flexibility for their needs.</w:t>
      </w:r>
    </w:p>
    <w:p w14:paraId="319B7C3A" w14:textId="77777777" w:rsidR="00D5284E" w:rsidRDefault="00D5284E" w:rsidP="0070772D">
      <w:pPr>
        <w:autoSpaceDE w:val="0"/>
        <w:autoSpaceDN w:val="0"/>
        <w:adjustRightInd w:val="0"/>
        <w:snapToGrid w:val="0"/>
        <w:spacing w:after="0"/>
        <w:rPr>
          <w:rFonts w:ascii="Times New Roman" w:hAnsi="Times New Roman"/>
          <w:lang w:val="en-AU"/>
        </w:rPr>
      </w:pPr>
    </w:p>
    <w:p w14:paraId="3F37F836" w14:textId="0BF6756B" w:rsidR="00F02BCE" w:rsidRPr="009C2ADD" w:rsidRDefault="00F02BC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IATTC noted that strong recruitment levels had been recorded in both 2015 and 2016 in the East </w:t>
      </w:r>
      <w:r w:rsidR="006C2F35" w:rsidRPr="009C2ADD">
        <w:rPr>
          <w:rFonts w:ascii="Times New Roman" w:hAnsi="Times New Roman"/>
          <w:lang w:val="en-AU"/>
        </w:rPr>
        <w:t>Pacific Ocean</w:t>
      </w:r>
      <w:r w:rsidRPr="009C2ADD">
        <w:rPr>
          <w:rFonts w:ascii="Times New Roman" w:hAnsi="Times New Roman"/>
          <w:lang w:val="en-AU"/>
        </w:rPr>
        <w:t xml:space="preserve">, associated with a major El </w:t>
      </w:r>
      <w:r w:rsidR="009C216F" w:rsidRPr="009C2ADD">
        <w:rPr>
          <w:rFonts w:ascii="Times New Roman" w:hAnsi="Times New Roman"/>
          <w:lang w:val="en-AU"/>
        </w:rPr>
        <w:t xml:space="preserve">Niño </w:t>
      </w:r>
      <w:r w:rsidRPr="009C2ADD">
        <w:rPr>
          <w:rFonts w:ascii="Times New Roman" w:hAnsi="Times New Roman"/>
          <w:lang w:val="en-AU"/>
        </w:rPr>
        <w:t xml:space="preserve">event. </w:t>
      </w:r>
    </w:p>
    <w:p w14:paraId="2DC8E741" w14:textId="77777777" w:rsidR="00123214" w:rsidRPr="009C2ADD" w:rsidRDefault="00123214" w:rsidP="009C2ADD">
      <w:pPr>
        <w:autoSpaceDE w:val="0"/>
        <w:autoSpaceDN w:val="0"/>
        <w:adjustRightInd w:val="0"/>
        <w:snapToGrid w:val="0"/>
        <w:spacing w:after="0"/>
        <w:rPr>
          <w:rFonts w:ascii="Times New Roman" w:hAnsi="Times New Roman"/>
          <w:lang w:val="en-AU"/>
        </w:rPr>
      </w:pPr>
    </w:p>
    <w:p w14:paraId="613A009D" w14:textId="7B36038D" w:rsidR="00F02BCE" w:rsidRPr="009C2ADD" w:rsidRDefault="00CD1D72" w:rsidP="009C2ADD">
      <w:pPr>
        <w:pStyle w:val="Heading2"/>
        <w:adjustRightInd w:val="0"/>
        <w:snapToGrid w:val="0"/>
        <w:rPr>
          <w:color w:val="auto"/>
          <w:szCs w:val="22"/>
        </w:rPr>
      </w:pPr>
      <w:bookmarkStart w:id="86" w:name="_Toc491851812"/>
      <w:r w:rsidRPr="009C2ADD">
        <w:rPr>
          <w:color w:val="auto"/>
          <w:szCs w:val="22"/>
        </w:rPr>
        <w:t xml:space="preserve">2.3 </w:t>
      </w:r>
      <w:r w:rsidR="0088767C" w:rsidRPr="009C2ADD">
        <w:rPr>
          <w:color w:val="auto"/>
          <w:szCs w:val="22"/>
        </w:rPr>
        <w:tab/>
      </w:r>
      <w:r w:rsidR="003C443D" w:rsidRPr="009C2ADD">
        <w:rPr>
          <w:color w:val="auto"/>
          <w:szCs w:val="22"/>
        </w:rPr>
        <w:t>Annual Report Part 1 from Members, Cooperating Non-Members, and Participating Territories</w:t>
      </w:r>
      <w:bookmarkEnd w:id="86"/>
    </w:p>
    <w:p w14:paraId="57182724" w14:textId="77777777" w:rsidR="00123214" w:rsidRPr="009C2ADD" w:rsidRDefault="00123214" w:rsidP="009C2ADD">
      <w:pPr>
        <w:adjustRightInd w:val="0"/>
        <w:snapToGrid w:val="0"/>
        <w:spacing w:after="0"/>
        <w:rPr>
          <w:rFonts w:ascii="Times New Roman" w:hAnsi="Times New Roman"/>
        </w:rPr>
      </w:pPr>
    </w:p>
    <w:p w14:paraId="09366E71" w14:textId="77777777"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SC Chair noted that members’ Annual Reports Part 1 had been posted on the Commission website for the past month, and invited those members who wished to do so to provide brief updates on their fisheries.</w:t>
      </w:r>
    </w:p>
    <w:p w14:paraId="599CD0A4"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08378BA5" w14:textId="7D312DB5"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BirdLife noted that a rough calculation from this year’s annual reports suggested that more </w:t>
      </w:r>
      <w:r w:rsidR="006C2F35" w:rsidRPr="009C2ADD">
        <w:rPr>
          <w:rFonts w:ascii="Times New Roman" w:hAnsi="Times New Roman"/>
          <w:lang w:val="en-AU"/>
        </w:rPr>
        <w:t>than 5</w:t>
      </w:r>
      <w:r w:rsidR="007D1C15">
        <w:rPr>
          <w:rFonts w:ascii="Times New Roman" w:hAnsi="Times New Roman" w:hint="eastAsia"/>
          <w:lang w:val="en-AU" w:eastAsia="ko-KR"/>
        </w:rPr>
        <w:t>,</w:t>
      </w:r>
      <w:r w:rsidR="006C2F35" w:rsidRPr="009C2ADD">
        <w:rPr>
          <w:rFonts w:ascii="Times New Roman" w:hAnsi="Times New Roman"/>
          <w:lang w:val="en-AU"/>
        </w:rPr>
        <w:t>000</w:t>
      </w:r>
      <w:r w:rsidRPr="009C2ADD">
        <w:rPr>
          <w:rFonts w:ascii="Times New Roman" w:hAnsi="Times New Roman"/>
          <w:lang w:val="en-AU"/>
        </w:rPr>
        <w:t xml:space="preserve"> birds were caught in 2016 south of 30</w:t>
      </w:r>
      <w:r w:rsidR="007D1C15">
        <w:rPr>
          <w:rFonts w:ascii="Times New Roman" w:hAnsi="Times New Roman"/>
          <w:lang w:val="en-AU"/>
        </w:rPr>
        <w:t>ᴼ</w:t>
      </w:r>
      <w:r w:rsidRPr="009C2ADD">
        <w:rPr>
          <w:rFonts w:ascii="Times New Roman" w:hAnsi="Times New Roman"/>
          <w:lang w:val="en-AU"/>
        </w:rPr>
        <w:t>S and more than 20,000 were caught north of 23</w:t>
      </w:r>
      <w:r w:rsidR="007D1C15">
        <w:rPr>
          <w:rFonts w:ascii="Times New Roman" w:hAnsi="Times New Roman"/>
          <w:lang w:val="en-AU"/>
        </w:rPr>
        <w:t>ᴼ</w:t>
      </w:r>
      <w:r w:rsidRPr="009C2ADD">
        <w:rPr>
          <w:rFonts w:ascii="Times New Roman" w:hAnsi="Times New Roman"/>
          <w:lang w:val="en-AU"/>
        </w:rPr>
        <w:t xml:space="preserve">N.  BirdLife welcomed improvements in reporting of seabird bycatch by some parties, and urged all parties to use the tables in CMM 2015-03 to </w:t>
      </w:r>
      <w:r w:rsidR="0034646F" w:rsidRPr="009C2ADD">
        <w:rPr>
          <w:rFonts w:ascii="Times New Roman" w:hAnsi="Times New Roman"/>
          <w:lang w:val="en-AU"/>
        </w:rPr>
        <w:t xml:space="preserve">assist accurate </w:t>
      </w:r>
      <w:r w:rsidRPr="009C2ADD">
        <w:rPr>
          <w:rFonts w:ascii="Times New Roman" w:hAnsi="Times New Roman"/>
          <w:lang w:val="en-AU"/>
        </w:rPr>
        <w:t>assessment. BirdLife also noted the disturbing increase in bycatch rates in some CCMs, and asked if some indication of mea</w:t>
      </w:r>
      <w:r w:rsidR="0034646F" w:rsidRPr="009C2ADD">
        <w:rPr>
          <w:rFonts w:ascii="Times New Roman" w:hAnsi="Times New Roman"/>
          <w:lang w:val="en-AU"/>
        </w:rPr>
        <w:t>sures to mitigate such increases</w:t>
      </w:r>
      <w:r w:rsidRPr="009C2ADD">
        <w:rPr>
          <w:rFonts w:ascii="Times New Roman" w:hAnsi="Times New Roman"/>
          <w:lang w:val="en-AU"/>
        </w:rPr>
        <w:t xml:space="preserve"> might be provided</w:t>
      </w:r>
      <w:r w:rsidR="0034646F" w:rsidRPr="009C2ADD">
        <w:rPr>
          <w:rFonts w:ascii="Times New Roman" w:hAnsi="Times New Roman"/>
          <w:lang w:val="en-AU"/>
        </w:rPr>
        <w:t>,</w:t>
      </w:r>
      <w:r w:rsidRPr="009C2ADD">
        <w:rPr>
          <w:rFonts w:ascii="Times New Roman" w:hAnsi="Times New Roman"/>
          <w:lang w:val="en-AU"/>
        </w:rPr>
        <w:t xml:space="preserve"> particularly by New Zealand and Japan.</w:t>
      </w:r>
    </w:p>
    <w:p w14:paraId="56CC6C77"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5F4DAF5" w14:textId="62B383BE"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New Zealand acknowledged that in 2016 </w:t>
      </w:r>
      <w:r w:rsidR="006C2F35" w:rsidRPr="009C2ADD">
        <w:rPr>
          <w:rFonts w:ascii="Times New Roman" w:hAnsi="Times New Roman"/>
          <w:lang w:val="en-AU"/>
        </w:rPr>
        <w:t>several</w:t>
      </w:r>
      <w:r w:rsidRPr="009C2ADD">
        <w:rPr>
          <w:rFonts w:ascii="Times New Roman" w:hAnsi="Times New Roman"/>
          <w:lang w:val="en-AU"/>
        </w:rPr>
        <w:t xml:space="preserve"> factors had combined to result in a high seabird bycatch in its surface longline fishery.  A significant contribution to this increased bycatch came from a</w:t>
      </w:r>
      <w:r w:rsidR="0034646F" w:rsidRPr="009C2ADD">
        <w:rPr>
          <w:rFonts w:ascii="Times New Roman" w:hAnsi="Times New Roman"/>
          <w:lang w:val="en-AU"/>
        </w:rPr>
        <w:t xml:space="preserve"> single </w:t>
      </w:r>
      <w:r w:rsidRPr="009C2ADD">
        <w:rPr>
          <w:rFonts w:ascii="Times New Roman" w:hAnsi="Times New Roman"/>
          <w:lang w:val="en-AU"/>
        </w:rPr>
        <w:t xml:space="preserve">vessel which had not complied with regulated seabird mitigation requirements.  The vessel master was successfully prosecuted.  Further actions taken included a) an increased focus on </w:t>
      </w:r>
      <w:r w:rsidR="004F2646" w:rsidRPr="009C2ADD">
        <w:rPr>
          <w:rFonts w:ascii="Times New Roman" w:hAnsi="Times New Roman"/>
          <w:lang w:val="en-AU"/>
        </w:rPr>
        <w:t>ensuring</w:t>
      </w:r>
      <w:r w:rsidRPr="009C2ADD">
        <w:rPr>
          <w:rFonts w:ascii="Times New Roman" w:hAnsi="Times New Roman"/>
          <w:lang w:val="en-AU"/>
        </w:rPr>
        <w:t xml:space="preserve"> compliance with seabird measures, b) an expansion of an existing program to include the surface longline fishery in the development of vessel specific management plans, and support provided to refresh tori lines as the primary seabird mitigation tool, c) further research to evaluation alternative seabird mitigation tools, and d) consideration of  a mandatory (rather than optional) requirement for line weighting as the primary mitigation tool.</w:t>
      </w:r>
    </w:p>
    <w:p w14:paraId="2BBC0892"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D80D4AD" w14:textId="1BD20E21"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FSM</w:t>
      </w:r>
      <w:r w:rsidR="004F2646" w:rsidRPr="009C2ADD">
        <w:rPr>
          <w:rFonts w:ascii="Times New Roman" w:hAnsi="Times New Roman"/>
          <w:lang w:val="en-AU"/>
        </w:rPr>
        <w:t xml:space="preserve"> reported that it</w:t>
      </w:r>
      <w:r w:rsidRPr="009C2ADD">
        <w:rPr>
          <w:rFonts w:ascii="Times New Roman" w:hAnsi="Times New Roman"/>
          <w:lang w:val="en-AU"/>
        </w:rPr>
        <w:t xml:space="preserve"> was now offloading for purse seine</w:t>
      </w:r>
      <w:r w:rsidR="0034646F" w:rsidRPr="009C2ADD">
        <w:rPr>
          <w:rFonts w:ascii="Times New Roman" w:hAnsi="Times New Roman"/>
          <w:lang w:val="en-AU"/>
        </w:rPr>
        <w:t xml:space="preserve"> and long</w:t>
      </w:r>
      <w:r w:rsidR="0077126A" w:rsidRPr="009C2ADD">
        <w:rPr>
          <w:rFonts w:ascii="Times New Roman" w:hAnsi="Times New Roman"/>
          <w:lang w:val="en-AU"/>
        </w:rPr>
        <w:t xml:space="preserve">line fishing in Kosrae as well </w:t>
      </w:r>
      <w:r w:rsidR="0034646F" w:rsidRPr="009C2ADD">
        <w:rPr>
          <w:rFonts w:ascii="Times New Roman" w:hAnsi="Times New Roman"/>
          <w:lang w:val="en-AU"/>
        </w:rPr>
        <w:t>Pohnpei.</w:t>
      </w:r>
    </w:p>
    <w:p w14:paraId="3E236CB9"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26BCB5C" w14:textId="6474D65D"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Indonesia reported that it was developing a tuna harvest strategy to apply to Indonesian Archipelagic waters, </w:t>
      </w:r>
      <w:r w:rsidR="00C10555" w:rsidRPr="009C2ADD">
        <w:rPr>
          <w:rFonts w:ascii="Times New Roman" w:hAnsi="Times New Roman"/>
          <w:lang w:val="en-AU"/>
        </w:rPr>
        <w:t>to</w:t>
      </w:r>
      <w:r w:rsidRPr="009C2ADD">
        <w:rPr>
          <w:rFonts w:ascii="Times New Roman" w:hAnsi="Times New Roman"/>
          <w:lang w:val="en-AU"/>
        </w:rPr>
        <w:t xml:space="preserve"> implement Indonesian Fishery Act No. 31/ 2004 as amended to Indonesian Fishery Act No 45/2009</w:t>
      </w:r>
      <w:r w:rsidR="0034646F" w:rsidRPr="009C2ADD">
        <w:rPr>
          <w:rFonts w:ascii="Times New Roman" w:hAnsi="Times New Roman"/>
          <w:lang w:val="en-AU"/>
        </w:rPr>
        <w:t>.  While these waters we</w:t>
      </w:r>
      <w:r w:rsidRPr="009C2ADD">
        <w:rPr>
          <w:rFonts w:ascii="Times New Roman" w:hAnsi="Times New Roman"/>
          <w:lang w:val="en-AU"/>
        </w:rPr>
        <w:t>re not managed by any RFMO, they contribute</w:t>
      </w:r>
      <w:r w:rsidR="0034646F" w:rsidRPr="009C2ADD">
        <w:rPr>
          <w:rFonts w:ascii="Times New Roman" w:hAnsi="Times New Roman"/>
          <w:lang w:val="en-AU"/>
        </w:rPr>
        <w:t>d</w:t>
      </w:r>
      <w:r w:rsidRPr="009C2ADD">
        <w:rPr>
          <w:rFonts w:ascii="Times New Roman" w:hAnsi="Times New Roman"/>
          <w:lang w:val="en-AU"/>
        </w:rPr>
        <w:t xml:space="preserve"> an estimated 40% of the total Indonesian tuna catches, necessitating the development o</w:t>
      </w:r>
      <w:r w:rsidR="0034646F" w:rsidRPr="009C2ADD">
        <w:rPr>
          <w:rFonts w:ascii="Times New Roman" w:hAnsi="Times New Roman"/>
          <w:lang w:val="en-AU"/>
        </w:rPr>
        <w:t>f a tuna harvest strategy that wa</w:t>
      </w:r>
      <w:r w:rsidRPr="009C2ADD">
        <w:rPr>
          <w:rFonts w:ascii="Times New Roman" w:hAnsi="Times New Roman"/>
          <w:lang w:val="en-AU"/>
        </w:rPr>
        <w:t>s compatible wi</w:t>
      </w:r>
      <w:r w:rsidR="0034646F" w:rsidRPr="009C2ADD">
        <w:rPr>
          <w:rFonts w:ascii="Times New Roman" w:hAnsi="Times New Roman"/>
          <w:lang w:val="en-AU"/>
        </w:rPr>
        <w:t>th relevant RFMOs. Indonesia had</w:t>
      </w:r>
      <w:r w:rsidRPr="009C2ADD">
        <w:rPr>
          <w:rFonts w:ascii="Times New Roman" w:hAnsi="Times New Roman"/>
          <w:lang w:val="en-AU"/>
        </w:rPr>
        <w:t xml:space="preserve"> conducted a number of workshops since 2015 to progress the deve</w:t>
      </w:r>
      <w:r w:rsidR="0034646F" w:rsidRPr="009C2ADD">
        <w:rPr>
          <w:rFonts w:ascii="Times New Roman" w:hAnsi="Times New Roman"/>
          <w:lang w:val="en-AU"/>
        </w:rPr>
        <w:t>lopment of the strategy and had</w:t>
      </w:r>
      <w:r w:rsidRPr="009C2ADD">
        <w:rPr>
          <w:rFonts w:ascii="Times New Roman" w:hAnsi="Times New Roman"/>
          <w:lang w:val="en-AU"/>
        </w:rPr>
        <w:t xml:space="preserve"> involved a broad range of stakeholders. A new fisheries national data collection system </w:t>
      </w:r>
      <w:r w:rsidR="004F2646" w:rsidRPr="009C2ADD">
        <w:rPr>
          <w:rFonts w:ascii="Times New Roman" w:hAnsi="Times New Roman"/>
          <w:lang w:val="en-AU"/>
        </w:rPr>
        <w:t>called</w:t>
      </w:r>
      <w:r w:rsidRPr="009C2ADD">
        <w:rPr>
          <w:rFonts w:ascii="Times New Roman" w:hAnsi="Times New Roman"/>
          <w:lang w:val="en-AU"/>
        </w:rPr>
        <w:t xml:space="preserve"> “One Data Policy” and coordinated by the Ministry of Marine and fisheries Affairs (MMAF) was als</w:t>
      </w:r>
      <w:r w:rsidR="004F2646" w:rsidRPr="009C2ADD">
        <w:rPr>
          <w:rFonts w:ascii="Times New Roman" w:hAnsi="Times New Roman"/>
          <w:lang w:val="en-AU"/>
        </w:rPr>
        <w:t xml:space="preserve">o implemented in January 2017.  While adjustment to the </w:t>
      </w:r>
      <w:r w:rsidRPr="009C2ADD">
        <w:rPr>
          <w:rFonts w:ascii="Times New Roman" w:hAnsi="Times New Roman"/>
          <w:lang w:val="en-AU"/>
        </w:rPr>
        <w:t>new system</w:t>
      </w:r>
      <w:r w:rsidR="0034646F" w:rsidRPr="009C2ADD">
        <w:rPr>
          <w:rFonts w:ascii="Times New Roman" w:hAnsi="Times New Roman"/>
          <w:lang w:val="en-AU"/>
        </w:rPr>
        <w:t xml:space="preserve"> could </w:t>
      </w:r>
      <w:r w:rsidRPr="009C2ADD">
        <w:rPr>
          <w:rFonts w:ascii="Times New Roman" w:hAnsi="Times New Roman"/>
          <w:lang w:val="en-AU"/>
        </w:rPr>
        <w:t>ta</w:t>
      </w:r>
      <w:r w:rsidR="0034646F" w:rsidRPr="009C2ADD">
        <w:rPr>
          <w:rFonts w:ascii="Times New Roman" w:hAnsi="Times New Roman"/>
          <w:lang w:val="en-AU"/>
        </w:rPr>
        <w:t>ke some time, it wa</w:t>
      </w:r>
      <w:r w:rsidR="004F2646" w:rsidRPr="009C2ADD">
        <w:rPr>
          <w:rFonts w:ascii="Times New Roman" w:hAnsi="Times New Roman"/>
          <w:lang w:val="en-AU"/>
        </w:rPr>
        <w:t>s expected to</w:t>
      </w:r>
      <w:r w:rsidRPr="009C2ADD">
        <w:rPr>
          <w:rFonts w:ascii="Times New Roman" w:hAnsi="Times New Roman"/>
          <w:lang w:val="en-AU"/>
        </w:rPr>
        <w:t xml:space="preserve"> impact Indonesi</w:t>
      </w:r>
      <w:r w:rsidR="0077126A" w:rsidRPr="009C2ADD">
        <w:rPr>
          <w:rFonts w:ascii="Times New Roman" w:hAnsi="Times New Roman"/>
          <w:lang w:val="en-AU"/>
        </w:rPr>
        <w:t xml:space="preserve">a’s Annual catch estimate from </w:t>
      </w:r>
      <w:r w:rsidRPr="009C2ADD">
        <w:rPr>
          <w:rFonts w:ascii="Times New Roman" w:hAnsi="Times New Roman"/>
          <w:lang w:val="en-AU"/>
        </w:rPr>
        <w:t xml:space="preserve">2017.  </w:t>
      </w:r>
    </w:p>
    <w:p w14:paraId="0191A366"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C657272" w14:textId="71508779" w:rsidR="003C443D"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On behalf of FFA</w:t>
      </w:r>
      <w:r w:rsidR="003C443D" w:rsidRPr="009C2ADD">
        <w:rPr>
          <w:rFonts w:ascii="Times New Roman" w:hAnsi="Times New Roman"/>
          <w:lang w:val="en-AU"/>
        </w:rPr>
        <w:t xml:space="preserve"> </w:t>
      </w:r>
      <w:r w:rsidR="00D5432C">
        <w:rPr>
          <w:rFonts w:ascii="Times New Roman" w:hAnsi="Times New Roman"/>
          <w:lang w:val="en-AU"/>
        </w:rPr>
        <w:t>member</w:t>
      </w:r>
      <w:r w:rsidR="003C443D" w:rsidRPr="009C2ADD">
        <w:rPr>
          <w:rFonts w:ascii="Times New Roman" w:hAnsi="Times New Roman"/>
          <w:lang w:val="en-AU"/>
        </w:rPr>
        <w:t>s, Cook Islands noted that the WCPFC’s public domain tuna fishery yearbook was a useful source of information about CCM annual flag catch statistics, and suggested that information on catch and other statistics compiled by zone</w:t>
      </w:r>
      <w:r w:rsidR="004F2646" w:rsidRPr="009C2ADD">
        <w:rPr>
          <w:rFonts w:ascii="Times New Roman" w:hAnsi="Times New Roman"/>
          <w:lang w:val="en-AU"/>
        </w:rPr>
        <w:t xml:space="preserve"> could</w:t>
      </w:r>
      <w:r w:rsidR="003C443D" w:rsidRPr="009C2ADD">
        <w:rPr>
          <w:rFonts w:ascii="Times New Roman" w:hAnsi="Times New Roman"/>
          <w:lang w:val="en-AU"/>
        </w:rPr>
        <w:t xml:space="preserve"> also be included.</w:t>
      </w:r>
    </w:p>
    <w:p w14:paraId="7AC82A0A"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AE45A14" w14:textId="2C980C87"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P</w:t>
      </w:r>
      <w:r w:rsidR="004F2646" w:rsidRPr="009C2ADD">
        <w:rPr>
          <w:rFonts w:ascii="Times New Roman" w:hAnsi="Times New Roman"/>
          <w:lang w:val="en-AU"/>
        </w:rPr>
        <w:t>hilippines reported provisional</w:t>
      </w:r>
      <w:r w:rsidRPr="009C2ADD">
        <w:rPr>
          <w:rFonts w:ascii="Times New Roman" w:hAnsi="Times New Roman"/>
          <w:lang w:val="en-AU"/>
        </w:rPr>
        <w:t xml:space="preserve"> catch estimates for 2016 of around 214,951</w:t>
      </w:r>
      <w:r w:rsidR="0034646F" w:rsidRPr="009C2ADD">
        <w:rPr>
          <w:rFonts w:ascii="Times New Roman" w:hAnsi="Times New Roman"/>
          <w:lang w:val="en-AU"/>
        </w:rPr>
        <w:t xml:space="preserve"> m</w:t>
      </w:r>
      <w:r w:rsidRPr="009C2ADD">
        <w:rPr>
          <w:rFonts w:ascii="Times New Roman" w:hAnsi="Times New Roman"/>
          <w:lang w:val="en-AU"/>
        </w:rPr>
        <w:t>t (skipjack -129,952</w:t>
      </w:r>
      <w:r w:rsidR="0034646F" w:rsidRPr="009C2ADD">
        <w:rPr>
          <w:rFonts w:ascii="Times New Roman" w:hAnsi="Times New Roman"/>
          <w:lang w:val="en-AU"/>
        </w:rPr>
        <w:t xml:space="preserve"> m</w:t>
      </w:r>
      <w:r w:rsidRPr="009C2ADD">
        <w:rPr>
          <w:rFonts w:ascii="Times New Roman" w:hAnsi="Times New Roman"/>
          <w:lang w:val="en-AU"/>
        </w:rPr>
        <w:t>t, yellowfin - 81,035</w:t>
      </w:r>
      <w:r w:rsidR="0034646F" w:rsidRPr="009C2ADD">
        <w:rPr>
          <w:rFonts w:ascii="Times New Roman" w:hAnsi="Times New Roman"/>
          <w:lang w:val="en-AU"/>
        </w:rPr>
        <w:t xml:space="preserve"> m</w:t>
      </w:r>
      <w:r w:rsidRPr="009C2ADD">
        <w:rPr>
          <w:rFonts w:ascii="Times New Roman" w:hAnsi="Times New Roman"/>
          <w:lang w:val="en-AU"/>
        </w:rPr>
        <w:t>t and bigeye - 3,963</w:t>
      </w:r>
      <w:r w:rsidR="0034646F" w:rsidRPr="009C2ADD">
        <w:rPr>
          <w:rFonts w:ascii="Times New Roman" w:hAnsi="Times New Roman"/>
          <w:lang w:val="en-AU"/>
        </w:rPr>
        <w:t xml:space="preserve"> m</w:t>
      </w:r>
      <w:r w:rsidRPr="009C2ADD">
        <w:rPr>
          <w:rFonts w:ascii="Times New Roman" w:hAnsi="Times New Roman"/>
          <w:lang w:val="en-AU"/>
        </w:rPr>
        <w:t>t), which represented a decrease of around 32,000</w:t>
      </w:r>
      <w:r w:rsidR="0034646F" w:rsidRPr="009C2ADD">
        <w:rPr>
          <w:rFonts w:ascii="Times New Roman" w:hAnsi="Times New Roman"/>
          <w:lang w:val="en-AU"/>
        </w:rPr>
        <w:t xml:space="preserve"> m</w:t>
      </w:r>
      <w:r w:rsidRPr="009C2ADD">
        <w:rPr>
          <w:rFonts w:ascii="Times New Roman" w:hAnsi="Times New Roman"/>
          <w:lang w:val="en-AU"/>
        </w:rPr>
        <w:t xml:space="preserve">t from their 2015 catch. The decrease was attributed to low CPUE in the artisanal small hook-and-line fishery and the inability of small purse seine/ringnet vessels to operate throughout the fishing season due to unfavorable fishing conditions.  It </w:t>
      </w:r>
      <w:r w:rsidR="002505B5" w:rsidRPr="009C2ADD">
        <w:rPr>
          <w:rFonts w:ascii="Times New Roman" w:hAnsi="Times New Roman"/>
          <w:lang w:val="en-AU"/>
        </w:rPr>
        <w:t>was also</w:t>
      </w:r>
      <w:r w:rsidRPr="009C2ADD">
        <w:rPr>
          <w:rFonts w:ascii="Times New Roman" w:hAnsi="Times New Roman"/>
          <w:lang w:val="en-AU"/>
        </w:rPr>
        <w:t xml:space="preserve"> noted that while yellowfin tuna catches in WCPO for </w:t>
      </w:r>
      <w:r w:rsidR="004F2646" w:rsidRPr="009C2ADD">
        <w:rPr>
          <w:rFonts w:ascii="Times New Roman" w:hAnsi="Times New Roman"/>
          <w:lang w:val="en-AU"/>
        </w:rPr>
        <w:t>2016 was the highest on record,</w:t>
      </w:r>
      <w:r w:rsidRPr="009C2ADD">
        <w:rPr>
          <w:rFonts w:ascii="Times New Roman" w:hAnsi="Times New Roman"/>
          <w:lang w:val="en-AU"/>
        </w:rPr>
        <w:t xml:space="preserve"> yellowfin tuna catches from its domestic fleet decreased by around 3,500 </w:t>
      </w:r>
      <w:r w:rsidR="0034646F" w:rsidRPr="009C2ADD">
        <w:rPr>
          <w:rFonts w:ascii="Times New Roman" w:hAnsi="Times New Roman"/>
          <w:lang w:val="en-AU"/>
        </w:rPr>
        <w:t>m</w:t>
      </w:r>
      <w:r w:rsidRPr="009C2ADD">
        <w:rPr>
          <w:rFonts w:ascii="Times New Roman" w:hAnsi="Times New Roman"/>
          <w:lang w:val="en-AU"/>
        </w:rPr>
        <w:t>t or 4% in</w:t>
      </w:r>
      <w:r w:rsidR="004F2646" w:rsidRPr="009C2ADD">
        <w:rPr>
          <w:rFonts w:ascii="Times New Roman" w:hAnsi="Times New Roman"/>
          <w:lang w:val="en-AU"/>
        </w:rPr>
        <w:t xml:space="preserve"> 2016. Philippines noted that</w:t>
      </w:r>
      <w:r w:rsidRPr="009C2ADD">
        <w:rPr>
          <w:rFonts w:ascii="Times New Roman" w:hAnsi="Times New Roman"/>
          <w:lang w:val="en-AU"/>
        </w:rPr>
        <w:t xml:space="preserve"> catch from </w:t>
      </w:r>
      <w:r w:rsidR="0034646F" w:rsidRPr="009C2ADD">
        <w:rPr>
          <w:rFonts w:ascii="Times New Roman" w:hAnsi="Times New Roman"/>
          <w:lang w:val="en-AU"/>
        </w:rPr>
        <w:t>Philippine-</w:t>
      </w:r>
      <w:r w:rsidRPr="009C2ADD">
        <w:rPr>
          <w:rFonts w:ascii="Times New Roman" w:hAnsi="Times New Roman"/>
          <w:lang w:val="en-AU"/>
        </w:rPr>
        <w:t xml:space="preserve">flagged </w:t>
      </w:r>
      <w:r w:rsidR="002505B5" w:rsidRPr="009C2ADD">
        <w:rPr>
          <w:rFonts w:ascii="Times New Roman" w:hAnsi="Times New Roman"/>
          <w:lang w:val="en-AU"/>
        </w:rPr>
        <w:t>vessels which</w:t>
      </w:r>
      <w:r w:rsidR="0034646F" w:rsidRPr="009C2ADD">
        <w:rPr>
          <w:rFonts w:ascii="Times New Roman" w:hAnsi="Times New Roman"/>
          <w:lang w:val="en-AU"/>
        </w:rPr>
        <w:t xml:space="preserve"> operated</w:t>
      </w:r>
      <w:r w:rsidRPr="009C2ADD">
        <w:rPr>
          <w:rFonts w:ascii="Times New Roman" w:hAnsi="Times New Roman"/>
          <w:lang w:val="en-AU"/>
        </w:rPr>
        <w:t xml:space="preserve"> in High Seas Pocket 1 in 2016 was around 24,424</w:t>
      </w:r>
      <w:r w:rsidR="0034646F" w:rsidRPr="009C2ADD">
        <w:rPr>
          <w:rFonts w:ascii="Times New Roman" w:hAnsi="Times New Roman"/>
          <w:lang w:val="en-AU"/>
        </w:rPr>
        <w:t xml:space="preserve"> m</w:t>
      </w:r>
      <w:r w:rsidRPr="009C2ADD">
        <w:rPr>
          <w:rFonts w:ascii="Times New Roman" w:hAnsi="Times New Roman"/>
          <w:lang w:val="en-AU"/>
        </w:rPr>
        <w:t>t, around 2,000</w:t>
      </w:r>
      <w:r w:rsidR="0034646F" w:rsidRPr="009C2ADD">
        <w:rPr>
          <w:rFonts w:ascii="Times New Roman" w:hAnsi="Times New Roman"/>
          <w:lang w:val="en-AU"/>
        </w:rPr>
        <w:t xml:space="preserve"> m</w:t>
      </w:r>
      <w:r w:rsidRPr="009C2ADD">
        <w:rPr>
          <w:rFonts w:ascii="Times New Roman" w:hAnsi="Times New Roman"/>
          <w:lang w:val="en-AU"/>
        </w:rPr>
        <w:t xml:space="preserve">t less than the 2015 catch due to low CPUE in the 2nd quarter. </w:t>
      </w:r>
    </w:p>
    <w:p w14:paraId="1A45229D"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56082DD" w14:textId="396A170E" w:rsidR="003C443D" w:rsidRPr="009C2ADD" w:rsidRDefault="003C443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Philippines also informe</w:t>
      </w:r>
      <w:r w:rsidR="0077126A" w:rsidRPr="009C2ADD">
        <w:rPr>
          <w:rFonts w:ascii="Times New Roman" w:hAnsi="Times New Roman"/>
          <w:lang w:val="en-AU"/>
        </w:rPr>
        <w:t>d the SC of their submission of</w:t>
      </w:r>
      <w:r w:rsidRPr="009C2ADD">
        <w:rPr>
          <w:rFonts w:ascii="Times New Roman" w:hAnsi="Times New Roman"/>
          <w:lang w:val="en-AU"/>
        </w:rPr>
        <w:t xml:space="preserve"> </w:t>
      </w:r>
      <w:r w:rsidRPr="0070772D">
        <w:rPr>
          <w:rFonts w:ascii="Times New Roman" w:hAnsi="Times New Roman"/>
          <w:bCs/>
          <w:lang w:val="en-AU"/>
        </w:rPr>
        <w:t>SC13-ST-IP-10</w:t>
      </w:r>
      <w:r w:rsidRPr="009C2ADD">
        <w:rPr>
          <w:rFonts w:ascii="Times New Roman" w:hAnsi="Times New Roman"/>
          <w:lang w:val="en-AU"/>
        </w:rPr>
        <w:t xml:space="preserve"> on Group Seine Operations of Philippine Flagge</w:t>
      </w:r>
      <w:r w:rsidR="0077126A" w:rsidRPr="009C2ADD">
        <w:rPr>
          <w:rFonts w:ascii="Times New Roman" w:hAnsi="Times New Roman"/>
          <w:lang w:val="en-AU"/>
        </w:rPr>
        <w:t>d Vessels in High Seas Pocket 1;</w:t>
      </w:r>
      <w:r w:rsidRPr="009C2ADD">
        <w:rPr>
          <w:rFonts w:ascii="Times New Roman" w:hAnsi="Times New Roman"/>
          <w:lang w:val="en-AU"/>
        </w:rPr>
        <w:t xml:space="preserve"> </w:t>
      </w:r>
      <w:r w:rsidRPr="0070772D">
        <w:rPr>
          <w:rFonts w:ascii="Times New Roman" w:hAnsi="Times New Roman"/>
          <w:bCs/>
          <w:lang w:val="en-AU"/>
        </w:rPr>
        <w:t>SC13-ST-IP-11</w:t>
      </w:r>
      <w:r w:rsidR="0034646F" w:rsidRPr="009C2ADD">
        <w:rPr>
          <w:rFonts w:ascii="Times New Roman" w:hAnsi="Times New Roman"/>
          <w:lang w:val="en-AU"/>
        </w:rPr>
        <w:t xml:space="preserve">, which </w:t>
      </w:r>
      <w:r w:rsidRPr="009C2ADD">
        <w:rPr>
          <w:rFonts w:ascii="Times New Roman" w:hAnsi="Times New Roman"/>
          <w:lang w:val="en-AU"/>
        </w:rPr>
        <w:t>relat</w:t>
      </w:r>
      <w:r w:rsidR="0034646F" w:rsidRPr="009C2ADD">
        <w:rPr>
          <w:rFonts w:ascii="Times New Roman" w:hAnsi="Times New Roman"/>
          <w:lang w:val="en-AU"/>
        </w:rPr>
        <w:t>ed</w:t>
      </w:r>
      <w:r w:rsidRPr="009C2ADD">
        <w:rPr>
          <w:rFonts w:ascii="Times New Roman" w:hAnsi="Times New Roman"/>
          <w:lang w:val="en-AU"/>
        </w:rPr>
        <w:t xml:space="preserve"> to Test of MARLIN (Electronic Logsheet) in Philippine-flagge</w:t>
      </w:r>
      <w:r w:rsidR="0077126A" w:rsidRPr="009C2ADD">
        <w:rPr>
          <w:rFonts w:ascii="Times New Roman" w:hAnsi="Times New Roman"/>
          <w:lang w:val="en-AU"/>
        </w:rPr>
        <w:t>d Vessels in High Seas Pocket 1;</w:t>
      </w:r>
      <w:r w:rsidRPr="009C2ADD">
        <w:rPr>
          <w:rFonts w:ascii="Times New Roman" w:hAnsi="Times New Roman"/>
          <w:lang w:val="en-AU"/>
        </w:rPr>
        <w:t xml:space="preserve">  </w:t>
      </w:r>
      <w:r w:rsidRPr="0070772D">
        <w:rPr>
          <w:rFonts w:ascii="Times New Roman" w:hAnsi="Times New Roman"/>
          <w:bCs/>
          <w:lang w:val="en-AU"/>
        </w:rPr>
        <w:t>SC13-SA-IP-07</w:t>
      </w:r>
      <w:r w:rsidRPr="009C2ADD">
        <w:rPr>
          <w:rFonts w:ascii="Times New Roman" w:hAnsi="Times New Roman"/>
          <w:lang w:val="en-AU"/>
        </w:rPr>
        <w:t> on the Relative abundance of yellowfin tuna for the purse seine and handline fisheries operating in the Philippines Moro Gulf (Region 12) and High Seas Pocket #1</w:t>
      </w:r>
      <w:r w:rsidR="0077126A" w:rsidRPr="009C2ADD">
        <w:rPr>
          <w:rFonts w:ascii="Times New Roman" w:hAnsi="Times New Roman"/>
          <w:lang w:val="en-AU"/>
        </w:rPr>
        <w:t>;</w:t>
      </w:r>
      <w:r w:rsidRPr="009C2ADD">
        <w:rPr>
          <w:rFonts w:ascii="Times New Roman" w:hAnsi="Times New Roman"/>
          <w:lang w:val="en-AU"/>
        </w:rPr>
        <w:t xml:space="preserve"> and  </w:t>
      </w:r>
      <w:r w:rsidRPr="0070772D">
        <w:rPr>
          <w:rFonts w:ascii="Times New Roman" w:hAnsi="Times New Roman"/>
          <w:bCs/>
          <w:lang w:val="en-AU"/>
        </w:rPr>
        <w:t>SC13-EB-IP-04</w:t>
      </w:r>
      <w:r w:rsidRPr="009C2ADD">
        <w:rPr>
          <w:rFonts w:ascii="Times New Roman" w:hAnsi="Times New Roman"/>
          <w:lang w:val="en-AU"/>
        </w:rPr>
        <w:t> on the Effects of Ringnet and Purse Seine Net Depth Reduction on the Catch of Bigeye Tuna (</w:t>
      </w:r>
      <w:r w:rsidRPr="00464B7F">
        <w:rPr>
          <w:rFonts w:ascii="Times New Roman" w:hAnsi="Times New Roman"/>
          <w:i/>
          <w:lang w:val="en-AU"/>
        </w:rPr>
        <w:t>Thunnus obesus</w:t>
      </w:r>
      <w:r w:rsidR="004F2646" w:rsidRPr="009C2ADD">
        <w:rPr>
          <w:rFonts w:ascii="Times New Roman" w:hAnsi="Times New Roman"/>
          <w:lang w:val="en-AU"/>
        </w:rPr>
        <w:t>).</w:t>
      </w:r>
      <w:r w:rsidR="0077126A" w:rsidRPr="009C2ADD">
        <w:rPr>
          <w:rFonts w:ascii="Times New Roman" w:hAnsi="Times New Roman"/>
          <w:lang w:val="en-AU"/>
        </w:rPr>
        <w:t xml:space="preserve"> </w:t>
      </w:r>
      <w:r w:rsidRPr="009C2ADD">
        <w:rPr>
          <w:rFonts w:ascii="Times New Roman" w:hAnsi="Times New Roman"/>
          <w:lang w:val="en-AU"/>
        </w:rPr>
        <w:t xml:space="preserve">They highlighted that </w:t>
      </w:r>
      <w:r w:rsidRPr="0070772D">
        <w:rPr>
          <w:rFonts w:ascii="Times New Roman" w:hAnsi="Times New Roman"/>
          <w:bCs/>
          <w:lang w:val="en-AU"/>
        </w:rPr>
        <w:t>SC13-EB-IP-04</w:t>
      </w:r>
      <w:r w:rsidR="0034646F" w:rsidRPr="009C2ADD">
        <w:rPr>
          <w:rFonts w:ascii="Times New Roman" w:hAnsi="Times New Roman"/>
          <w:lang w:val="en-AU"/>
        </w:rPr>
        <w:t xml:space="preserve"> related</w:t>
      </w:r>
      <w:r w:rsidRPr="009C2ADD">
        <w:rPr>
          <w:rFonts w:ascii="Times New Roman" w:hAnsi="Times New Roman"/>
          <w:lang w:val="en-AU"/>
        </w:rPr>
        <w:t xml:space="preserve"> to the Philippine Fisheries Administrative Order 236 (Rules and Regulations on the Operations of Purse Seine and Ring Net Vessels Using Fish Aggregating Devices (FADs) locally known as Payaos during the FAD Closure Period) as a compatible measure for WCPFC-CMM on tropical tuna measure (CMM 2014-01, 2015-01, 2016-01). It was requested that the SC13 consider</w:t>
      </w:r>
      <w:r w:rsidR="0034646F" w:rsidRPr="009C2ADD">
        <w:rPr>
          <w:rFonts w:ascii="Times New Roman" w:hAnsi="Times New Roman"/>
          <w:lang w:val="en-AU"/>
        </w:rPr>
        <w:t>ed</w:t>
      </w:r>
      <w:r w:rsidRPr="009C2ADD">
        <w:rPr>
          <w:rFonts w:ascii="Times New Roman" w:hAnsi="Times New Roman"/>
          <w:lang w:val="en-AU"/>
        </w:rPr>
        <w:t xml:space="preserve"> the paper and make recommendations as may</w:t>
      </w:r>
      <w:r w:rsidR="0034646F" w:rsidRPr="009C2ADD">
        <w:rPr>
          <w:rFonts w:ascii="Times New Roman" w:hAnsi="Times New Roman"/>
          <w:lang w:val="en-AU"/>
        </w:rPr>
        <w:t xml:space="preserve"> </w:t>
      </w:r>
      <w:r w:rsidRPr="009C2ADD">
        <w:rPr>
          <w:rFonts w:ascii="Times New Roman" w:hAnsi="Times New Roman"/>
          <w:lang w:val="en-AU"/>
        </w:rPr>
        <w:t>be necessary.</w:t>
      </w:r>
    </w:p>
    <w:p w14:paraId="22892AB5" w14:textId="77777777" w:rsidR="004F2646" w:rsidRPr="009C2ADD" w:rsidRDefault="004F2646" w:rsidP="009C2ADD">
      <w:pPr>
        <w:pStyle w:val="WCPFC"/>
        <w:numPr>
          <w:ilvl w:val="0"/>
          <w:numId w:val="0"/>
        </w:numPr>
        <w:adjustRightInd w:val="0"/>
        <w:spacing w:after="0"/>
        <w:rPr>
          <w:b/>
        </w:rPr>
      </w:pPr>
    </w:p>
    <w:p w14:paraId="49A85941" w14:textId="1628115F" w:rsidR="0088767C" w:rsidRPr="009C2ADD" w:rsidRDefault="0088767C" w:rsidP="009C2ADD">
      <w:pPr>
        <w:adjustRightInd w:val="0"/>
        <w:snapToGrid w:val="0"/>
        <w:spacing w:after="0"/>
        <w:rPr>
          <w:rFonts w:ascii="Times New Roman" w:hAnsi="Times New Roman"/>
          <w:b/>
        </w:rPr>
      </w:pPr>
      <w:r w:rsidRPr="009C2ADD">
        <w:rPr>
          <w:rFonts w:ascii="Times New Roman" w:hAnsi="Times New Roman"/>
          <w:b/>
        </w:rPr>
        <w:t xml:space="preserve">2.4 </w:t>
      </w:r>
      <w:r w:rsidRPr="009C2ADD">
        <w:rPr>
          <w:rFonts w:ascii="Times New Roman" w:hAnsi="Times New Roman"/>
          <w:b/>
        </w:rPr>
        <w:tab/>
        <w:t>Reports from regional fisheries bodies and other organizations</w:t>
      </w:r>
    </w:p>
    <w:p w14:paraId="62E01591" w14:textId="77777777" w:rsidR="0088767C" w:rsidRPr="009C2ADD" w:rsidRDefault="0088767C" w:rsidP="009C2ADD">
      <w:pPr>
        <w:pStyle w:val="WCPFC"/>
        <w:numPr>
          <w:ilvl w:val="0"/>
          <w:numId w:val="0"/>
        </w:numPr>
        <w:adjustRightInd w:val="0"/>
        <w:spacing w:after="0"/>
        <w:rPr>
          <w:b/>
        </w:rPr>
      </w:pPr>
    </w:p>
    <w:p w14:paraId="694DB3D4" w14:textId="056D6E5C" w:rsidR="00C529CB" w:rsidRPr="009C2ADD" w:rsidRDefault="0088767C" w:rsidP="009C2ADD">
      <w:pPr>
        <w:pStyle w:val="WCPFC"/>
        <w:adjustRightInd w:val="0"/>
        <w:spacing w:after="0"/>
      </w:pPr>
      <w:bookmarkStart w:id="87" w:name="_Toc491850304"/>
      <w:bookmarkStart w:id="88" w:name="_Toc491851813"/>
      <w:r w:rsidRPr="009C2ADD">
        <w:t xml:space="preserve">No </w:t>
      </w:r>
      <w:r w:rsidR="00DA7AC9" w:rsidRPr="009C2ADD">
        <w:t xml:space="preserve">reports were </w:t>
      </w:r>
      <w:r w:rsidRPr="009C2ADD">
        <w:t>made under this agenda item.</w:t>
      </w:r>
    </w:p>
    <w:p w14:paraId="42D5303F" w14:textId="77777777" w:rsidR="0088767C" w:rsidRPr="009C2ADD" w:rsidRDefault="0088767C" w:rsidP="009C2ADD">
      <w:pPr>
        <w:pStyle w:val="Heading1"/>
        <w:adjustRightInd w:val="0"/>
        <w:snapToGrid w:val="0"/>
        <w:rPr>
          <w:rFonts w:ascii="Times New Roman" w:hAnsi="Times New Roman"/>
          <w:sz w:val="22"/>
          <w:szCs w:val="22"/>
        </w:rPr>
      </w:pPr>
    </w:p>
    <w:p w14:paraId="69CAD8A0" w14:textId="77777777" w:rsidR="0088767C" w:rsidRPr="009C2ADD" w:rsidRDefault="0088767C" w:rsidP="009C2ADD">
      <w:pPr>
        <w:adjustRightInd w:val="0"/>
        <w:snapToGrid w:val="0"/>
        <w:spacing w:after="0"/>
        <w:rPr>
          <w:rFonts w:ascii="Times New Roman" w:hAnsi="Times New Roman"/>
          <w:lang w:val="en-AU"/>
        </w:rPr>
      </w:pPr>
    </w:p>
    <w:p w14:paraId="0338341B" w14:textId="77777777" w:rsidR="004F2646" w:rsidRPr="009C2ADD" w:rsidRDefault="004F2646" w:rsidP="009C2ADD">
      <w:pPr>
        <w:pStyle w:val="Heading1"/>
        <w:adjustRightInd w:val="0"/>
        <w:snapToGrid w:val="0"/>
        <w:rPr>
          <w:rFonts w:ascii="Times New Roman" w:hAnsi="Times New Roman"/>
          <w:sz w:val="22"/>
          <w:szCs w:val="22"/>
        </w:rPr>
      </w:pPr>
      <w:r w:rsidRPr="009C2ADD">
        <w:rPr>
          <w:rFonts w:ascii="Times New Roman" w:hAnsi="Times New Roman"/>
          <w:sz w:val="22"/>
          <w:szCs w:val="22"/>
        </w:rPr>
        <w:t>AGENDA ITEM 3 – Data and Statistics</w:t>
      </w:r>
      <w:bookmarkEnd w:id="87"/>
      <w:bookmarkEnd w:id="88"/>
    </w:p>
    <w:p w14:paraId="1E3394D3" w14:textId="77777777" w:rsidR="003D4C86" w:rsidRPr="009C2ADD" w:rsidRDefault="003D4C86" w:rsidP="009C2ADD">
      <w:pPr>
        <w:adjustRightInd w:val="0"/>
        <w:snapToGrid w:val="0"/>
        <w:spacing w:after="0"/>
        <w:rPr>
          <w:rFonts w:ascii="Times New Roman" w:hAnsi="Times New Roman"/>
          <w:lang w:val="en-AU" w:eastAsia="ja-JP"/>
        </w:rPr>
      </w:pPr>
    </w:p>
    <w:p w14:paraId="64F8C134" w14:textId="77777777" w:rsidR="00C529CB" w:rsidRPr="009C2ADD" w:rsidRDefault="00C529CB" w:rsidP="009C2ADD">
      <w:pPr>
        <w:adjustRightInd w:val="0"/>
        <w:snapToGrid w:val="0"/>
        <w:spacing w:after="0"/>
        <w:rPr>
          <w:rFonts w:ascii="Times New Roman" w:hAnsi="Times New Roman"/>
          <w:lang w:val="en-AU" w:eastAsia="ja-JP"/>
        </w:rPr>
      </w:pPr>
    </w:p>
    <w:p w14:paraId="1CC4C8BB" w14:textId="522F64E3" w:rsidR="00123214" w:rsidRPr="009C2ADD" w:rsidRDefault="004F2646" w:rsidP="009C2ADD">
      <w:pPr>
        <w:pStyle w:val="Heading2"/>
        <w:adjustRightInd w:val="0"/>
        <w:snapToGrid w:val="0"/>
        <w:rPr>
          <w:color w:val="auto"/>
          <w:szCs w:val="22"/>
        </w:rPr>
      </w:pPr>
      <w:bookmarkStart w:id="89" w:name="_Toc491851814"/>
      <w:r w:rsidRPr="009C2ADD">
        <w:rPr>
          <w:color w:val="auto"/>
          <w:szCs w:val="22"/>
        </w:rPr>
        <w:t xml:space="preserve">3.1 </w:t>
      </w:r>
      <w:r w:rsidR="00DA7AC9" w:rsidRPr="009C2ADD">
        <w:rPr>
          <w:color w:val="auto"/>
          <w:szCs w:val="22"/>
        </w:rPr>
        <w:tab/>
      </w:r>
      <w:r w:rsidRPr="009C2ADD">
        <w:rPr>
          <w:color w:val="auto"/>
          <w:szCs w:val="22"/>
        </w:rPr>
        <w:t>Data gaps</w:t>
      </w:r>
      <w:bookmarkEnd w:id="89"/>
      <w:r w:rsidRPr="009C2ADD">
        <w:rPr>
          <w:color w:val="auto"/>
          <w:szCs w:val="22"/>
        </w:rPr>
        <w:t xml:space="preserve"> </w:t>
      </w:r>
    </w:p>
    <w:p w14:paraId="3618C507" w14:textId="77777777" w:rsidR="00C529CB" w:rsidRPr="009C2ADD" w:rsidRDefault="00C529CB" w:rsidP="009C2ADD">
      <w:pPr>
        <w:adjustRightInd w:val="0"/>
        <w:snapToGrid w:val="0"/>
        <w:spacing w:after="0"/>
        <w:rPr>
          <w:rFonts w:ascii="Times New Roman" w:hAnsi="Times New Roman"/>
          <w:lang w:eastAsia="ja-JP"/>
        </w:rPr>
      </w:pPr>
    </w:p>
    <w:p w14:paraId="494DE84C" w14:textId="7F3E2B68" w:rsidR="004F2646" w:rsidRPr="009C2ADD" w:rsidRDefault="00123214"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3.1.1 </w:t>
      </w:r>
      <w:r w:rsidR="00DA7AC9" w:rsidRPr="009C2ADD">
        <w:rPr>
          <w:rFonts w:ascii="Times New Roman" w:hAnsi="Times New Roman" w:cs="Times New Roman"/>
        </w:rPr>
        <w:tab/>
      </w:r>
      <w:r w:rsidR="004F2646" w:rsidRPr="009C2ADD">
        <w:rPr>
          <w:rFonts w:ascii="Times New Roman" w:hAnsi="Times New Roman" w:cs="Times New Roman"/>
        </w:rPr>
        <w:t>Data gaps of the Commission</w:t>
      </w:r>
    </w:p>
    <w:p w14:paraId="699FF930" w14:textId="77777777" w:rsidR="00123214" w:rsidRPr="009C2ADD" w:rsidRDefault="00123214" w:rsidP="009C2ADD">
      <w:pPr>
        <w:adjustRightInd w:val="0"/>
        <w:snapToGrid w:val="0"/>
        <w:spacing w:after="0"/>
        <w:rPr>
          <w:rFonts w:ascii="Times New Roman" w:hAnsi="Times New Roman"/>
        </w:rPr>
      </w:pPr>
    </w:p>
    <w:p w14:paraId="4CD57530"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considered, commented, and where relevant, recommended actions on how to address any identified data gaps in the data holdings of the Commission. </w:t>
      </w:r>
    </w:p>
    <w:p w14:paraId="28808CE7"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7183AD26" w14:textId="4062B996" w:rsidR="00C529CB" w:rsidRPr="009C2ADD" w:rsidRDefault="004F2646" w:rsidP="009C2ADD">
      <w:pPr>
        <w:numPr>
          <w:ilvl w:val="0"/>
          <w:numId w:val="1"/>
        </w:numPr>
        <w:autoSpaceDE w:val="0"/>
        <w:autoSpaceDN w:val="0"/>
        <w:adjustRightInd w:val="0"/>
        <w:snapToGrid w:val="0"/>
        <w:spacing w:after="0"/>
        <w:ind w:left="0" w:firstLine="0"/>
        <w:rPr>
          <w:rFonts w:ascii="Times New Roman" w:hAnsi="Times New Roman"/>
        </w:rPr>
      </w:pPr>
      <w:r w:rsidRPr="009C2ADD">
        <w:rPr>
          <w:rFonts w:ascii="Times New Roman" w:hAnsi="Times New Roman"/>
          <w:lang w:val="en-AU"/>
        </w:rPr>
        <w:t>P</w:t>
      </w:r>
      <w:r w:rsidR="0050437C">
        <w:rPr>
          <w:rFonts w:ascii="Times New Roman" w:hAnsi="Times New Roman" w:hint="eastAsia"/>
          <w:lang w:val="en-AU" w:eastAsia="ko-KR"/>
        </w:rPr>
        <w:t>.</w:t>
      </w:r>
      <w:r w:rsidRPr="009C2ADD">
        <w:rPr>
          <w:rFonts w:ascii="Times New Roman" w:hAnsi="Times New Roman"/>
          <w:lang w:val="en-AU"/>
        </w:rPr>
        <w:t xml:space="preserve"> Williams (SPC) presented </w:t>
      </w:r>
      <w:r w:rsidRPr="0070772D">
        <w:rPr>
          <w:rFonts w:ascii="Times New Roman" w:hAnsi="Times New Roman"/>
          <w:bCs/>
          <w:lang w:val="en-AU"/>
        </w:rPr>
        <w:t>SC13-ST-WP-01</w:t>
      </w:r>
      <w:r w:rsidRPr="009C2ADD">
        <w:rPr>
          <w:rFonts w:ascii="Times New Roman" w:hAnsi="Times New Roman"/>
          <w:lang w:val="en-AU"/>
        </w:rPr>
        <w:t xml:space="preserve"> </w:t>
      </w:r>
      <w:r w:rsidRPr="009C2ADD">
        <w:rPr>
          <w:rFonts w:ascii="Times New Roman" w:hAnsi="Times New Roman"/>
          <w:i/>
          <w:lang w:val="en-AU"/>
        </w:rPr>
        <w:t>Scientific data available to the Western and Central Pacific Fisheries Commission</w:t>
      </w:r>
      <w:r w:rsidRPr="009C2ADD">
        <w:rPr>
          <w:rFonts w:ascii="Times New Roman" w:hAnsi="Times New Roman"/>
          <w:lang w:val="en-AU"/>
        </w:rPr>
        <w:t>. Regarding the submission of 2016 fishery data, all CCMs with fleets active in the WCPFC Convention Area provided 2016 annual catch estimates by deadline of the 30th April 2017, a significant achievement. The issues previously reported in annual catch estimates had further reduced and the lack of any estimates for key shark species remained the main gap for certain CCMs. The timeliness of the provision of aggregate catch/effort data continued to improve and for the first time, all CCMs provided their 2016 data by the deadline of 30th April 2017. The quality of aggregate data provided also continued to improve with a reduction in the number of data-gap notes assigned to the aggregate data in recent years. Remaining issues included the reporting of key shark species catches for some CCMs and the reporting of longline catch in number for one CCM. Main developments in the resolution of operational data gaps over the past year were the provision of 2016 operational data for the Indone</w:t>
      </w:r>
      <w:r w:rsidR="009C216F" w:rsidRPr="009C2ADD">
        <w:rPr>
          <w:rFonts w:ascii="Times New Roman" w:hAnsi="Times New Roman"/>
          <w:lang w:val="en-AU"/>
        </w:rPr>
        <w:t xml:space="preserve">sia tuna fleets (longline, pole and </w:t>
      </w:r>
      <w:r w:rsidRPr="009C2ADD">
        <w:rPr>
          <w:rFonts w:ascii="Times New Roman" w:hAnsi="Times New Roman"/>
          <w:lang w:val="en-AU"/>
        </w:rPr>
        <w:t xml:space="preserve">line and purse seine) for the first time, and the provision of operational data for the Chinese Taipei longline fleet, with advice that their domestic legal constraints which prevented them from submitting in the past have been resolved. The continued provision of operational data for the Japanese, Chinese and Korean tuna fleets was also noteworthy. The UNDP-funded Sustainable Management of Highly Migratory Fish Stocks in the West Pacific and East Asian Seas (WPEA–SM) project would terminate this year, with a new WPEA project supported by New Zealand scheduled to commence later this year. These projects contributed WCPFC technical assistance to the Philippines, Indonesia and Vietnam to, </w:t>
      </w:r>
      <w:r w:rsidRPr="0070772D">
        <w:rPr>
          <w:rFonts w:ascii="Times New Roman" w:hAnsi="Times New Roman"/>
          <w:i/>
          <w:lang w:val="en-AU"/>
        </w:rPr>
        <w:t>inter alia</w:t>
      </w:r>
      <w:r w:rsidRPr="009C2ADD">
        <w:rPr>
          <w:rFonts w:ascii="Times New Roman" w:hAnsi="Times New Roman"/>
          <w:lang w:val="en-AU"/>
        </w:rPr>
        <w:t xml:space="preserve">, </w:t>
      </w:r>
      <w:proofErr w:type="gramStart"/>
      <w:r w:rsidRPr="009C2ADD">
        <w:rPr>
          <w:rFonts w:ascii="Times New Roman" w:hAnsi="Times New Roman"/>
          <w:lang w:val="en-AU"/>
        </w:rPr>
        <w:t>improve</w:t>
      </w:r>
      <w:proofErr w:type="gramEnd"/>
      <w:r w:rsidRPr="009C2ADD">
        <w:rPr>
          <w:rFonts w:ascii="Times New Roman" w:hAnsi="Times New Roman"/>
          <w:lang w:val="en-AU"/>
        </w:rPr>
        <w:t xml:space="preserve"> monitoring and data management of their domestic fisheries. There had been good progress in the collection and provision of data from each of these countries i</w:t>
      </w:r>
      <w:r w:rsidR="00C529CB" w:rsidRPr="009C2ADD">
        <w:rPr>
          <w:rFonts w:ascii="Times New Roman" w:hAnsi="Times New Roman"/>
          <w:lang w:val="en-AU"/>
        </w:rPr>
        <w:t xml:space="preserve">n recent years. </w:t>
      </w:r>
    </w:p>
    <w:p w14:paraId="1F06D86E" w14:textId="77777777" w:rsidR="00C529CB" w:rsidRDefault="00C529CB" w:rsidP="009C2ADD">
      <w:pPr>
        <w:autoSpaceDE w:val="0"/>
        <w:autoSpaceDN w:val="0"/>
        <w:adjustRightInd w:val="0"/>
        <w:snapToGrid w:val="0"/>
        <w:spacing w:after="0"/>
        <w:rPr>
          <w:rFonts w:ascii="Times New Roman" w:hAnsi="Times New Roman"/>
          <w:lang w:eastAsia="ko-KR"/>
        </w:rPr>
      </w:pPr>
    </w:p>
    <w:p w14:paraId="2254DB02" w14:textId="591DCCA3" w:rsidR="00223D03" w:rsidRPr="0070772D" w:rsidRDefault="00223D03" w:rsidP="009C2ADD">
      <w:pPr>
        <w:autoSpaceDE w:val="0"/>
        <w:autoSpaceDN w:val="0"/>
        <w:adjustRightInd w:val="0"/>
        <w:snapToGrid w:val="0"/>
        <w:spacing w:after="0"/>
        <w:rPr>
          <w:rFonts w:ascii="Times New Roman" w:hAnsi="Times New Roman"/>
          <w:b/>
          <w:lang w:eastAsia="ko-KR"/>
        </w:rPr>
      </w:pPr>
      <w:r w:rsidRPr="0070772D">
        <w:rPr>
          <w:rFonts w:ascii="Times New Roman" w:hAnsi="Times New Roman"/>
          <w:b/>
          <w:lang w:eastAsia="ko-KR"/>
        </w:rPr>
        <w:t>Discussion</w:t>
      </w:r>
    </w:p>
    <w:p w14:paraId="2C62B33F" w14:textId="77777777" w:rsidR="00223D03" w:rsidRPr="009C2ADD" w:rsidRDefault="00223D03" w:rsidP="009C2ADD">
      <w:pPr>
        <w:autoSpaceDE w:val="0"/>
        <w:autoSpaceDN w:val="0"/>
        <w:adjustRightInd w:val="0"/>
        <w:snapToGrid w:val="0"/>
        <w:spacing w:after="0"/>
        <w:rPr>
          <w:rFonts w:ascii="Times New Roman" w:hAnsi="Times New Roman"/>
          <w:lang w:eastAsia="ko-KR"/>
        </w:rPr>
      </w:pPr>
    </w:p>
    <w:p w14:paraId="231D78E5" w14:textId="63967B58"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rPr>
      </w:pPr>
      <w:r w:rsidRPr="009C2ADD">
        <w:rPr>
          <w:rFonts w:ascii="Times New Roman" w:hAnsi="Times New Roman"/>
        </w:rPr>
        <w:t>SC13 was invited to consider and comment on the following four points:</w:t>
      </w:r>
    </w:p>
    <w:p w14:paraId="54E0F783" w14:textId="77777777" w:rsidR="004F2646" w:rsidRPr="009C2ADD" w:rsidRDefault="004F2646" w:rsidP="009C2ADD">
      <w:pPr>
        <w:numPr>
          <w:ilvl w:val="0"/>
          <w:numId w:val="3"/>
        </w:numPr>
        <w:adjustRightInd w:val="0"/>
        <w:snapToGrid w:val="0"/>
        <w:spacing w:after="0"/>
        <w:ind w:left="1321" w:hanging="357"/>
        <w:rPr>
          <w:rFonts w:ascii="Times New Roman" w:hAnsi="Times New Roman"/>
        </w:rPr>
      </w:pPr>
      <w:r w:rsidRPr="009C2ADD">
        <w:rPr>
          <w:rFonts w:ascii="Times New Roman" w:hAnsi="Times New Roman"/>
        </w:rPr>
        <w:t>Establishing a project with a targeted approach to addressing the current gaps in conversion factor data;</w:t>
      </w:r>
    </w:p>
    <w:p w14:paraId="55843DC5" w14:textId="77777777" w:rsidR="004F2646" w:rsidRPr="009C2ADD" w:rsidRDefault="004F2646" w:rsidP="009C2ADD">
      <w:pPr>
        <w:numPr>
          <w:ilvl w:val="0"/>
          <w:numId w:val="3"/>
        </w:numPr>
        <w:adjustRightInd w:val="0"/>
        <w:snapToGrid w:val="0"/>
        <w:spacing w:after="0"/>
        <w:ind w:left="1321" w:hanging="357"/>
        <w:rPr>
          <w:rFonts w:ascii="Times New Roman" w:hAnsi="Times New Roman"/>
        </w:rPr>
      </w:pPr>
      <w:r w:rsidRPr="009C2ADD">
        <w:rPr>
          <w:rFonts w:ascii="Times New Roman" w:hAnsi="Times New Roman"/>
        </w:rPr>
        <w:t>Enhancing the scientific data provision guidelines to include the provision of discard estimates in number of individuals for the longline fishery;</w:t>
      </w:r>
    </w:p>
    <w:p w14:paraId="4D429EF5" w14:textId="77777777" w:rsidR="004F2646" w:rsidRPr="009C2ADD" w:rsidRDefault="004F2646" w:rsidP="009C2ADD">
      <w:pPr>
        <w:numPr>
          <w:ilvl w:val="0"/>
          <w:numId w:val="3"/>
        </w:numPr>
        <w:adjustRightInd w:val="0"/>
        <w:snapToGrid w:val="0"/>
        <w:spacing w:after="0"/>
        <w:ind w:left="1321" w:hanging="357"/>
        <w:rPr>
          <w:rFonts w:ascii="Times New Roman" w:hAnsi="Times New Roman"/>
        </w:rPr>
      </w:pPr>
      <w:r w:rsidRPr="009C2ADD">
        <w:rPr>
          <w:rFonts w:ascii="Times New Roman" w:hAnsi="Times New Roman"/>
        </w:rPr>
        <w:t>How E-Monitoring data should be dealt with in the WCPFC context, specifically in regards to ROP longline coverage;</w:t>
      </w:r>
    </w:p>
    <w:p w14:paraId="0FD90887" w14:textId="77777777" w:rsidR="004F2646" w:rsidRPr="009C2ADD" w:rsidRDefault="004F2646" w:rsidP="009C2ADD">
      <w:pPr>
        <w:numPr>
          <w:ilvl w:val="0"/>
          <w:numId w:val="3"/>
        </w:numPr>
        <w:adjustRightInd w:val="0"/>
        <w:snapToGrid w:val="0"/>
        <w:spacing w:after="0"/>
        <w:ind w:left="1321" w:hanging="357"/>
        <w:rPr>
          <w:rFonts w:ascii="Times New Roman" w:hAnsi="Times New Roman"/>
        </w:rPr>
      </w:pPr>
      <w:r w:rsidRPr="009C2ADD">
        <w:rPr>
          <w:rFonts w:ascii="Times New Roman" w:hAnsi="Times New Roman"/>
        </w:rPr>
        <w:t>A plan to enhance the set of WCPFC public domain data available on the WCPFC web site.</w:t>
      </w:r>
    </w:p>
    <w:p w14:paraId="64A9B84B" w14:textId="77777777" w:rsidR="00C529CB" w:rsidRPr="009C2ADD" w:rsidRDefault="00C529CB" w:rsidP="009C2ADD">
      <w:pPr>
        <w:adjustRightInd w:val="0"/>
        <w:snapToGrid w:val="0"/>
        <w:spacing w:after="0"/>
        <w:ind w:left="1321"/>
        <w:rPr>
          <w:rFonts w:ascii="Times New Roman" w:hAnsi="Times New Roman"/>
        </w:rPr>
      </w:pPr>
    </w:p>
    <w:p w14:paraId="1428EF9F" w14:textId="26767E52"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 Williams further noted that in response to an </w:t>
      </w:r>
      <w:r w:rsidRPr="009C2ADD">
        <w:rPr>
          <w:rFonts w:ascii="Times New Roman" w:hAnsi="Times New Roman"/>
          <w:i/>
          <w:lang w:val="en-AU"/>
        </w:rPr>
        <w:t>SC12 recommendation that the Scientific Services Provider calculate annual coefficients of variation (CVs) for various taxa collected from longline observer data for 2013, 2014 and 2015, and present this information to SC13</w:t>
      </w:r>
      <w:r w:rsidRPr="009C2ADD">
        <w:rPr>
          <w:rFonts w:ascii="Times New Roman" w:hAnsi="Times New Roman"/>
          <w:lang w:val="en-AU"/>
        </w:rPr>
        <w:t xml:space="preserve">, the information presented showed that observer data coverage was currently not sufficient to accurately determine catch estimates of species not adequately reported on logbooks. </w:t>
      </w:r>
    </w:p>
    <w:p w14:paraId="5E100842"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017D72AB"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 Williams further noted that CCMs would be required to submit the estimates of discards/releases from 2018 onwards, but that from a practical perspective, discards in number was more appropriate than in weight for the longline fishery, and was also consistent with relevant CMM reporting obligations. </w:t>
      </w:r>
    </w:p>
    <w:p w14:paraId="7FAF7E6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4A4BDAC"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welcomed this presentation and noted it was pleased to provide detailed information, however, it did</w:t>
      </w:r>
      <w:r w:rsidR="009C216F" w:rsidRPr="009C2ADD">
        <w:rPr>
          <w:rFonts w:ascii="Times New Roman" w:hAnsi="Times New Roman"/>
          <w:lang w:val="en-AU"/>
        </w:rPr>
        <w:t xml:space="preserve"> not have logbook data for pole and </w:t>
      </w:r>
      <w:r w:rsidRPr="009C2ADD">
        <w:rPr>
          <w:rFonts w:ascii="Times New Roman" w:hAnsi="Times New Roman"/>
          <w:lang w:val="en-AU"/>
        </w:rPr>
        <w:t xml:space="preserve">line vessels prior to 1972 and coastal longline prior to 1974, so did not consider that was a data gap for the purpose of this report. Japan requested this gap be removed from the report for next year. </w:t>
      </w:r>
    </w:p>
    <w:p w14:paraId="056305A5"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F0D481F" w14:textId="2AD8C690"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United States thanked </w:t>
      </w:r>
      <w:r w:rsidR="00D5432C">
        <w:rPr>
          <w:rFonts w:ascii="Times New Roman" w:hAnsi="Times New Roman"/>
          <w:lang w:val="en-AU"/>
        </w:rPr>
        <w:t>member</w:t>
      </w:r>
      <w:r w:rsidRPr="009C2ADD">
        <w:rPr>
          <w:rFonts w:ascii="Times New Roman" w:hAnsi="Times New Roman"/>
          <w:lang w:val="en-AU"/>
        </w:rPr>
        <w:t>s for reducing gaps and for submitting data on time, noting that gaps have also been reduced due to flag state resolution of domestic legal constraints. In response to a question regarding the methodology used to model the operational and aggregate longline data gap average, SPC clarified that annual catch estimates were compared with operational data provided to calculate the percentage coverage. The United States suggested that future work to calculate annual coefficients of variation for the CPUE data for taxa collected from longline observer data should consider sampling without replacement and the use of absolute error instead of relative error particularly for rare species.</w:t>
      </w:r>
    </w:p>
    <w:p w14:paraId="174D754B"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B94D45C" w14:textId="371FF4DA"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Kiribati on behalf of FFA </w:t>
      </w:r>
      <w:r w:rsidR="00D5432C">
        <w:rPr>
          <w:rFonts w:ascii="Times New Roman" w:hAnsi="Times New Roman"/>
          <w:lang w:val="en-AU"/>
        </w:rPr>
        <w:t>member</w:t>
      </w:r>
      <w:r w:rsidRPr="009C2ADD">
        <w:rPr>
          <w:rFonts w:ascii="Times New Roman" w:hAnsi="Times New Roman"/>
          <w:lang w:val="en-AU"/>
        </w:rPr>
        <w:t xml:space="preserve">s thanked SPC for the useful and insightful update of the Commission’s data holdings. FFA </w:t>
      </w:r>
      <w:r w:rsidR="00D5432C">
        <w:rPr>
          <w:rFonts w:ascii="Times New Roman" w:hAnsi="Times New Roman"/>
          <w:lang w:val="en-AU"/>
        </w:rPr>
        <w:t>member</w:t>
      </w:r>
      <w:r w:rsidRPr="009C2ADD">
        <w:rPr>
          <w:rFonts w:ascii="Times New Roman" w:hAnsi="Times New Roman"/>
          <w:lang w:val="en-AU"/>
        </w:rPr>
        <w:t xml:space="preserve">s were pleased with the continued commitment by CCMs on steps taken to improve the provision of operational data to the Commission. In particular, they commended Indonesia for providing its available data, and also Chinese-Taipei for addressing their domestic legal constraints for operational data provision. Regarding the proposed work to establish a dedicated project to improve conversion factors for bycatch and shark species, in principle FFA </w:t>
      </w:r>
      <w:r w:rsidR="00D5432C">
        <w:rPr>
          <w:rFonts w:ascii="Times New Roman" w:hAnsi="Times New Roman"/>
          <w:lang w:val="en-AU"/>
        </w:rPr>
        <w:t>member</w:t>
      </w:r>
      <w:r w:rsidRPr="009C2ADD">
        <w:rPr>
          <w:rFonts w:ascii="Times New Roman" w:hAnsi="Times New Roman"/>
          <w:lang w:val="en-AU"/>
        </w:rPr>
        <w:t xml:space="preserve">s were supportive of this work. However, they note several streams of work that could potentially be aligned with this need. The trial port coordinators programme could have provided the necessary resources to bolster national programmes and contribute to this need, and elements of Project 35b through the biological sampling undertaken through observer providers may also be used to improve this data gap. It would be useful to further discuss where existing, and other potential WCPFC initiatives could address this gap. </w:t>
      </w:r>
    </w:p>
    <w:p w14:paraId="4A5E4D55"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7A39414"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noted that the report found China’s operational data coverage had improved from 2015 – but that the coverage for 2016 was recorded at about 90% and asked the Science Service Provider to verify that figure as they did not believe their coverage was that high. </w:t>
      </w:r>
    </w:p>
    <w:p w14:paraId="33930EED"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974A81F" w14:textId="60011973"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Fiji on behalf of FFA members drew attention to the development of annual catch estimates and Part 1 reports by FFA </w:t>
      </w:r>
      <w:r w:rsidR="00D5432C">
        <w:rPr>
          <w:rFonts w:ascii="Times New Roman" w:hAnsi="Times New Roman"/>
          <w:lang w:val="en-AU"/>
        </w:rPr>
        <w:t>member</w:t>
      </w:r>
      <w:r w:rsidRPr="009C2ADD">
        <w:rPr>
          <w:rFonts w:ascii="Times New Roman" w:hAnsi="Times New Roman"/>
          <w:lang w:val="en-AU"/>
        </w:rPr>
        <w:t xml:space="preserve">s which were supported through activities like the SPC facilitated ‘Tuna Data Workshop’. It provided the necessary assistance and training to build and improve technical capacity for data management and analysis within their national administrations. They thanked the Commission for its financial support through the ‘Regional Capacity Building Workshops’ fund, and requested that the SC recommend to the Commission that it continue to provide this support to the SIDS. </w:t>
      </w:r>
    </w:p>
    <w:p w14:paraId="2818157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B627378"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Regarding discards, Australia asked if the Commission was using a general definition for discards and a guide for CCMs when reporting this information as it was likely that some ‘no discards’ reporting was not quite accurate. P. Williams agreed and was not aware of any clear definition and further noted that the definition of release was also relevant. </w:t>
      </w:r>
    </w:p>
    <w:p w14:paraId="1A43D449"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AF4A401" w14:textId="253A2AD8"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relation to section 2.4 of </w:t>
      </w:r>
      <w:r w:rsidR="002505B5" w:rsidRPr="009C2ADD">
        <w:rPr>
          <w:rFonts w:ascii="Times New Roman" w:hAnsi="Times New Roman"/>
          <w:lang w:val="en-AU"/>
        </w:rPr>
        <w:t>ST-</w:t>
      </w:r>
      <w:r w:rsidRPr="009C2ADD">
        <w:rPr>
          <w:rFonts w:ascii="Times New Roman" w:hAnsi="Times New Roman"/>
          <w:lang w:val="en-AU"/>
        </w:rPr>
        <w:t xml:space="preserve">WP-01, Tonga on behalf of FFA </w:t>
      </w:r>
      <w:r w:rsidR="00D5432C">
        <w:rPr>
          <w:rFonts w:ascii="Times New Roman" w:hAnsi="Times New Roman"/>
          <w:lang w:val="en-AU"/>
        </w:rPr>
        <w:t>member</w:t>
      </w:r>
      <w:r w:rsidRPr="009C2ADD">
        <w:rPr>
          <w:rFonts w:ascii="Times New Roman" w:hAnsi="Times New Roman"/>
          <w:lang w:val="en-AU"/>
        </w:rPr>
        <w:t>s supported the standardisation of discard/release estimates by reporting in metric tons, and for the longline fishery to also include estimates by number of individuals discarded or released. Tonga suggested that the SC recommend that this be included in an update of the ‘Scientific data to be provided to the Commission’.</w:t>
      </w:r>
    </w:p>
    <w:p w14:paraId="55BD7C6B"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64472EF" w14:textId="13BA714C"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Federated State</w:t>
      </w:r>
      <w:r w:rsidR="00030ABD">
        <w:rPr>
          <w:rFonts w:ascii="Times New Roman" w:hAnsi="Times New Roman" w:hint="eastAsia"/>
          <w:lang w:val="en-AU" w:eastAsia="ko-KR"/>
        </w:rPr>
        <w:t>s</w:t>
      </w:r>
      <w:r w:rsidRPr="009C2ADD">
        <w:rPr>
          <w:rFonts w:ascii="Times New Roman" w:hAnsi="Times New Roman"/>
          <w:lang w:val="en-AU"/>
        </w:rPr>
        <w:t xml:space="preserve"> of Micronesia noted that several FFA </w:t>
      </w:r>
      <w:r w:rsidR="00D5432C">
        <w:rPr>
          <w:rFonts w:ascii="Times New Roman" w:hAnsi="Times New Roman"/>
          <w:lang w:val="en-AU"/>
        </w:rPr>
        <w:t>member</w:t>
      </w:r>
      <w:r w:rsidRPr="009C2ADD">
        <w:rPr>
          <w:rFonts w:ascii="Times New Roman" w:hAnsi="Times New Roman"/>
          <w:lang w:val="en-AU"/>
        </w:rPr>
        <w:t xml:space="preserve">s were undertaking electronic monitoring trials, and were keen to see this contribute to, and improve the minimum ROP longline coverage requirements. However, a lot of work remains to be done nationally and sub-regionally to consider the application of EM for both scientific and compliance purposes. EM data cannot simply be translated to meet the ROP minimum data standards, but required a complete review of what data can be collected, and what other programmes may be used, or developed to complement scientific and ROP data needs. FSM noted its support for an EREM-IWG in 2018. FFA </w:t>
      </w:r>
      <w:r w:rsidR="00D5432C">
        <w:rPr>
          <w:rFonts w:ascii="Times New Roman" w:hAnsi="Times New Roman"/>
          <w:lang w:val="en-AU"/>
        </w:rPr>
        <w:t>member</w:t>
      </w:r>
      <w:r w:rsidRPr="009C2ADD">
        <w:rPr>
          <w:rFonts w:ascii="Times New Roman" w:hAnsi="Times New Roman"/>
          <w:lang w:val="en-AU"/>
        </w:rPr>
        <w:t>s fully support the use of emerging technologies to advance data and research needs, and continue to consider the work that human observers undertake in monit</w:t>
      </w:r>
      <w:r w:rsidR="00C01C73" w:rsidRPr="009C2ADD">
        <w:rPr>
          <w:rFonts w:ascii="Times New Roman" w:hAnsi="Times New Roman"/>
          <w:lang w:val="en-AU"/>
        </w:rPr>
        <w:t>oring and collecting vital data</w:t>
      </w:r>
      <w:r w:rsidRPr="009C2ADD">
        <w:rPr>
          <w:rFonts w:ascii="Times New Roman" w:hAnsi="Times New Roman"/>
          <w:lang w:val="en-AU"/>
        </w:rPr>
        <w:t xml:space="preserve"> invaluable. </w:t>
      </w:r>
    </w:p>
    <w:p w14:paraId="785F2F7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AFA19FB" w14:textId="030966CB"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EU noted </w:t>
      </w:r>
      <w:r w:rsidR="00F06518">
        <w:rPr>
          <w:rFonts w:ascii="Times New Roman" w:hAnsi="Times New Roman"/>
          <w:lang w:val="en-AU"/>
        </w:rPr>
        <w:t xml:space="preserve">that a part of </w:t>
      </w:r>
      <w:r w:rsidRPr="009C2ADD">
        <w:rPr>
          <w:rFonts w:ascii="Times New Roman" w:hAnsi="Times New Roman"/>
          <w:lang w:val="en-AU"/>
        </w:rPr>
        <w:t xml:space="preserve">its longline fleet had not provided data related to numbers, only to weight but it was in the process of updating its electronic logbook to allow for that data. </w:t>
      </w:r>
      <w:r w:rsidR="00F06518">
        <w:rPr>
          <w:rFonts w:ascii="Times New Roman" w:hAnsi="Times New Roman"/>
          <w:lang w:val="en-AU"/>
        </w:rPr>
        <w:t>It also noted that this gap was unlikely to affect the stock assessment work.</w:t>
      </w:r>
      <w:r w:rsidRPr="009C2ADD">
        <w:rPr>
          <w:rFonts w:ascii="Times New Roman" w:hAnsi="Times New Roman"/>
          <w:lang w:val="en-AU"/>
        </w:rPr>
        <w:t xml:space="preserve"> </w:t>
      </w:r>
    </w:p>
    <w:p w14:paraId="64940284"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67C3A63F" w14:textId="13EAD112"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recognised the role that E-monitoring could play in counting towards ROP coverage, and </w:t>
      </w:r>
      <w:r w:rsidR="002505B5" w:rsidRPr="009C2ADD">
        <w:rPr>
          <w:rFonts w:ascii="Times New Roman" w:hAnsi="Times New Roman"/>
          <w:lang w:val="en-AU"/>
        </w:rPr>
        <w:t xml:space="preserve">also </w:t>
      </w:r>
      <w:r w:rsidRPr="009C2ADD">
        <w:rPr>
          <w:rFonts w:ascii="Times New Roman" w:hAnsi="Times New Roman"/>
          <w:lang w:val="en-AU"/>
        </w:rPr>
        <w:t xml:space="preserve">the comments from FSM. There was potential for E-Monitoring to fill data gaps, but there were also strengths and weaknesses compared to human observers. Australia strongly supported the reconvening of the WCPFC ERandEM Working Group (EREM-IWG) next year as it would help fulfil data needs of the Commission. </w:t>
      </w:r>
    </w:p>
    <w:p w14:paraId="0E5E1596"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7CDA6A9"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expressed practical difficulties in collecting discard weights, noted that estimating discards for longliners is challenging, and noted that estimating discards might require further study. </w:t>
      </w:r>
    </w:p>
    <w:p w14:paraId="1A90748A"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077F9131" w14:textId="13255C3F"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 Clarke (Secretariat) thanked the SPC for work undertaken to summarise the data gaps on sharks. Length-weight conversion factors were already available for all key shark species but further work could be done </w:t>
      </w:r>
      <w:r w:rsidR="002505B5" w:rsidRPr="009C2ADD">
        <w:rPr>
          <w:rFonts w:ascii="Times New Roman" w:hAnsi="Times New Roman"/>
          <w:lang w:val="en-AU"/>
        </w:rPr>
        <w:t>to refine</w:t>
      </w:r>
      <w:r w:rsidRPr="009C2ADD">
        <w:rPr>
          <w:rFonts w:ascii="Times New Roman" w:hAnsi="Times New Roman"/>
          <w:lang w:val="en-AU"/>
        </w:rPr>
        <w:t xml:space="preserve"> weight-weight conversions. SPC further clarified that weight to weight conversions had in the past been determined by observers that collected and kept processed parts of fish and taken </w:t>
      </w:r>
      <w:r w:rsidR="00030ABD">
        <w:rPr>
          <w:rFonts w:ascii="Times New Roman" w:hAnsi="Times New Roman" w:hint="eastAsia"/>
          <w:lang w:val="en-AU" w:eastAsia="ko-KR"/>
        </w:rPr>
        <w:t xml:space="preserve">them </w:t>
      </w:r>
      <w:r w:rsidRPr="009C2ADD">
        <w:rPr>
          <w:rFonts w:ascii="Times New Roman" w:hAnsi="Times New Roman"/>
          <w:lang w:val="en-AU"/>
        </w:rPr>
        <w:t xml:space="preserve">to shore for a full weight calculation. The idea was to extend this practice to other species if possible, which would require a more detailed discussion about how this could be done. </w:t>
      </w:r>
    </w:p>
    <w:p w14:paraId="7BCFD444"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3F1B894" w14:textId="02E6F016"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noted that conversation factors were important, </w:t>
      </w:r>
      <w:r w:rsidR="002505B5" w:rsidRPr="009C2ADD">
        <w:rPr>
          <w:rFonts w:ascii="Times New Roman" w:hAnsi="Times New Roman"/>
          <w:lang w:val="en-AU"/>
        </w:rPr>
        <w:t xml:space="preserve">and </w:t>
      </w:r>
      <w:r w:rsidRPr="009C2ADD">
        <w:rPr>
          <w:rFonts w:ascii="Times New Roman" w:hAnsi="Times New Roman"/>
          <w:lang w:val="en-AU"/>
        </w:rPr>
        <w:t xml:space="preserve">cautioned that in developing these conversion factors that every fleet has different processing practices so, and that this was an important project to support.  </w:t>
      </w:r>
    </w:p>
    <w:p w14:paraId="34C6C18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B42CCF3" w14:textId="77777777" w:rsidR="004F2646" w:rsidRPr="009C2ADD" w:rsidRDefault="004F264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Korea was supportive of coastal states and observer providers submitting observer data to the Secretariat. </w:t>
      </w:r>
    </w:p>
    <w:p w14:paraId="0D05A223"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CBD4F2F" w14:textId="77777777" w:rsidR="008D12C2" w:rsidRPr="009C2ADD" w:rsidRDefault="008D12C2"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conduct a gaps analysis and compile the requirements for enhancing conversion factor information required for future WCPFC work and present this information to SC14, including a proposal for how the gaps can be addressed. </w:t>
      </w:r>
    </w:p>
    <w:p w14:paraId="59BC4EC8"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45938DCC" w14:textId="77777777" w:rsidR="008D12C2" w:rsidRPr="009C2ADD" w:rsidRDefault="008D12C2"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 Provider review the importance and practicalities for including the provision of estimates of longline discards in number of individuals discarded/released in the “Scientific Data to be provided to the Commission”, with a definition for discards/releases, and report to SC14.  </w:t>
      </w:r>
    </w:p>
    <w:p w14:paraId="0570F1F6"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48B3AF23" w14:textId="729931CB" w:rsidR="008D12C2" w:rsidRPr="009C2ADD" w:rsidRDefault="008D12C2"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acknowledged the necessary assistance that the SPC-facilitated “Regional Tuna Data Workshop (TDW)” provides in building technical capacity for SID</w:t>
      </w:r>
      <w:r w:rsidR="00030ABD">
        <w:rPr>
          <w:rFonts w:ascii="Times New Roman" w:hAnsi="Times New Roman" w:hint="eastAsia"/>
          <w:b/>
          <w:lang w:val="en-AU" w:eastAsia="ko-KR"/>
        </w:rPr>
        <w:t>S</w:t>
      </w:r>
      <w:r w:rsidRPr="009C2ADD">
        <w:rPr>
          <w:rFonts w:ascii="Times New Roman" w:hAnsi="Times New Roman"/>
          <w:b/>
          <w:lang w:val="en-AU"/>
        </w:rPr>
        <w:t xml:space="preserve">, territories and developing states to produce annual catch estimates and Part 1 reports. SC13 recommended that the Commission continue to support SIDS, territories and developing states participation at future TDWs through the “Regional Capacity Building Workshops” fund. </w:t>
      </w:r>
    </w:p>
    <w:p w14:paraId="4F8D291B"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3052BE5D" w14:textId="77777777" w:rsidR="008D12C2" w:rsidRPr="009C2ADD" w:rsidRDefault="008D12C2"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proceed to enhance the set of WCPFC public domain data available on the WCPFC web site, with the assurance that the WCPFC rules for public domain data will be applied.</w:t>
      </w:r>
    </w:p>
    <w:p w14:paraId="715DB7CB" w14:textId="77777777" w:rsidR="001A60A2" w:rsidRPr="009C2ADD" w:rsidRDefault="001A60A2" w:rsidP="009C2ADD">
      <w:pPr>
        <w:pStyle w:val="WCPFC"/>
        <w:numPr>
          <w:ilvl w:val="0"/>
          <w:numId w:val="0"/>
        </w:numPr>
        <w:adjustRightInd w:val="0"/>
        <w:spacing w:after="0"/>
        <w:ind w:left="567"/>
        <w:rPr>
          <w:b/>
        </w:rPr>
      </w:pPr>
    </w:p>
    <w:p w14:paraId="3360E7EC" w14:textId="0F1437E9" w:rsidR="003B0643" w:rsidRPr="009C2ADD" w:rsidRDefault="00123214" w:rsidP="009C2ADD">
      <w:pPr>
        <w:pStyle w:val="Heading3"/>
        <w:adjustRightInd w:val="0"/>
        <w:snapToGrid w:val="0"/>
        <w:spacing w:before="0"/>
        <w:rPr>
          <w:rFonts w:ascii="Times New Roman" w:hAnsi="Times New Roman" w:cs="Times New Roman"/>
          <w:b w:val="0"/>
        </w:rPr>
      </w:pPr>
      <w:r w:rsidRPr="009C2ADD">
        <w:rPr>
          <w:rFonts w:ascii="Times New Roman" w:hAnsi="Times New Roman" w:cs="Times New Roman"/>
        </w:rPr>
        <w:t xml:space="preserve">3.1.2 </w:t>
      </w:r>
      <w:r w:rsidR="00DA7AC9" w:rsidRPr="009C2ADD">
        <w:rPr>
          <w:rFonts w:ascii="Times New Roman" w:hAnsi="Times New Roman" w:cs="Times New Roman"/>
        </w:rPr>
        <w:tab/>
      </w:r>
      <w:r w:rsidR="00FE4968" w:rsidRPr="009C2ADD">
        <w:rPr>
          <w:rFonts w:ascii="Times New Roman" w:hAnsi="Times New Roman" w:cs="Times New Roman"/>
        </w:rPr>
        <w:t xml:space="preserve">Species composition of purse </w:t>
      </w:r>
      <w:r w:rsidR="003B0643" w:rsidRPr="009C2ADD">
        <w:rPr>
          <w:rFonts w:ascii="Times New Roman" w:hAnsi="Times New Roman" w:cs="Times New Roman"/>
        </w:rPr>
        <w:t>seine catches (Project 60)</w:t>
      </w:r>
    </w:p>
    <w:p w14:paraId="27AE2845" w14:textId="77777777" w:rsidR="003B0643" w:rsidRPr="009C2ADD" w:rsidRDefault="003B0643" w:rsidP="009C2ADD">
      <w:pPr>
        <w:adjustRightInd w:val="0"/>
        <w:snapToGrid w:val="0"/>
        <w:spacing w:after="0"/>
        <w:ind w:left="720"/>
        <w:rPr>
          <w:rFonts w:ascii="Times New Roman" w:hAnsi="Times New Roman"/>
          <w:b/>
        </w:rPr>
      </w:pPr>
    </w:p>
    <w:p w14:paraId="5F4BA93E" w14:textId="0E75D238"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w:t>
      </w:r>
      <w:r w:rsidR="00960C2A">
        <w:rPr>
          <w:rFonts w:ascii="Times New Roman" w:hAnsi="Times New Roman"/>
          <w:lang w:val="en-AU"/>
        </w:rPr>
        <w:t>.</w:t>
      </w:r>
      <w:r w:rsidRPr="009C2ADD">
        <w:rPr>
          <w:rFonts w:ascii="Times New Roman" w:hAnsi="Times New Roman"/>
          <w:lang w:val="en-AU"/>
        </w:rPr>
        <w:t xml:space="preserve"> Peatman</w:t>
      </w:r>
      <w:r w:rsidR="00960C2A">
        <w:rPr>
          <w:rFonts w:ascii="Times New Roman" w:hAnsi="Times New Roman"/>
          <w:lang w:val="en-AU"/>
        </w:rPr>
        <w:t xml:space="preserve"> and N. Smith</w:t>
      </w:r>
      <w:r w:rsidRPr="009C2ADD">
        <w:rPr>
          <w:rFonts w:ascii="Times New Roman" w:hAnsi="Times New Roman"/>
          <w:lang w:val="en-AU"/>
        </w:rPr>
        <w:t xml:space="preserve"> (SPC) presented </w:t>
      </w:r>
      <w:r w:rsidRPr="0070772D">
        <w:rPr>
          <w:rFonts w:ascii="Times New Roman" w:hAnsi="Times New Roman"/>
          <w:bCs/>
          <w:lang w:val="en-AU"/>
        </w:rPr>
        <w:t>SC13-ST WP-02</w:t>
      </w:r>
      <w:r w:rsidRPr="009C2ADD">
        <w:rPr>
          <w:rFonts w:ascii="Times New Roman" w:hAnsi="Times New Roman"/>
          <w:lang w:val="en-AU"/>
        </w:rPr>
        <w:t xml:space="preserve">, </w:t>
      </w:r>
      <w:proofErr w:type="gramStart"/>
      <w:r w:rsidRPr="009C2ADD">
        <w:rPr>
          <w:rFonts w:ascii="Times New Roman" w:hAnsi="Times New Roman"/>
          <w:i/>
          <w:lang w:val="en-AU"/>
        </w:rPr>
        <w:t>Better</w:t>
      </w:r>
      <w:proofErr w:type="gramEnd"/>
      <w:r w:rsidRPr="009C2ADD">
        <w:rPr>
          <w:rFonts w:ascii="Times New Roman" w:hAnsi="Times New Roman"/>
          <w:i/>
          <w:lang w:val="en-AU"/>
        </w:rPr>
        <w:t xml:space="preserve"> purse seine catch composition estimates: recent progress and future work plan for Project 60</w:t>
      </w:r>
      <w:r w:rsidRPr="009C2ADD">
        <w:rPr>
          <w:rFonts w:ascii="Times New Roman" w:hAnsi="Times New Roman"/>
          <w:lang w:val="en-AU"/>
        </w:rPr>
        <w:t>, which summarised progress against the workplan for Project 60 endorsed by SC12, and a proposed workplan for 2017/18. The main activities undertaken between SC12 and SC13 were: comparisons of species composition estimates for paired grab/spill trips; an investigation of inter-brail layering by size; and, collaborative work between SPC and the Japanese National Research Institute of Far Seas Fisheries (reported in SC13-ST-WP-03). Comparisons of species compositions demonstrated that, at aggregate levels, spill sample derived estimates of species compositions were closest to estimates from in-port sampling or landings data. However, corrected grab sample derived estimates of species compositions were consistent with those from spill sampling, if both grab and spill samples were taken from the same sets. No clear evidence of systematic inter-brail layering by size was detected, with the exception of a weak increasing trend in bigeye size late in the brailing process of associated sets. However, spill samples demonstrated strong variation in size between sampled brails, which could introduce bias in observer-sampling based species composition estimates. A workplan and activities for 2017/18 were outlined, with reporting to SC14.</w:t>
      </w:r>
    </w:p>
    <w:p w14:paraId="756EBDE8" w14:textId="77777777" w:rsidR="00C529CB" w:rsidRDefault="00C529CB" w:rsidP="009C2ADD">
      <w:pPr>
        <w:autoSpaceDE w:val="0"/>
        <w:autoSpaceDN w:val="0"/>
        <w:adjustRightInd w:val="0"/>
        <w:snapToGrid w:val="0"/>
        <w:spacing w:after="0"/>
        <w:rPr>
          <w:rFonts w:ascii="Times New Roman" w:hAnsi="Times New Roman"/>
          <w:lang w:val="en-AU" w:eastAsia="ko-KR"/>
        </w:rPr>
      </w:pPr>
    </w:p>
    <w:p w14:paraId="6740799B" w14:textId="46C029F5" w:rsidR="00223D03" w:rsidRPr="0070772D" w:rsidRDefault="00223D03"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2F861AD5" w14:textId="77777777" w:rsidR="00223D03" w:rsidRPr="009C2ADD" w:rsidRDefault="00223D03" w:rsidP="009C2ADD">
      <w:pPr>
        <w:autoSpaceDE w:val="0"/>
        <w:autoSpaceDN w:val="0"/>
        <w:adjustRightInd w:val="0"/>
        <w:snapToGrid w:val="0"/>
        <w:spacing w:after="0"/>
        <w:rPr>
          <w:rFonts w:ascii="Times New Roman" w:hAnsi="Times New Roman"/>
          <w:lang w:val="en-AU" w:eastAsia="ko-KR"/>
        </w:rPr>
      </w:pPr>
    </w:p>
    <w:p w14:paraId="74A8A8FB" w14:textId="3B431358"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sought clarification on how SPC intended to trial E-monitoring for species composition analysis. SPC responded that there were a range of techniques, but cameras could be used to take images of fish as they move </w:t>
      </w:r>
      <w:r w:rsidR="006D317E" w:rsidRPr="009C2ADD">
        <w:rPr>
          <w:rFonts w:ascii="Times New Roman" w:hAnsi="Times New Roman"/>
          <w:lang w:val="en-AU"/>
        </w:rPr>
        <w:t xml:space="preserve">down conveyor belts. Assuming </w:t>
      </w:r>
      <w:r w:rsidRPr="009C2ADD">
        <w:rPr>
          <w:rFonts w:ascii="Times New Roman" w:hAnsi="Times New Roman"/>
          <w:lang w:val="en-AU"/>
        </w:rPr>
        <w:t xml:space="preserve">fish are </w:t>
      </w:r>
      <w:r w:rsidR="00960C2A">
        <w:rPr>
          <w:rFonts w:ascii="Times New Roman" w:hAnsi="Times New Roman"/>
          <w:lang w:val="en-AU"/>
        </w:rPr>
        <w:t>observed</w:t>
      </w:r>
      <w:r w:rsidR="00960C2A" w:rsidRPr="009C2ADD">
        <w:rPr>
          <w:rFonts w:ascii="Times New Roman" w:hAnsi="Times New Roman"/>
          <w:lang w:val="en-AU"/>
        </w:rPr>
        <w:t xml:space="preserve"> </w:t>
      </w:r>
      <w:r w:rsidRPr="009C2ADD">
        <w:rPr>
          <w:rFonts w:ascii="Times New Roman" w:hAnsi="Times New Roman"/>
          <w:lang w:val="en-AU"/>
        </w:rPr>
        <w:t xml:space="preserve">on the conveyor belt in </w:t>
      </w:r>
      <w:r w:rsidR="00960C2A">
        <w:rPr>
          <w:rFonts w:ascii="Times New Roman" w:hAnsi="Times New Roman"/>
          <w:lang w:val="en-AU"/>
        </w:rPr>
        <w:t>a single</w:t>
      </w:r>
      <w:r w:rsidR="00960C2A" w:rsidRPr="009C2ADD">
        <w:rPr>
          <w:rFonts w:ascii="Times New Roman" w:hAnsi="Times New Roman"/>
          <w:lang w:val="en-AU"/>
        </w:rPr>
        <w:t xml:space="preserve"> </w:t>
      </w:r>
      <w:r w:rsidRPr="009C2ADD">
        <w:rPr>
          <w:rFonts w:ascii="Times New Roman" w:hAnsi="Times New Roman"/>
          <w:lang w:val="en-AU"/>
        </w:rPr>
        <w:t xml:space="preserve">layer, an analysis could be done to determine species composition. </w:t>
      </w:r>
    </w:p>
    <w:p w14:paraId="0A85E5CD"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05678FE3" w14:textId="0ADEA46B"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United States noted the 11 potential projects after August 2017, and suggested prioritising these projects and identifying areas for collaboration. For example, the United States had a long history of port sampling in Pago Pago, American Samoa and it proposed collaboration with SPC to examine th</w:t>
      </w:r>
      <w:r w:rsidR="00432E20">
        <w:rPr>
          <w:rFonts w:ascii="Times New Roman" w:hAnsi="Times New Roman" w:hint="eastAsia"/>
          <w:lang w:val="en-AU" w:eastAsia="ko-KR"/>
        </w:rPr>
        <w:t>ese</w:t>
      </w:r>
      <w:r w:rsidRPr="009C2ADD">
        <w:rPr>
          <w:rFonts w:ascii="Times New Roman" w:hAnsi="Times New Roman"/>
          <w:lang w:val="en-AU"/>
        </w:rPr>
        <w:t xml:space="preserve"> data. SPC welcomed that collaboration, further noting that there were four prioritised projects in the presentation that would fit into additional analysis of existing data. </w:t>
      </w:r>
    </w:p>
    <w:p w14:paraId="6441857D"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81A1A0F" w14:textId="77777777" w:rsidR="00344A61"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recognized that Project 60 was an important project for WCPO and SPC for estimating catch of the biggest fishery in the region, but noted that this project had been ongoing for a long time. Japan asked if the 2016/17 research would provide more clarity on how much longer the project would need to last, given that the catch composition had already been estimated, and how would on-going work be used to improve that. </w:t>
      </w:r>
    </w:p>
    <w:p w14:paraId="776FEB3B" w14:textId="77777777" w:rsidR="00344A61" w:rsidRDefault="00344A61" w:rsidP="0070772D">
      <w:pPr>
        <w:pStyle w:val="ListParagraph"/>
        <w:rPr>
          <w:rFonts w:ascii="Times New Roman" w:hAnsi="Times New Roman"/>
          <w:lang w:val="en-AU"/>
        </w:rPr>
      </w:pPr>
    </w:p>
    <w:p w14:paraId="1BA02208" w14:textId="5272C217" w:rsidR="00344A61"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RMI</w:t>
      </w:r>
      <w:r w:rsidR="00344A61" w:rsidRPr="009C2ADD">
        <w:rPr>
          <w:rFonts w:ascii="Times New Roman" w:hAnsi="Times New Roman"/>
          <w:lang w:val="en-AU"/>
        </w:rPr>
        <w:t xml:space="preserve">, on behalf of FFA </w:t>
      </w:r>
      <w:r w:rsidR="00344A61">
        <w:rPr>
          <w:rFonts w:ascii="Times New Roman" w:hAnsi="Times New Roman"/>
          <w:lang w:val="en-AU"/>
        </w:rPr>
        <w:t>member</w:t>
      </w:r>
      <w:r w:rsidR="00344A61" w:rsidRPr="009C2ADD">
        <w:rPr>
          <w:rFonts w:ascii="Times New Roman" w:hAnsi="Times New Roman"/>
          <w:lang w:val="en-AU"/>
        </w:rPr>
        <w:t xml:space="preserve">s thanked all those involved in Project 60 to date for their work and for the preparation of the reports on recent progress. They noted the value of better species composition data to support ongoing stock assessment work. However, they sought to understand whether the rationale for the study in 2009, when the project began, was still valid and if it remained a priority for funding, noting that project was initially planned for a 1-year duration and that in recent years there has been increasing utility of landings data and improvements in e-monitoring for verification. As such, they questioned whether there was sufficient additional benefit from continuing the work, or whether the resources could be better spent on other priorities. FFA </w:t>
      </w:r>
      <w:r w:rsidR="00344A61">
        <w:rPr>
          <w:rFonts w:ascii="Times New Roman" w:hAnsi="Times New Roman"/>
          <w:lang w:val="en-AU"/>
        </w:rPr>
        <w:t>member</w:t>
      </w:r>
      <w:r w:rsidR="00344A61" w:rsidRPr="009C2ADD">
        <w:rPr>
          <w:rFonts w:ascii="Times New Roman" w:hAnsi="Times New Roman"/>
          <w:lang w:val="en-AU"/>
        </w:rPr>
        <w:t xml:space="preserve">s supported proposed trials of e-monitoring approaches in improving and validating species catch composition estimates but highlighted the need to ensure that trials were cost effective and ensured integration where possible with other </w:t>
      </w:r>
      <w:r w:rsidR="00344A61">
        <w:rPr>
          <w:rFonts w:ascii="Times New Roman" w:hAnsi="Times New Roman" w:hint="eastAsia"/>
          <w:lang w:val="en-AU" w:eastAsia="ko-KR"/>
        </w:rPr>
        <w:t>E</w:t>
      </w:r>
      <w:r w:rsidR="00344A61" w:rsidRPr="009C2ADD">
        <w:rPr>
          <w:rFonts w:ascii="Times New Roman" w:hAnsi="Times New Roman"/>
          <w:lang w:val="en-AU"/>
        </w:rPr>
        <w:t>-monitoring initiatives in order to reduce costs.</w:t>
      </w:r>
    </w:p>
    <w:p w14:paraId="69466073" w14:textId="77777777" w:rsidR="00344A61" w:rsidRDefault="00344A61" w:rsidP="0070772D">
      <w:pPr>
        <w:pStyle w:val="ListParagraph"/>
        <w:rPr>
          <w:rFonts w:ascii="Times New Roman" w:hAnsi="Times New Roman"/>
          <w:lang w:val="en-AU"/>
        </w:rPr>
      </w:pPr>
    </w:p>
    <w:p w14:paraId="71079DC0" w14:textId="7C079B7E"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SPC responded that one of the general findings from this year’s research was </w:t>
      </w:r>
      <w:r w:rsidR="00960C2A">
        <w:rPr>
          <w:rFonts w:ascii="Times New Roman" w:hAnsi="Times New Roman"/>
          <w:lang w:val="en-AU"/>
        </w:rPr>
        <w:t xml:space="preserve">the need for </w:t>
      </w:r>
      <w:r w:rsidR="00960C2A" w:rsidRPr="009C2ADD">
        <w:rPr>
          <w:rFonts w:ascii="Times New Roman" w:hAnsi="Times New Roman"/>
          <w:lang w:val="en-AU"/>
        </w:rPr>
        <w:t xml:space="preserve">ongoing </w:t>
      </w:r>
      <w:r w:rsidR="00960C2A">
        <w:rPr>
          <w:rFonts w:ascii="Times New Roman" w:hAnsi="Times New Roman"/>
          <w:lang w:val="en-AU"/>
        </w:rPr>
        <w:t xml:space="preserve">paired grab/spill sampling trips to allow more detailed analyses to be undertaken, for example looking at </w:t>
      </w:r>
      <w:r w:rsidR="00960C2A" w:rsidRPr="009C2ADD">
        <w:rPr>
          <w:rFonts w:ascii="Times New Roman" w:hAnsi="Times New Roman"/>
          <w:lang w:val="en-AU"/>
        </w:rPr>
        <w:t xml:space="preserve">temporal and spatial issues. </w:t>
      </w:r>
      <w:r w:rsidR="00960C2A">
        <w:rPr>
          <w:rFonts w:ascii="Times New Roman" w:hAnsi="Times New Roman"/>
          <w:lang w:val="en-AU"/>
        </w:rPr>
        <w:t xml:space="preserve">With the current levels of sampling, </w:t>
      </w:r>
      <w:r w:rsidR="00960C2A" w:rsidRPr="009C2ADD">
        <w:rPr>
          <w:rFonts w:ascii="Times New Roman" w:hAnsi="Times New Roman"/>
          <w:lang w:val="en-AU"/>
        </w:rPr>
        <w:t xml:space="preserve">it </w:t>
      </w:r>
      <w:r w:rsidR="00960C2A">
        <w:rPr>
          <w:rFonts w:ascii="Times New Roman" w:hAnsi="Times New Roman"/>
          <w:lang w:val="en-AU"/>
        </w:rPr>
        <w:t xml:space="preserve">is difficult to </w:t>
      </w:r>
      <w:r w:rsidRPr="009C2ADD">
        <w:rPr>
          <w:rFonts w:ascii="Times New Roman" w:hAnsi="Times New Roman"/>
          <w:lang w:val="en-AU"/>
        </w:rPr>
        <w:t>give a definitive time</w:t>
      </w:r>
      <w:r w:rsidR="00432E20">
        <w:rPr>
          <w:rFonts w:ascii="Times New Roman" w:hAnsi="Times New Roman" w:hint="eastAsia"/>
          <w:lang w:val="en-AU" w:eastAsia="ko-KR"/>
        </w:rPr>
        <w:t xml:space="preserve"> </w:t>
      </w:r>
      <w:r w:rsidRPr="009C2ADD">
        <w:rPr>
          <w:rFonts w:ascii="Times New Roman" w:hAnsi="Times New Roman"/>
          <w:lang w:val="en-AU"/>
        </w:rPr>
        <w:t xml:space="preserve">frame for the project. </w:t>
      </w:r>
    </w:p>
    <w:p w14:paraId="23B9AD32"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C73E47E" w14:textId="5AB5D74F" w:rsidR="003B0643" w:rsidRPr="009C2ADD" w:rsidRDefault="007E066D"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EU</w:t>
      </w:r>
      <w:r w:rsidR="003B0643" w:rsidRPr="009C2ADD">
        <w:rPr>
          <w:rFonts w:ascii="Times New Roman" w:hAnsi="Times New Roman"/>
          <w:lang w:val="en-AU"/>
        </w:rPr>
        <w:t xml:space="preserve"> asked if any comparison</w:t>
      </w:r>
      <w:r w:rsidR="00344A61">
        <w:rPr>
          <w:rFonts w:ascii="Times New Roman" w:hAnsi="Times New Roman"/>
          <w:lang w:val="en-AU"/>
        </w:rPr>
        <w:t>s</w:t>
      </w:r>
      <w:r w:rsidR="003B0643" w:rsidRPr="009C2ADD">
        <w:rPr>
          <w:rFonts w:ascii="Times New Roman" w:hAnsi="Times New Roman"/>
          <w:lang w:val="en-AU"/>
        </w:rPr>
        <w:t xml:space="preserve"> </w:t>
      </w:r>
      <w:r w:rsidR="00344A61">
        <w:rPr>
          <w:rFonts w:ascii="Times New Roman" w:hAnsi="Times New Roman"/>
          <w:lang w:val="en-AU"/>
        </w:rPr>
        <w:t xml:space="preserve">had been made with visual estimates of species compositions by </w:t>
      </w:r>
      <w:r w:rsidR="00344A61" w:rsidRPr="009C2ADD">
        <w:rPr>
          <w:rFonts w:ascii="Times New Roman" w:hAnsi="Times New Roman"/>
          <w:lang w:val="en-AU"/>
        </w:rPr>
        <w:t>observer</w:t>
      </w:r>
      <w:r w:rsidR="00344A61">
        <w:rPr>
          <w:rFonts w:ascii="Times New Roman" w:hAnsi="Times New Roman"/>
          <w:lang w:val="en-AU"/>
        </w:rPr>
        <w:t>s</w:t>
      </w:r>
      <w:r w:rsidR="003B0643" w:rsidRPr="009C2ADD">
        <w:rPr>
          <w:rFonts w:ascii="Times New Roman" w:hAnsi="Times New Roman"/>
          <w:lang w:val="en-AU"/>
        </w:rPr>
        <w:t xml:space="preserve">. SPC noted that </w:t>
      </w:r>
      <w:r w:rsidR="00344A61" w:rsidRPr="009C2ADD">
        <w:rPr>
          <w:rFonts w:ascii="Times New Roman" w:hAnsi="Times New Roman"/>
          <w:lang w:val="en-AU"/>
        </w:rPr>
        <w:t>th</w:t>
      </w:r>
      <w:r w:rsidR="00344A61">
        <w:rPr>
          <w:rFonts w:ascii="Times New Roman" w:hAnsi="Times New Roman"/>
          <w:lang w:val="en-AU"/>
        </w:rPr>
        <w:t>ese comparisons had not been undertaken in the work presented to SC13,</w:t>
      </w:r>
      <w:r w:rsidR="00344A61" w:rsidRPr="009C2ADD">
        <w:rPr>
          <w:rFonts w:ascii="Times New Roman" w:hAnsi="Times New Roman"/>
          <w:lang w:val="en-AU"/>
        </w:rPr>
        <w:t xml:space="preserve"> but </w:t>
      </w:r>
      <w:r w:rsidR="00344A61">
        <w:rPr>
          <w:rFonts w:ascii="Times New Roman" w:hAnsi="Times New Roman"/>
          <w:lang w:val="en-AU"/>
        </w:rPr>
        <w:t xml:space="preserve">had been looked at previously, and </w:t>
      </w:r>
      <w:r w:rsidR="00344A61" w:rsidRPr="009C2ADD">
        <w:rPr>
          <w:rFonts w:ascii="Times New Roman" w:hAnsi="Times New Roman"/>
          <w:lang w:val="en-AU"/>
        </w:rPr>
        <w:t xml:space="preserve">could be </w:t>
      </w:r>
      <w:r w:rsidR="00344A61">
        <w:rPr>
          <w:rFonts w:ascii="Times New Roman" w:hAnsi="Times New Roman"/>
          <w:lang w:val="en-AU"/>
        </w:rPr>
        <w:t xml:space="preserve">included in </w:t>
      </w:r>
      <w:r w:rsidR="003B0643" w:rsidRPr="009C2ADD">
        <w:rPr>
          <w:rFonts w:ascii="Times New Roman" w:hAnsi="Times New Roman"/>
          <w:lang w:val="en-AU"/>
        </w:rPr>
        <w:t xml:space="preserve">future work. The EU further noted it would be helpful to have this information to see if observers were getting correct estimates. </w:t>
      </w:r>
    </w:p>
    <w:p w14:paraId="25E6DFE1"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511765C" w14:textId="612E0DBB"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United States considered Project 60 a very important project, despite going on for </w:t>
      </w:r>
      <w:r w:rsidR="00643CDF" w:rsidRPr="009C2ADD">
        <w:rPr>
          <w:rFonts w:ascii="Times New Roman" w:hAnsi="Times New Roman"/>
          <w:lang w:val="en-AU"/>
        </w:rPr>
        <w:t>several</w:t>
      </w:r>
      <w:r w:rsidRPr="009C2ADD">
        <w:rPr>
          <w:rFonts w:ascii="Times New Roman" w:hAnsi="Times New Roman"/>
          <w:lang w:val="en-AU"/>
        </w:rPr>
        <w:t xml:space="preserve"> years. They suggested establishing a separate standalone project for E-Monitoring </w:t>
      </w:r>
      <w:r w:rsidR="002971C2">
        <w:rPr>
          <w:rFonts w:ascii="Times New Roman" w:hAnsi="Times New Roman"/>
          <w:lang w:val="en-AU"/>
        </w:rPr>
        <w:t xml:space="preserve">of </w:t>
      </w:r>
      <w:r w:rsidRPr="009C2ADD">
        <w:rPr>
          <w:rFonts w:ascii="Times New Roman" w:hAnsi="Times New Roman"/>
          <w:lang w:val="en-AU"/>
        </w:rPr>
        <w:t>the purse seine fishery as the technology was in its infancy and the project may require a number of years to fulfil.</w:t>
      </w:r>
    </w:p>
    <w:p w14:paraId="79B56C5C"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9F6974A" w14:textId="7385DE7D"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noted that purse-seine CCMs already provided operational data from this fishery, and asked if those data sets were examined for species composition. In response, T.</w:t>
      </w:r>
      <w:r w:rsidR="00643CDF" w:rsidRPr="009C2ADD">
        <w:rPr>
          <w:rFonts w:ascii="Times New Roman" w:hAnsi="Times New Roman"/>
          <w:lang w:val="en-AU"/>
        </w:rPr>
        <w:t xml:space="preserve"> </w:t>
      </w:r>
      <w:r w:rsidRPr="009C2ADD">
        <w:rPr>
          <w:rFonts w:ascii="Times New Roman" w:hAnsi="Times New Roman"/>
          <w:lang w:val="en-AU"/>
        </w:rPr>
        <w:t xml:space="preserve">Peatman clarified that part of the study involved </w:t>
      </w:r>
      <w:r w:rsidR="002971C2" w:rsidRPr="009C2ADD">
        <w:rPr>
          <w:rFonts w:ascii="Times New Roman" w:hAnsi="Times New Roman"/>
          <w:lang w:val="en-AU"/>
        </w:rPr>
        <w:t>compari</w:t>
      </w:r>
      <w:r w:rsidR="002971C2">
        <w:rPr>
          <w:rFonts w:ascii="Times New Roman" w:hAnsi="Times New Roman"/>
          <w:lang w:val="en-AU"/>
        </w:rPr>
        <w:t>sons of</w:t>
      </w:r>
      <w:r w:rsidR="002971C2" w:rsidRPr="009C2ADD">
        <w:rPr>
          <w:rFonts w:ascii="Times New Roman" w:hAnsi="Times New Roman"/>
          <w:lang w:val="en-AU"/>
        </w:rPr>
        <w:t xml:space="preserve"> </w:t>
      </w:r>
      <w:r w:rsidR="002971C2">
        <w:rPr>
          <w:rFonts w:ascii="Times New Roman" w:hAnsi="Times New Roman"/>
          <w:lang w:val="en-AU"/>
        </w:rPr>
        <w:t xml:space="preserve">species composition estimates on 21 paired grab spill trips based on a range of sources, which allowed direct </w:t>
      </w:r>
      <w:r w:rsidR="002971C2" w:rsidRPr="009C2ADD">
        <w:rPr>
          <w:rFonts w:ascii="Times New Roman" w:hAnsi="Times New Roman"/>
          <w:lang w:val="en-AU"/>
        </w:rPr>
        <w:t>compar</w:t>
      </w:r>
      <w:r w:rsidR="002971C2">
        <w:rPr>
          <w:rFonts w:ascii="Times New Roman" w:hAnsi="Times New Roman"/>
          <w:lang w:val="en-AU"/>
        </w:rPr>
        <w:t xml:space="preserve">ison of estimates from vessel logbook data with those from </w:t>
      </w:r>
      <w:r w:rsidR="002971C2" w:rsidRPr="009C2ADD">
        <w:rPr>
          <w:rFonts w:ascii="Times New Roman" w:hAnsi="Times New Roman"/>
          <w:lang w:val="en-AU"/>
        </w:rPr>
        <w:t xml:space="preserve">observer </w:t>
      </w:r>
      <w:r w:rsidR="002971C2">
        <w:rPr>
          <w:rFonts w:ascii="Times New Roman" w:hAnsi="Times New Roman"/>
          <w:lang w:val="en-AU"/>
        </w:rPr>
        <w:t>sampling, landings data and in-port sampling</w:t>
      </w:r>
      <w:r w:rsidR="002971C2" w:rsidRPr="009C2ADD">
        <w:rPr>
          <w:rFonts w:ascii="Times New Roman" w:hAnsi="Times New Roman"/>
          <w:lang w:val="en-AU"/>
        </w:rPr>
        <w:t xml:space="preserve">. </w:t>
      </w:r>
      <w:r w:rsidR="002971C2">
        <w:rPr>
          <w:rFonts w:ascii="Times New Roman" w:hAnsi="Times New Roman"/>
          <w:lang w:val="en-AU"/>
        </w:rPr>
        <w:t xml:space="preserve">China also asked whether data from paired grab/spill </w:t>
      </w:r>
      <w:r w:rsidR="003225B9">
        <w:rPr>
          <w:rFonts w:ascii="Times New Roman" w:hAnsi="Times New Roman"/>
          <w:lang w:val="en-AU"/>
        </w:rPr>
        <w:t>sampling</w:t>
      </w:r>
      <w:r w:rsidR="002971C2">
        <w:rPr>
          <w:rFonts w:ascii="Times New Roman" w:hAnsi="Times New Roman"/>
          <w:lang w:val="en-AU"/>
        </w:rPr>
        <w:t xml:space="preserve"> trips could be used to look at overall purse seine catch compositions, including bycatch. SPC noted that the objective of Project 60 is to support estimates of purse seine catches of tropical tuna species, i.e. skipjack, yellowfin and bigeye. Furthermore, bycatch species are not covered by the grab sampling protocol, though bycatch species may be covered by spill sampling if present in the spill sampling bin. As such, </w:t>
      </w:r>
      <w:r w:rsidR="002971C2" w:rsidRPr="009C2ADD">
        <w:rPr>
          <w:rFonts w:ascii="Times New Roman" w:hAnsi="Times New Roman"/>
          <w:lang w:val="en-AU"/>
        </w:rPr>
        <w:t xml:space="preserve">bycatch </w:t>
      </w:r>
      <w:r w:rsidR="002971C2">
        <w:rPr>
          <w:rFonts w:ascii="Times New Roman" w:hAnsi="Times New Roman"/>
          <w:lang w:val="en-AU"/>
        </w:rPr>
        <w:t>h</w:t>
      </w:r>
      <w:r w:rsidR="002971C2" w:rsidRPr="009C2ADD">
        <w:rPr>
          <w:rFonts w:ascii="Times New Roman" w:hAnsi="Times New Roman"/>
          <w:lang w:val="en-AU"/>
        </w:rPr>
        <w:t xml:space="preserve">as not </w:t>
      </w:r>
      <w:r w:rsidR="002971C2">
        <w:rPr>
          <w:rFonts w:ascii="Times New Roman" w:hAnsi="Times New Roman"/>
          <w:lang w:val="en-AU"/>
        </w:rPr>
        <w:t>been explored through Project 60</w:t>
      </w:r>
      <w:r w:rsidR="002971C2" w:rsidRPr="009C2ADD">
        <w:rPr>
          <w:rFonts w:ascii="Times New Roman" w:hAnsi="Times New Roman"/>
          <w:lang w:val="en-AU"/>
        </w:rPr>
        <w:t>.</w:t>
      </w:r>
    </w:p>
    <w:p w14:paraId="7E71247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416D311" w14:textId="3B51A6BE" w:rsidR="003B0643"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Taipei considered E-</w:t>
      </w:r>
      <w:r w:rsidR="00432E20">
        <w:rPr>
          <w:rFonts w:ascii="Times New Roman" w:hAnsi="Times New Roman" w:hint="eastAsia"/>
          <w:lang w:val="en-AU" w:eastAsia="ko-KR"/>
        </w:rPr>
        <w:t>m</w:t>
      </w:r>
      <w:r w:rsidRPr="009C2ADD">
        <w:rPr>
          <w:rFonts w:ascii="Times New Roman" w:hAnsi="Times New Roman"/>
          <w:lang w:val="en-AU"/>
        </w:rPr>
        <w:t>onitoring to be very important, but noted the Commission should develop minimum standard</w:t>
      </w:r>
      <w:r w:rsidR="00432E20">
        <w:rPr>
          <w:rFonts w:ascii="Times New Roman" w:hAnsi="Times New Roman" w:hint="eastAsia"/>
          <w:lang w:val="en-AU" w:eastAsia="ko-KR"/>
        </w:rPr>
        <w:t>s</w:t>
      </w:r>
      <w:r w:rsidRPr="009C2ADD">
        <w:rPr>
          <w:rFonts w:ascii="Times New Roman" w:hAnsi="Times New Roman"/>
          <w:lang w:val="en-AU"/>
        </w:rPr>
        <w:t xml:space="preserve"> first which could be incorporated into future projects.</w:t>
      </w:r>
    </w:p>
    <w:p w14:paraId="7663D1C9" w14:textId="77777777" w:rsidR="00432E20" w:rsidRPr="009C2ADD" w:rsidRDefault="00432E20" w:rsidP="00432E20">
      <w:pPr>
        <w:autoSpaceDE w:val="0"/>
        <w:autoSpaceDN w:val="0"/>
        <w:adjustRightInd w:val="0"/>
        <w:snapToGrid w:val="0"/>
        <w:spacing w:after="0"/>
        <w:rPr>
          <w:rFonts w:ascii="Times New Roman" w:hAnsi="Times New Roman"/>
          <w:lang w:val="en-AU"/>
        </w:rPr>
      </w:pPr>
    </w:p>
    <w:p w14:paraId="3AABFD35" w14:textId="467689EF"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Tom Peatman (SPC) and T. Matsumoto (Japan) presented </w:t>
      </w:r>
      <w:r w:rsidRPr="0070772D">
        <w:rPr>
          <w:rFonts w:ascii="Times New Roman" w:hAnsi="Times New Roman"/>
          <w:bCs/>
          <w:lang w:val="en-AU"/>
        </w:rPr>
        <w:t>SC13-ST-WP-03</w:t>
      </w:r>
      <w:r w:rsidRPr="009C2ADD">
        <w:rPr>
          <w:rFonts w:ascii="Times New Roman" w:hAnsi="Times New Roman"/>
          <w:lang w:val="en-AU"/>
        </w:rPr>
        <w:t xml:space="preserve">, </w:t>
      </w:r>
      <w:proofErr w:type="gramStart"/>
      <w:r w:rsidR="001559E1" w:rsidRPr="009C2ADD">
        <w:rPr>
          <w:rFonts w:ascii="Times New Roman" w:hAnsi="Times New Roman"/>
          <w:i/>
          <w:lang w:val="en-AU"/>
        </w:rPr>
        <w:t>Improving</w:t>
      </w:r>
      <w:proofErr w:type="gramEnd"/>
      <w:r w:rsidR="001559E1" w:rsidRPr="009C2ADD">
        <w:rPr>
          <w:rFonts w:ascii="Times New Roman" w:hAnsi="Times New Roman"/>
          <w:i/>
          <w:lang w:val="en-AU"/>
        </w:rPr>
        <w:t xml:space="preserve"> </w:t>
      </w:r>
      <w:r w:rsidRPr="009C2ADD">
        <w:rPr>
          <w:rFonts w:ascii="Times New Roman" w:hAnsi="Times New Roman"/>
          <w:i/>
          <w:lang w:val="en-AU"/>
        </w:rPr>
        <w:t>the quality of Japanese purse seine catch composition estimates: a Project 60 collaboration</w:t>
      </w:r>
      <w:r w:rsidRPr="009C2ADD">
        <w:rPr>
          <w:rFonts w:ascii="Times New Roman" w:hAnsi="Times New Roman"/>
          <w:lang w:val="en-AU"/>
        </w:rPr>
        <w:t>, which compared estimates of species and size compositions of catches by Japanese purse seiners, based on a range of data sources. For Japanese purse seiners, the fully enumerated landings slips dataset, corrected for misclassification of yellowfin and bigeye based on port sampling data (corrected landings data), likely gave the most accurate estimate of purse seine species compositions. At</w:t>
      </w:r>
      <w:r w:rsidR="00D8022F">
        <w:rPr>
          <w:rFonts w:ascii="Times New Roman" w:hAnsi="Times New Roman"/>
          <w:lang w:val="en-AU"/>
        </w:rPr>
        <w:t xml:space="preserve"> aggregated levels, grab sample</w:t>
      </w:r>
      <w:r w:rsidR="00D8022F">
        <w:rPr>
          <w:rFonts w:ascii="Times New Roman" w:hAnsi="Times New Roman" w:hint="eastAsia"/>
          <w:lang w:val="en-AU" w:eastAsia="ko-KR"/>
        </w:rPr>
        <w:t>-</w:t>
      </w:r>
      <w:r w:rsidRPr="009C2ADD">
        <w:rPr>
          <w:rFonts w:ascii="Times New Roman" w:hAnsi="Times New Roman"/>
          <w:lang w:val="en-AU"/>
        </w:rPr>
        <w:t>derived species compositions under-estimated skipjack by 2% and over-estimated yellowfin and bigeye by 16 and 8%</w:t>
      </w:r>
      <w:r w:rsidR="00432E20">
        <w:rPr>
          <w:rFonts w:ascii="Times New Roman" w:hAnsi="Times New Roman" w:hint="eastAsia"/>
          <w:lang w:val="en-AU" w:eastAsia="ko-KR"/>
        </w:rPr>
        <w:t>,</w:t>
      </w:r>
      <w:r w:rsidRPr="009C2ADD">
        <w:rPr>
          <w:rFonts w:ascii="Times New Roman" w:hAnsi="Times New Roman"/>
          <w:lang w:val="en-AU"/>
        </w:rPr>
        <w:t xml:space="preserve"> </w:t>
      </w:r>
      <w:r w:rsidR="00432E20">
        <w:rPr>
          <w:rFonts w:ascii="Times New Roman" w:hAnsi="Times New Roman" w:hint="eastAsia"/>
          <w:lang w:val="en-AU" w:eastAsia="ko-KR"/>
        </w:rPr>
        <w:t>r</w:t>
      </w:r>
      <w:r w:rsidRPr="009C2ADD">
        <w:rPr>
          <w:rFonts w:ascii="Times New Roman" w:hAnsi="Times New Roman"/>
          <w:lang w:val="en-AU"/>
        </w:rPr>
        <w:t>espectively. Correction of grab samples for grab selection bias increased the accuracy of species composition estimates, with bigeye overestimated by 3% and yellowfin underestimated by 3%. However, considerable variability in the accuracy of grab-sample based catch compositions was observed at the trip-level.</w:t>
      </w:r>
      <w:r w:rsidRPr="009C2ADD">
        <w:rPr>
          <w:rFonts w:ascii="Times New Roman" w:hAnsi="Times New Roman"/>
          <w:lang w:val="en-AU"/>
        </w:rPr>
        <w:tab/>
      </w:r>
    </w:p>
    <w:p w14:paraId="55921B10"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731D9F69" w14:textId="03143F2C" w:rsidR="003B0643"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United States had </w:t>
      </w:r>
      <w:r w:rsidR="00643CDF" w:rsidRPr="009C2ADD">
        <w:rPr>
          <w:rFonts w:ascii="Times New Roman" w:hAnsi="Times New Roman"/>
          <w:lang w:val="en-AU"/>
        </w:rPr>
        <w:t>several</w:t>
      </w:r>
      <w:r w:rsidRPr="009C2ADD">
        <w:rPr>
          <w:rFonts w:ascii="Times New Roman" w:hAnsi="Times New Roman"/>
          <w:lang w:val="en-AU"/>
        </w:rPr>
        <w:t xml:space="preserve"> questions regarding whether corrected grabs and corrected landings were fleet specific, and whether it was possible to undertake an annual resolution to see if results would be similar across the two methodologies. SPC noted that a comparison was possible at an annual resolution</w:t>
      </w:r>
      <w:r w:rsidR="001559E1" w:rsidRPr="009C2ADD">
        <w:rPr>
          <w:rFonts w:ascii="Times New Roman" w:hAnsi="Times New Roman"/>
          <w:lang w:val="en-AU"/>
        </w:rPr>
        <w:t xml:space="preserve">. </w:t>
      </w:r>
      <w:r w:rsidRPr="009C2ADD">
        <w:rPr>
          <w:rFonts w:ascii="Times New Roman" w:hAnsi="Times New Roman"/>
          <w:lang w:val="en-AU"/>
        </w:rPr>
        <w:t xml:space="preserve"> </w:t>
      </w:r>
    </w:p>
    <w:p w14:paraId="69B5000A"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2797215" w14:textId="4C967788" w:rsidR="004F2646" w:rsidRPr="009C2ADD" w:rsidRDefault="003B064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Taipei asked whether SPC used the corrected grab sampling estimates in the estimates provided in the Tuna Yearbook, and noted that the Tuna Yearbook does not reflect the catch estimates provided by the countries themselves.  SPC confirmed that the estimates in the Tuna Yearbook were corrected grab sampling estimates, and that SPC could provide separate information in the yearbook to differentiate catch provided by the members, as SPC stored the original estimates provided by countries.</w:t>
      </w:r>
    </w:p>
    <w:p w14:paraId="33B62574"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81A820C" w14:textId="77777777"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future work proposed by the Scientific Service Provider under Project 60 (Improving purse seine species composition) continue over the coming year with a report to SC14 and agreed that this work should continue in the medium-term subject to annual review. </w:t>
      </w:r>
    </w:p>
    <w:p w14:paraId="1EF0BA1E"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4BFBC7D9" w14:textId="77777777"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explore opportunities to undertake comprehensive comparisons of corrected grab sample based species compositions with accurate composition estimates from in-port sampling with other CCMs who hold the required data. </w:t>
      </w:r>
    </w:p>
    <w:p w14:paraId="4BEBBC93"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152EA03C" w14:textId="77777777"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trials of electronic monitoring based approaches to species composition estimation be undertaken in a separate project. </w:t>
      </w:r>
    </w:p>
    <w:p w14:paraId="10B6966B"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38C5CD74" w14:textId="77777777"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include the original purse seine tuna species catch estimates provided by CCMs in the WCPFC Tuna Fishery Yearbook. </w:t>
      </w:r>
    </w:p>
    <w:p w14:paraId="40036A23"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1767A2B3" w14:textId="77777777"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Scientific Services Provider be tasked with designing and co-ordinating the systematic collection of representative samples of length measurements of bycatch species. </w:t>
      </w:r>
    </w:p>
    <w:p w14:paraId="47B54A88" w14:textId="77777777" w:rsidR="00C529CB" w:rsidRPr="009C2ADD" w:rsidRDefault="00C529CB" w:rsidP="009C2ADD">
      <w:pPr>
        <w:autoSpaceDE w:val="0"/>
        <w:autoSpaceDN w:val="0"/>
        <w:adjustRightInd w:val="0"/>
        <w:snapToGrid w:val="0"/>
        <w:spacing w:after="0"/>
        <w:rPr>
          <w:rFonts w:ascii="Times New Roman" w:hAnsi="Times New Roman"/>
          <w:b/>
          <w:lang w:val="en-AU"/>
        </w:rPr>
      </w:pPr>
    </w:p>
    <w:p w14:paraId="7DD97268" w14:textId="71B55D1D" w:rsidR="00CA02FE" w:rsidRPr="009C2ADD" w:rsidRDefault="00CA02F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be tasked with a project to design and co-ordinate the systematic collection of length</w:t>
      </w:r>
      <w:proofErr w:type="gramStart"/>
      <w:r w:rsidRPr="009C2ADD">
        <w:rPr>
          <w:rFonts w:ascii="Times New Roman" w:hAnsi="Times New Roman"/>
          <w:b/>
          <w:lang w:val="en-AU"/>
        </w:rPr>
        <w:t>:length</w:t>
      </w:r>
      <w:proofErr w:type="gramEnd"/>
      <w:r w:rsidRPr="009C2ADD">
        <w:rPr>
          <w:rFonts w:ascii="Times New Roman" w:hAnsi="Times New Roman"/>
          <w:b/>
          <w:lang w:val="en-AU"/>
        </w:rPr>
        <w:t>, length:weight and weight:weight data on all species to better inform bycatch estimation.</w:t>
      </w:r>
    </w:p>
    <w:p w14:paraId="1A0707A1" w14:textId="77777777" w:rsidR="00D84364" w:rsidRPr="009C2ADD" w:rsidRDefault="00D84364" w:rsidP="009C2ADD">
      <w:pPr>
        <w:pStyle w:val="WCPFC"/>
        <w:numPr>
          <w:ilvl w:val="0"/>
          <w:numId w:val="0"/>
        </w:numPr>
        <w:adjustRightInd w:val="0"/>
        <w:spacing w:after="0"/>
        <w:ind w:left="567"/>
        <w:rPr>
          <w:b/>
        </w:rPr>
      </w:pPr>
    </w:p>
    <w:p w14:paraId="1ABC6B1B" w14:textId="15B1942E" w:rsidR="00D84364" w:rsidRPr="009C2ADD" w:rsidRDefault="00123214"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3.1.3 </w:t>
      </w:r>
      <w:r w:rsidR="00DA7AC9" w:rsidRPr="009C2ADD">
        <w:rPr>
          <w:rFonts w:ascii="Times New Roman" w:hAnsi="Times New Roman" w:cs="Times New Roman"/>
        </w:rPr>
        <w:tab/>
      </w:r>
      <w:r w:rsidR="00D84364" w:rsidRPr="009C2ADD">
        <w:rPr>
          <w:rFonts w:ascii="Times New Roman" w:hAnsi="Times New Roman" w:cs="Times New Roman"/>
        </w:rPr>
        <w:t>Potential use of cannery receipt data for the work of the WCPFC</w:t>
      </w:r>
    </w:p>
    <w:p w14:paraId="4965A674" w14:textId="77777777" w:rsidR="00D84364" w:rsidRPr="009C2ADD" w:rsidRDefault="00D84364" w:rsidP="009C2ADD">
      <w:pPr>
        <w:adjustRightInd w:val="0"/>
        <w:snapToGrid w:val="0"/>
        <w:spacing w:after="0"/>
        <w:ind w:left="720"/>
        <w:rPr>
          <w:rFonts w:ascii="Times New Roman" w:hAnsi="Times New Roman"/>
        </w:rPr>
      </w:pPr>
    </w:p>
    <w:p w14:paraId="5BAF7A18" w14:textId="6427BB4C" w:rsidR="00D84364" w:rsidRPr="009C2ADD" w:rsidRDefault="00D8436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K</w:t>
      </w:r>
      <w:r w:rsidR="003225B9">
        <w:rPr>
          <w:rFonts w:ascii="Times New Roman" w:hAnsi="Times New Roman"/>
          <w:lang w:val="en-AU"/>
        </w:rPr>
        <w:t>.</w:t>
      </w:r>
      <w:r w:rsidRPr="009C2ADD">
        <w:rPr>
          <w:rFonts w:ascii="Times New Roman" w:hAnsi="Times New Roman"/>
          <w:lang w:val="en-AU"/>
        </w:rPr>
        <w:t xml:space="preserve"> Bigelow (USA) presented </w:t>
      </w:r>
      <w:r w:rsidRPr="0070772D">
        <w:rPr>
          <w:rFonts w:ascii="Times New Roman" w:hAnsi="Times New Roman"/>
          <w:bCs/>
          <w:lang w:val="en-AU"/>
        </w:rPr>
        <w:t>SC13-ST-WP-04</w:t>
      </w:r>
      <w:r w:rsidRPr="009C2ADD">
        <w:rPr>
          <w:rFonts w:ascii="Times New Roman" w:hAnsi="Times New Roman"/>
          <w:lang w:val="en-AU"/>
        </w:rPr>
        <w:t xml:space="preserve">, </w:t>
      </w:r>
      <w:r w:rsidRPr="009C2ADD">
        <w:rPr>
          <w:rFonts w:ascii="Times New Roman" w:hAnsi="Times New Roman"/>
          <w:i/>
          <w:lang w:val="en-AU"/>
        </w:rPr>
        <w:t>Species composition in the USA purse seine fishery as estimated by Regional Purse Seine logsheets and Cannery Receipts</w:t>
      </w:r>
      <w:r w:rsidRPr="009C2ADD">
        <w:rPr>
          <w:rFonts w:ascii="Times New Roman" w:hAnsi="Times New Roman"/>
          <w:lang w:val="en-AU"/>
        </w:rPr>
        <w:t>, which provided a preliminary analysis on the potential use of cannery receipt data for estimating species composition in the USA western Pacific purse seine fishery. Total tuna catches recorded on logsheets by year were very close (0.5% more in 2014 and 2.8% more in 2015) to those shown by cannery receipts indicating that vessel operators accurately record total catches on daily logsheets. Species composition differed with cannery receipts having a lower percentage of skipjack and higher percentages of both yellowfin and bigeye tuna than reported on logsheets. Cannery data provide catch by species and size categories, and annual trends are illustrated for 2014 and 2015 for size categories of &lt;3 lb (&lt;1.4 kg), 3.0-7.5 lb (1.4-1.8 kg), 4.0-7.5 lb (1.8-3.4 kg), 7.5-20 lb (3.4-9.1 kg), and 20 lb and up (9 or 10 kg and up). Cannery catches for the USA western Pacific purse seine fleet were compared to SPC-OFP (2016) catch estimates which are conducted with a full species adjustment using observer sampling data corrected for grab sample selection. The SPC-OFP (2016) estimates were lower for skipjack and higher for yellowfin and bigeye tuna. Recommendations were provided to continue analyses with logsheet, observer, cannery, and port sampling data to provide robust estimates of purse catches of key tuna species in the western Pacific.</w:t>
      </w:r>
    </w:p>
    <w:p w14:paraId="5E0B9322" w14:textId="77777777" w:rsidR="00C529CB" w:rsidRPr="009C2ADD" w:rsidRDefault="00C529CB" w:rsidP="009C2ADD">
      <w:pPr>
        <w:pStyle w:val="Heading3"/>
        <w:adjustRightInd w:val="0"/>
        <w:snapToGrid w:val="0"/>
        <w:spacing w:before="0"/>
        <w:rPr>
          <w:rFonts w:ascii="Times New Roman" w:hAnsi="Times New Roman" w:cs="Times New Roman"/>
        </w:rPr>
      </w:pPr>
    </w:p>
    <w:p w14:paraId="75EBCF45" w14:textId="588E5478" w:rsidR="008215C5" w:rsidRPr="009C2ADD" w:rsidRDefault="00123214" w:rsidP="009C2ADD">
      <w:pPr>
        <w:pStyle w:val="Heading3"/>
        <w:adjustRightInd w:val="0"/>
        <w:snapToGrid w:val="0"/>
        <w:spacing w:before="0"/>
        <w:rPr>
          <w:rFonts w:ascii="Times New Roman" w:hAnsi="Times New Roman" w:cs="Times New Roman"/>
          <w:b w:val="0"/>
        </w:rPr>
      </w:pPr>
      <w:r w:rsidRPr="009C2ADD">
        <w:rPr>
          <w:rFonts w:ascii="Times New Roman" w:hAnsi="Times New Roman" w:cs="Times New Roman"/>
        </w:rPr>
        <w:t xml:space="preserve">3.1.4 </w:t>
      </w:r>
      <w:r w:rsidR="00DA7AC9" w:rsidRPr="009C2ADD">
        <w:rPr>
          <w:rFonts w:ascii="Times New Roman" w:hAnsi="Times New Roman" w:cs="Times New Roman"/>
        </w:rPr>
        <w:tab/>
      </w:r>
      <w:r w:rsidR="00CC2336" w:rsidRPr="009C2ADD">
        <w:rPr>
          <w:rFonts w:ascii="Times New Roman" w:hAnsi="Times New Roman" w:cs="Times New Roman"/>
        </w:rPr>
        <w:t xml:space="preserve">Estimates of purse </w:t>
      </w:r>
      <w:r w:rsidR="008215C5" w:rsidRPr="009C2ADD">
        <w:rPr>
          <w:rFonts w:ascii="Times New Roman" w:hAnsi="Times New Roman" w:cs="Times New Roman"/>
        </w:rPr>
        <w:t>seine fishery bycatch at a regional scale, 2003 – 2016</w:t>
      </w:r>
    </w:p>
    <w:p w14:paraId="727B8120" w14:textId="77777777" w:rsidR="00CA02FE" w:rsidRPr="009C2ADD" w:rsidRDefault="00CA02FE" w:rsidP="009C2ADD">
      <w:pPr>
        <w:pStyle w:val="WCPFC"/>
        <w:numPr>
          <w:ilvl w:val="0"/>
          <w:numId w:val="0"/>
        </w:numPr>
        <w:adjustRightInd w:val="0"/>
        <w:spacing w:after="0"/>
        <w:rPr>
          <w:b/>
        </w:rPr>
      </w:pPr>
    </w:p>
    <w:p w14:paraId="07159A98" w14:textId="204B343C"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w:t>
      </w:r>
      <w:r w:rsidR="00223D03">
        <w:rPr>
          <w:rFonts w:ascii="Times New Roman" w:hAnsi="Times New Roman" w:hint="eastAsia"/>
          <w:lang w:val="en-AU" w:eastAsia="ko-KR"/>
        </w:rPr>
        <w:t>.</w:t>
      </w:r>
      <w:r w:rsidRPr="009C2ADD">
        <w:rPr>
          <w:rFonts w:ascii="Times New Roman" w:hAnsi="Times New Roman"/>
          <w:lang w:val="en-AU"/>
        </w:rPr>
        <w:t xml:space="preserve"> Peatman (SPC) presented </w:t>
      </w:r>
      <w:r w:rsidRPr="0070772D">
        <w:rPr>
          <w:rFonts w:ascii="Times New Roman" w:hAnsi="Times New Roman"/>
          <w:bCs/>
          <w:lang w:val="en-AU"/>
        </w:rPr>
        <w:t>SC13-ST-WP-05</w:t>
      </w:r>
      <w:r w:rsidRPr="009C2ADD">
        <w:rPr>
          <w:rFonts w:ascii="Times New Roman" w:hAnsi="Times New Roman"/>
          <w:lang w:val="en-AU"/>
        </w:rPr>
        <w:t xml:space="preserve">, </w:t>
      </w:r>
      <w:r w:rsidRPr="009C2ADD">
        <w:rPr>
          <w:rFonts w:ascii="Times New Roman" w:hAnsi="Times New Roman"/>
          <w:i/>
          <w:lang w:val="en-AU"/>
        </w:rPr>
        <w:t>Summary of purse seine fishery bycatch at a regional scale, 2003-2016</w:t>
      </w:r>
      <w:r w:rsidRPr="009C2ADD">
        <w:rPr>
          <w:rFonts w:ascii="Times New Roman" w:hAnsi="Times New Roman"/>
          <w:lang w:val="en-AU"/>
        </w:rPr>
        <w:t xml:space="preserve">, which provided an overview of purse seine bycatch data held by SPC, and estimates of bycatch for the large-scale purse seine fleet for 2003 to 2016. Bycatch estimates were not made for purse seine fleets with no available SPC-held observer data, including smaller-scale purse seiners operating in the west of WCPFC’s convention area and purse seiners operating in temperate waters which account for less than 20% of reported purse seine catches. Bycatch estimates covered finfish, billfish, sharks, marine mammals and sea turtles. Bycatch rates for unobserved sets were estimated using statistical models and non-parametric bootstrap procedures. Rainbow runner, silky shark, oceanic triggerfish, mackerel scad and mahi-mahi were the most frequently observed bycatch species. Set association type had a strong effect on bycatch rates and compositions. The median estimated bycatch for large-scale purse seine fleets in 2016 were 5,600 </w:t>
      </w:r>
      <w:r w:rsidR="00140621">
        <w:rPr>
          <w:rFonts w:ascii="Times New Roman" w:hAnsi="Times New Roman" w:hint="eastAsia"/>
          <w:lang w:val="en-AU" w:eastAsia="ko-KR"/>
        </w:rPr>
        <w:t>mt</w:t>
      </w:r>
      <w:r w:rsidR="00140621" w:rsidRPr="009C2ADD">
        <w:rPr>
          <w:rFonts w:ascii="Times New Roman" w:hAnsi="Times New Roman"/>
          <w:lang w:val="en-AU"/>
        </w:rPr>
        <w:t xml:space="preserve"> </w:t>
      </w:r>
      <w:r w:rsidRPr="009C2ADD">
        <w:rPr>
          <w:rFonts w:ascii="Times New Roman" w:hAnsi="Times New Roman"/>
          <w:lang w:val="en-AU"/>
        </w:rPr>
        <w:t xml:space="preserve">of finfish, 5,900 specimens of billfish, 67,900 specimens of sharks, 330 specimens of marine mammals and 212 specimens of turtles. </w:t>
      </w:r>
      <w:r w:rsidR="00643CDF" w:rsidRPr="009C2ADD">
        <w:rPr>
          <w:rFonts w:ascii="Times New Roman" w:hAnsi="Times New Roman"/>
          <w:lang w:val="en-AU"/>
        </w:rPr>
        <w:t>Several</w:t>
      </w:r>
      <w:r w:rsidRPr="009C2ADD">
        <w:rPr>
          <w:rFonts w:ascii="Times New Roman" w:hAnsi="Times New Roman"/>
          <w:lang w:val="en-AU"/>
        </w:rPr>
        <w:t xml:space="preserve"> issues were encountered with the bycatch data held by SPC which complicated the interpretation and use of these data in bycatch estimation. A number of recommendations were made to address these issues, through improvements in data collection, processing and quality checks.</w:t>
      </w:r>
    </w:p>
    <w:p w14:paraId="7D18780F" w14:textId="77777777" w:rsidR="00C529CB" w:rsidRDefault="00C529CB" w:rsidP="009C2ADD">
      <w:pPr>
        <w:autoSpaceDE w:val="0"/>
        <w:autoSpaceDN w:val="0"/>
        <w:adjustRightInd w:val="0"/>
        <w:snapToGrid w:val="0"/>
        <w:spacing w:after="0"/>
        <w:rPr>
          <w:rFonts w:ascii="Times New Roman" w:hAnsi="Times New Roman"/>
          <w:lang w:val="en-AU" w:eastAsia="ko-KR"/>
        </w:rPr>
      </w:pPr>
    </w:p>
    <w:p w14:paraId="6744031A" w14:textId="51350ABE" w:rsidR="00223D03" w:rsidRPr="0070772D" w:rsidRDefault="00223D03"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3737F169" w14:textId="77777777" w:rsidR="00223D03" w:rsidRPr="009C2ADD" w:rsidRDefault="00223D03" w:rsidP="009C2ADD">
      <w:pPr>
        <w:autoSpaceDE w:val="0"/>
        <w:autoSpaceDN w:val="0"/>
        <w:adjustRightInd w:val="0"/>
        <w:snapToGrid w:val="0"/>
        <w:spacing w:after="0"/>
        <w:rPr>
          <w:rFonts w:ascii="Times New Roman" w:hAnsi="Times New Roman"/>
          <w:lang w:val="en-AU" w:eastAsia="ko-KR"/>
        </w:rPr>
      </w:pPr>
    </w:p>
    <w:p w14:paraId="62D87755" w14:textId="3717D05B"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Palau thanked SPC for producing a </w:t>
      </w:r>
      <w:r w:rsidR="00643CDF" w:rsidRPr="009C2ADD">
        <w:rPr>
          <w:rFonts w:ascii="Times New Roman" w:hAnsi="Times New Roman"/>
          <w:lang w:val="en-AU"/>
        </w:rPr>
        <w:t>high-quality</w:t>
      </w:r>
      <w:r w:rsidRPr="009C2ADD">
        <w:rPr>
          <w:rFonts w:ascii="Times New Roman" w:hAnsi="Times New Roman"/>
          <w:lang w:val="en-AU"/>
        </w:rPr>
        <w:t xml:space="preserve"> report. They asked if the results were consistent with information provided in the respective WCPFC Part 1 reports; which was more accurate; and whether a similar analysis could be applied to the longline fishery. In response, </w:t>
      </w:r>
      <w:r w:rsidR="00C07BD5">
        <w:rPr>
          <w:rFonts w:ascii="Times New Roman" w:hAnsi="Times New Roman"/>
          <w:lang w:val="en-AU"/>
        </w:rPr>
        <w:t>SPC responded</w:t>
      </w:r>
      <w:r w:rsidRPr="009C2ADD">
        <w:rPr>
          <w:rFonts w:ascii="Times New Roman" w:hAnsi="Times New Roman"/>
          <w:lang w:val="en-AU"/>
        </w:rPr>
        <w:t xml:space="preserve"> that it would be difficult to make direct comparison because of difficulties in disaggregating </w:t>
      </w:r>
      <w:r w:rsidR="00C07BD5">
        <w:rPr>
          <w:rFonts w:ascii="Times New Roman" w:hAnsi="Times New Roman"/>
          <w:lang w:val="en-AU"/>
        </w:rPr>
        <w:t xml:space="preserve">WCPFC Convention Area estimates in the study by </w:t>
      </w:r>
      <w:r w:rsidR="00C07BD5" w:rsidRPr="009C2ADD">
        <w:rPr>
          <w:rFonts w:ascii="Times New Roman" w:hAnsi="Times New Roman"/>
          <w:lang w:val="en-AU"/>
        </w:rPr>
        <w:t>flag, a</w:t>
      </w:r>
      <w:r w:rsidR="00C07BD5">
        <w:rPr>
          <w:rFonts w:ascii="Times New Roman" w:hAnsi="Times New Roman"/>
          <w:lang w:val="en-AU"/>
        </w:rPr>
        <w:t xml:space="preserve">s well as potential difficulties in </w:t>
      </w:r>
      <w:r w:rsidR="00C07BD5" w:rsidRPr="009C2ADD">
        <w:rPr>
          <w:rFonts w:ascii="Times New Roman" w:hAnsi="Times New Roman"/>
          <w:lang w:val="en-AU"/>
        </w:rPr>
        <w:t xml:space="preserve">reconciling </w:t>
      </w:r>
      <w:r w:rsidR="00C07BD5">
        <w:rPr>
          <w:rFonts w:ascii="Times New Roman" w:hAnsi="Times New Roman"/>
          <w:lang w:val="en-AU"/>
        </w:rPr>
        <w:t xml:space="preserve">estimates in </w:t>
      </w:r>
      <w:r w:rsidR="00C07BD5" w:rsidRPr="009C2ADD">
        <w:rPr>
          <w:rFonts w:ascii="Times New Roman" w:hAnsi="Times New Roman"/>
          <w:lang w:val="en-AU"/>
        </w:rPr>
        <w:t xml:space="preserve">weight </w:t>
      </w:r>
      <w:r w:rsidR="00C07BD5">
        <w:rPr>
          <w:rFonts w:ascii="Times New Roman" w:hAnsi="Times New Roman"/>
          <w:lang w:val="en-AU"/>
        </w:rPr>
        <w:t>and</w:t>
      </w:r>
      <w:r w:rsidR="00C07BD5" w:rsidRPr="009C2ADD">
        <w:rPr>
          <w:rFonts w:ascii="Times New Roman" w:hAnsi="Times New Roman"/>
          <w:lang w:val="en-AU"/>
        </w:rPr>
        <w:t xml:space="preserve"> number</w:t>
      </w:r>
      <w:r w:rsidRPr="009C2ADD">
        <w:rPr>
          <w:rFonts w:ascii="Times New Roman" w:hAnsi="Times New Roman"/>
          <w:lang w:val="en-AU"/>
        </w:rPr>
        <w:t xml:space="preserve">. </w:t>
      </w:r>
      <w:r w:rsidR="00C07BD5">
        <w:rPr>
          <w:rFonts w:ascii="Times New Roman" w:hAnsi="Times New Roman"/>
          <w:lang w:val="en-AU"/>
        </w:rPr>
        <w:t xml:space="preserve">SPC noted that a </w:t>
      </w:r>
      <w:r w:rsidRPr="009C2ADD">
        <w:rPr>
          <w:rFonts w:ascii="Times New Roman" w:hAnsi="Times New Roman"/>
          <w:lang w:val="en-AU"/>
        </w:rPr>
        <w:t>similar analysis is planned for the longline fishery in the future, though with some added complications with the comparatively low level of observer</w:t>
      </w:r>
      <w:r w:rsidR="00C07BD5">
        <w:rPr>
          <w:rFonts w:ascii="Times New Roman" w:hAnsi="Times New Roman" w:hint="eastAsia"/>
          <w:lang w:val="en-AU" w:eastAsia="ko-KR"/>
        </w:rPr>
        <w:t xml:space="preserve"> </w:t>
      </w:r>
      <w:r w:rsidR="00C07BD5">
        <w:rPr>
          <w:rFonts w:ascii="Times New Roman" w:hAnsi="Times New Roman"/>
          <w:lang w:val="en-AU"/>
        </w:rPr>
        <w:t>coverage</w:t>
      </w:r>
      <w:r w:rsidRPr="009C2ADD">
        <w:rPr>
          <w:rFonts w:ascii="Times New Roman" w:hAnsi="Times New Roman"/>
          <w:lang w:val="en-AU"/>
        </w:rPr>
        <w:t xml:space="preserve"> compared to the purse-seine </w:t>
      </w:r>
      <w:r w:rsidR="00C07BD5">
        <w:rPr>
          <w:rFonts w:ascii="Times New Roman" w:hAnsi="Times New Roman"/>
          <w:lang w:val="en-AU"/>
        </w:rPr>
        <w:t>fishery</w:t>
      </w:r>
      <w:r w:rsidRPr="009C2ADD">
        <w:rPr>
          <w:rFonts w:ascii="Times New Roman" w:hAnsi="Times New Roman"/>
          <w:lang w:val="en-AU"/>
        </w:rPr>
        <w:t xml:space="preserve">. </w:t>
      </w:r>
    </w:p>
    <w:p w14:paraId="01AD2C4E"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566E7F9" w14:textId="77777777"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United States thanked the SPC for this rigorous study and noted it was appreciative of the analysis.  </w:t>
      </w:r>
    </w:p>
    <w:p w14:paraId="0E9272BC"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7DE0B1A" w14:textId="291C2686"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3818E3">
        <w:rPr>
          <w:rFonts w:ascii="Times New Roman" w:hAnsi="Times New Roman" w:hint="eastAsia"/>
          <w:lang w:val="en-AU" w:eastAsia="ko-KR"/>
        </w:rPr>
        <w:t>.</w:t>
      </w:r>
      <w:r w:rsidRPr="009C2ADD">
        <w:rPr>
          <w:rFonts w:ascii="Times New Roman" w:hAnsi="Times New Roman"/>
          <w:lang w:val="en-AU"/>
        </w:rPr>
        <w:t xml:space="preserve"> Clarke (Secretariat) thanked SPC for this study, noted the importance of having high quality data for data analysis</w:t>
      </w:r>
      <w:r w:rsidR="003818E3">
        <w:rPr>
          <w:rFonts w:ascii="Times New Roman" w:hAnsi="Times New Roman" w:hint="eastAsia"/>
          <w:lang w:val="en-AU" w:eastAsia="ko-KR"/>
        </w:rPr>
        <w:t xml:space="preserve">. </w:t>
      </w:r>
      <w:r w:rsidR="003818E3">
        <w:rPr>
          <w:rFonts w:ascii="Times New Roman" w:hAnsi="Times New Roman"/>
          <w:lang w:val="en-AU"/>
        </w:rPr>
        <w:t>She</w:t>
      </w:r>
      <w:r w:rsidR="003818E3" w:rsidRPr="009C2ADD">
        <w:rPr>
          <w:rFonts w:ascii="Times New Roman" w:hAnsi="Times New Roman"/>
          <w:lang w:val="en-AU"/>
        </w:rPr>
        <w:t xml:space="preserve"> asked if there were any </w:t>
      </w:r>
      <w:r w:rsidR="003818E3">
        <w:rPr>
          <w:rFonts w:ascii="Times New Roman" w:hAnsi="Times New Roman"/>
          <w:lang w:val="en-AU"/>
        </w:rPr>
        <w:t xml:space="preserve">specific plans to progress the useful </w:t>
      </w:r>
      <w:r w:rsidR="003818E3" w:rsidRPr="009C2ADD">
        <w:rPr>
          <w:rFonts w:ascii="Times New Roman" w:hAnsi="Times New Roman"/>
          <w:lang w:val="en-AU"/>
        </w:rPr>
        <w:t xml:space="preserve">recommendations </w:t>
      </w:r>
      <w:r w:rsidR="003818E3">
        <w:rPr>
          <w:rFonts w:ascii="Times New Roman" w:hAnsi="Times New Roman"/>
          <w:lang w:val="en-AU"/>
        </w:rPr>
        <w:t xml:space="preserve">on data acquisition, processing and quality checks contained in the paper </w:t>
      </w:r>
      <w:r w:rsidR="003818E3" w:rsidRPr="009C2ADD">
        <w:rPr>
          <w:rFonts w:ascii="Times New Roman" w:hAnsi="Times New Roman"/>
          <w:lang w:val="en-AU"/>
        </w:rPr>
        <w:t xml:space="preserve">and </w:t>
      </w:r>
      <w:r w:rsidR="003818E3">
        <w:rPr>
          <w:rFonts w:ascii="Times New Roman" w:hAnsi="Times New Roman"/>
          <w:lang w:val="en-AU"/>
        </w:rPr>
        <w:t xml:space="preserve">if so </w:t>
      </w:r>
      <w:r w:rsidR="003818E3" w:rsidRPr="009C2ADD">
        <w:rPr>
          <w:rFonts w:ascii="Times New Roman" w:hAnsi="Times New Roman"/>
          <w:lang w:val="en-AU"/>
        </w:rPr>
        <w:t>whether any of these</w:t>
      </w:r>
      <w:r w:rsidR="003818E3">
        <w:rPr>
          <w:rFonts w:ascii="Times New Roman" w:hAnsi="Times New Roman" w:hint="eastAsia"/>
          <w:lang w:val="en-AU" w:eastAsia="ko-KR"/>
        </w:rPr>
        <w:t xml:space="preserve"> </w:t>
      </w:r>
      <w:r w:rsidRPr="009C2ADD">
        <w:rPr>
          <w:rFonts w:ascii="Times New Roman" w:hAnsi="Times New Roman"/>
          <w:lang w:val="en-AU"/>
        </w:rPr>
        <w:t>had cost implications.  T. Peatman noted some of the recommendations did have cost implications</w:t>
      </w:r>
      <w:r w:rsidR="00C07BD5">
        <w:rPr>
          <w:rFonts w:ascii="Times New Roman" w:hAnsi="Times New Roman"/>
          <w:lang w:val="en-AU"/>
        </w:rPr>
        <w:t xml:space="preserve">, whilst others </w:t>
      </w:r>
      <w:r w:rsidR="00C07BD5" w:rsidRPr="009C2ADD">
        <w:rPr>
          <w:rFonts w:ascii="Times New Roman" w:hAnsi="Times New Roman"/>
          <w:lang w:val="en-AU"/>
        </w:rPr>
        <w:t xml:space="preserve">related to continued improvement </w:t>
      </w:r>
      <w:r w:rsidR="00C07BD5">
        <w:rPr>
          <w:rFonts w:ascii="Times New Roman" w:hAnsi="Times New Roman"/>
          <w:lang w:val="en-AU"/>
        </w:rPr>
        <w:t xml:space="preserve">to how bycatch data are collected by observers and </w:t>
      </w:r>
      <w:r w:rsidRPr="009C2ADD">
        <w:rPr>
          <w:rFonts w:ascii="Times New Roman" w:hAnsi="Times New Roman"/>
          <w:lang w:val="en-AU"/>
        </w:rPr>
        <w:t xml:space="preserve">processed. </w:t>
      </w:r>
    </w:p>
    <w:p w14:paraId="26F845F7"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C5CE7DF" w14:textId="333C53CA"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 Clarke (Secretariat) drew attention to </w:t>
      </w:r>
      <w:r w:rsidR="003818E3">
        <w:rPr>
          <w:rFonts w:ascii="Times New Roman" w:hAnsi="Times New Roman"/>
          <w:lang w:val="en-AU"/>
        </w:rPr>
        <w:t xml:space="preserve">differences in </w:t>
      </w:r>
      <w:r w:rsidR="003818E3" w:rsidRPr="009C2ADD">
        <w:rPr>
          <w:rFonts w:ascii="Times New Roman" w:hAnsi="Times New Roman"/>
          <w:lang w:val="en-AU"/>
        </w:rPr>
        <w:t xml:space="preserve">silky shark </w:t>
      </w:r>
      <w:r w:rsidR="003818E3">
        <w:rPr>
          <w:rFonts w:ascii="Times New Roman" w:hAnsi="Times New Roman"/>
          <w:lang w:val="en-AU"/>
        </w:rPr>
        <w:t>catch estimates between this study and a previous study by Lawson (SC7-EB-IP-02)</w:t>
      </w:r>
      <w:r w:rsidR="003818E3" w:rsidRPr="009C2ADD">
        <w:rPr>
          <w:rFonts w:ascii="Times New Roman" w:hAnsi="Times New Roman"/>
          <w:lang w:val="en-AU"/>
        </w:rPr>
        <w:t xml:space="preserve"> </w:t>
      </w:r>
      <w:r w:rsidRPr="009C2ADD">
        <w:rPr>
          <w:rFonts w:ascii="Times New Roman" w:hAnsi="Times New Roman"/>
          <w:lang w:val="en-AU"/>
        </w:rPr>
        <w:t xml:space="preserve">that had been based on same data sets but produced quite different estimates, and asked if the SPC had any comments on methodology. </w:t>
      </w:r>
      <w:r w:rsidR="00461031">
        <w:rPr>
          <w:rFonts w:ascii="Times New Roman" w:hAnsi="Times New Roman"/>
          <w:lang w:val="en-AU"/>
        </w:rPr>
        <w:t xml:space="preserve">SPC </w:t>
      </w:r>
      <w:r w:rsidR="00461031" w:rsidRPr="009C2ADD">
        <w:rPr>
          <w:rFonts w:ascii="Times New Roman" w:hAnsi="Times New Roman"/>
          <w:lang w:val="en-AU"/>
        </w:rPr>
        <w:t xml:space="preserve">responded that </w:t>
      </w:r>
      <w:r w:rsidR="00461031">
        <w:rPr>
          <w:rFonts w:ascii="Times New Roman" w:hAnsi="Times New Roman"/>
          <w:lang w:val="en-AU"/>
        </w:rPr>
        <w:t xml:space="preserve">the analyses in </w:t>
      </w:r>
      <w:r w:rsidR="00461031">
        <w:rPr>
          <w:rFonts w:ascii="Times New Roman" w:hAnsi="Times New Roman" w:hint="eastAsia"/>
          <w:lang w:val="en-AU" w:eastAsia="ko-KR"/>
        </w:rPr>
        <w:t>SC13-</w:t>
      </w:r>
      <w:r w:rsidR="00461031" w:rsidRPr="00104C78">
        <w:rPr>
          <w:rFonts w:ascii="Times New Roman" w:hAnsi="Times New Roman"/>
          <w:lang w:val="en-AU"/>
        </w:rPr>
        <w:t xml:space="preserve">ST-WP-05 </w:t>
      </w:r>
      <w:r w:rsidR="00461031" w:rsidRPr="009C2ADD">
        <w:rPr>
          <w:rFonts w:ascii="Times New Roman" w:hAnsi="Times New Roman"/>
          <w:lang w:val="en-AU"/>
        </w:rPr>
        <w:t xml:space="preserve">benefited from </w:t>
      </w:r>
      <w:r w:rsidR="00461031">
        <w:rPr>
          <w:rFonts w:ascii="Times New Roman" w:hAnsi="Times New Roman"/>
          <w:lang w:val="en-AU"/>
        </w:rPr>
        <w:t xml:space="preserve">the large increase in </w:t>
      </w:r>
      <w:r w:rsidR="00461031" w:rsidRPr="009C2ADD">
        <w:rPr>
          <w:rFonts w:ascii="Times New Roman" w:hAnsi="Times New Roman"/>
          <w:lang w:val="en-AU"/>
        </w:rPr>
        <w:t xml:space="preserve">observer coverage </w:t>
      </w:r>
      <w:r w:rsidR="00461031">
        <w:rPr>
          <w:rFonts w:ascii="Times New Roman" w:hAnsi="Times New Roman"/>
          <w:lang w:val="en-AU"/>
        </w:rPr>
        <w:t xml:space="preserve">in </w:t>
      </w:r>
      <w:r w:rsidR="00461031" w:rsidRPr="009C2ADD">
        <w:rPr>
          <w:rFonts w:ascii="Times New Roman" w:hAnsi="Times New Roman"/>
          <w:lang w:val="en-AU"/>
        </w:rPr>
        <w:t xml:space="preserve">recent </w:t>
      </w:r>
      <w:r w:rsidR="00461031">
        <w:rPr>
          <w:rFonts w:ascii="Times New Roman" w:hAnsi="Times New Roman"/>
          <w:lang w:val="en-AU"/>
        </w:rPr>
        <w:t>years</w:t>
      </w:r>
      <w:r w:rsidR="00461031" w:rsidRPr="009C2ADD">
        <w:rPr>
          <w:rFonts w:ascii="Times New Roman" w:hAnsi="Times New Roman"/>
          <w:lang w:val="en-AU"/>
        </w:rPr>
        <w:t xml:space="preserve">. SPC </w:t>
      </w:r>
      <w:r w:rsidR="00461031">
        <w:rPr>
          <w:rFonts w:ascii="Times New Roman" w:hAnsi="Times New Roman"/>
          <w:lang w:val="en-AU"/>
        </w:rPr>
        <w:t xml:space="preserve">noted that a </w:t>
      </w:r>
      <w:r w:rsidR="00461031" w:rsidRPr="009C2ADD">
        <w:rPr>
          <w:rFonts w:ascii="Times New Roman" w:hAnsi="Times New Roman"/>
          <w:lang w:val="en-AU"/>
        </w:rPr>
        <w:t xml:space="preserve">consistent </w:t>
      </w:r>
      <w:r w:rsidR="00461031">
        <w:rPr>
          <w:rFonts w:ascii="Times New Roman" w:hAnsi="Times New Roman"/>
          <w:lang w:val="en-AU"/>
        </w:rPr>
        <w:t xml:space="preserve">modelling approach was used for </w:t>
      </w:r>
      <w:r w:rsidR="00461031" w:rsidRPr="009C2ADD">
        <w:rPr>
          <w:rFonts w:ascii="Times New Roman" w:hAnsi="Times New Roman"/>
          <w:lang w:val="en-AU"/>
        </w:rPr>
        <w:t>all species</w:t>
      </w:r>
      <w:r w:rsidR="00461031">
        <w:rPr>
          <w:rFonts w:ascii="Times New Roman" w:hAnsi="Times New Roman"/>
          <w:lang w:val="en-AU"/>
        </w:rPr>
        <w:t xml:space="preserve"> in the current analysis</w:t>
      </w:r>
      <w:r w:rsidR="00461031" w:rsidRPr="009C2ADD">
        <w:rPr>
          <w:rFonts w:ascii="Times New Roman" w:hAnsi="Times New Roman"/>
          <w:lang w:val="en-AU"/>
        </w:rPr>
        <w:t xml:space="preserve">, </w:t>
      </w:r>
      <w:r w:rsidR="00461031">
        <w:rPr>
          <w:rFonts w:ascii="Times New Roman" w:hAnsi="Times New Roman"/>
          <w:lang w:val="en-AU"/>
        </w:rPr>
        <w:t xml:space="preserve">and that </w:t>
      </w:r>
      <w:r w:rsidR="00461031" w:rsidRPr="009C2ADD">
        <w:rPr>
          <w:rFonts w:ascii="Times New Roman" w:hAnsi="Times New Roman"/>
          <w:lang w:val="en-AU"/>
        </w:rPr>
        <w:t xml:space="preserve">species specific </w:t>
      </w:r>
      <w:r w:rsidR="00461031">
        <w:rPr>
          <w:rFonts w:ascii="Times New Roman" w:hAnsi="Times New Roman"/>
          <w:lang w:val="en-AU"/>
        </w:rPr>
        <w:t xml:space="preserve">modifications could </w:t>
      </w:r>
      <w:r w:rsidR="00461031" w:rsidRPr="009C2ADD">
        <w:rPr>
          <w:rFonts w:ascii="Times New Roman" w:hAnsi="Times New Roman"/>
          <w:lang w:val="en-AU"/>
        </w:rPr>
        <w:t xml:space="preserve">improve </w:t>
      </w:r>
      <w:r w:rsidR="00461031">
        <w:rPr>
          <w:rFonts w:ascii="Times New Roman" w:hAnsi="Times New Roman"/>
          <w:lang w:val="en-AU"/>
        </w:rPr>
        <w:t xml:space="preserve">the </w:t>
      </w:r>
      <w:r w:rsidR="00461031" w:rsidRPr="009C2ADD">
        <w:rPr>
          <w:rFonts w:ascii="Times New Roman" w:hAnsi="Times New Roman"/>
          <w:lang w:val="en-AU"/>
        </w:rPr>
        <w:t>current</w:t>
      </w:r>
      <w:r w:rsidR="00461031">
        <w:rPr>
          <w:rFonts w:ascii="Times New Roman" w:hAnsi="Times New Roman"/>
          <w:lang w:val="en-AU"/>
        </w:rPr>
        <w:t xml:space="preserve"> estimates</w:t>
      </w:r>
      <w:r w:rsidRPr="009C2ADD">
        <w:rPr>
          <w:rFonts w:ascii="Times New Roman" w:hAnsi="Times New Roman"/>
          <w:lang w:val="en-AU"/>
        </w:rPr>
        <w:t xml:space="preserve">. </w:t>
      </w:r>
    </w:p>
    <w:p w14:paraId="40AB3732"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3382091" w14:textId="77777777"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thanked the co-authors and SPC for this work and drew attention to catch estimates from blue marlin which illustrated that 60% were discarded and only 40% retained. There was no information recorded on mortalities on discarded marlin, and this could affect catch estimates by a factor of two due to total mortalities. Having mortality information could provide better estimates.</w:t>
      </w:r>
    </w:p>
    <w:p w14:paraId="2DA6DDBE"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0B462A41" w14:textId="5476B786"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EU thanked SPC for the work and asked whether the analysis had considered </w:t>
      </w:r>
      <w:r w:rsidR="003C61E2">
        <w:rPr>
          <w:rFonts w:ascii="Times New Roman" w:hAnsi="Times New Roman"/>
          <w:lang w:val="en-AU"/>
        </w:rPr>
        <w:t xml:space="preserve">a more thorough analysis of the data </w:t>
      </w:r>
      <w:r w:rsidR="00214513">
        <w:rPr>
          <w:rFonts w:ascii="Times New Roman" w:hAnsi="Times New Roman"/>
          <w:lang w:val="en-AU"/>
        </w:rPr>
        <w:t>available</w:t>
      </w:r>
      <w:r w:rsidR="003C61E2">
        <w:rPr>
          <w:rFonts w:ascii="Times New Roman" w:hAnsi="Times New Roman" w:hint="eastAsia"/>
          <w:lang w:val="en-AU" w:eastAsia="ko-KR"/>
        </w:rPr>
        <w:t xml:space="preserve"> </w:t>
      </w:r>
      <w:r w:rsidRPr="009C2ADD">
        <w:rPr>
          <w:rFonts w:ascii="Times New Roman" w:hAnsi="Times New Roman"/>
          <w:lang w:val="en-AU"/>
        </w:rPr>
        <w:t>o</w:t>
      </w:r>
      <w:r w:rsidR="003C61E2">
        <w:rPr>
          <w:rFonts w:ascii="Times New Roman" w:hAnsi="Times New Roman" w:hint="eastAsia"/>
          <w:lang w:val="en-AU" w:eastAsia="ko-KR"/>
        </w:rPr>
        <w:t>n</w:t>
      </w:r>
      <w:r w:rsidRPr="009C2ADD">
        <w:rPr>
          <w:rFonts w:ascii="Times New Roman" w:hAnsi="Times New Roman"/>
          <w:lang w:val="en-AU"/>
        </w:rPr>
        <w:t xml:space="preserve"> shark finning and whether an estimate of the scale and trends of shark finning </w:t>
      </w:r>
      <w:r w:rsidR="003C61E2">
        <w:rPr>
          <w:rFonts w:ascii="Times New Roman" w:hAnsi="Times New Roman"/>
          <w:lang w:val="en-AU"/>
        </w:rPr>
        <w:t>could be provided at the meeting</w:t>
      </w:r>
      <w:r w:rsidRPr="009C2ADD">
        <w:rPr>
          <w:rFonts w:ascii="Times New Roman" w:hAnsi="Times New Roman"/>
          <w:lang w:val="en-AU"/>
        </w:rPr>
        <w:t xml:space="preserve">. T. Peatman noted that temporal trends in finning and discarding of sharks could be undertaken, but it was not something </w:t>
      </w:r>
      <w:r w:rsidR="00461031">
        <w:rPr>
          <w:rFonts w:ascii="Times New Roman" w:hAnsi="Times New Roman"/>
          <w:lang w:val="en-AU"/>
        </w:rPr>
        <w:t>explored in the study</w:t>
      </w:r>
      <w:r w:rsidRPr="009C2ADD">
        <w:rPr>
          <w:rFonts w:ascii="Times New Roman" w:hAnsi="Times New Roman"/>
          <w:lang w:val="en-AU"/>
        </w:rPr>
        <w:t xml:space="preserve">. The EU further noted that as shark finning was </w:t>
      </w:r>
      <w:r w:rsidR="003C61E2">
        <w:rPr>
          <w:rFonts w:ascii="Times New Roman" w:hAnsi="Times New Roman"/>
          <w:lang w:val="en-AU"/>
        </w:rPr>
        <w:t>banned</w:t>
      </w:r>
      <w:r w:rsidR="003C61E2" w:rsidRPr="009C2ADD">
        <w:rPr>
          <w:rFonts w:ascii="Times New Roman" w:hAnsi="Times New Roman"/>
          <w:lang w:val="en-AU"/>
        </w:rPr>
        <w:t xml:space="preserve"> </w:t>
      </w:r>
      <w:r w:rsidRPr="009C2ADD">
        <w:rPr>
          <w:rFonts w:ascii="Times New Roman" w:hAnsi="Times New Roman"/>
          <w:lang w:val="en-AU"/>
        </w:rPr>
        <w:t xml:space="preserve">in WCPFC and all other tuna RFMOs, they thought it would be helpful for other </w:t>
      </w:r>
      <w:r w:rsidR="003C61E2">
        <w:rPr>
          <w:rFonts w:ascii="Times New Roman" w:hAnsi="Times New Roman"/>
          <w:lang w:val="en-AU"/>
        </w:rPr>
        <w:t xml:space="preserve">subsidiary </w:t>
      </w:r>
      <w:r w:rsidRPr="009C2ADD">
        <w:rPr>
          <w:rFonts w:ascii="Times New Roman" w:hAnsi="Times New Roman"/>
          <w:lang w:val="en-AU"/>
        </w:rPr>
        <w:t xml:space="preserve">bodies of this Commission to know </w:t>
      </w:r>
      <w:r w:rsidR="003C61E2">
        <w:rPr>
          <w:rFonts w:ascii="Times New Roman" w:hAnsi="Times New Roman"/>
          <w:lang w:val="en-AU"/>
        </w:rPr>
        <w:t xml:space="preserve">more precisely </w:t>
      </w:r>
      <w:r w:rsidRPr="009C2ADD">
        <w:rPr>
          <w:rFonts w:ascii="Times New Roman" w:hAnsi="Times New Roman"/>
          <w:lang w:val="en-AU"/>
        </w:rPr>
        <w:t xml:space="preserve">the </w:t>
      </w:r>
      <w:r w:rsidR="003C61E2">
        <w:rPr>
          <w:rFonts w:ascii="Times New Roman" w:hAnsi="Times New Roman"/>
          <w:lang w:val="en-AU"/>
        </w:rPr>
        <w:t xml:space="preserve">actual </w:t>
      </w:r>
      <w:r w:rsidRPr="009C2ADD">
        <w:rPr>
          <w:rFonts w:ascii="Times New Roman" w:hAnsi="Times New Roman"/>
          <w:lang w:val="en-AU"/>
        </w:rPr>
        <w:t>scale of th</w:t>
      </w:r>
      <w:r w:rsidR="003C61E2">
        <w:rPr>
          <w:rFonts w:ascii="Times New Roman" w:hAnsi="Times New Roman" w:hint="eastAsia"/>
          <w:lang w:val="en-AU" w:eastAsia="ko-KR"/>
        </w:rPr>
        <w:t>is</w:t>
      </w:r>
      <w:r w:rsidRPr="009C2ADD">
        <w:rPr>
          <w:rFonts w:ascii="Times New Roman" w:hAnsi="Times New Roman"/>
          <w:lang w:val="en-AU"/>
        </w:rPr>
        <w:t xml:space="preserve"> practice. </w:t>
      </w:r>
    </w:p>
    <w:p w14:paraId="070AC4A7"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1DCFAF58" w14:textId="77777777"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United States noted that if a similar bycatch analysis is done for longline fishery, that it would recommend separate analyses for the tropical, southern longline and temperate longline fisheries since regionally disaggregated information would likely be more valuable than if they were all combined together.</w:t>
      </w:r>
    </w:p>
    <w:p w14:paraId="45E725F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386917E" w14:textId="68868F26"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w:t>
      </w:r>
      <w:r w:rsidR="00276CC2">
        <w:rPr>
          <w:rFonts w:ascii="Times New Roman" w:hAnsi="Times New Roman" w:hint="eastAsia"/>
          <w:b/>
          <w:lang w:val="en-AU" w:eastAsia="ko-KR"/>
        </w:rPr>
        <w:t>s</w:t>
      </w:r>
      <w:r w:rsidRPr="009C2ADD">
        <w:rPr>
          <w:rFonts w:ascii="Times New Roman" w:hAnsi="Times New Roman"/>
          <w:b/>
          <w:lang w:val="en-AU"/>
        </w:rPr>
        <w:t xml:space="preserve"> Providers continue the work on purse seine </w:t>
      </w:r>
      <w:r w:rsidR="00643CDF" w:rsidRPr="009C2ADD">
        <w:rPr>
          <w:rFonts w:ascii="Times New Roman" w:hAnsi="Times New Roman"/>
          <w:b/>
          <w:lang w:val="en-AU"/>
        </w:rPr>
        <w:t>bycatch estimates</w:t>
      </w:r>
      <w:r w:rsidRPr="009C2ADD">
        <w:rPr>
          <w:rFonts w:ascii="Times New Roman" w:hAnsi="Times New Roman"/>
          <w:b/>
          <w:lang w:val="en-AU"/>
        </w:rPr>
        <w:t xml:space="preserve"> and extend this work to producing estimates of bycatch in the longline fisheries for presentation at SC14, acknowledging the issues related to the 5% observer coverage in these fisheries. </w:t>
      </w:r>
    </w:p>
    <w:p w14:paraId="32F60CB8"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1C887667" w14:textId="72CE8E03" w:rsidR="008215C5" w:rsidRPr="009C2ADD" w:rsidRDefault="008215C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w:t>
      </w:r>
      <w:r w:rsidR="0018205F">
        <w:rPr>
          <w:rFonts w:ascii="Times New Roman" w:hAnsi="Times New Roman" w:hint="eastAsia"/>
          <w:b/>
          <w:lang w:val="en-AU" w:eastAsia="ko-KR"/>
        </w:rPr>
        <w:t>s</w:t>
      </w:r>
      <w:r w:rsidRPr="009C2ADD">
        <w:rPr>
          <w:rFonts w:ascii="Times New Roman" w:hAnsi="Times New Roman"/>
          <w:b/>
          <w:lang w:val="en-AU"/>
        </w:rPr>
        <w:t xml:space="preserve"> Provider produce WCPFC-area estimates of longline bycatch on a regional fishery basis. </w:t>
      </w:r>
    </w:p>
    <w:p w14:paraId="3A3308E9" w14:textId="77777777" w:rsidR="008215C5" w:rsidRPr="009C2ADD" w:rsidRDefault="008215C5" w:rsidP="009C2ADD">
      <w:pPr>
        <w:pStyle w:val="WCPFC"/>
        <w:numPr>
          <w:ilvl w:val="0"/>
          <w:numId w:val="0"/>
        </w:numPr>
        <w:adjustRightInd w:val="0"/>
        <w:spacing w:after="0"/>
        <w:rPr>
          <w:b/>
        </w:rPr>
      </w:pPr>
    </w:p>
    <w:p w14:paraId="52E9B506" w14:textId="674B5C6E" w:rsidR="00BB68BD" w:rsidRPr="009C2ADD" w:rsidRDefault="00BB68BD" w:rsidP="009C2ADD">
      <w:pPr>
        <w:pStyle w:val="Heading2"/>
        <w:adjustRightInd w:val="0"/>
        <w:snapToGrid w:val="0"/>
        <w:rPr>
          <w:color w:val="auto"/>
          <w:szCs w:val="22"/>
        </w:rPr>
      </w:pPr>
      <w:bookmarkStart w:id="90" w:name="_Toc491851815"/>
      <w:r w:rsidRPr="009C2ADD">
        <w:rPr>
          <w:color w:val="auto"/>
          <w:szCs w:val="22"/>
        </w:rPr>
        <w:t xml:space="preserve">3.2 </w:t>
      </w:r>
      <w:r w:rsidR="00DA7AC9" w:rsidRPr="009C2ADD">
        <w:rPr>
          <w:color w:val="auto"/>
          <w:szCs w:val="22"/>
        </w:rPr>
        <w:tab/>
      </w:r>
      <w:r w:rsidR="003A5188" w:rsidRPr="009C2ADD">
        <w:rPr>
          <w:color w:val="auto"/>
          <w:szCs w:val="22"/>
        </w:rPr>
        <w:t>FAD data management</w:t>
      </w:r>
      <w:bookmarkEnd w:id="90"/>
    </w:p>
    <w:p w14:paraId="6AD293F9" w14:textId="77777777" w:rsidR="00BB68BD" w:rsidRPr="009C2ADD" w:rsidRDefault="00BB68BD" w:rsidP="009C2ADD">
      <w:pPr>
        <w:adjustRightInd w:val="0"/>
        <w:snapToGrid w:val="0"/>
        <w:spacing w:after="0"/>
        <w:rPr>
          <w:rFonts w:ascii="Times New Roman" w:hAnsi="Times New Roman"/>
          <w:b/>
        </w:rPr>
      </w:pPr>
    </w:p>
    <w:p w14:paraId="2B83ADC5" w14:textId="6DDF39AF" w:rsidR="003C163D" w:rsidRPr="009C2ADD" w:rsidRDefault="00AF4E28"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w:t>
      </w:r>
      <w:r w:rsidR="00BB68BD" w:rsidRPr="009C2ADD">
        <w:rPr>
          <w:rFonts w:ascii="Times New Roman" w:hAnsi="Times New Roman"/>
          <w:lang w:val="en-AU"/>
        </w:rPr>
        <w:t>onvener noted that no working papers had been submitted under this agenda item, and referred delegates to relevant information papers from the FAD MgmtOpti</w:t>
      </w:r>
      <w:r w:rsidRPr="009C2ADD">
        <w:rPr>
          <w:rFonts w:ascii="Times New Roman" w:hAnsi="Times New Roman"/>
          <w:lang w:val="en-AU"/>
        </w:rPr>
        <w:t>ons IWG. SC13</w:t>
      </w:r>
      <w:r w:rsidR="00BB68BD" w:rsidRPr="009C2ADD">
        <w:rPr>
          <w:rFonts w:ascii="Times New Roman" w:hAnsi="Times New Roman"/>
          <w:lang w:val="en-AU"/>
        </w:rPr>
        <w:t xml:space="preserve"> agreed to form ISG-2 to cover FAD related issues including FAD data fields and the FAD research plan. </w:t>
      </w:r>
      <w:r w:rsidRPr="009C2ADD">
        <w:rPr>
          <w:rFonts w:ascii="Times New Roman" w:hAnsi="Times New Roman"/>
          <w:lang w:val="en-AU"/>
        </w:rPr>
        <w:t xml:space="preserve">The report of ISG-2 can be found at </w:t>
      </w:r>
      <w:r w:rsidRPr="009C2ADD">
        <w:rPr>
          <w:rFonts w:ascii="Times New Roman" w:hAnsi="Times New Roman"/>
          <w:b/>
          <w:lang w:val="en-AU"/>
        </w:rPr>
        <w:t>Attachment E</w:t>
      </w:r>
      <w:r w:rsidRPr="009C2ADD">
        <w:rPr>
          <w:rFonts w:ascii="Times New Roman" w:hAnsi="Times New Roman"/>
          <w:lang w:val="en-AU"/>
        </w:rPr>
        <w:t xml:space="preserve">. </w:t>
      </w:r>
    </w:p>
    <w:p w14:paraId="2452CA09"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75AE3136" w14:textId="5125C3D3" w:rsidR="00BB68BD" w:rsidRPr="009C2ADD" w:rsidRDefault="00123214"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3.2.1 </w:t>
      </w:r>
      <w:r w:rsidR="00DA7AC9" w:rsidRPr="009C2ADD">
        <w:rPr>
          <w:rFonts w:ascii="Times New Roman" w:hAnsi="Times New Roman" w:cs="Times New Roman"/>
        </w:rPr>
        <w:tab/>
      </w:r>
      <w:r w:rsidR="00BB68BD" w:rsidRPr="009C2ADD">
        <w:rPr>
          <w:rFonts w:ascii="Times New Roman" w:hAnsi="Times New Roman" w:cs="Times New Roman"/>
        </w:rPr>
        <w:t xml:space="preserve">Additional FAD data fields to be provided by vessel operators </w:t>
      </w:r>
    </w:p>
    <w:p w14:paraId="36A2CBDF" w14:textId="77777777" w:rsidR="00BB68BD" w:rsidRPr="009C2ADD" w:rsidRDefault="00BB68BD" w:rsidP="009C2ADD">
      <w:pPr>
        <w:adjustRightInd w:val="0"/>
        <w:snapToGrid w:val="0"/>
        <w:spacing w:after="0"/>
        <w:ind w:left="720"/>
        <w:rPr>
          <w:rFonts w:ascii="Times New Roman" w:hAnsi="Times New Roman"/>
          <w:b/>
        </w:rPr>
      </w:pPr>
    </w:p>
    <w:p w14:paraId="1E73E92E" w14:textId="77777777"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operators of all vessels involved in FAD fishery, including support vessels, provide as a minimum the fields of information identified in Attachment C of the report of the 2nd meeting of the FAD management options intersessional Working Group (WCPFC-2016-FADMgmtOptionsIWG021_rev2). </w:t>
      </w:r>
    </w:p>
    <w:p w14:paraId="171D70EC" w14:textId="77777777" w:rsidR="00C529CB" w:rsidRPr="009C2ADD" w:rsidRDefault="00C529CB" w:rsidP="009C2ADD">
      <w:pPr>
        <w:autoSpaceDE w:val="0"/>
        <w:autoSpaceDN w:val="0"/>
        <w:adjustRightInd w:val="0"/>
        <w:snapToGrid w:val="0"/>
        <w:spacing w:after="0"/>
        <w:rPr>
          <w:rFonts w:ascii="Times New Roman" w:hAnsi="Times New Roman"/>
          <w:b/>
          <w:lang w:val="en-AU"/>
        </w:rPr>
      </w:pPr>
    </w:p>
    <w:p w14:paraId="5FC541E8" w14:textId="25905369"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further recommended that the WCPFC Secretariat, together with SPC and other interest parties prepare the set of data fields to be provided by vessel operators and coordinate with the IATTC staff to try to harmonize the minimum standards to be required across the Pacific Ocean. Special attention should be paid to avoid duplications of information by vessel operators and/or an increase of unnecessary paperwork. </w:t>
      </w:r>
    </w:p>
    <w:p w14:paraId="102E82AC"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2D7E43F7" w14:textId="77777777"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proposed fields to be collected by vessel operators be forwarded to TCC13 for review and WCPFC14 for adoption.</w:t>
      </w:r>
    </w:p>
    <w:p w14:paraId="600216AC" w14:textId="77777777" w:rsidR="00BB68BD" w:rsidRPr="009C2ADD" w:rsidRDefault="00BB68BD" w:rsidP="009C2ADD">
      <w:pPr>
        <w:adjustRightInd w:val="0"/>
        <w:snapToGrid w:val="0"/>
        <w:spacing w:after="0"/>
        <w:ind w:left="720"/>
        <w:jc w:val="left"/>
        <w:rPr>
          <w:rFonts w:ascii="Times New Roman" w:hAnsi="Times New Roman"/>
        </w:rPr>
      </w:pPr>
    </w:p>
    <w:p w14:paraId="4B2CAA50" w14:textId="30D643A7" w:rsidR="00BB68BD" w:rsidRPr="009C2ADD" w:rsidRDefault="00E15D99"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3.2.2 </w:t>
      </w:r>
      <w:r w:rsidR="00DA7AC9" w:rsidRPr="009C2ADD">
        <w:rPr>
          <w:rFonts w:ascii="Times New Roman" w:hAnsi="Times New Roman" w:cs="Times New Roman"/>
        </w:rPr>
        <w:tab/>
      </w:r>
      <w:r w:rsidR="00BB68BD" w:rsidRPr="009C2ADD">
        <w:rPr>
          <w:rFonts w:ascii="Times New Roman" w:hAnsi="Times New Roman" w:cs="Times New Roman"/>
        </w:rPr>
        <w:t xml:space="preserve">FAD marking and monitoring </w:t>
      </w:r>
      <w:r w:rsidR="00BB68BD" w:rsidRPr="009C2ADD">
        <w:rPr>
          <w:rFonts w:ascii="Times New Roman" w:hAnsi="Times New Roman" w:cs="Times New Roman"/>
        </w:rPr>
        <w:br/>
      </w:r>
    </w:p>
    <w:p w14:paraId="0B8E9323" w14:textId="77777777"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as a first step the Commission should consider introducing a buoy ID scheme which requires the registration of all buoys attached to FADs deployed. Field tests in conjunction with industry and observers should be undertaken to determine the optimal configuration of future developments of a fully marking system that also includes the FADs themselves.</w:t>
      </w:r>
    </w:p>
    <w:p w14:paraId="77AF518B" w14:textId="77777777" w:rsidR="00BB68BD" w:rsidRPr="009C2ADD" w:rsidRDefault="00BB68BD" w:rsidP="009C2ADD">
      <w:pPr>
        <w:adjustRightInd w:val="0"/>
        <w:snapToGrid w:val="0"/>
        <w:spacing w:after="0"/>
        <w:ind w:left="720"/>
        <w:rPr>
          <w:rFonts w:ascii="Times New Roman" w:hAnsi="Times New Roman"/>
          <w:b/>
        </w:rPr>
      </w:pPr>
    </w:p>
    <w:p w14:paraId="1BD84BAB" w14:textId="26EE3AE1" w:rsidR="00BB68BD" w:rsidRPr="009C2ADD" w:rsidRDefault="00BB68BD" w:rsidP="009C2ADD">
      <w:pPr>
        <w:pStyle w:val="Heading2"/>
        <w:adjustRightInd w:val="0"/>
        <w:snapToGrid w:val="0"/>
        <w:rPr>
          <w:color w:val="auto"/>
          <w:szCs w:val="22"/>
        </w:rPr>
      </w:pPr>
      <w:bookmarkStart w:id="91" w:name="_Toc491851816"/>
      <w:r w:rsidRPr="009C2ADD">
        <w:rPr>
          <w:color w:val="auto"/>
          <w:szCs w:val="22"/>
        </w:rPr>
        <w:t xml:space="preserve">3.3 </w:t>
      </w:r>
      <w:r w:rsidR="00DA7AC9" w:rsidRPr="009C2ADD">
        <w:rPr>
          <w:color w:val="auto"/>
          <w:szCs w:val="22"/>
        </w:rPr>
        <w:tab/>
      </w:r>
      <w:r w:rsidRPr="009C2ADD">
        <w:rPr>
          <w:color w:val="auto"/>
          <w:szCs w:val="22"/>
        </w:rPr>
        <w:t>Regional Observer Programme</w:t>
      </w:r>
      <w:bookmarkEnd w:id="91"/>
    </w:p>
    <w:p w14:paraId="53DB907F" w14:textId="77777777" w:rsidR="00CC2336" w:rsidRPr="009C2ADD" w:rsidRDefault="00CC2336" w:rsidP="009C2ADD">
      <w:pPr>
        <w:adjustRightInd w:val="0"/>
        <w:snapToGrid w:val="0"/>
        <w:spacing w:after="0"/>
        <w:rPr>
          <w:rFonts w:ascii="Times New Roman" w:hAnsi="Times New Roman"/>
          <w:b/>
        </w:rPr>
      </w:pPr>
    </w:p>
    <w:p w14:paraId="29434CE0" w14:textId="1C55A215" w:rsidR="00BB68BD" w:rsidRPr="009C2ADD" w:rsidRDefault="00E15D99" w:rsidP="009C2ADD">
      <w:pPr>
        <w:pStyle w:val="Heading3"/>
        <w:adjustRightInd w:val="0"/>
        <w:snapToGrid w:val="0"/>
        <w:spacing w:before="0"/>
        <w:rPr>
          <w:rFonts w:ascii="Times New Roman" w:hAnsi="Times New Roman" w:cs="Times New Roman"/>
          <w:b w:val="0"/>
        </w:rPr>
      </w:pPr>
      <w:r w:rsidRPr="009C2ADD">
        <w:rPr>
          <w:rFonts w:ascii="Times New Roman" w:hAnsi="Times New Roman" w:cs="Times New Roman"/>
        </w:rPr>
        <w:t xml:space="preserve">3.2.1 </w:t>
      </w:r>
      <w:r w:rsidR="00DA7AC9" w:rsidRPr="009C2ADD">
        <w:rPr>
          <w:rFonts w:ascii="Times New Roman" w:hAnsi="Times New Roman" w:cs="Times New Roman"/>
        </w:rPr>
        <w:tab/>
      </w:r>
      <w:r w:rsidR="00BB68BD" w:rsidRPr="009C2ADD">
        <w:rPr>
          <w:rFonts w:ascii="Times New Roman" w:hAnsi="Times New Roman" w:cs="Times New Roman"/>
        </w:rPr>
        <w:t>ROP longline coverage</w:t>
      </w:r>
    </w:p>
    <w:p w14:paraId="15E90711" w14:textId="77777777" w:rsidR="00BB68BD" w:rsidRPr="009C2ADD" w:rsidRDefault="00BB68BD" w:rsidP="009C2ADD">
      <w:pPr>
        <w:adjustRightInd w:val="0"/>
        <w:snapToGrid w:val="0"/>
        <w:spacing w:after="0"/>
        <w:ind w:left="720"/>
        <w:rPr>
          <w:rFonts w:ascii="Times New Roman" w:hAnsi="Times New Roman"/>
          <w:b/>
        </w:rPr>
      </w:pPr>
    </w:p>
    <w:p w14:paraId="27C0DAEA" w14:textId="77777777" w:rsidR="00681953" w:rsidRPr="009C2ADD" w:rsidRDefault="00BB68BD" w:rsidP="009C2ADD">
      <w:pPr>
        <w:pStyle w:val="WCPFC"/>
        <w:adjustRightInd w:val="0"/>
        <w:spacing w:after="0"/>
      </w:pPr>
      <w:r w:rsidRPr="009C2ADD">
        <w:t>This was</w:t>
      </w:r>
      <w:r w:rsidR="00981452" w:rsidRPr="009C2ADD">
        <w:t xml:space="preserve"> discu</w:t>
      </w:r>
      <w:r w:rsidR="00681953" w:rsidRPr="009C2ADD">
        <w:t>ssed under</w:t>
      </w:r>
      <w:r w:rsidR="00981452" w:rsidRPr="009C2ADD">
        <w:t xml:space="preserve"> Data gaps of the Commission.</w:t>
      </w:r>
      <w:r w:rsidRPr="009C2ADD">
        <w:t xml:space="preserve"> </w:t>
      </w:r>
    </w:p>
    <w:p w14:paraId="6357B336" w14:textId="77777777" w:rsidR="00C529CB" w:rsidRPr="009C2ADD" w:rsidRDefault="00C529CB" w:rsidP="009C2ADD">
      <w:pPr>
        <w:pStyle w:val="Heading3"/>
        <w:adjustRightInd w:val="0"/>
        <w:snapToGrid w:val="0"/>
        <w:spacing w:before="0"/>
        <w:rPr>
          <w:rFonts w:ascii="Times New Roman" w:hAnsi="Times New Roman" w:cs="Times New Roman"/>
        </w:rPr>
      </w:pPr>
    </w:p>
    <w:p w14:paraId="2C9AFE47" w14:textId="1C37B907" w:rsidR="00BB68BD" w:rsidRPr="009C2ADD" w:rsidRDefault="00E15D99"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3.2.2 </w:t>
      </w:r>
      <w:r w:rsidR="00DA7AC9" w:rsidRPr="009C2ADD">
        <w:rPr>
          <w:rFonts w:ascii="Times New Roman" w:hAnsi="Times New Roman" w:cs="Times New Roman"/>
        </w:rPr>
        <w:tab/>
      </w:r>
      <w:r w:rsidR="00BB68BD" w:rsidRPr="009C2ADD">
        <w:rPr>
          <w:rFonts w:ascii="Times New Roman" w:hAnsi="Times New Roman" w:cs="Times New Roman"/>
        </w:rPr>
        <w:t>Review of ROP minimum standards data fields</w:t>
      </w:r>
    </w:p>
    <w:p w14:paraId="5119B745" w14:textId="77777777" w:rsidR="00BB68BD" w:rsidRPr="009C2ADD" w:rsidRDefault="00BB68BD" w:rsidP="009C2ADD">
      <w:pPr>
        <w:adjustRightInd w:val="0"/>
        <w:snapToGrid w:val="0"/>
        <w:spacing w:after="0"/>
        <w:rPr>
          <w:rFonts w:ascii="Times New Roman" w:hAnsi="Times New Roman"/>
          <w:b/>
        </w:rPr>
      </w:pPr>
    </w:p>
    <w:p w14:paraId="6298A4DC" w14:textId="27514F00"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6233F1">
        <w:rPr>
          <w:rFonts w:ascii="Times New Roman" w:hAnsi="Times New Roman" w:hint="eastAsia"/>
          <w:lang w:val="en-AU" w:eastAsia="ko-KR"/>
        </w:rPr>
        <w:t>.</w:t>
      </w:r>
      <w:r w:rsidRPr="009C2ADD">
        <w:rPr>
          <w:rFonts w:ascii="Times New Roman" w:hAnsi="Times New Roman"/>
          <w:lang w:val="en-AU"/>
        </w:rPr>
        <w:t xml:space="preserve"> Clark (PNA) presented </w:t>
      </w:r>
      <w:r w:rsidRPr="0070772D">
        <w:rPr>
          <w:rFonts w:ascii="Times New Roman" w:hAnsi="Times New Roman"/>
          <w:bCs/>
          <w:lang w:val="en-AU"/>
        </w:rPr>
        <w:t>SC13-ST-WP-06</w:t>
      </w:r>
      <w:r w:rsidRPr="009C2ADD">
        <w:rPr>
          <w:rFonts w:ascii="Times New Roman" w:hAnsi="Times New Roman"/>
          <w:lang w:val="en-AU"/>
        </w:rPr>
        <w:t xml:space="preserve">, </w:t>
      </w:r>
      <w:r w:rsidRPr="009C2ADD">
        <w:rPr>
          <w:rFonts w:ascii="Times New Roman" w:hAnsi="Times New Roman"/>
          <w:i/>
          <w:lang w:val="en-AU"/>
        </w:rPr>
        <w:t>PNA FAD Data To Be Provided By Observers</w:t>
      </w:r>
      <w:r w:rsidRPr="009C2ADD">
        <w:rPr>
          <w:rFonts w:ascii="Times New Roman" w:hAnsi="Times New Roman"/>
          <w:lang w:val="en-AU"/>
        </w:rPr>
        <w:t>, which proposed revisions to the WCPFC ROP Minimum Standard Data Fields to reflect the decision of WCPFC12 that vessel operators should provide data on FAD design and construction and FAD activity (deploying, retrieving, setting, visiting, loss etc</w:t>
      </w:r>
      <w:r w:rsidR="00214513">
        <w:rPr>
          <w:rFonts w:ascii="Times New Roman" w:hAnsi="Times New Roman"/>
          <w:lang w:val="en-AU"/>
        </w:rPr>
        <w:t>.</w:t>
      </w:r>
      <w:r w:rsidRPr="009C2ADD">
        <w:rPr>
          <w:rFonts w:ascii="Times New Roman" w:hAnsi="Times New Roman"/>
          <w:lang w:val="en-AU"/>
        </w:rPr>
        <w:t>), and the FAD Management Options – Intersessional Working Group recommendation that data collected by observers on FADs can be used for verification of FAD activities of vessels. The major changes proposed were the inclusion of FAD inventories and FAD identifiers, and the removal of fields that would be redundant such as the FAD design and construction data.</w:t>
      </w:r>
    </w:p>
    <w:p w14:paraId="3682F755" w14:textId="77777777" w:rsidR="00C529CB" w:rsidRDefault="00C529CB" w:rsidP="009C2ADD">
      <w:pPr>
        <w:autoSpaceDE w:val="0"/>
        <w:autoSpaceDN w:val="0"/>
        <w:adjustRightInd w:val="0"/>
        <w:snapToGrid w:val="0"/>
        <w:spacing w:after="0"/>
        <w:rPr>
          <w:rFonts w:ascii="Times New Roman" w:hAnsi="Times New Roman"/>
          <w:lang w:val="en-AU" w:eastAsia="ko-KR"/>
        </w:rPr>
      </w:pPr>
    </w:p>
    <w:p w14:paraId="27230153" w14:textId="00E22475" w:rsidR="00814D9C" w:rsidRPr="0070772D" w:rsidRDefault="00814D9C"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04F68893" w14:textId="77777777" w:rsidR="00814D9C" w:rsidRPr="009C2ADD" w:rsidRDefault="00814D9C" w:rsidP="009C2ADD">
      <w:pPr>
        <w:autoSpaceDE w:val="0"/>
        <w:autoSpaceDN w:val="0"/>
        <w:adjustRightInd w:val="0"/>
        <w:snapToGrid w:val="0"/>
        <w:spacing w:after="0"/>
        <w:rPr>
          <w:rFonts w:ascii="Times New Roman" w:hAnsi="Times New Roman"/>
          <w:lang w:val="en-AU" w:eastAsia="ko-KR"/>
        </w:rPr>
      </w:pPr>
    </w:p>
    <w:p w14:paraId="14F9811D" w14:textId="77777777"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Vanuatu on behalf of FFA members supported the proposal to revise the ROP minimum data fields so that the role of observers in FAD data collection shifts to verification. They noted that it will be important to ensure that the implementation of the new reporting arrangements is carefully planned to ensure that there is no loss of quality of data on FADs when responsibilities are transferred from observers to the vessel operators. </w:t>
      </w:r>
    </w:p>
    <w:p w14:paraId="0642CD62"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2DAEC4F" w14:textId="19CFB023" w:rsidR="00BB68BD" w:rsidRPr="009C2ADD" w:rsidRDefault="00BB68B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United States noted that purse-seine operators in WCPFC were not required to submit any data on FAD</w:t>
      </w:r>
      <w:r w:rsidR="00D03614" w:rsidRPr="009C2ADD">
        <w:rPr>
          <w:rFonts w:ascii="Times New Roman" w:hAnsi="Times New Roman"/>
          <w:lang w:val="en-AU"/>
        </w:rPr>
        <w:t>s</w:t>
      </w:r>
      <w:r w:rsidRPr="009C2ADD">
        <w:rPr>
          <w:rFonts w:ascii="Times New Roman" w:hAnsi="Times New Roman"/>
          <w:lang w:val="en-AU"/>
        </w:rPr>
        <w:t>. IATTC required purse seine operators to provide information on FAD data provision, and the WCPFC should consider any lessons learned in the IATTC context. Avoiding data collection duplication was considered important.</w:t>
      </w:r>
    </w:p>
    <w:p w14:paraId="30EB9AA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63A86412" w14:textId="77777777" w:rsidR="00165E4C" w:rsidRPr="009C2ADD" w:rsidRDefault="00165E4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the following revisions to the ROP Minimum Standard Data Fields:</w:t>
      </w:r>
    </w:p>
    <w:p w14:paraId="4E13EA6B" w14:textId="77777777" w:rsidR="00165E4C" w:rsidRPr="009C2ADD" w:rsidRDefault="00165E4C" w:rsidP="009C2ADD">
      <w:pPr>
        <w:numPr>
          <w:ilvl w:val="0"/>
          <w:numId w:val="11"/>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Addition of a new section “FAD Information” that will include inventories of the FAD buoys on board at the start and end of each trip.</w:t>
      </w:r>
    </w:p>
    <w:p w14:paraId="6D14E994" w14:textId="77777777" w:rsidR="00165E4C" w:rsidRPr="009C2ADD" w:rsidRDefault="00165E4C" w:rsidP="009C2ADD">
      <w:pPr>
        <w:numPr>
          <w:ilvl w:val="0"/>
          <w:numId w:val="10"/>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 xml:space="preserve">Addition of a new field for FAD Identification. </w:t>
      </w:r>
    </w:p>
    <w:p w14:paraId="5651C362" w14:textId="77777777" w:rsidR="00165E4C" w:rsidRPr="009C2ADD" w:rsidRDefault="00165E4C" w:rsidP="009C2ADD">
      <w:pPr>
        <w:numPr>
          <w:ilvl w:val="0"/>
          <w:numId w:val="9"/>
        </w:numPr>
        <w:autoSpaceDE w:val="0"/>
        <w:autoSpaceDN w:val="0"/>
        <w:adjustRightInd w:val="0"/>
        <w:snapToGrid w:val="0"/>
        <w:spacing w:after="0"/>
        <w:ind w:left="1321" w:hanging="357"/>
        <w:rPr>
          <w:rFonts w:ascii="Times New Roman" w:hAnsi="Times New Roman"/>
          <w:b/>
          <w:lang w:val="en-AU"/>
        </w:rPr>
      </w:pPr>
      <w:r w:rsidRPr="009C2ADD">
        <w:rPr>
          <w:rFonts w:ascii="Times New Roman" w:hAnsi="Times New Roman"/>
          <w:b/>
          <w:lang w:val="en-AU"/>
        </w:rPr>
        <w:t xml:space="preserve">Deletion of FAD Data fields related to a) materials FAD is made from and b) estimated size of FAD. </w:t>
      </w:r>
    </w:p>
    <w:p w14:paraId="5999F9B9" w14:textId="77777777" w:rsidR="00C529CB" w:rsidRPr="009C2ADD" w:rsidRDefault="00C529CB" w:rsidP="009C2ADD">
      <w:pPr>
        <w:autoSpaceDE w:val="0"/>
        <w:autoSpaceDN w:val="0"/>
        <w:adjustRightInd w:val="0"/>
        <w:snapToGrid w:val="0"/>
        <w:spacing w:after="0"/>
        <w:ind w:left="1321"/>
        <w:rPr>
          <w:rFonts w:ascii="Times New Roman" w:hAnsi="Times New Roman"/>
          <w:b/>
          <w:lang w:val="en-AU"/>
        </w:rPr>
      </w:pPr>
    </w:p>
    <w:p w14:paraId="19C160BE" w14:textId="77777777" w:rsidR="00165E4C" w:rsidRPr="009C2ADD" w:rsidRDefault="00165E4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revisions of the ROP minimum standards will require careful planning and implementation to ensure that the value of WCPFC data on FADs is maintained. In particular, there may need to be a period of overlap in reporting of FAD data where observers continue to report on FAD design and construction while the new reporting requirements for vessel operators are introduced. </w:t>
      </w:r>
    </w:p>
    <w:p w14:paraId="030E195C" w14:textId="77777777" w:rsidR="00C529CB" w:rsidRPr="009C2ADD" w:rsidRDefault="00C529CB" w:rsidP="009C2ADD">
      <w:pPr>
        <w:autoSpaceDE w:val="0"/>
        <w:autoSpaceDN w:val="0"/>
        <w:adjustRightInd w:val="0"/>
        <w:snapToGrid w:val="0"/>
        <w:spacing w:after="0"/>
        <w:rPr>
          <w:rFonts w:ascii="Times New Roman" w:hAnsi="Times New Roman"/>
          <w:b/>
          <w:lang w:val="en-AU"/>
        </w:rPr>
      </w:pPr>
    </w:p>
    <w:p w14:paraId="2AA92035" w14:textId="77777777" w:rsidR="00165E4C" w:rsidRPr="009C2ADD" w:rsidRDefault="00165E4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revisions to the ROP Minimum Standard Data Fields standards be forwarded to TCC13 for review and WCPFC14 for adoption. </w:t>
      </w:r>
    </w:p>
    <w:p w14:paraId="5647470A"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18BE25DA" w14:textId="77777777" w:rsidR="00E10DB3" w:rsidRPr="009C2ADD" w:rsidRDefault="00E10DB3" w:rsidP="00E10DB3">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Scientific Services Provider, CCMs and the WCPFC Secretariat through the ROP provide guidance to improve observer training related to visual estimation of bycatch numbers and weight, and</w:t>
      </w:r>
      <w:r w:rsidRPr="009C2ADD" w:rsidDel="00661B61">
        <w:rPr>
          <w:rFonts w:ascii="Times New Roman" w:hAnsi="Times New Roman"/>
          <w:b/>
          <w:lang w:val="en-AU"/>
        </w:rPr>
        <w:t xml:space="preserve"> </w:t>
      </w:r>
      <w:r w:rsidRPr="009C2ADD">
        <w:rPr>
          <w:rFonts w:ascii="Times New Roman" w:hAnsi="Times New Roman"/>
          <w:b/>
          <w:lang w:val="en-AU"/>
        </w:rPr>
        <w:t xml:space="preserve">that the Scientific Services Provider and CCM observer programmes improve the observer debriefing process related to bycatch, including the Scientific Services Provider incorporating appropriate data quality flags within the ROP master database to facilitate use in analyses. This recommendation applies to both purse seine and longline fisheries. </w:t>
      </w:r>
    </w:p>
    <w:p w14:paraId="51BEE746" w14:textId="77777777" w:rsidR="00E10DB3" w:rsidRPr="009C2ADD" w:rsidRDefault="00E10DB3" w:rsidP="00E10DB3">
      <w:pPr>
        <w:pStyle w:val="ListParagraph"/>
        <w:adjustRightInd w:val="0"/>
        <w:snapToGrid w:val="0"/>
        <w:contextualSpacing w:val="0"/>
        <w:rPr>
          <w:rFonts w:ascii="Times New Roman" w:hAnsi="Times New Roman"/>
          <w:b/>
          <w:lang w:val="en-AU"/>
        </w:rPr>
      </w:pPr>
    </w:p>
    <w:p w14:paraId="23BB426C" w14:textId="77777777" w:rsidR="00E10DB3" w:rsidRPr="009C2ADD" w:rsidRDefault="00E10DB3" w:rsidP="00E10DB3">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recommended that the currently implemented procedure to convert from weight to numbers, and vice versa, should be reviewed by the Scientific Services Provider to ensure that resulting estimates are appropriate and report to SC14. </w:t>
      </w:r>
    </w:p>
    <w:p w14:paraId="61EFE27A" w14:textId="77777777" w:rsidR="00E10DB3" w:rsidRPr="009C2ADD" w:rsidRDefault="00E10DB3" w:rsidP="00E10DB3">
      <w:pPr>
        <w:pStyle w:val="WCPFC"/>
        <w:numPr>
          <w:ilvl w:val="0"/>
          <w:numId w:val="0"/>
        </w:numPr>
        <w:adjustRightInd w:val="0"/>
        <w:spacing w:after="0"/>
        <w:ind w:left="567"/>
        <w:rPr>
          <w:b/>
        </w:rPr>
      </w:pPr>
    </w:p>
    <w:p w14:paraId="40A0A69E" w14:textId="249F3B36" w:rsidR="005F467C" w:rsidRPr="009C2ADD" w:rsidRDefault="005F467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20787E">
        <w:rPr>
          <w:rFonts w:ascii="Times New Roman" w:hAnsi="Times New Roman" w:hint="eastAsia"/>
          <w:lang w:val="en-AU" w:eastAsia="ko-KR"/>
        </w:rPr>
        <w:t>.</w:t>
      </w:r>
      <w:r w:rsidRPr="009C2ADD">
        <w:rPr>
          <w:rFonts w:ascii="Times New Roman" w:hAnsi="Times New Roman"/>
          <w:lang w:val="en-AU"/>
        </w:rPr>
        <w:t xml:space="preserve"> Clarke (Secretariat) presented </w:t>
      </w:r>
      <w:r w:rsidRPr="0070772D">
        <w:rPr>
          <w:rFonts w:ascii="Times New Roman" w:hAnsi="Times New Roman"/>
          <w:bCs/>
          <w:lang w:val="en-AU"/>
        </w:rPr>
        <w:t>SC13-ST-WP-07</w:t>
      </w:r>
      <w:r w:rsidRPr="009C2ADD">
        <w:rPr>
          <w:rFonts w:ascii="Times New Roman" w:hAnsi="Times New Roman"/>
          <w:lang w:val="en-AU"/>
        </w:rPr>
        <w:t xml:space="preserve">, </w:t>
      </w:r>
      <w:r w:rsidRPr="009C2ADD">
        <w:rPr>
          <w:rFonts w:ascii="Times New Roman" w:hAnsi="Times New Roman"/>
          <w:i/>
          <w:lang w:val="en-AU"/>
        </w:rPr>
        <w:t>Clarification of WCPFC Shark Designations in Response to WCPFC13 Decisions regarding Manta and Mobulid (Devil) Rays</w:t>
      </w:r>
      <w:r w:rsidRPr="009C2ADD">
        <w:rPr>
          <w:rFonts w:ascii="Times New Roman" w:hAnsi="Times New Roman"/>
          <w:lang w:val="en-AU"/>
        </w:rPr>
        <w:t>. Manta and mobulid (devil) rays were designated as key shark species for assessment by WCPFC13 in December 2016. At the same time, WCPFC13 called for changes in observer data collection for these species and asked SC13 to implement these changes. With a view to both clarifying the situation with regard to the specific tasks for SC13 regarding manta and mobulid (devil) rays, and more broadly for potential future decision-making on other species, the presentation explored the definitions and implications of various WCPFC shark designations such as “key shark species”, “species of special interest” and “designated shark species”. It also considered various options for SC13 to reconcile the new observer data collection requirements for manta and mobulid (devil) rays with the existing framework.  A simple and straightforward approach of designating manta and mobulid (devil) rays as SSI under the WCPFC ROP MSDF was recommended</w:t>
      </w:r>
      <w:r w:rsidR="0020787E">
        <w:rPr>
          <w:rFonts w:ascii="Times New Roman" w:hAnsi="Times New Roman" w:hint="eastAsia"/>
          <w:lang w:val="en-AU" w:eastAsia="ko-KR"/>
        </w:rPr>
        <w:t xml:space="preserve"> as follows</w:t>
      </w:r>
      <w:r w:rsidRPr="009C2ADD">
        <w:rPr>
          <w:rFonts w:ascii="Times New Roman" w:hAnsi="Times New Roman"/>
          <w:lang w:val="en-AU"/>
        </w:rPr>
        <w:t>.</w:t>
      </w:r>
    </w:p>
    <w:p w14:paraId="6119440C" w14:textId="41C4CA0C" w:rsidR="005F467C" w:rsidRPr="009C2ADD" w:rsidRDefault="005F467C" w:rsidP="009C2ADD">
      <w:pPr>
        <w:pStyle w:val="ListParagraph"/>
        <w:numPr>
          <w:ilvl w:val="1"/>
          <w:numId w:val="44"/>
        </w:numPr>
        <w:adjustRightInd w:val="0"/>
        <w:snapToGrid w:val="0"/>
        <w:ind w:left="1080"/>
        <w:contextualSpacing w:val="0"/>
        <w:rPr>
          <w:rFonts w:ascii="Times New Roman" w:hAnsi="Times New Roman"/>
        </w:rPr>
      </w:pPr>
      <w:r w:rsidRPr="009C2ADD">
        <w:rPr>
          <w:rFonts w:ascii="Times New Roman" w:hAnsi="Times New Roman"/>
        </w:rPr>
        <w:t>Clarify that under the WCPFC ROP MSDF that for sharks the terms SSI and DSS are equivalent and the term DSS should be avoided in future;</w:t>
      </w:r>
    </w:p>
    <w:p w14:paraId="3E512E77" w14:textId="3EB598C9" w:rsidR="005F467C" w:rsidRPr="009C2ADD" w:rsidRDefault="005F467C" w:rsidP="009C2ADD">
      <w:pPr>
        <w:pStyle w:val="ListParagraph"/>
        <w:numPr>
          <w:ilvl w:val="1"/>
          <w:numId w:val="44"/>
        </w:numPr>
        <w:adjustRightInd w:val="0"/>
        <w:snapToGrid w:val="0"/>
        <w:ind w:left="1080"/>
        <w:contextualSpacing w:val="0"/>
        <w:rPr>
          <w:rFonts w:ascii="Times New Roman" w:hAnsi="Times New Roman"/>
        </w:rPr>
      </w:pPr>
      <w:r w:rsidRPr="009C2ADD">
        <w:rPr>
          <w:rFonts w:ascii="Times New Roman" w:hAnsi="Times New Roman"/>
        </w:rPr>
        <w:t>Adopt a definition of SSI, e.g. “species of special interest are those species for which the Commission has requested additional data collection under the ROP, either because they are protected under one or more WCPFC conservation and management measures, or for other reasons articulated by the Commission”; and</w:t>
      </w:r>
    </w:p>
    <w:p w14:paraId="2FA62EF3" w14:textId="57B33DE5" w:rsidR="005F467C" w:rsidRPr="009C2ADD" w:rsidRDefault="005F467C" w:rsidP="009C2ADD">
      <w:pPr>
        <w:pStyle w:val="ListParagraph"/>
        <w:numPr>
          <w:ilvl w:val="1"/>
          <w:numId w:val="44"/>
        </w:numPr>
        <w:adjustRightInd w:val="0"/>
        <w:snapToGrid w:val="0"/>
        <w:ind w:left="1080"/>
        <w:contextualSpacing w:val="0"/>
        <w:rPr>
          <w:rFonts w:ascii="Times New Roman" w:hAnsi="Times New Roman"/>
        </w:rPr>
      </w:pPr>
      <w:r w:rsidRPr="009C2ADD">
        <w:rPr>
          <w:rFonts w:ascii="Times New Roman" w:hAnsi="Times New Roman"/>
        </w:rPr>
        <w:t xml:space="preserve">Specify which shark species are SSI and why; </w:t>
      </w:r>
      <w:r w:rsidR="00D03614" w:rsidRPr="009C2ADD">
        <w:rPr>
          <w:rFonts w:ascii="Times New Roman" w:hAnsi="Times New Roman"/>
        </w:rPr>
        <w:t>in particular,</w:t>
      </w:r>
      <w:r w:rsidRPr="009C2ADD">
        <w:rPr>
          <w:rFonts w:ascii="Times New Roman" w:hAnsi="Times New Roman"/>
        </w:rPr>
        <w:t xml:space="preserve"> silky, oceanic whitetip and whale shark on the basis of no-retention conservation and management measures (CMMs 2011-04, 2012-04 and 2013-08), and manta and mobulid (devil) rays on the basis of a Commission decision requiring a greater degree of observer data collection.</w:t>
      </w:r>
    </w:p>
    <w:p w14:paraId="1563E1C5" w14:textId="77777777" w:rsidR="005F467C" w:rsidRDefault="005F467C" w:rsidP="009C2ADD">
      <w:pPr>
        <w:pStyle w:val="ListParagraph"/>
        <w:adjustRightInd w:val="0"/>
        <w:snapToGrid w:val="0"/>
        <w:contextualSpacing w:val="0"/>
        <w:rPr>
          <w:rFonts w:ascii="Times New Roman" w:hAnsi="Times New Roman"/>
          <w:lang w:eastAsia="ko-KR"/>
        </w:rPr>
      </w:pPr>
    </w:p>
    <w:p w14:paraId="7E9D40B1" w14:textId="168D51CB" w:rsidR="00814D9C" w:rsidRPr="0070772D" w:rsidRDefault="00814D9C" w:rsidP="009C2ADD">
      <w:pPr>
        <w:pStyle w:val="ListParagraph"/>
        <w:adjustRightInd w:val="0"/>
        <w:snapToGrid w:val="0"/>
        <w:contextualSpacing w:val="0"/>
        <w:rPr>
          <w:rFonts w:ascii="Times New Roman" w:hAnsi="Times New Roman"/>
          <w:b/>
          <w:lang w:eastAsia="ko-KR"/>
        </w:rPr>
      </w:pPr>
      <w:r w:rsidRPr="0070772D">
        <w:rPr>
          <w:rFonts w:ascii="Times New Roman" w:hAnsi="Times New Roman"/>
          <w:b/>
          <w:lang w:eastAsia="ko-KR"/>
        </w:rPr>
        <w:t>Discussion</w:t>
      </w:r>
    </w:p>
    <w:p w14:paraId="71C7BC3D" w14:textId="77777777" w:rsidR="00814D9C" w:rsidRPr="009C2ADD" w:rsidRDefault="00814D9C" w:rsidP="009C2ADD">
      <w:pPr>
        <w:pStyle w:val="ListParagraph"/>
        <w:adjustRightInd w:val="0"/>
        <w:snapToGrid w:val="0"/>
        <w:contextualSpacing w:val="0"/>
        <w:rPr>
          <w:rFonts w:ascii="Times New Roman" w:hAnsi="Times New Roman"/>
          <w:lang w:eastAsia="ko-KR"/>
        </w:rPr>
      </w:pPr>
    </w:p>
    <w:p w14:paraId="33D8EC9A" w14:textId="0BAF3E98" w:rsidR="005F467C" w:rsidRPr="009C2ADD" w:rsidRDefault="005F467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thanked S. Clarke for the presentation and sought clarification on whether the SC ha</w:t>
      </w:r>
      <w:r w:rsidR="0020787E">
        <w:rPr>
          <w:rFonts w:ascii="Times New Roman" w:hAnsi="Times New Roman" w:hint="eastAsia"/>
          <w:lang w:val="en-AU" w:eastAsia="ko-KR"/>
        </w:rPr>
        <w:t>s</w:t>
      </w:r>
      <w:r w:rsidRPr="009C2ADD">
        <w:rPr>
          <w:rFonts w:ascii="Times New Roman" w:hAnsi="Times New Roman"/>
          <w:lang w:val="en-AU"/>
        </w:rPr>
        <w:t xml:space="preserve"> the authority to change the minimum standards of ROP data fields. In response, S. Clarke noted the SC does not have this authority on its </w:t>
      </w:r>
      <w:proofErr w:type="gramStart"/>
      <w:r w:rsidRPr="009C2ADD">
        <w:rPr>
          <w:rFonts w:ascii="Times New Roman" w:hAnsi="Times New Roman"/>
          <w:lang w:val="en-AU"/>
        </w:rPr>
        <w:t>own,</w:t>
      </w:r>
      <w:proofErr w:type="gramEnd"/>
      <w:r w:rsidRPr="009C2ADD">
        <w:rPr>
          <w:rFonts w:ascii="Times New Roman" w:hAnsi="Times New Roman"/>
          <w:lang w:val="en-AU"/>
        </w:rPr>
        <w:t xml:space="preserve"> however, it was tasked by WCPFC13 to review and make recommendations which could then be sent to TCC and then adopted by the Commission at WCPFC14.</w:t>
      </w:r>
    </w:p>
    <w:p w14:paraId="0C27F3AC"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23F9A5F7" w14:textId="5D00F4A1" w:rsidR="005F467C" w:rsidRPr="009C2ADD" w:rsidRDefault="005F467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EU further outlined the reasons why WCPFC tasked this to the SC, and supported the recommendations in the paper. It asked whether all sharks should be considered SSIs instead of some specific shark species. In response, S. Clarke noted that this would be a considerable expansion and would be a matter for the SC to discuss. The specifically defined SSI species in this paper were selected to precisely reflect which species fall within the proposed new definition of SSIs at this point in time. The species proposed reflect </w:t>
      </w:r>
      <w:r w:rsidR="003C61E2">
        <w:rPr>
          <w:rFonts w:ascii="Times New Roman" w:hAnsi="Times New Roman"/>
          <w:lang w:val="en-AU"/>
        </w:rPr>
        <w:t xml:space="preserve">mainly, but not exclusively, </w:t>
      </w:r>
      <w:r w:rsidRPr="009C2ADD">
        <w:rPr>
          <w:rFonts w:ascii="Times New Roman" w:hAnsi="Times New Roman"/>
          <w:lang w:val="en-AU"/>
        </w:rPr>
        <w:t xml:space="preserve">those that already have CMMs in place. </w:t>
      </w:r>
    </w:p>
    <w:p w14:paraId="033FE20E"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B60BC4A" w14:textId="08B5B329" w:rsidR="005F467C" w:rsidRPr="009C2ADD" w:rsidRDefault="005F467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FFA </w:t>
      </w:r>
      <w:r w:rsidR="00D5432C">
        <w:rPr>
          <w:rFonts w:ascii="Times New Roman" w:hAnsi="Times New Roman"/>
          <w:lang w:val="en-AU"/>
        </w:rPr>
        <w:t>member</w:t>
      </w:r>
      <w:r w:rsidRPr="009C2ADD">
        <w:rPr>
          <w:rFonts w:ascii="Times New Roman" w:hAnsi="Times New Roman"/>
          <w:lang w:val="en-AU"/>
        </w:rPr>
        <w:t xml:space="preserve">s supported the recommendations in the paper to clarify the definition of the term ‘Species of special interest’, the development of a definition and its application for data collection purposes, and the use of this term for species such as those with non-retention management measures. </w:t>
      </w:r>
    </w:p>
    <w:p w14:paraId="758B027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09242845" w14:textId="77777777" w:rsidR="005F467C" w:rsidRPr="009C2ADD" w:rsidRDefault="005F467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United States supported the three recommendations in the paper.</w:t>
      </w:r>
    </w:p>
    <w:p w14:paraId="751C9DF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AFB129A" w14:textId="77777777" w:rsidR="0018205F" w:rsidRDefault="0018205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recommends that the Commission adopt a formal definition of SSIs, e.g. “species of special interest are those species for which the Commission has requested additional data collection under the ROP, either because they are protected under one or more WCPFC conservation and management measures, or for other reasons articulated by the Commission”.  SC13 notes that at present under this definition SSIs would comprise manta and mobulid (devil) rays on the basis of a Commission decision requiring a greater degree of observer data collection, and silky, oceanic whitetip and whale shark on the basis of no-retention conservation and management measures (CMMs 2011-04, 2012-04 and 2013-08). In responding to WCPFC13’s specific request, SC13 confirms that as SSIs, manta and devil rays will have all required data collected under the Regional Observer Programme Minimum Standard Data Fields.</w:t>
      </w:r>
    </w:p>
    <w:p w14:paraId="2D6E1416" w14:textId="77777777" w:rsidR="0018205F" w:rsidRDefault="0018205F" w:rsidP="0020787E">
      <w:pPr>
        <w:pStyle w:val="ListParagraph"/>
        <w:rPr>
          <w:rFonts w:ascii="Times New Roman" w:hAnsi="Times New Roman"/>
          <w:b/>
          <w:lang w:val="en-AU"/>
        </w:rPr>
      </w:pPr>
    </w:p>
    <w:p w14:paraId="6572A4FF" w14:textId="20C1FA44" w:rsidR="0014316A" w:rsidRPr="009C2ADD" w:rsidRDefault="006A5EED" w:rsidP="009C2ADD">
      <w:pPr>
        <w:pStyle w:val="Heading2"/>
        <w:adjustRightInd w:val="0"/>
        <w:snapToGrid w:val="0"/>
        <w:rPr>
          <w:color w:val="auto"/>
          <w:szCs w:val="22"/>
        </w:rPr>
      </w:pPr>
      <w:bookmarkStart w:id="92" w:name="_Toc491851817"/>
      <w:r w:rsidRPr="009C2ADD">
        <w:rPr>
          <w:color w:val="auto"/>
          <w:szCs w:val="22"/>
        </w:rPr>
        <w:t xml:space="preserve">3.4 </w:t>
      </w:r>
      <w:r w:rsidR="00DA7AC9" w:rsidRPr="009C2ADD">
        <w:rPr>
          <w:color w:val="auto"/>
          <w:szCs w:val="22"/>
        </w:rPr>
        <w:tab/>
      </w:r>
      <w:r w:rsidRPr="009C2ADD">
        <w:rPr>
          <w:color w:val="auto"/>
          <w:szCs w:val="22"/>
        </w:rPr>
        <w:t>Electronic Reporting outcomes from WCPFC13</w:t>
      </w:r>
      <w:bookmarkEnd w:id="92"/>
    </w:p>
    <w:p w14:paraId="7AC2BCB4" w14:textId="77777777" w:rsidR="00E15D99" w:rsidRPr="009C2ADD" w:rsidRDefault="00E15D99" w:rsidP="009C2ADD">
      <w:pPr>
        <w:adjustRightInd w:val="0"/>
        <w:snapToGrid w:val="0"/>
        <w:spacing w:after="0"/>
        <w:rPr>
          <w:rFonts w:ascii="Times New Roman" w:hAnsi="Times New Roman"/>
        </w:rPr>
      </w:pPr>
    </w:p>
    <w:p w14:paraId="7A30AED0" w14:textId="4774DE6E" w:rsidR="006A5EED" w:rsidRPr="009C2ADD" w:rsidRDefault="006A5EED" w:rsidP="009C2ADD">
      <w:pPr>
        <w:numPr>
          <w:ilvl w:val="0"/>
          <w:numId w:val="1"/>
        </w:numPr>
        <w:autoSpaceDE w:val="0"/>
        <w:autoSpaceDN w:val="0"/>
        <w:adjustRightInd w:val="0"/>
        <w:snapToGrid w:val="0"/>
        <w:spacing w:after="0"/>
        <w:ind w:left="0" w:firstLine="0"/>
        <w:rPr>
          <w:rFonts w:ascii="Times New Roman" w:eastAsiaTheme="majorEastAsia" w:hAnsi="Times New Roman"/>
        </w:rPr>
      </w:pPr>
      <w:r w:rsidRPr="009C2ADD">
        <w:rPr>
          <w:rFonts w:ascii="Times New Roman" w:hAnsi="Times New Roman"/>
          <w:lang w:val="en-AU"/>
        </w:rPr>
        <w:t>SC13 was invited to note decisions taken by the Commission at WCPFC13 (Paragraphs 583 – 585), and review any progress and developments related to ER</w:t>
      </w:r>
      <w:r w:rsidR="00045540">
        <w:rPr>
          <w:rFonts w:ascii="Times New Roman" w:hAnsi="Times New Roman" w:hint="eastAsia"/>
          <w:lang w:val="en-AU" w:eastAsia="ko-KR"/>
        </w:rPr>
        <w:t>and</w:t>
      </w:r>
      <w:r w:rsidRPr="009C2ADD">
        <w:rPr>
          <w:rFonts w:ascii="Times New Roman" w:hAnsi="Times New Roman"/>
          <w:lang w:val="en-AU"/>
        </w:rPr>
        <w:t xml:space="preserve">EM, including the status of WCPFC E-reporting standards. Noting that no working papers had been submitted for consideration under </w:t>
      </w:r>
      <w:r w:rsidRPr="009C2ADD">
        <w:rPr>
          <w:rFonts w:ascii="Times New Roman" w:eastAsiaTheme="majorEastAsia" w:hAnsi="Times New Roman"/>
        </w:rPr>
        <w:t xml:space="preserve">agenda item, the SC was invited to make general comments. </w:t>
      </w:r>
    </w:p>
    <w:p w14:paraId="605D0B0D" w14:textId="77777777" w:rsidR="00C529CB" w:rsidRPr="009C2ADD" w:rsidRDefault="00C529CB" w:rsidP="009C2ADD">
      <w:pPr>
        <w:autoSpaceDE w:val="0"/>
        <w:autoSpaceDN w:val="0"/>
        <w:adjustRightInd w:val="0"/>
        <w:snapToGrid w:val="0"/>
        <w:spacing w:after="0"/>
        <w:rPr>
          <w:rFonts w:ascii="Times New Roman" w:eastAsiaTheme="majorEastAsia" w:hAnsi="Times New Roman"/>
        </w:rPr>
      </w:pPr>
    </w:p>
    <w:p w14:paraId="38AF5C25" w14:textId="3DB7DEEB" w:rsidR="006A5EED" w:rsidRPr="009C2ADD" w:rsidRDefault="006A5EE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FFA members were pleased that standards for operational logsheet data were adopted at WCPFC13 and thanked both SPC and the EMandER </w:t>
      </w:r>
      <w:r w:rsidR="00045540">
        <w:rPr>
          <w:rFonts w:ascii="Times New Roman" w:hAnsi="Times New Roman" w:hint="eastAsia"/>
          <w:lang w:val="en-AU" w:eastAsia="ko-KR"/>
        </w:rPr>
        <w:t>W</w:t>
      </w:r>
      <w:r w:rsidRPr="009C2ADD">
        <w:rPr>
          <w:rFonts w:ascii="Times New Roman" w:hAnsi="Times New Roman"/>
          <w:lang w:val="en-AU"/>
        </w:rPr>
        <w:t xml:space="preserve">orking </w:t>
      </w:r>
      <w:r w:rsidR="00045540">
        <w:rPr>
          <w:rFonts w:ascii="Times New Roman" w:hAnsi="Times New Roman" w:hint="eastAsia"/>
          <w:lang w:val="en-AU" w:eastAsia="ko-KR"/>
        </w:rPr>
        <w:t>G</w:t>
      </w:r>
      <w:r w:rsidRPr="009C2ADD">
        <w:rPr>
          <w:rFonts w:ascii="Times New Roman" w:hAnsi="Times New Roman"/>
          <w:lang w:val="en-AU"/>
        </w:rPr>
        <w:t xml:space="preserve">roup for supporting this process. However, it was noted that standards had not yet been adopted for observer data fields and other CCMs were asked if they could advise the Scientific Committee if they were ready to support the proposed observer standards. FFA members further supported the adoption of the observer standards at WCPFC14 and encouraged other CCMs to continue working with SPC and the </w:t>
      </w:r>
      <w:r w:rsidR="00045540">
        <w:rPr>
          <w:rFonts w:ascii="Times New Roman" w:hAnsi="Times New Roman" w:hint="eastAsia"/>
          <w:lang w:val="en-AU" w:eastAsia="ko-KR"/>
        </w:rPr>
        <w:t>S</w:t>
      </w:r>
      <w:r w:rsidRPr="009C2ADD">
        <w:rPr>
          <w:rFonts w:ascii="Times New Roman" w:hAnsi="Times New Roman"/>
          <w:lang w:val="en-AU"/>
        </w:rPr>
        <w:t xml:space="preserve">ecretariat to address any concerns. </w:t>
      </w:r>
    </w:p>
    <w:p w14:paraId="328F529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A6ED793" w14:textId="77777777" w:rsidR="006A5EED" w:rsidRPr="009C2ADD" w:rsidRDefault="006A5EE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SPC clarified that significant work was done at TCC12 and WCPFC13 last year, all other CCMs were happy with observer standards and issues that were addressed at WCPFC13. The intention was to submit the latest draft EM observer data standards for consideration at TCC13, and then on to WCPFC14 for adoption. </w:t>
      </w:r>
    </w:p>
    <w:p w14:paraId="17AF3235"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4950FDF7" w14:textId="77777777" w:rsidR="006A5EED" w:rsidRPr="009C2ADD" w:rsidRDefault="006A5EE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WCPFC ERandEM Working Group convene prior to SC14 to continue work in this area, including consideration of how observer data obtained through E-Monitoring is to be dealt with in the WCPFC context.</w:t>
      </w:r>
    </w:p>
    <w:p w14:paraId="43E84608" w14:textId="77777777" w:rsidR="00C529CB" w:rsidRPr="009C2ADD" w:rsidRDefault="00C529CB" w:rsidP="009C2ADD">
      <w:pPr>
        <w:pStyle w:val="ListParagraph"/>
        <w:adjustRightInd w:val="0"/>
        <w:snapToGrid w:val="0"/>
        <w:contextualSpacing w:val="0"/>
        <w:rPr>
          <w:rFonts w:ascii="Times New Roman" w:hAnsi="Times New Roman"/>
          <w:b/>
          <w:lang w:val="en-AU"/>
        </w:rPr>
      </w:pPr>
    </w:p>
    <w:p w14:paraId="432BC539" w14:textId="77777777" w:rsidR="006A5EED" w:rsidRPr="009C2ADD" w:rsidRDefault="006A5EE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recommended that the latest draft version of the WCPFC E-Reporting observer data standards be forwarded to WCPFC14 for adoption.</w:t>
      </w:r>
    </w:p>
    <w:p w14:paraId="0139E30B" w14:textId="77777777" w:rsidR="006F717F" w:rsidRPr="009C2ADD" w:rsidRDefault="006F717F" w:rsidP="009C2ADD">
      <w:pPr>
        <w:pStyle w:val="WCPFC"/>
        <w:numPr>
          <w:ilvl w:val="0"/>
          <w:numId w:val="0"/>
        </w:numPr>
        <w:adjustRightInd w:val="0"/>
        <w:spacing w:after="0"/>
        <w:ind w:left="567"/>
        <w:rPr>
          <w:b/>
        </w:rPr>
      </w:pPr>
    </w:p>
    <w:p w14:paraId="24C7CD7A" w14:textId="4CAAC96F" w:rsidR="006A5EED" w:rsidRPr="009C2ADD" w:rsidRDefault="006F717F" w:rsidP="009C2ADD">
      <w:pPr>
        <w:pStyle w:val="Heading2"/>
        <w:adjustRightInd w:val="0"/>
        <w:snapToGrid w:val="0"/>
        <w:rPr>
          <w:color w:val="auto"/>
          <w:szCs w:val="22"/>
        </w:rPr>
      </w:pPr>
      <w:bookmarkStart w:id="93" w:name="_Toc491851818"/>
      <w:r w:rsidRPr="009C2ADD">
        <w:rPr>
          <w:color w:val="auto"/>
          <w:szCs w:val="22"/>
        </w:rPr>
        <w:t xml:space="preserve">3.5 </w:t>
      </w:r>
      <w:r w:rsidR="00DA7AC9" w:rsidRPr="009C2ADD">
        <w:rPr>
          <w:color w:val="auto"/>
          <w:szCs w:val="22"/>
        </w:rPr>
        <w:tab/>
      </w:r>
      <w:r w:rsidRPr="009C2ADD">
        <w:rPr>
          <w:color w:val="auto"/>
          <w:szCs w:val="22"/>
        </w:rPr>
        <w:t>Economic Data</w:t>
      </w:r>
      <w:bookmarkEnd w:id="93"/>
    </w:p>
    <w:p w14:paraId="192082B0" w14:textId="77777777" w:rsidR="00E15D99" w:rsidRPr="009C2ADD" w:rsidRDefault="00E15D99" w:rsidP="009C2ADD">
      <w:pPr>
        <w:adjustRightInd w:val="0"/>
        <w:snapToGrid w:val="0"/>
        <w:spacing w:after="0"/>
        <w:rPr>
          <w:rFonts w:ascii="Times New Roman" w:hAnsi="Times New Roman"/>
        </w:rPr>
      </w:pPr>
    </w:p>
    <w:p w14:paraId="202288CE" w14:textId="761A8FDA"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M</w:t>
      </w:r>
      <w:r w:rsidR="00814D9C">
        <w:rPr>
          <w:rFonts w:ascii="Times New Roman" w:hAnsi="Times New Roman" w:hint="eastAsia"/>
          <w:lang w:val="en-AU" w:eastAsia="ko-KR"/>
        </w:rPr>
        <w:t>.</w:t>
      </w:r>
      <w:r w:rsidRPr="009C2ADD">
        <w:rPr>
          <w:rFonts w:ascii="Times New Roman" w:hAnsi="Times New Roman"/>
          <w:lang w:val="en-AU"/>
        </w:rPr>
        <w:t xml:space="preserve"> Skirtun (FFA) presented paper </w:t>
      </w:r>
      <w:r w:rsidRPr="0070772D">
        <w:rPr>
          <w:rFonts w:ascii="Times New Roman" w:hAnsi="Times New Roman"/>
          <w:bCs/>
          <w:lang w:val="en-AU"/>
        </w:rPr>
        <w:t>SC13-ST-WP-08</w:t>
      </w:r>
      <w:r w:rsidRPr="009C2ADD">
        <w:rPr>
          <w:rFonts w:ascii="Times New Roman" w:hAnsi="Times New Roman"/>
          <w:lang w:val="en-AU"/>
        </w:rPr>
        <w:t xml:space="preserve">, </w:t>
      </w:r>
      <w:r w:rsidRPr="009C2ADD">
        <w:rPr>
          <w:rFonts w:ascii="Times New Roman" w:hAnsi="Times New Roman"/>
          <w:i/>
          <w:lang w:val="en-AU"/>
        </w:rPr>
        <w:t>FFA Analyses and projections of economic conditions in WCPO fisheries</w:t>
      </w:r>
      <w:r w:rsidRPr="009C2ADD">
        <w:rPr>
          <w:rFonts w:ascii="Times New Roman" w:hAnsi="Times New Roman"/>
          <w:lang w:val="en-AU"/>
        </w:rPr>
        <w:t xml:space="preserve">. Using fish prices, fishing costs and catch rates, economic conditions indices were constructed for the southern longline, tropical longline and purse seine fisheries of the WCPO. The indices provided an illustration of the prevailing environment for the generation of economic returns, without addressing the absolute level of returns generated or how they are distributed. A historical overview for the reference period from 1998-2016, and simplistic ARIMA projections to 2026 were presented. For the southern longline fishery, conditions have fluctuated over the reference period but the general trend is one of decline owing to declines in catch rates and increases in fishing costs. Projections based on past trends suggested persistent below average catch rates, as well as a stronger growth trend in fuel price as revised by the US Energy Information Administration, would be the key drivers behind the continuation of relatively poor economic conditions for the fishery. For the tropical longline fishery, a similar trend of decline was present for the economic condition index, driven by the same factors as that for the southern longline fishery. Going forward, economic conditions were projected to deteriorate as a result of projected declines in the catch rate index and the stronger growth trend forecasted for fuel price. In contrast, economic conditions in the purse seine fishery had been on an upward trend since 2006. The key driver behind this was above average fish prices and increasing skipjack catch rates. Conditions were projected to improve over the next 10 years on the account of higher projected catch rates and above average fish prices. </w:t>
      </w:r>
    </w:p>
    <w:p w14:paraId="40D37F3E" w14:textId="77777777" w:rsidR="00C529CB" w:rsidRDefault="00C529CB" w:rsidP="009C2ADD">
      <w:pPr>
        <w:autoSpaceDE w:val="0"/>
        <w:autoSpaceDN w:val="0"/>
        <w:adjustRightInd w:val="0"/>
        <w:snapToGrid w:val="0"/>
        <w:spacing w:after="0"/>
        <w:rPr>
          <w:rFonts w:ascii="Times New Roman" w:hAnsi="Times New Roman"/>
          <w:lang w:val="en-AU" w:eastAsia="ko-KR"/>
        </w:rPr>
      </w:pPr>
    </w:p>
    <w:p w14:paraId="46D03F90" w14:textId="6CB36DEA" w:rsidR="00814D9C" w:rsidRPr="0070772D" w:rsidRDefault="00814D9C"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3E235652" w14:textId="77777777" w:rsidR="00814D9C" w:rsidRPr="009C2ADD" w:rsidRDefault="00814D9C" w:rsidP="009C2ADD">
      <w:pPr>
        <w:autoSpaceDE w:val="0"/>
        <w:autoSpaceDN w:val="0"/>
        <w:adjustRightInd w:val="0"/>
        <w:snapToGrid w:val="0"/>
        <w:spacing w:after="0"/>
        <w:rPr>
          <w:rFonts w:ascii="Times New Roman" w:hAnsi="Times New Roman"/>
          <w:lang w:val="en-AU" w:eastAsia="ko-KR"/>
        </w:rPr>
      </w:pPr>
    </w:p>
    <w:p w14:paraId="67E710C0" w14:textId="045E06EE"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Fiji thanked the FFA Secretariat for the paper; it was a very informative piece of work that highlighted the importance of economic information in fisheries management, especially for fisheries where sustainability was mainly an economic issue rather than a biological one. Indicators of declining conditions in the southern longline fishery, and the significant impact that low catch rates were impacting the economic viability of domestic fleets, continued to be a concern for Fiji. Fiji had already implemented national measures to manage its longline fishery, based on economic performance, however, declining catch rates for the regional albacore stock continued to impact the effectiveness of those national management measures. With fish prices around their </w:t>
      </w:r>
      <w:r w:rsidR="00D03614" w:rsidRPr="009C2ADD">
        <w:rPr>
          <w:rFonts w:ascii="Times New Roman" w:hAnsi="Times New Roman"/>
          <w:lang w:val="en-AU"/>
        </w:rPr>
        <w:t>long-term</w:t>
      </w:r>
      <w:r w:rsidRPr="009C2ADD">
        <w:rPr>
          <w:rFonts w:ascii="Times New Roman" w:hAnsi="Times New Roman"/>
          <w:lang w:val="en-AU"/>
        </w:rPr>
        <w:t xml:space="preserve"> average and fuel prices the lowest in over a decade, low catch rates were the main factor negatively impacting the profitability of Fijian longliners. The paper clearly showed that if the same conditions continue, CPUE will continue to decline and uneconomic conditions will force its vessels to exit the fishery. The same trend seemed to be inevitably coming for the tropical longline fishery, where, over time, economic conditions were projected to fall below the </w:t>
      </w:r>
      <w:r w:rsidR="00D03614" w:rsidRPr="009C2ADD">
        <w:rPr>
          <w:rFonts w:ascii="Times New Roman" w:hAnsi="Times New Roman"/>
          <w:lang w:val="en-AU"/>
        </w:rPr>
        <w:t>long-term</w:t>
      </w:r>
      <w:r w:rsidRPr="009C2ADD">
        <w:rPr>
          <w:rFonts w:ascii="Times New Roman" w:hAnsi="Times New Roman"/>
          <w:lang w:val="en-AU"/>
        </w:rPr>
        <w:t xml:space="preserve"> average. Fiji recommended that economic analyses be </w:t>
      </w:r>
      <w:r w:rsidR="00D03614" w:rsidRPr="009C2ADD">
        <w:rPr>
          <w:rFonts w:ascii="Times New Roman" w:hAnsi="Times New Roman"/>
          <w:lang w:val="en-AU"/>
        </w:rPr>
        <w:t>considered</w:t>
      </w:r>
      <w:r w:rsidRPr="009C2ADD">
        <w:rPr>
          <w:rFonts w:ascii="Times New Roman" w:hAnsi="Times New Roman"/>
          <w:lang w:val="en-AU"/>
        </w:rPr>
        <w:t xml:space="preserve"> in the development of Commission management measures, including target reference points and the evaluation of potential management strategies. Fiji also supported the collection of economic data to further enhance economic modelling. </w:t>
      </w:r>
    </w:p>
    <w:p w14:paraId="0CC53B4D" w14:textId="77777777" w:rsidR="00C529CB" w:rsidRPr="009C2ADD" w:rsidRDefault="00C529CB" w:rsidP="009C2ADD">
      <w:pPr>
        <w:autoSpaceDE w:val="0"/>
        <w:autoSpaceDN w:val="0"/>
        <w:adjustRightInd w:val="0"/>
        <w:snapToGrid w:val="0"/>
        <w:spacing w:after="0"/>
        <w:rPr>
          <w:rFonts w:ascii="Times New Roman" w:hAnsi="Times New Roman"/>
          <w:lang w:val="en-AU"/>
        </w:rPr>
      </w:pPr>
    </w:p>
    <w:p w14:paraId="267A8A01" w14:textId="4C857BB8"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several queries from Chinese Taipei, M. Skirtun confirmed that the ARIMA model was used in producing the price and catch forecast, and that the purpose of the </w:t>
      </w:r>
      <w:r w:rsidR="00F97D23">
        <w:rPr>
          <w:rFonts w:ascii="Times New Roman" w:hAnsi="Times New Roman"/>
        </w:rPr>
        <w:t>indexes</w:t>
      </w:r>
      <w:r w:rsidR="00F97D23" w:rsidRPr="009C2ADD">
        <w:rPr>
          <w:rFonts w:ascii="Times New Roman" w:hAnsi="Times New Roman"/>
        </w:rPr>
        <w:t xml:space="preserve"> </w:t>
      </w:r>
      <w:r w:rsidRPr="009C2ADD">
        <w:rPr>
          <w:rFonts w:ascii="Times New Roman" w:hAnsi="Times New Roman"/>
          <w:lang w:val="en-AU"/>
        </w:rPr>
        <w:t xml:space="preserve">was to show </w:t>
      </w:r>
      <w:r w:rsidR="00F97D23">
        <w:rPr>
          <w:rFonts w:ascii="Times New Roman" w:hAnsi="Times New Roman"/>
        </w:rPr>
        <w:t>tends in</w:t>
      </w:r>
      <w:r w:rsidR="00F97D23" w:rsidRPr="009C2ADD">
        <w:rPr>
          <w:rFonts w:ascii="Times New Roman" w:hAnsi="Times New Roman"/>
        </w:rPr>
        <w:t xml:space="preserve"> </w:t>
      </w:r>
      <w:r w:rsidR="00F97D23">
        <w:rPr>
          <w:rFonts w:ascii="Times New Roman" w:hAnsi="Times New Roman"/>
        </w:rPr>
        <w:t xml:space="preserve">economic </w:t>
      </w:r>
      <w:r w:rsidRPr="009C2ADD">
        <w:rPr>
          <w:rFonts w:ascii="Times New Roman" w:hAnsi="Times New Roman"/>
          <w:lang w:val="en-AU"/>
        </w:rPr>
        <w:t xml:space="preserve">conditions in the </w:t>
      </w:r>
      <w:r w:rsidR="00F97D23">
        <w:rPr>
          <w:rFonts w:ascii="Times New Roman" w:hAnsi="Times New Roman"/>
        </w:rPr>
        <w:t xml:space="preserve">fishery and the ability of it </w:t>
      </w:r>
      <w:r w:rsidRPr="009C2ADD">
        <w:rPr>
          <w:rFonts w:ascii="Times New Roman" w:hAnsi="Times New Roman"/>
          <w:lang w:val="en-AU"/>
        </w:rPr>
        <w:t>to generate profit</w:t>
      </w:r>
      <w:r w:rsidR="00F97D23">
        <w:rPr>
          <w:rFonts w:ascii="Times New Roman" w:hAnsi="Times New Roman"/>
          <w:lang w:val="en-AU"/>
        </w:rPr>
        <w:t>s</w:t>
      </w:r>
      <w:r w:rsidRPr="009C2ADD">
        <w:rPr>
          <w:rFonts w:ascii="Times New Roman" w:hAnsi="Times New Roman"/>
          <w:lang w:val="en-AU"/>
        </w:rPr>
        <w:t xml:space="preserve"> and </w:t>
      </w:r>
      <w:r w:rsidR="00F97D23">
        <w:rPr>
          <w:rFonts w:ascii="Times New Roman" w:hAnsi="Times New Roman"/>
        </w:rPr>
        <w:t>was not concerned with who captured the profits generated</w:t>
      </w:r>
      <w:r w:rsidRPr="009C2ADD">
        <w:rPr>
          <w:rFonts w:ascii="Times New Roman" w:hAnsi="Times New Roman"/>
          <w:lang w:val="en-AU"/>
        </w:rPr>
        <w:t xml:space="preserve">.  Chinese Taipei noted that it had requested that access fees be included in the analysis last year, but this was not addressed in this year’s analysis.  Additionally, Chinese Taipei reiterated its comments from last year that the time series model was not suitable to do a long-term forecast since that latest data points would have a strong effect on the trend of the </w:t>
      </w:r>
      <w:r w:rsidR="00F97D23" w:rsidRPr="009C2ADD">
        <w:rPr>
          <w:rFonts w:ascii="Times New Roman" w:hAnsi="Times New Roman"/>
        </w:rPr>
        <w:t>forecas</w:t>
      </w:r>
      <w:r w:rsidR="00F97D23">
        <w:rPr>
          <w:rFonts w:ascii="Times New Roman" w:hAnsi="Times New Roman"/>
        </w:rPr>
        <w:t>t. M. Skirtun noted that all data points in the historical series had an influence on the forecasts</w:t>
      </w:r>
      <w:r w:rsidRPr="009C2ADD">
        <w:rPr>
          <w:rFonts w:ascii="Times New Roman" w:hAnsi="Times New Roman"/>
          <w:lang w:val="en-AU"/>
        </w:rPr>
        <w:t xml:space="preserve">.  </w:t>
      </w:r>
    </w:p>
    <w:p w14:paraId="3783A57F"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7CF503F4" w14:textId="5CC30E08"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w:t>
      </w:r>
      <w:r w:rsidR="00814D9C">
        <w:rPr>
          <w:rFonts w:ascii="Times New Roman" w:hAnsi="Times New Roman" w:hint="eastAsia"/>
          <w:lang w:val="en-AU" w:eastAsia="ko-KR"/>
        </w:rPr>
        <w:t>.</w:t>
      </w:r>
      <w:r w:rsidRPr="009C2ADD">
        <w:rPr>
          <w:rFonts w:ascii="Times New Roman" w:hAnsi="Times New Roman"/>
          <w:lang w:val="en-AU"/>
        </w:rPr>
        <w:t xml:space="preserve"> Reid (FFA) presented paper </w:t>
      </w:r>
      <w:r w:rsidRPr="0070772D">
        <w:rPr>
          <w:rFonts w:ascii="Times New Roman" w:hAnsi="Times New Roman"/>
          <w:bCs/>
          <w:lang w:val="en-AU"/>
        </w:rPr>
        <w:t>SC13-ST-WP-09</w:t>
      </w:r>
      <w:r w:rsidRPr="009C2ADD">
        <w:rPr>
          <w:rFonts w:ascii="Times New Roman" w:hAnsi="Times New Roman"/>
          <w:lang w:val="en-AU"/>
        </w:rPr>
        <w:t xml:space="preserve">, </w:t>
      </w:r>
      <w:r w:rsidRPr="009C2ADD">
        <w:rPr>
          <w:rFonts w:ascii="Times New Roman" w:hAnsi="Times New Roman"/>
          <w:i/>
          <w:lang w:val="en-AU"/>
        </w:rPr>
        <w:t>FFA Development of Guidelines for the Voluntary Submission of Economic data to the Commission</w:t>
      </w:r>
      <w:r w:rsidRPr="009C2ADD">
        <w:rPr>
          <w:rFonts w:ascii="Times New Roman" w:hAnsi="Times New Roman"/>
          <w:lang w:val="en-AU"/>
        </w:rPr>
        <w:t xml:space="preserve">. SC12 recommended that “SC13 considers guidelines for the voluntary submission of economic data to the Commission by CCMs, recognizing the value of economic data to the work of the Commission”. This paper provided SC13 with a discussion on issues related to the establishment of a process under which CCMs can voluntarily submit economic data to the Commission. First and primarily, it addressed issues related to content by examining the current work of the Commission requiring economic data and the type of economic data required to facilitate this work. Second, it noted some process issues that the SC may wish to consider. Finally, to initiate discussion amongst members of the SC, a basic framework for the submission of economic data was proposed. </w:t>
      </w:r>
    </w:p>
    <w:p w14:paraId="14128A3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EA59C14"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following basic framework was proposed for the submission of economic data: </w:t>
      </w:r>
    </w:p>
    <w:p w14:paraId="12618F99" w14:textId="48C2988F" w:rsidR="006F717F" w:rsidRPr="009C2ADD" w:rsidRDefault="006F717F" w:rsidP="009C2ADD">
      <w:pPr>
        <w:pStyle w:val="WCPFC"/>
        <w:numPr>
          <w:ilvl w:val="0"/>
          <w:numId w:val="45"/>
        </w:numPr>
        <w:adjustRightInd w:val="0"/>
        <w:spacing w:after="0"/>
        <w:ind w:left="1080"/>
        <w:rPr>
          <w:lang w:eastAsia="ko-KR"/>
        </w:rPr>
      </w:pPr>
      <w:r w:rsidRPr="009C2ADD">
        <w:t>Any submission is voluntary, but all CCMs with fishing vessels, or who license fishing vessels that are required to provide some form of economic data as part of the license application process, are encouraged to provide some level of information, and to update that information periodically.</w:t>
      </w:r>
    </w:p>
    <w:p w14:paraId="02887A25" w14:textId="5DD5F104" w:rsidR="00AE7FF7" w:rsidRPr="009C2ADD" w:rsidRDefault="00AE7FF7" w:rsidP="009C2ADD">
      <w:pPr>
        <w:pStyle w:val="WCPFC"/>
        <w:numPr>
          <w:ilvl w:val="0"/>
          <w:numId w:val="45"/>
        </w:numPr>
        <w:adjustRightInd w:val="0"/>
        <w:spacing w:after="0"/>
        <w:ind w:left="1080"/>
        <w:rPr>
          <w:lang w:eastAsia="ko-KR"/>
        </w:rPr>
      </w:pPr>
      <w:r w:rsidRPr="009C2ADD">
        <w:t>Submissions will provide the information detailed in the four categories described above.</w:t>
      </w:r>
    </w:p>
    <w:p w14:paraId="738C0097" w14:textId="123BEF86" w:rsidR="00AE7FF7" w:rsidRPr="009C2ADD" w:rsidRDefault="00AE7FF7" w:rsidP="009C2ADD">
      <w:pPr>
        <w:pStyle w:val="WCPFC"/>
        <w:numPr>
          <w:ilvl w:val="0"/>
          <w:numId w:val="45"/>
        </w:numPr>
        <w:adjustRightInd w:val="0"/>
        <w:spacing w:after="0"/>
        <w:ind w:left="1080"/>
        <w:rPr>
          <w:lang w:eastAsia="ko-KR"/>
        </w:rPr>
      </w:pPr>
      <w:r w:rsidRPr="009C2ADD">
        <w:t>Templates for voluntary submissions will be agreed to ensure as much consistency as possible.</w:t>
      </w:r>
    </w:p>
    <w:p w14:paraId="20609430" w14:textId="4F4553A1" w:rsidR="00AE7FF7" w:rsidRPr="009C2ADD" w:rsidRDefault="00AE7FF7" w:rsidP="009C2ADD">
      <w:pPr>
        <w:pStyle w:val="WCPFC"/>
        <w:numPr>
          <w:ilvl w:val="0"/>
          <w:numId w:val="45"/>
        </w:numPr>
        <w:adjustRightInd w:val="0"/>
        <w:spacing w:after="0"/>
        <w:ind w:left="1080"/>
        <w:rPr>
          <w:lang w:eastAsia="ko-KR"/>
        </w:rPr>
      </w:pPr>
      <w:r w:rsidRPr="009C2ADD">
        <w:t>Data will be considered non-public domain and the Commission will agree risk levels for the different categories.</w:t>
      </w:r>
    </w:p>
    <w:p w14:paraId="31A61916" w14:textId="33CFA0BA" w:rsidR="00AE7FF7" w:rsidRPr="009C2ADD" w:rsidRDefault="00AE7FF7" w:rsidP="009C2ADD">
      <w:pPr>
        <w:pStyle w:val="WCPFC"/>
        <w:numPr>
          <w:ilvl w:val="0"/>
          <w:numId w:val="45"/>
        </w:numPr>
        <w:adjustRightInd w:val="0"/>
        <w:spacing w:after="0"/>
        <w:ind w:left="1080"/>
        <w:rPr>
          <w:lang w:eastAsia="ko-KR"/>
        </w:rPr>
      </w:pPr>
      <w:r w:rsidRPr="009C2ADD">
        <w:t>Data will be held by WCPFC (either directly or through its contracted data management provider)</w:t>
      </w:r>
    </w:p>
    <w:p w14:paraId="3F55D67D" w14:textId="25AD2ABF" w:rsidR="00AE7FF7" w:rsidRPr="009C2ADD" w:rsidRDefault="00AE7FF7" w:rsidP="009C2ADD">
      <w:pPr>
        <w:pStyle w:val="WCPFC"/>
        <w:numPr>
          <w:ilvl w:val="0"/>
          <w:numId w:val="45"/>
        </w:numPr>
        <w:adjustRightInd w:val="0"/>
        <w:spacing w:after="0"/>
        <w:ind w:left="1080"/>
        <w:rPr>
          <w:lang w:eastAsia="ko-KR"/>
        </w:rPr>
      </w:pPr>
      <w:r w:rsidRPr="009C2ADD">
        <w:t>Over time the Commission will amend the Scientific Data Rules to also cover this voluntary information.</w:t>
      </w:r>
    </w:p>
    <w:p w14:paraId="2DDF0D82" w14:textId="0E661D56" w:rsidR="006F717F" w:rsidRPr="009C2ADD" w:rsidRDefault="006F717F" w:rsidP="0070772D">
      <w:pPr>
        <w:autoSpaceDE w:val="0"/>
        <w:autoSpaceDN w:val="0"/>
        <w:adjustRightInd w:val="0"/>
        <w:snapToGrid w:val="0"/>
        <w:spacing w:after="0"/>
        <w:rPr>
          <w:rFonts w:ascii="Times New Roman" w:hAnsi="Times New Roman"/>
          <w:lang w:val="en-AU"/>
        </w:rPr>
      </w:pPr>
    </w:p>
    <w:p w14:paraId="7631DE1B" w14:textId="4F52A600" w:rsidR="00C529CB" w:rsidRPr="0070772D" w:rsidRDefault="00814D9C"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669A7A4C" w14:textId="77777777" w:rsidR="00814D9C" w:rsidRPr="009C2ADD" w:rsidRDefault="00814D9C" w:rsidP="009C2ADD">
      <w:pPr>
        <w:autoSpaceDE w:val="0"/>
        <w:autoSpaceDN w:val="0"/>
        <w:adjustRightInd w:val="0"/>
        <w:snapToGrid w:val="0"/>
        <w:spacing w:after="0"/>
        <w:rPr>
          <w:rFonts w:ascii="Times New Roman" w:hAnsi="Times New Roman"/>
          <w:lang w:val="en-AU" w:eastAsia="ko-KR"/>
        </w:rPr>
      </w:pPr>
    </w:p>
    <w:p w14:paraId="6115FEDA" w14:textId="7E8014B3"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noted that economic data </w:t>
      </w:r>
      <w:r w:rsidR="00C17F7D">
        <w:rPr>
          <w:rFonts w:ascii="Times New Roman" w:hAnsi="Times New Roman" w:hint="eastAsia"/>
          <w:lang w:val="en-AU" w:eastAsia="ko-KR"/>
        </w:rPr>
        <w:t>were</w:t>
      </w:r>
      <w:r w:rsidR="00C17F7D" w:rsidRPr="009C2ADD">
        <w:rPr>
          <w:rFonts w:ascii="Times New Roman" w:hAnsi="Times New Roman"/>
          <w:lang w:val="en-AU"/>
        </w:rPr>
        <w:t xml:space="preserve"> </w:t>
      </w:r>
      <w:r w:rsidRPr="009C2ADD">
        <w:rPr>
          <w:rFonts w:ascii="Times New Roman" w:hAnsi="Times New Roman"/>
          <w:lang w:val="en-AU"/>
        </w:rPr>
        <w:t>often considered as sensitive information, recognized that economic data could be useful in MSE processes and developing harvest control rules, and asked whether CCMs would be expected to provide data or an aggregated level or representative or if type of data to be provided would be chosen by each CCM.  SPC clarified that based on its own discussions on performance indicators, it seemed quite important for the economic indicators to be integrated into the modelling</w:t>
      </w:r>
      <w:r w:rsidR="006C57DF">
        <w:rPr>
          <w:rFonts w:ascii="Times New Roman" w:hAnsi="Times New Roman" w:hint="eastAsia"/>
          <w:lang w:val="en-AU" w:eastAsia="ko-KR"/>
        </w:rPr>
        <w:t xml:space="preserve"> </w:t>
      </w:r>
      <w:r w:rsidRPr="009C2ADD">
        <w:rPr>
          <w:rFonts w:ascii="Times New Roman" w:hAnsi="Times New Roman"/>
          <w:lang w:val="en-AU"/>
        </w:rPr>
        <w:t>and performance evaluations</w:t>
      </w:r>
      <w:r w:rsidR="00F748C3" w:rsidRPr="009C2ADD">
        <w:rPr>
          <w:rFonts w:ascii="Times New Roman" w:hAnsi="Times New Roman"/>
          <w:lang w:val="en-AU"/>
        </w:rPr>
        <w:t>,</w:t>
      </w:r>
      <w:r w:rsidRPr="009C2ADD">
        <w:rPr>
          <w:rFonts w:ascii="Times New Roman" w:hAnsi="Times New Roman"/>
          <w:lang w:val="en-AU"/>
        </w:rPr>
        <w:t xml:space="preserve"> </w:t>
      </w:r>
      <w:r w:rsidR="00F748C3" w:rsidRPr="009C2ADD">
        <w:rPr>
          <w:rFonts w:ascii="Times New Roman" w:hAnsi="Times New Roman"/>
          <w:lang w:val="en-AU"/>
        </w:rPr>
        <w:t>and f</w:t>
      </w:r>
      <w:r w:rsidRPr="009C2ADD">
        <w:rPr>
          <w:rFonts w:ascii="Times New Roman" w:hAnsi="Times New Roman"/>
          <w:lang w:val="en-AU"/>
        </w:rPr>
        <w:t xml:space="preserve">or some fisheries this information was already available. </w:t>
      </w:r>
    </w:p>
    <w:p w14:paraId="2F5BCCA8"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23DEEE1A"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While China was of the view that this kind of work was helpful, the WCPFC had not specified any performance indicators, so it was premature to collect this information. </w:t>
      </w:r>
    </w:p>
    <w:p w14:paraId="43E549F4"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A612D6B"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Tuvalu, Palau supported further discussions in an ISG. It was further noted that WCPFC had already approved an interim target reference point based on economic reasons in the skipjack fishery, so WCPFC was already making progress in this area.</w:t>
      </w:r>
    </w:p>
    <w:p w14:paraId="5EB4539D"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3D1830C5"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Taipei noted that these proposed guidelines would be voluntary and suggested that more work needed to occur to identify the types of data needed.</w:t>
      </w:r>
    </w:p>
    <w:p w14:paraId="48AC6099"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6413D9AB" w14:textId="2FB17E7E"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agreed to form ISG-1 to discuss the </w:t>
      </w:r>
      <w:r w:rsidR="008E0FAE" w:rsidRPr="009C2ADD">
        <w:rPr>
          <w:rFonts w:ascii="Times New Roman" w:hAnsi="Times New Roman"/>
          <w:lang w:val="en-AU"/>
        </w:rPr>
        <w:t>Guidelines</w:t>
      </w:r>
      <w:r w:rsidR="008E0FAE" w:rsidRPr="009C2ADD">
        <w:rPr>
          <w:rFonts w:ascii="Times New Roman" w:hAnsi="Times New Roman"/>
          <w:i/>
          <w:lang w:val="en-AU"/>
        </w:rPr>
        <w:t xml:space="preserve"> </w:t>
      </w:r>
      <w:r w:rsidRPr="009C2ADD">
        <w:rPr>
          <w:rFonts w:ascii="Times New Roman" w:hAnsi="Times New Roman"/>
          <w:lang w:val="en-AU"/>
        </w:rPr>
        <w:t>in the margins of SC13 and report back to the plenary.  Fiji agreed to</w:t>
      </w:r>
      <w:r w:rsidR="008E0FAE" w:rsidRPr="009C2ADD">
        <w:rPr>
          <w:rFonts w:ascii="Times New Roman" w:hAnsi="Times New Roman"/>
          <w:lang w:val="en-AU"/>
        </w:rPr>
        <w:t xml:space="preserve"> chair this </w:t>
      </w:r>
      <w:r w:rsidR="00223D03">
        <w:rPr>
          <w:rFonts w:ascii="Times New Roman" w:hAnsi="Times New Roman" w:hint="eastAsia"/>
          <w:lang w:val="en-AU" w:eastAsia="ko-KR"/>
        </w:rPr>
        <w:t>ISG</w:t>
      </w:r>
      <w:r w:rsidR="008E0FAE" w:rsidRPr="009C2ADD">
        <w:rPr>
          <w:rFonts w:ascii="Times New Roman" w:hAnsi="Times New Roman"/>
          <w:lang w:val="en-AU"/>
        </w:rPr>
        <w:t>.</w:t>
      </w:r>
    </w:p>
    <w:p w14:paraId="37CF7810" w14:textId="77777777" w:rsidR="00C529CB" w:rsidRPr="009C2ADD" w:rsidRDefault="00C529CB" w:rsidP="009C2ADD">
      <w:pPr>
        <w:pStyle w:val="ListParagraph"/>
        <w:adjustRightInd w:val="0"/>
        <w:snapToGrid w:val="0"/>
        <w:contextualSpacing w:val="0"/>
        <w:rPr>
          <w:rFonts w:ascii="Times New Roman" w:hAnsi="Times New Roman"/>
          <w:lang w:val="en-AU"/>
        </w:rPr>
      </w:pPr>
    </w:p>
    <w:p w14:paraId="5B287469"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considered the development of guidelines for the voluntary provision of economic data to the Commission by CCMs and recommended that intersessional work be undertaken on the principles that will inform the development of such guidelines. CCMs wishing to participate in this intersessional work should provide a contact point for inclusion in this intersessional working group which will be facilitated by Fiji and the FFA Secretariat. </w:t>
      </w:r>
    </w:p>
    <w:p w14:paraId="3DF8B60A" w14:textId="77777777" w:rsidR="008E0FAE" w:rsidRPr="009C2ADD" w:rsidRDefault="008E0FAE" w:rsidP="009C2ADD">
      <w:pPr>
        <w:pStyle w:val="ListParagraph"/>
        <w:adjustRightInd w:val="0"/>
        <w:snapToGrid w:val="0"/>
        <w:contextualSpacing w:val="0"/>
        <w:rPr>
          <w:rFonts w:ascii="Times New Roman" w:hAnsi="Times New Roman"/>
          <w:b/>
          <w:lang w:val="en-AU"/>
        </w:rPr>
      </w:pPr>
    </w:p>
    <w:p w14:paraId="3A06BC28" w14:textId="77777777" w:rsidR="006F717F" w:rsidRPr="009C2ADD" w:rsidRDefault="006F717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further recommended that the outcomes of this intersessional work be considered by TCC13. </w:t>
      </w:r>
    </w:p>
    <w:p w14:paraId="2F6D2678" w14:textId="77777777" w:rsidR="00AA2F71" w:rsidRPr="009C2ADD" w:rsidRDefault="00AA2F71" w:rsidP="009C2ADD">
      <w:pPr>
        <w:pStyle w:val="WCPFC"/>
        <w:numPr>
          <w:ilvl w:val="0"/>
          <w:numId w:val="0"/>
        </w:numPr>
        <w:adjustRightInd w:val="0"/>
        <w:spacing w:after="0"/>
        <w:ind w:left="567"/>
        <w:rPr>
          <w:b/>
        </w:rPr>
      </w:pPr>
    </w:p>
    <w:p w14:paraId="09699E91" w14:textId="77777777" w:rsidR="00AA2F71" w:rsidRPr="009C2ADD" w:rsidRDefault="00AA2F71" w:rsidP="009C2ADD">
      <w:pPr>
        <w:pStyle w:val="WCPFC"/>
        <w:numPr>
          <w:ilvl w:val="0"/>
          <w:numId w:val="0"/>
        </w:numPr>
        <w:adjustRightInd w:val="0"/>
        <w:spacing w:after="0"/>
        <w:ind w:left="567"/>
        <w:rPr>
          <w:b/>
        </w:rPr>
      </w:pPr>
    </w:p>
    <w:p w14:paraId="33F4D367" w14:textId="77777777" w:rsidR="00AA2F71" w:rsidRPr="009C2ADD" w:rsidRDefault="00AA2F71" w:rsidP="009C2ADD">
      <w:pPr>
        <w:pStyle w:val="Heading1"/>
        <w:adjustRightInd w:val="0"/>
        <w:snapToGrid w:val="0"/>
        <w:rPr>
          <w:rFonts w:ascii="Times New Roman" w:hAnsi="Times New Roman"/>
          <w:sz w:val="22"/>
          <w:szCs w:val="22"/>
        </w:rPr>
      </w:pPr>
      <w:bookmarkStart w:id="94" w:name="_Toc491850305"/>
      <w:bookmarkStart w:id="95" w:name="_Toc491851819"/>
      <w:r w:rsidRPr="009C2ADD">
        <w:rPr>
          <w:rFonts w:ascii="Times New Roman" w:hAnsi="Times New Roman"/>
          <w:sz w:val="22"/>
          <w:szCs w:val="22"/>
        </w:rPr>
        <w:t>AGENDA ITEM 4 – Stock Assessment</w:t>
      </w:r>
      <w:bookmarkEnd w:id="94"/>
      <w:bookmarkEnd w:id="95"/>
    </w:p>
    <w:p w14:paraId="525EEF22" w14:textId="77777777" w:rsidR="00AA2F71" w:rsidRPr="009C2ADD" w:rsidRDefault="00AA2F71" w:rsidP="009C2ADD">
      <w:pPr>
        <w:pStyle w:val="WCPFC"/>
        <w:numPr>
          <w:ilvl w:val="0"/>
          <w:numId w:val="0"/>
        </w:numPr>
        <w:adjustRightInd w:val="0"/>
        <w:spacing w:after="0"/>
        <w:jc w:val="center"/>
        <w:rPr>
          <w:b/>
        </w:rPr>
      </w:pPr>
    </w:p>
    <w:p w14:paraId="096C602C" w14:textId="77777777" w:rsidR="008E0FAE" w:rsidRPr="009C2ADD" w:rsidRDefault="008E0FAE" w:rsidP="009C2ADD">
      <w:pPr>
        <w:pStyle w:val="WCPFC"/>
        <w:numPr>
          <w:ilvl w:val="0"/>
          <w:numId w:val="0"/>
        </w:numPr>
        <w:adjustRightInd w:val="0"/>
        <w:spacing w:after="0"/>
        <w:jc w:val="center"/>
        <w:rPr>
          <w:b/>
        </w:rPr>
      </w:pPr>
    </w:p>
    <w:p w14:paraId="1F08C797" w14:textId="4EFE9325" w:rsidR="00AA2F71" w:rsidRPr="009C2ADD" w:rsidRDefault="00CD1D72" w:rsidP="009C2ADD">
      <w:pPr>
        <w:pStyle w:val="Heading2"/>
        <w:adjustRightInd w:val="0"/>
        <w:snapToGrid w:val="0"/>
        <w:rPr>
          <w:color w:val="auto"/>
          <w:szCs w:val="22"/>
        </w:rPr>
      </w:pPr>
      <w:bookmarkStart w:id="96" w:name="_Toc491851820"/>
      <w:r w:rsidRPr="009C2ADD">
        <w:rPr>
          <w:color w:val="auto"/>
          <w:szCs w:val="22"/>
        </w:rPr>
        <w:t xml:space="preserve">4.1 </w:t>
      </w:r>
      <w:r w:rsidR="00DA7AC9" w:rsidRPr="009C2ADD">
        <w:rPr>
          <w:color w:val="auto"/>
          <w:szCs w:val="22"/>
        </w:rPr>
        <w:tab/>
      </w:r>
      <w:r w:rsidR="00AA2F71" w:rsidRPr="009C2ADD">
        <w:rPr>
          <w:color w:val="auto"/>
          <w:szCs w:val="22"/>
        </w:rPr>
        <w:t>WCPO Tunas</w:t>
      </w:r>
      <w:bookmarkEnd w:id="96"/>
    </w:p>
    <w:p w14:paraId="3F07EECE" w14:textId="77777777" w:rsidR="00E15D99" w:rsidRPr="009C2ADD" w:rsidRDefault="00E15D99" w:rsidP="009C2ADD">
      <w:pPr>
        <w:adjustRightInd w:val="0"/>
        <w:snapToGrid w:val="0"/>
        <w:spacing w:after="0"/>
        <w:rPr>
          <w:rFonts w:ascii="Times New Roman" w:hAnsi="Times New Roman"/>
        </w:rPr>
      </w:pPr>
    </w:p>
    <w:p w14:paraId="2EDDB656" w14:textId="175FDAE5" w:rsidR="00AA2F71" w:rsidRPr="009C2ADD" w:rsidRDefault="00E15D99"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4.1.1 </w:t>
      </w:r>
      <w:r w:rsidR="00DA7AC9" w:rsidRPr="009C2ADD">
        <w:rPr>
          <w:rFonts w:ascii="Times New Roman" w:hAnsi="Times New Roman" w:cs="Times New Roman"/>
        </w:rPr>
        <w:tab/>
      </w:r>
      <w:r w:rsidR="00AA2F71" w:rsidRPr="009C2ADD">
        <w:rPr>
          <w:rFonts w:ascii="Times New Roman" w:hAnsi="Times New Roman" w:cs="Times New Roman"/>
        </w:rPr>
        <w:t>WCPO bigeye tuna (</w:t>
      </w:r>
      <w:r w:rsidR="00AA2F71" w:rsidRPr="00464B7F">
        <w:rPr>
          <w:rFonts w:ascii="Times New Roman" w:hAnsi="Times New Roman" w:cs="Times New Roman"/>
          <w:i/>
        </w:rPr>
        <w:t>Thunnus obesus</w:t>
      </w:r>
      <w:r w:rsidR="00AA2F71" w:rsidRPr="009C2ADD">
        <w:rPr>
          <w:rFonts w:ascii="Times New Roman" w:hAnsi="Times New Roman" w:cs="Times New Roman"/>
        </w:rPr>
        <w:t xml:space="preserve">)  </w:t>
      </w:r>
    </w:p>
    <w:p w14:paraId="04454A47" w14:textId="77777777" w:rsidR="00E15D99" w:rsidRPr="009C2ADD" w:rsidRDefault="00E15D99" w:rsidP="009C2ADD">
      <w:pPr>
        <w:pStyle w:val="WCPFC"/>
        <w:numPr>
          <w:ilvl w:val="0"/>
          <w:numId w:val="0"/>
        </w:numPr>
        <w:adjustRightInd w:val="0"/>
        <w:spacing w:after="0"/>
        <w:ind w:left="720"/>
        <w:rPr>
          <w:b/>
        </w:rPr>
      </w:pPr>
    </w:p>
    <w:p w14:paraId="0AA8C9DA" w14:textId="56728A09" w:rsidR="006F717F" w:rsidRPr="009C2ADD" w:rsidRDefault="000D5143" w:rsidP="009C2ADD">
      <w:pPr>
        <w:pStyle w:val="WCPFC"/>
        <w:numPr>
          <w:ilvl w:val="0"/>
          <w:numId w:val="0"/>
        </w:numPr>
        <w:adjustRightInd w:val="0"/>
        <w:spacing w:after="0"/>
        <w:ind w:left="567" w:hanging="567"/>
        <w:rPr>
          <w:b/>
        </w:rPr>
      </w:pPr>
      <w:r w:rsidRPr="009C2ADD">
        <w:rPr>
          <w:b/>
          <w:lang w:eastAsia="ko-KR"/>
        </w:rPr>
        <w:t xml:space="preserve">4.1.1.1 </w:t>
      </w:r>
      <w:r w:rsidRPr="009C2ADD">
        <w:rPr>
          <w:b/>
          <w:lang w:eastAsia="ko-KR"/>
        </w:rPr>
        <w:tab/>
      </w:r>
      <w:r w:rsidR="00AA2F71" w:rsidRPr="009C2ADD">
        <w:rPr>
          <w:b/>
        </w:rPr>
        <w:t>Review of research and information</w:t>
      </w:r>
    </w:p>
    <w:p w14:paraId="1DB236DA" w14:textId="77777777" w:rsidR="008E0FAE" w:rsidRPr="009C2ADD" w:rsidRDefault="008E0FAE" w:rsidP="009C2ADD">
      <w:pPr>
        <w:pStyle w:val="WCPFC"/>
        <w:numPr>
          <w:ilvl w:val="0"/>
          <w:numId w:val="0"/>
        </w:numPr>
        <w:adjustRightInd w:val="0"/>
        <w:spacing w:after="0"/>
        <w:ind w:left="567" w:hanging="567"/>
        <w:rPr>
          <w:b/>
          <w:lang w:eastAsia="ko-KR"/>
        </w:rPr>
      </w:pPr>
    </w:p>
    <w:p w14:paraId="21B58E03" w14:textId="77777777" w:rsidR="00812A60" w:rsidRPr="009C2ADD" w:rsidRDefault="00812A60" w:rsidP="009C2ADD">
      <w:pPr>
        <w:pStyle w:val="ListParagraph"/>
        <w:numPr>
          <w:ilvl w:val="2"/>
          <w:numId w:val="20"/>
        </w:numPr>
        <w:tabs>
          <w:tab w:val="clear" w:pos="720"/>
        </w:tabs>
        <w:adjustRightInd w:val="0"/>
        <w:snapToGrid w:val="0"/>
        <w:ind w:left="0"/>
        <w:contextualSpacing w:val="0"/>
        <w:rPr>
          <w:rFonts w:ascii="Times New Roman" w:eastAsia="바탕" w:hAnsi="Times New Roman"/>
          <w:b/>
          <w:lang w:eastAsia="ko-KR"/>
        </w:rPr>
      </w:pPr>
      <w:r w:rsidRPr="009C2ADD">
        <w:rPr>
          <w:rFonts w:ascii="Times New Roman" w:eastAsia="MS Mincho" w:hAnsi="Times New Roman"/>
          <w:b/>
          <w:lang w:eastAsia="ja-JP"/>
        </w:rPr>
        <w:t>Project 35 and relevant  research</w:t>
      </w:r>
    </w:p>
    <w:p w14:paraId="2ADB93D1" w14:textId="77777777" w:rsidR="000D5143" w:rsidRPr="009C2ADD" w:rsidRDefault="000D5143" w:rsidP="009C2ADD">
      <w:pPr>
        <w:pStyle w:val="WCPFC"/>
        <w:numPr>
          <w:ilvl w:val="0"/>
          <w:numId w:val="0"/>
        </w:numPr>
        <w:adjustRightInd w:val="0"/>
        <w:spacing w:after="0"/>
        <w:ind w:left="567" w:hanging="567"/>
        <w:rPr>
          <w:b/>
          <w:lang w:eastAsia="ko-KR"/>
        </w:rPr>
      </w:pPr>
    </w:p>
    <w:p w14:paraId="0854640D" w14:textId="146A21E2"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convenor noted that several IP papers were also relevant to the discussions: </w:t>
      </w:r>
      <w:r w:rsidRPr="0070772D">
        <w:rPr>
          <w:rFonts w:ascii="Times New Roman" w:hAnsi="Times New Roman"/>
          <w:bCs/>
          <w:lang w:val="en-AU"/>
        </w:rPr>
        <w:t>SC13-SA-IP-</w:t>
      </w:r>
      <w:r w:rsidR="00AF1231" w:rsidRPr="0070772D">
        <w:rPr>
          <w:rFonts w:ascii="Times New Roman" w:hAnsi="Times New Roman" w:hint="eastAsia"/>
          <w:bCs/>
          <w:lang w:val="en-AU" w:eastAsia="ko-KR"/>
        </w:rPr>
        <w:t>0</w:t>
      </w:r>
      <w:r w:rsidRPr="0070772D">
        <w:rPr>
          <w:rFonts w:ascii="Times New Roman" w:hAnsi="Times New Roman"/>
          <w:bCs/>
          <w:lang w:val="en-AU"/>
        </w:rPr>
        <w:t>1</w:t>
      </w:r>
      <w:r w:rsidRPr="009C2ADD">
        <w:rPr>
          <w:rFonts w:ascii="Times New Roman" w:hAnsi="Times New Roman"/>
          <w:lang w:val="en-AU"/>
        </w:rPr>
        <w:t xml:space="preserve"> </w:t>
      </w:r>
      <w:r w:rsidRPr="009C2ADD">
        <w:rPr>
          <w:rFonts w:ascii="Times New Roman" w:hAnsi="Times New Roman"/>
          <w:i/>
          <w:lang w:val="en-AU"/>
        </w:rPr>
        <w:t>Report of the workshop on analysis of CPUE for stock assessments, Noumea, April 2017</w:t>
      </w:r>
      <w:r w:rsidR="00B01567" w:rsidRPr="009C2ADD">
        <w:rPr>
          <w:rFonts w:ascii="Times New Roman" w:hAnsi="Times New Roman"/>
          <w:lang w:val="en-AU"/>
        </w:rPr>
        <w:t>;</w:t>
      </w:r>
      <w:r w:rsidRPr="009C2ADD">
        <w:rPr>
          <w:rFonts w:ascii="Times New Roman" w:hAnsi="Times New Roman"/>
          <w:lang w:val="en-AU"/>
        </w:rPr>
        <w:t xml:space="preserve"> </w:t>
      </w:r>
      <w:r w:rsidRPr="00CE3164">
        <w:rPr>
          <w:rFonts w:ascii="Times New Roman" w:hAnsi="Times New Roman"/>
          <w:bCs/>
          <w:lang w:val="en-AU"/>
        </w:rPr>
        <w:t>SC13-SA-IP-02</w:t>
      </w:r>
      <w:r w:rsidRPr="009C2ADD">
        <w:rPr>
          <w:rFonts w:ascii="Times New Roman" w:hAnsi="Times New Roman"/>
          <w:lang w:val="en-AU"/>
        </w:rPr>
        <w:t xml:space="preserve"> </w:t>
      </w:r>
      <w:r w:rsidRPr="009C2ADD">
        <w:rPr>
          <w:rFonts w:ascii="Times New Roman" w:hAnsi="Times New Roman"/>
          <w:i/>
          <w:lang w:val="en-AU"/>
        </w:rPr>
        <w:t>Report from the SPC pre-assessment workshop, Noumea, April 2017</w:t>
      </w:r>
      <w:r w:rsidR="00B01567" w:rsidRPr="009C2ADD">
        <w:rPr>
          <w:rFonts w:ascii="Times New Roman" w:hAnsi="Times New Roman"/>
          <w:lang w:val="en-AU"/>
        </w:rPr>
        <w:t>;</w:t>
      </w:r>
      <w:r w:rsidRPr="009C2ADD">
        <w:rPr>
          <w:rFonts w:ascii="Times New Roman" w:hAnsi="Times New Roman"/>
          <w:lang w:val="en-AU"/>
        </w:rPr>
        <w:t xml:space="preserve"> </w:t>
      </w:r>
      <w:r w:rsidRPr="0070772D">
        <w:rPr>
          <w:rFonts w:ascii="Times New Roman" w:hAnsi="Times New Roman"/>
          <w:bCs/>
          <w:lang w:val="en-AU"/>
        </w:rPr>
        <w:t>SC13-SA-IP-</w:t>
      </w:r>
      <w:r w:rsidR="00AF1231">
        <w:rPr>
          <w:rFonts w:ascii="Times New Roman" w:hAnsi="Times New Roman" w:hint="eastAsia"/>
          <w:bCs/>
          <w:lang w:val="en-AU" w:eastAsia="ko-KR"/>
        </w:rPr>
        <w:t>0</w:t>
      </w:r>
      <w:r w:rsidRPr="0070772D">
        <w:rPr>
          <w:rFonts w:ascii="Times New Roman" w:hAnsi="Times New Roman"/>
          <w:bCs/>
          <w:lang w:val="en-AU"/>
        </w:rPr>
        <w:t>3</w:t>
      </w:r>
      <w:r w:rsidRPr="009C2ADD">
        <w:rPr>
          <w:rFonts w:ascii="Times New Roman" w:hAnsi="Times New Roman"/>
          <w:lang w:val="en-AU"/>
        </w:rPr>
        <w:t xml:space="preserve"> </w:t>
      </w:r>
      <w:r w:rsidRPr="009C2ADD">
        <w:rPr>
          <w:rFonts w:ascii="Times New Roman" w:hAnsi="Times New Roman"/>
          <w:i/>
          <w:lang w:val="en-AU"/>
        </w:rPr>
        <w:t>Connectivity of tuna and billfish species targeted by the Australian Eastern Tuna and Billfish Fishery with the broader Western Pacific Ocean</w:t>
      </w:r>
      <w:r w:rsidR="00B01567" w:rsidRPr="009C2ADD">
        <w:rPr>
          <w:rFonts w:ascii="Times New Roman" w:hAnsi="Times New Roman"/>
          <w:lang w:val="en-AU"/>
        </w:rPr>
        <w:t>;</w:t>
      </w:r>
      <w:r w:rsidRPr="009C2ADD">
        <w:rPr>
          <w:rFonts w:ascii="Times New Roman" w:hAnsi="Times New Roman"/>
          <w:lang w:val="en-AU"/>
        </w:rPr>
        <w:t xml:space="preserve"> and </w:t>
      </w:r>
      <w:r w:rsidRPr="0070772D">
        <w:rPr>
          <w:rFonts w:ascii="Times New Roman" w:hAnsi="Times New Roman"/>
          <w:bCs/>
          <w:lang w:val="en-AU"/>
        </w:rPr>
        <w:t>SC13-SA-IP-04</w:t>
      </w:r>
      <w:r w:rsidRPr="009C2ADD">
        <w:rPr>
          <w:rFonts w:ascii="Times New Roman" w:hAnsi="Times New Roman"/>
          <w:lang w:val="en-AU"/>
        </w:rPr>
        <w:t xml:space="preserve"> </w:t>
      </w:r>
      <w:r w:rsidRPr="009C2ADD">
        <w:rPr>
          <w:rFonts w:ascii="Times New Roman" w:hAnsi="Times New Roman"/>
          <w:i/>
          <w:lang w:val="en-AU"/>
        </w:rPr>
        <w:t>Summary report of tag data for yellowfin and bigeye tuna by Japanese tagging programs</w:t>
      </w:r>
      <w:r w:rsidRPr="009C2ADD">
        <w:rPr>
          <w:rFonts w:ascii="Times New Roman" w:hAnsi="Times New Roman"/>
          <w:lang w:val="en-AU"/>
        </w:rPr>
        <w:t>.</w:t>
      </w:r>
    </w:p>
    <w:p w14:paraId="58EF0BE1"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288EEE83" w14:textId="46A286B6"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w:t>
      </w:r>
      <w:r w:rsidR="00814D9C">
        <w:rPr>
          <w:rFonts w:ascii="Times New Roman" w:hAnsi="Times New Roman" w:hint="eastAsia"/>
          <w:lang w:val="en-AU" w:eastAsia="ko-KR"/>
        </w:rPr>
        <w:t>.</w:t>
      </w:r>
      <w:r w:rsidRPr="009C2ADD">
        <w:rPr>
          <w:rFonts w:ascii="Times New Roman" w:hAnsi="Times New Roman"/>
          <w:lang w:val="en-AU"/>
        </w:rPr>
        <w:t xml:space="preserve"> Farley (CSIRO) presented </w:t>
      </w:r>
      <w:r w:rsidRPr="0070772D">
        <w:rPr>
          <w:rFonts w:ascii="Times New Roman" w:hAnsi="Times New Roman"/>
          <w:bCs/>
          <w:lang w:val="en-AU"/>
        </w:rPr>
        <w:t>SC13-SA-WP-01</w:t>
      </w:r>
      <w:r w:rsidRPr="009C2ADD">
        <w:rPr>
          <w:rFonts w:ascii="Times New Roman" w:hAnsi="Times New Roman"/>
          <w:lang w:val="en-AU"/>
        </w:rPr>
        <w:t xml:space="preserve"> </w:t>
      </w:r>
      <w:r w:rsidRPr="009C2ADD">
        <w:rPr>
          <w:rFonts w:ascii="Times New Roman" w:hAnsi="Times New Roman"/>
          <w:i/>
          <w:lang w:val="en-AU"/>
        </w:rPr>
        <w:t>Project 35: Age, growth and maturit</w:t>
      </w:r>
      <w:r w:rsidR="002C1A80" w:rsidRPr="009C2ADD">
        <w:rPr>
          <w:rFonts w:ascii="Times New Roman" w:hAnsi="Times New Roman"/>
          <w:i/>
          <w:lang w:val="en-AU"/>
        </w:rPr>
        <w:t>y of bigeye tuna in the western</w:t>
      </w:r>
      <w:r w:rsidRPr="009C2ADD">
        <w:rPr>
          <w:rFonts w:ascii="Times New Roman" w:hAnsi="Times New Roman"/>
          <w:i/>
          <w:lang w:val="en-AU"/>
        </w:rPr>
        <w:t xml:space="preserve"> and central Pacific Ocean</w:t>
      </w:r>
      <w:r w:rsidR="0034646F" w:rsidRPr="009C2ADD">
        <w:rPr>
          <w:rFonts w:ascii="Times New Roman" w:hAnsi="Times New Roman"/>
          <w:lang w:val="en-AU"/>
        </w:rPr>
        <w:t>, which described</w:t>
      </w:r>
      <w:r w:rsidRPr="009C2ADD">
        <w:rPr>
          <w:rFonts w:ascii="Times New Roman" w:hAnsi="Times New Roman"/>
          <w:lang w:val="en-AU"/>
        </w:rPr>
        <w:t xml:space="preserve"> a regional study of bigeye tuna population biology.  The objectives of this study were to estimate the growth of bigeye in the western and central Pacific Ocean (WCPO) and examine spatial variation in growth, for application in regional stock assessment models. In addition, the project aimed to determine the reproductive status and maturity-at-length/age of bigeye in the WCPO. </w:t>
      </w:r>
    </w:p>
    <w:p w14:paraId="6C2DE3B9"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0E60DC61" w14:textId="32191A20"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Validated annual ageing protocols for otoliths were followed in this study, and counts of opaque zones were obtained for 1</w:t>
      </w:r>
      <w:r w:rsidR="006C57DF">
        <w:rPr>
          <w:rFonts w:ascii="Times New Roman" w:hAnsi="Times New Roman" w:hint="eastAsia"/>
          <w:lang w:val="en-AU" w:eastAsia="ko-KR"/>
        </w:rPr>
        <w:t>,</w:t>
      </w:r>
      <w:r w:rsidRPr="009C2ADD">
        <w:rPr>
          <w:rFonts w:ascii="Times New Roman" w:hAnsi="Times New Roman"/>
          <w:lang w:val="en-AU"/>
        </w:rPr>
        <w:t xml:space="preserve">039 fish caught between 2013 and 2016. A decimal age was estimated using the count of opaque zones, birth date, capture date and the state of completion of the marginal increment (edge classification) of the otolith. Annual ages ranged from 0.25 to 13.67 years. In addition, (presumed) daily age estimates were obtained for 100 fish ranging from 153-857 days (transverse and longitudinal sections combined), although sectioned otoliths were difficult to interpret beyond 300 zones. </w:t>
      </w:r>
    </w:p>
    <w:p w14:paraId="3024931A"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34F31EF9" w14:textId="4EF91C76"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results from fitting VB models to the age data suggest</w:t>
      </w:r>
      <w:r w:rsidR="0034646F" w:rsidRPr="009C2ADD">
        <w:rPr>
          <w:rFonts w:ascii="Times New Roman" w:hAnsi="Times New Roman"/>
          <w:lang w:val="en-AU"/>
        </w:rPr>
        <w:t>ed that growth did</w:t>
      </w:r>
      <w:r w:rsidRPr="009C2ADD">
        <w:rPr>
          <w:rFonts w:ascii="Times New Roman" w:hAnsi="Times New Roman"/>
          <w:lang w:val="en-AU"/>
        </w:rPr>
        <w:t xml:space="preserve"> not vary substantially between males and females, or between regions 3 and 4 of the stock assessment (western equatorial Pacific). However, exploratory work using length-at-age estimates</w:t>
      </w:r>
      <w:r w:rsidR="0034646F" w:rsidRPr="009C2ADD">
        <w:rPr>
          <w:rFonts w:ascii="Times New Roman" w:hAnsi="Times New Roman"/>
          <w:lang w:val="en-AU"/>
        </w:rPr>
        <w:t xml:space="preserve"> from all regions suggested that growth of bigeye varied</w:t>
      </w:r>
      <w:r w:rsidRPr="009C2ADD">
        <w:rPr>
          <w:rFonts w:ascii="Times New Roman" w:hAnsi="Times New Roman"/>
          <w:lang w:val="en-AU"/>
        </w:rPr>
        <w:t xml:space="preserve"> spatially in the W</w:t>
      </w:r>
      <w:r w:rsidR="0034646F" w:rsidRPr="009C2ADD">
        <w:rPr>
          <w:rFonts w:ascii="Times New Roman" w:hAnsi="Times New Roman"/>
          <w:lang w:val="en-AU"/>
        </w:rPr>
        <w:t>CPO. In general, length-at-age wa</w:t>
      </w:r>
      <w:r w:rsidRPr="009C2ADD">
        <w:rPr>
          <w:rFonts w:ascii="Times New Roman" w:hAnsi="Times New Roman"/>
          <w:lang w:val="en-AU"/>
        </w:rPr>
        <w:t xml:space="preserve">s above average at the westernmost (205°E) longitudes, and below average within the central longitudes (140-205°E). Analysis of additional otoliths from all areas and from the </w:t>
      </w:r>
      <w:r w:rsidR="00B518F9" w:rsidRPr="009C2ADD">
        <w:rPr>
          <w:rFonts w:ascii="Times New Roman" w:hAnsi="Times New Roman"/>
          <w:lang w:val="en-AU"/>
        </w:rPr>
        <w:t>full-size</w:t>
      </w:r>
      <w:r w:rsidRPr="009C2ADD">
        <w:rPr>
          <w:rFonts w:ascii="Times New Roman" w:hAnsi="Times New Roman"/>
          <w:lang w:val="en-AU"/>
        </w:rPr>
        <w:t xml:space="preserve"> range of fish</w:t>
      </w:r>
      <w:r w:rsidR="0034646F" w:rsidRPr="009C2ADD">
        <w:rPr>
          <w:rFonts w:ascii="Times New Roman" w:hAnsi="Times New Roman"/>
          <w:lang w:val="en-AU"/>
        </w:rPr>
        <w:t xml:space="preserve"> over a larger number of years wa</w:t>
      </w:r>
      <w:r w:rsidRPr="009C2ADD">
        <w:rPr>
          <w:rFonts w:ascii="Times New Roman" w:hAnsi="Times New Roman"/>
          <w:lang w:val="en-AU"/>
        </w:rPr>
        <w:t xml:space="preserve">s required to fully explore spatial variation in growth of bigeye across the Pacific. </w:t>
      </w:r>
    </w:p>
    <w:p w14:paraId="658C3E49"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DF816F6" w14:textId="07A1FF68"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Standard reproductive classification criteria for tuna reproductive biology was used to assess the development phase of 343 females caught between 2011 and 2016. Spawning capable females were only found between 12°N and 12°S and between 137°E and 130°W. Spawning occurred year round with indicative peaks in activity in May and October. Spawning capable females occurred in </w:t>
      </w:r>
      <w:r w:rsidR="00BD2366">
        <w:rPr>
          <w:rFonts w:ascii="Times New Roman" w:hAnsi="Times New Roman"/>
          <w:lang w:val="en-AU"/>
        </w:rPr>
        <w:t>waters with sea surface temperatures</w:t>
      </w:r>
      <w:r w:rsidR="00BD2366" w:rsidRPr="009C2ADD">
        <w:rPr>
          <w:rFonts w:ascii="Times New Roman" w:hAnsi="Times New Roman"/>
          <w:lang w:val="en-AU"/>
        </w:rPr>
        <w:t xml:space="preserve"> </w:t>
      </w:r>
      <w:r w:rsidR="00BD2366">
        <w:rPr>
          <w:rFonts w:ascii="Times New Roman" w:hAnsi="Times New Roman"/>
          <w:lang w:val="en-AU"/>
        </w:rPr>
        <w:t>(</w:t>
      </w:r>
      <w:r w:rsidRPr="009C2ADD">
        <w:rPr>
          <w:rFonts w:ascii="Times New Roman" w:hAnsi="Times New Roman"/>
          <w:lang w:val="en-AU"/>
        </w:rPr>
        <w:t>SSTs</w:t>
      </w:r>
      <w:r w:rsidR="00BD2366">
        <w:rPr>
          <w:rFonts w:ascii="Times New Roman" w:hAnsi="Times New Roman"/>
          <w:lang w:val="en-AU"/>
        </w:rPr>
        <w:t>)</w:t>
      </w:r>
      <w:r w:rsidRPr="009C2ADD">
        <w:rPr>
          <w:rFonts w:ascii="Times New Roman" w:hAnsi="Times New Roman"/>
          <w:lang w:val="en-AU"/>
        </w:rPr>
        <w:t xml:space="preserve"> between 27.7 and 30.3°C, but were in highest relative abundance at SSTs between 28 and 29°C. A large number regressing and regenerating females were caught in SSTs ≥27°C demo</w:t>
      </w:r>
      <w:r w:rsidR="0034646F" w:rsidRPr="009C2ADD">
        <w:rPr>
          <w:rFonts w:ascii="Times New Roman" w:hAnsi="Times New Roman"/>
          <w:lang w:val="en-AU"/>
        </w:rPr>
        <w:t>nstrating that not all females we</w:t>
      </w:r>
      <w:r w:rsidRPr="009C2ADD">
        <w:rPr>
          <w:rFonts w:ascii="Times New Roman" w:hAnsi="Times New Roman"/>
          <w:lang w:val="en-AU"/>
        </w:rPr>
        <w:t>re reproductively active at these temperatures.</w:t>
      </w:r>
    </w:p>
    <w:p w14:paraId="059FDCEE"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195D9C5" w14:textId="21D32C64"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Logistic models fit to the maturity data suggest</w:t>
      </w:r>
      <w:r w:rsidR="0034646F" w:rsidRPr="009C2ADD">
        <w:rPr>
          <w:rFonts w:ascii="Times New Roman" w:hAnsi="Times New Roman"/>
          <w:lang w:val="en-AU"/>
        </w:rPr>
        <w:t>ed</w:t>
      </w:r>
      <w:r w:rsidRPr="009C2ADD">
        <w:rPr>
          <w:rFonts w:ascii="Times New Roman" w:hAnsi="Times New Roman"/>
          <w:lang w:val="en-AU"/>
        </w:rPr>
        <w:t xml:space="preserve"> that maturity-at-length</w:t>
      </w:r>
      <w:r w:rsidR="0034646F" w:rsidRPr="009C2ADD">
        <w:rPr>
          <w:rFonts w:ascii="Times New Roman" w:hAnsi="Times New Roman"/>
          <w:lang w:val="en-AU"/>
        </w:rPr>
        <w:t>/age differed slightly between R</w:t>
      </w:r>
      <w:r w:rsidRPr="009C2ADD">
        <w:rPr>
          <w:rFonts w:ascii="Times New Roman" w:hAnsi="Times New Roman"/>
          <w:lang w:val="en-AU"/>
        </w:rPr>
        <w:t>egions 3 and 4 of the stock assessment. Similar to the growth results, exploratory work using maturity data from all re</w:t>
      </w:r>
      <w:r w:rsidR="0034646F" w:rsidRPr="009C2ADD">
        <w:rPr>
          <w:rFonts w:ascii="Times New Roman" w:hAnsi="Times New Roman"/>
          <w:lang w:val="en-AU"/>
        </w:rPr>
        <w:t>gions suggested that maturity of bigeye varied</w:t>
      </w:r>
      <w:r w:rsidRPr="009C2ADD">
        <w:rPr>
          <w:rFonts w:ascii="Times New Roman" w:hAnsi="Times New Roman"/>
          <w:lang w:val="en-AU"/>
        </w:rPr>
        <w:t xml:space="preserve"> spatially in the WCPO. The proportion of females </w:t>
      </w:r>
      <w:r w:rsidR="00BD2366">
        <w:rPr>
          <w:rFonts w:ascii="Times New Roman" w:hAnsi="Times New Roman"/>
          <w:lang w:val="en-AU"/>
        </w:rPr>
        <w:t xml:space="preserve">that were mature </w:t>
      </w:r>
      <w:r w:rsidRPr="009C2ADD">
        <w:rPr>
          <w:rFonts w:ascii="Times New Roman" w:hAnsi="Times New Roman"/>
          <w:lang w:val="en-AU"/>
        </w:rPr>
        <w:t xml:space="preserve">at a given length or age tended to increase from the southwest to the northeast of the study region. However, </w:t>
      </w:r>
      <w:r w:rsidR="0034646F" w:rsidRPr="009C2ADD">
        <w:rPr>
          <w:rFonts w:ascii="Times New Roman" w:hAnsi="Times New Roman"/>
          <w:lang w:val="en-AU"/>
        </w:rPr>
        <w:t>analysis of additional ovaries wa</w:t>
      </w:r>
      <w:r w:rsidRPr="009C2ADD">
        <w:rPr>
          <w:rFonts w:ascii="Times New Roman" w:hAnsi="Times New Roman"/>
          <w:lang w:val="en-AU"/>
        </w:rPr>
        <w:t>s required to more comprehensively investigate regional variation in maturity and account for inter-annual variation.</w:t>
      </w:r>
    </w:p>
    <w:p w14:paraId="3B6C85C9" w14:textId="77777777" w:rsidR="008E0FAE" w:rsidRDefault="008E0FAE" w:rsidP="009C2ADD">
      <w:pPr>
        <w:pStyle w:val="ListParagraph"/>
        <w:adjustRightInd w:val="0"/>
        <w:snapToGrid w:val="0"/>
        <w:contextualSpacing w:val="0"/>
        <w:rPr>
          <w:rFonts w:ascii="Times New Roman" w:hAnsi="Times New Roman"/>
          <w:lang w:val="en-AU" w:eastAsia="ko-KR"/>
        </w:rPr>
      </w:pPr>
    </w:p>
    <w:p w14:paraId="09F06046" w14:textId="46159FF3" w:rsidR="00653867" w:rsidRPr="0070772D" w:rsidRDefault="00653867" w:rsidP="009C2ADD">
      <w:pPr>
        <w:pStyle w:val="ListParagraph"/>
        <w:adjustRightInd w:val="0"/>
        <w:snapToGrid w:val="0"/>
        <w:contextualSpacing w:val="0"/>
        <w:rPr>
          <w:rFonts w:ascii="Times New Roman" w:hAnsi="Times New Roman"/>
          <w:b/>
          <w:lang w:val="en-AU" w:eastAsia="ko-KR"/>
        </w:rPr>
      </w:pPr>
      <w:r w:rsidRPr="0070772D">
        <w:rPr>
          <w:rFonts w:ascii="Times New Roman" w:hAnsi="Times New Roman"/>
          <w:b/>
          <w:lang w:val="en-AU" w:eastAsia="ko-KR"/>
        </w:rPr>
        <w:t>Discussion</w:t>
      </w:r>
    </w:p>
    <w:p w14:paraId="65AA01D8" w14:textId="77777777" w:rsidR="00653867" w:rsidRPr="009C2ADD" w:rsidRDefault="00653867" w:rsidP="009C2ADD">
      <w:pPr>
        <w:pStyle w:val="ListParagraph"/>
        <w:adjustRightInd w:val="0"/>
        <w:snapToGrid w:val="0"/>
        <w:contextualSpacing w:val="0"/>
        <w:rPr>
          <w:rFonts w:ascii="Times New Roman" w:hAnsi="Times New Roman"/>
          <w:lang w:val="en-AU" w:eastAsia="ko-KR"/>
        </w:rPr>
      </w:pPr>
    </w:p>
    <w:p w14:paraId="4CD044E4" w14:textId="76EFEBC7"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Solomon Islands, on behalf of FFA </w:t>
      </w:r>
      <w:r w:rsidR="00D5432C">
        <w:rPr>
          <w:rFonts w:ascii="Times New Roman" w:hAnsi="Times New Roman"/>
          <w:lang w:val="en-AU"/>
        </w:rPr>
        <w:t>member</w:t>
      </w:r>
      <w:r w:rsidRPr="009C2ADD">
        <w:rPr>
          <w:rFonts w:ascii="Times New Roman" w:hAnsi="Times New Roman"/>
          <w:lang w:val="en-AU"/>
        </w:rPr>
        <w:t xml:space="preserve">s, thanked </w:t>
      </w:r>
      <w:r w:rsidR="00653867">
        <w:rPr>
          <w:rFonts w:ascii="Times New Roman" w:hAnsi="Times New Roman" w:hint="eastAsia"/>
          <w:lang w:val="en-AU" w:eastAsia="ko-KR"/>
        </w:rPr>
        <w:t>the presenter</w:t>
      </w:r>
      <w:r w:rsidRPr="009C2ADD">
        <w:rPr>
          <w:rFonts w:ascii="Times New Roman" w:hAnsi="Times New Roman"/>
          <w:lang w:val="en-AU"/>
        </w:rPr>
        <w:t xml:space="preserve">, and her co-authors, for their work in determining the WCPO bigeye growth rates, age </w:t>
      </w:r>
      <w:r w:rsidR="0034646F" w:rsidRPr="009C2ADD">
        <w:rPr>
          <w:rFonts w:ascii="Times New Roman" w:hAnsi="Times New Roman"/>
          <w:lang w:val="en-AU"/>
        </w:rPr>
        <w:t xml:space="preserve">and maturity </w:t>
      </w:r>
      <w:r w:rsidR="00B518F9" w:rsidRPr="009C2ADD">
        <w:rPr>
          <w:rFonts w:ascii="Times New Roman" w:hAnsi="Times New Roman"/>
          <w:lang w:val="en-AU"/>
        </w:rPr>
        <w:t>and indicated</w:t>
      </w:r>
      <w:r w:rsidR="0034646F" w:rsidRPr="009C2ADD">
        <w:rPr>
          <w:rFonts w:ascii="Times New Roman" w:hAnsi="Times New Roman"/>
          <w:lang w:val="en-AU"/>
        </w:rPr>
        <w:t xml:space="preserve"> their confidence in the study.  They noted</w:t>
      </w:r>
      <w:r w:rsidRPr="009C2ADD">
        <w:rPr>
          <w:rFonts w:ascii="Times New Roman" w:hAnsi="Times New Roman"/>
          <w:lang w:val="en-AU"/>
        </w:rPr>
        <w:t xml:space="preserve"> that it addressed a FFA concern with previous stock assessments regarding the use of growth estimates derived from EPO work and that the results were consistent with the 2011 pilot study. FFA </w:t>
      </w:r>
      <w:r w:rsidR="00D5432C">
        <w:rPr>
          <w:rFonts w:ascii="Times New Roman" w:hAnsi="Times New Roman"/>
          <w:lang w:val="en-AU"/>
        </w:rPr>
        <w:t>member</w:t>
      </w:r>
      <w:r w:rsidRPr="009C2ADD">
        <w:rPr>
          <w:rFonts w:ascii="Times New Roman" w:hAnsi="Times New Roman"/>
          <w:lang w:val="en-AU"/>
        </w:rPr>
        <w:t>s suggested that the inclusion of samples of large fish from the longline fisheries in the WCPO and possibly the EPO could further strengthen the age and growth estimates for the WCPO bigeye stock.</w:t>
      </w:r>
    </w:p>
    <w:p w14:paraId="5B3337C6"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CEFAF00" w14:textId="6D3532D7" w:rsidR="007A2461" w:rsidRPr="009C2ADD" w:rsidRDefault="00BD236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EU also commended the robust methodology</w:t>
      </w:r>
      <w:r>
        <w:rPr>
          <w:rFonts w:ascii="Times New Roman" w:hAnsi="Times New Roman"/>
          <w:lang w:val="en-AU"/>
        </w:rPr>
        <w:t xml:space="preserve"> of the study</w:t>
      </w:r>
      <w:r w:rsidRPr="009C2ADD">
        <w:rPr>
          <w:rFonts w:ascii="Times New Roman" w:hAnsi="Times New Roman"/>
          <w:lang w:val="en-AU"/>
        </w:rPr>
        <w:t>. They noted the spatial differences in growth patterns, given that tagging returns north of the equatorial area were low. They asked if dis-aggregati</w:t>
      </w:r>
      <w:r>
        <w:rPr>
          <w:rFonts w:ascii="Times New Roman" w:hAnsi="Times New Roman"/>
          <w:lang w:val="en-AU"/>
        </w:rPr>
        <w:t xml:space="preserve">ng the growth analyses </w:t>
      </w:r>
      <w:r w:rsidRPr="009C2ADD">
        <w:rPr>
          <w:rFonts w:ascii="Times New Roman" w:hAnsi="Times New Roman"/>
          <w:lang w:val="en-AU"/>
        </w:rPr>
        <w:t>and applying a weighting</w:t>
      </w:r>
      <w:r w:rsidRPr="009C2ADD" w:rsidDel="002A6EF1">
        <w:rPr>
          <w:rFonts w:ascii="Times New Roman" w:hAnsi="Times New Roman"/>
          <w:lang w:val="en-AU"/>
        </w:rPr>
        <w:t xml:space="preserve"> </w:t>
      </w:r>
      <w:r>
        <w:rPr>
          <w:rFonts w:ascii="Times New Roman" w:hAnsi="Times New Roman"/>
          <w:lang w:val="en-AU"/>
        </w:rPr>
        <w:t>by area</w:t>
      </w:r>
      <w:r w:rsidRPr="009C2ADD">
        <w:rPr>
          <w:rFonts w:ascii="Times New Roman" w:hAnsi="Times New Roman"/>
          <w:lang w:val="en-AU"/>
        </w:rPr>
        <w:t xml:space="preserve"> might improve </w:t>
      </w:r>
      <w:r>
        <w:rPr>
          <w:rFonts w:ascii="Times New Roman" w:hAnsi="Times New Roman"/>
          <w:lang w:val="en-AU"/>
        </w:rPr>
        <w:t xml:space="preserve">overall </w:t>
      </w:r>
      <w:r w:rsidRPr="009C2ADD">
        <w:rPr>
          <w:rFonts w:ascii="Times New Roman" w:hAnsi="Times New Roman"/>
          <w:lang w:val="en-AU"/>
        </w:rPr>
        <w:t>estimates</w:t>
      </w:r>
      <w:r>
        <w:rPr>
          <w:rFonts w:ascii="Times New Roman" w:hAnsi="Times New Roman"/>
          <w:lang w:val="en-AU"/>
        </w:rPr>
        <w:t xml:space="preserve"> of bigeye tuna growth</w:t>
      </w:r>
      <w:r w:rsidRPr="009C2ADD">
        <w:rPr>
          <w:rFonts w:ascii="Times New Roman" w:hAnsi="Times New Roman"/>
          <w:lang w:val="en-AU"/>
        </w:rPr>
        <w:t xml:space="preserve">.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Pr="009C2ADD">
        <w:rPr>
          <w:rFonts w:ascii="Times New Roman" w:hAnsi="Times New Roman"/>
          <w:lang w:val="en-AU"/>
        </w:rPr>
        <w:t>Farley replied that most of the data came from areas 3 and 4, and that more data would be required from other areas to include a</w:t>
      </w:r>
      <w:r>
        <w:rPr>
          <w:rFonts w:ascii="Times New Roman" w:hAnsi="Times New Roman"/>
          <w:lang w:val="en-AU"/>
        </w:rPr>
        <w:t>n appropriate</w:t>
      </w:r>
      <w:r w:rsidRPr="009C2ADD">
        <w:rPr>
          <w:rFonts w:ascii="Times New Roman" w:hAnsi="Times New Roman"/>
          <w:lang w:val="en-AU"/>
        </w:rPr>
        <w:t xml:space="preserve"> weighting.</w:t>
      </w:r>
    </w:p>
    <w:p w14:paraId="40B54E80"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42197A7A" w14:textId="7036587D"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expressed concern that there might be bias </w:t>
      </w:r>
      <w:r w:rsidR="00BD2366" w:rsidRPr="009C2ADD">
        <w:rPr>
          <w:rFonts w:ascii="Times New Roman" w:hAnsi="Times New Roman"/>
          <w:lang w:val="en-AU"/>
        </w:rPr>
        <w:t xml:space="preserve">in the </w:t>
      </w:r>
      <w:r w:rsidR="00BD2366">
        <w:rPr>
          <w:rFonts w:ascii="Times New Roman" w:hAnsi="Times New Roman"/>
          <w:lang w:val="en-AU"/>
        </w:rPr>
        <w:t>estimated growth curve</w:t>
      </w:r>
      <w:r w:rsidR="00BD2366" w:rsidRPr="009C2ADD">
        <w:rPr>
          <w:rFonts w:ascii="Times New Roman" w:hAnsi="Times New Roman"/>
          <w:lang w:val="en-AU"/>
        </w:rPr>
        <w:t xml:space="preserve"> given </w:t>
      </w:r>
      <w:r w:rsidRPr="009C2ADD">
        <w:rPr>
          <w:rFonts w:ascii="Times New Roman" w:hAnsi="Times New Roman"/>
          <w:lang w:val="en-AU"/>
        </w:rPr>
        <w:t xml:space="preserve">that large fish were not adequately represented in the samples and there were significant regional differences in sizes. The </w:t>
      </w:r>
      <w:r w:rsidR="00D85176">
        <w:rPr>
          <w:rFonts w:ascii="Times New Roman" w:hAnsi="Times New Roman"/>
          <w:lang w:val="en-AU"/>
        </w:rPr>
        <w:t>L_infinity</w:t>
      </w:r>
      <w:r w:rsidRPr="009C2ADD">
        <w:rPr>
          <w:rFonts w:ascii="Times New Roman" w:hAnsi="Times New Roman"/>
          <w:lang w:val="en-AU"/>
        </w:rPr>
        <w:t xml:space="preserve"> of the new growth curve for the whole area was 152 cm, which is very close to the lowest </w:t>
      </w:r>
      <w:r w:rsidR="00D85176">
        <w:rPr>
          <w:rFonts w:ascii="Times New Roman" w:hAnsi="Times New Roman"/>
          <w:lang w:val="en-AU"/>
        </w:rPr>
        <w:t>L_infinity</w:t>
      </w:r>
      <w:r w:rsidRPr="009C2ADD">
        <w:rPr>
          <w:rFonts w:ascii="Times New Roman" w:hAnsi="Times New Roman"/>
          <w:lang w:val="en-AU"/>
        </w:rPr>
        <w:t xml:space="preserve"> across the regions. Japan noted that they had collected bigeye otolith specimens through </w:t>
      </w:r>
      <w:r w:rsidR="00653867">
        <w:rPr>
          <w:rFonts w:ascii="Times New Roman" w:hAnsi="Times New Roman" w:hint="eastAsia"/>
          <w:lang w:val="en-AU" w:eastAsia="ko-KR"/>
        </w:rPr>
        <w:t>their</w:t>
      </w:r>
      <w:r w:rsidR="00653867" w:rsidRPr="009C2ADD">
        <w:rPr>
          <w:rFonts w:ascii="Times New Roman" w:hAnsi="Times New Roman"/>
          <w:lang w:val="en-AU"/>
        </w:rPr>
        <w:t xml:space="preserve"> </w:t>
      </w:r>
      <w:r w:rsidRPr="009C2ADD">
        <w:rPr>
          <w:rFonts w:ascii="Times New Roman" w:hAnsi="Times New Roman"/>
          <w:lang w:val="en-AU"/>
        </w:rPr>
        <w:t>longline observer program, and could provide several otolith samples for larger fish if this was deemed useful.</w:t>
      </w:r>
    </w:p>
    <w:p w14:paraId="12BA5753"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67C6E50" w14:textId="6FEDAF1D"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query from the USA re</w:t>
      </w:r>
      <w:r w:rsidR="006C57DF">
        <w:rPr>
          <w:rFonts w:ascii="Times New Roman" w:hAnsi="Times New Roman" w:hint="eastAsia"/>
          <w:lang w:val="en-AU" w:eastAsia="ko-KR"/>
        </w:rPr>
        <w:t>garding</w:t>
      </w:r>
      <w:r w:rsidRPr="009C2ADD">
        <w:rPr>
          <w:rFonts w:ascii="Times New Roman" w:hAnsi="Times New Roman"/>
          <w:lang w:val="en-AU"/>
        </w:rPr>
        <w:t xml:space="preserve"> the criteria for selection of the number of samples, and the differing numbers of samples drawn from each region,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Pr="009C2ADD">
        <w:rPr>
          <w:rFonts w:ascii="Times New Roman" w:hAnsi="Times New Roman"/>
          <w:lang w:val="en-AU"/>
        </w:rPr>
        <w:t>Farley responded that they were funded to read 1</w:t>
      </w:r>
      <w:r w:rsidR="006C57DF">
        <w:rPr>
          <w:rFonts w:ascii="Times New Roman" w:hAnsi="Times New Roman" w:hint="eastAsia"/>
          <w:lang w:val="en-AU" w:eastAsia="ko-KR"/>
        </w:rPr>
        <w:t>,</w:t>
      </w:r>
      <w:r w:rsidRPr="009C2ADD">
        <w:rPr>
          <w:rFonts w:ascii="Times New Roman" w:hAnsi="Times New Roman"/>
          <w:lang w:val="en-AU"/>
        </w:rPr>
        <w:t xml:space="preserve">000 samples and used all otoliths available outside </w:t>
      </w:r>
      <w:r w:rsidR="0034646F" w:rsidRPr="009C2ADD">
        <w:rPr>
          <w:rFonts w:ascii="Times New Roman" w:hAnsi="Times New Roman"/>
          <w:lang w:val="en-AU"/>
        </w:rPr>
        <w:t>R</w:t>
      </w:r>
      <w:r w:rsidRPr="009C2ADD">
        <w:rPr>
          <w:rFonts w:ascii="Times New Roman" w:hAnsi="Times New Roman"/>
          <w:lang w:val="en-AU"/>
        </w:rPr>
        <w:t>egions 3 and 4, a</w:t>
      </w:r>
      <w:r w:rsidR="0034646F" w:rsidRPr="009C2ADD">
        <w:rPr>
          <w:rFonts w:ascii="Times New Roman" w:hAnsi="Times New Roman"/>
          <w:lang w:val="en-AU"/>
        </w:rPr>
        <w:t>nd then selected otoliths from R</w:t>
      </w:r>
      <w:r w:rsidRPr="009C2ADD">
        <w:rPr>
          <w:rFonts w:ascii="Times New Roman" w:hAnsi="Times New Roman"/>
          <w:lang w:val="en-AU"/>
        </w:rPr>
        <w:t>egions 3 and 4 by fish length.</w:t>
      </w:r>
    </w:p>
    <w:p w14:paraId="5C612AE9"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4EA0E4A7" w14:textId="0C63E78C"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also observed that there were </w:t>
      </w:r>
      <w:r w:rsidR="0034646F" w:rsidRPr="009C2ADD">
        <w:rPr>
          <w:rFonts w:ascii="Times New Roman" w:hAnsi="Times New Roman"/>
          <w:lang w:val="en-AU"/>
        </w:rPr>
        <w:t xml:space="preserve">a </w:t>
      </w:r>
      <w:r w:rsidRPr="009C2ADD">
        <w:rPr>
          <w:rFonts w:ascii="Times New Roman" w:hAnsi="Times New Roman"/>
          <w:lang w:val="en-AU"/>
        </w:rPr>
        <w:t>limited number of samples in several areas. They noted the relationship between k and L</w:t>
      </w:r>
      <w:r w:rsidR="006C57DF">
        <w:rPr>
          <w:rFonts w:ascii="Times New Roman" w:hAnsi="Times New Roman" w:hint="eastAsia"/>
          <w:lang w:val="en-AU" w:eastAsia="ko-KR"/>
        </w:rPr>
        <w:t>_</w:t>
      </w:r>
      <w:r w:rsidRPr="009C2ADD">
        <w:rPr>
          <w:rFonts w:ascii="Times New Roman" w:hAnsi="Times New Roman"/>
          <w:lang w:val="en-AU"/>
        </w:rPr>
        <w:t>infinity, and queried whether the difference in growth was related to the methodology or temporal difference</w:t>
      </w:r>
      <w:r w:rsidR="0034646F" w:rsidRPr="009C2ADD">
        <w:rPr>
          <w:rFonts w:ascii="Times New Roman" w:hAnsi="Times New Roman"/>
          <w:lang w:val="en-AU"/>
        </w:rPr>
        <w:t xml:space="preserve">s.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0034646F" w:rsidRPr="009C2ADD">
        <w:rPr>
          <w:rFonts w:ascii="Times New Roman" w:hAnsi="Times New Roman"/>
          <w:lang w:val="en-AU"/>
        </w:rPr>
        <w:t xml:space="preserve">Farley responded that this was </w:t>
      </w:r>
      <w:r w:rsidR="00B518F9" w:rsidRPr="009C2ADD">
        <w:rPr>
          <w:rFonts w:ascii="Times New Roman" w:hAnsi="Times New Roman"/>
          <w:lang w:val="en-AU"/>
        </w:rPr>
        <w:t>a preliminary</w:t>
      </w:r>
      <w:r w:rsidRPr="009C2ADD">
        <w:rPr>
          <w:rFonts w:ascii="Times New Roman" w:hAnsi="Times New Roman"/>
          <w:lang w:val="en-AU"/>
        </w:rPr>
        <w:t xml:space="preserve"> report </w:t>
      </w:r>
      <w:r w:rsidR="0034646F" w:rsidRPr="009C2ADD">
        <w:rPr>
          <w:rFonts w:ascii="Times New Roman" w:hAnsi="Times New Roman"/>
          <w:lang w:val="en-AU"/>
        </w:rPr>
        <w:t xml:space="preserve">that </w:t>
      </w:r>
      <w:r w:rsidRPr="009C2ADD">
        <w:rPr>
          <w:rFonts w:ascii="Times New Roman" w:hAnsi="Times New Roman"/>
          <w:lang w:val="en-AU"/>
        </w:rPr>
        <w:t>explored if it was possible to detect differences</w:t>
      </w:r>
      <w:r w:rsidR="0034646F" w:rsidRPr="009C2ADD">
        <w:rPr>
          <w:rFonts w:ascii="Times New Roman" w:hAnsi="Times New Roman"/>
          <w:lang w:val="en-AU"/>
        </w:rPr>
        <w:t>,</w:t>
      </w:r>
      <w:r w:rsidRPr="009C2ADD">
        <w:rPr>
          <w:rFonts w:ascii="Times New Roman" w:hAnsi="Times New Roman"/>
          <w:lang w:val="en-AU"/>
        </w:rPr>
        <w:t xml:space="preserve"> and the sample size was insufficient for regional analyses.</w:t>
      </w:r>
    </w:p>
    <w:p w14:paraId="301C4F58"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0D70C299" w14:textId="6FB68AA6"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asked if there were temporal differences among studies and </w:t>
      </w:r>
      <w:r w:rsidR="0034646F" w:rsidRPr="009C2ADD">
        <w:rPr>
          <w:rFonts w:ascii="Times New Roman" w:hAnsi="Times New Roman"/>
          <w:lang w:val="en-AU"/>
        </w:rPr>
        <w:t xml:space="preserve">if so, </w:t>
      </w:r>
      <w:r w:rsidRPr="009C2ADD">
        <w:rPr>
          <w:rFonts w:ascii="Times New Roman" w:hAnsi="Times New Roman"/>
          <w:lang w:val="en-AU"/>
        </w:rPr>
        <w:t xml:space="preserve">did that reflect fishing pressure over time or differences in methodology.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00BD2366" w:rsidRPr="009C2ADD">
        <w:rPr>
          <w:rFonts w:ascii="Times New Roman" w:hAnsi="Times New Roman"/>
          <w:lang w:val="en-AU"/>
        </w:rPr>
        <w:t xml:space="preserve">Farley replied that there </w:t>
      </w:r>
      <w:r w:rsidR="00BD2366">
        <w:rPr>
          <w:rFonts w:ascii="Times New Roman" w:hAnsi="Times New Roman"/>
          <w:lang w:val="en-AU"/>
        </w:rPr>
        <w:t>are</w:t>
      </w:r>
      <w:r w:rsidR="00BD2366" w:rsidRPr="009C2ADD">
        <w:rPr>
          <w:rFonts w:ascii="Times New Roman" w:hAnsi="Times New Roman"/>
          <w:lang w:val="en-AU"/>
        </w:rPr>
        <w:t xml:space="preserve"> currently few studies using otoliths for ag</w:t>
      </w:r>
      <w:r w:rsidR="00290F29">
        <w:rPr>
          <w:rFonts w:ascii="Times New Roman" w:hAnsi="Times New Roman" w:hint="eastAsia"/>
          <w:lang w:val="en-AU" w:eastAsia="ko-KR"/>
        </w:rPr>
        <w:t>e</w:t>
      </w:r>
      <w:r w:rsidR="00BD2366" w:rsidRPr="009C2ADD">
        <w:rPr>
          <w:rFonts w:ascii="Times New Roman" w:hAnsi="Times New Roman"/>
          <w:lang w:val="en-AU"/>
        </w:rPr>
        <w:t xml:space="preserve">ing </w:t>
      </w:r>
      <w:r w:rsidR="00BD2366">
        <w:rPr>
          <w:rFonts w:ascii="Times New Roman" w:hAnsi="Times New Roman"/>
          <w:lang w:val="en-AU"/>
        </w:rPr>
        <w:t>but</w:t>
      </w:r>
      <w:r w:rsidR="00BD2366" w:rsidRPr="009C2ADD">
        <w:rPr>
          <w:rFonts w:ascii="Times New Roman" w:hAnsi="Times New Roman"/>
          <w:lang w:val="en-AU"/>
        </w:rPr>
        <w:t xml:space="preserve"> </w:t>
      </w:r>
      <w:r w:rsidR="00BD2366">
        <w:rPr>
          <w:rFonts w:ascii="Times New Roman" w:hAnsi="Times New Roman"/>
          <w:lang w:val="en-AU"/>
        </w:rPr>
        <w:t>comparisons may be possible</w:t>
      </w:r>
      <w:r w:rsidR="00BD2366" w:rsidRPr="009C2ADD">
        <w:rPr>
          <w:rFonts w:ascii="Times New Roman" w:hAnsi="Times New Roman"/>
          <w:lang w:val="en-AU"/>
        </w:rPr>
        <w:t xml:space="preserve"> in the future</w:t>
      </w:r>
      <w:r w:rsidRPr="009C2ADD">
        <w:rPr>
          <w:rFonts w:ascii="Times New Roman" w:hAnsi="Times New Roman"/>
          <w:lang w:val="en-AU"/>
        </w:rPr>
        <w:t>.</w:t>
      </w:r>
    </w:p>
    <w:p w14:paraId="6E30C69E"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39E61896" w14:textId="02A85CD5"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noted the need for caution in adopting a new growth curve given its impact on stock assessment analysis. They also supported the need for additional samples of larger fish to generate a more accurate growth </w:t>
      </w:r>
      <w:proofErr w:type="gramStart"/>
      <w:r w:rsidRPr="009C2ADD">
        <w:rPr>
          <w:rFonts w:ascii="Times New Roman" w:hAnsi="Times New Roman"/>
          <w:lang w:val="en-AU"/>
        </w:rPr>
        <w:t>curve,</w:t>
      </w:r>
      <w:proofErr w:type="gramEnd"/>
      <w:r w:rsidRPr="009C2ADD">
        <w:rPr>
          <w:rFonts w:ascii="Times New Roman" w:hAnsi="Times New Roman"/>
          <w:lang w:val="en-AU"/>
        </w:rPr>
        <w:t xml:space="preserve"> noting only six large </w:t>
      </w:r>
      <w:r w:rsidR="0034646F" w:rsidRPr="009C2ADD">
        <w:rPr>
          <w:rFonts w:ascii="Times New Roman" w:hAnsi="Times New Roman"/>
          <w:lang w:val="en-AU"/>
        </w:rPr>
        <w:t>fish samples were included for R</w:t>
      </w:r>
      <w:r w:rsidRPr="009C2ADD">
        <w:rPr>
          <w:rFonts w:ascii="Times New Roman" w:hAnsi="Times New Roman"/>
          <w:lang w:val="en-AU"/>
        </w:rPr>
        <w:t>egion 4. They hoped to contribute further samples from their observer programme in region 4. Chinese Taipei asked how many samples from larger fish might be sufficient, queried the biological rationale behind setting the western-eastern boundary at 150</w:t>
      </w:r>
      <w:r w:rsidR="00BD2366">
        <w:rPr>
          <w:rFonts w:ascii="Times New Roman" w:hAnsi="Times New Roman"/>
          <w:lang w:val="en-AU"/>
        </w:rPr>
        <w:t>ᴼ</w:t>
      </w:r>
      <w:r w:rsidRPr="009C2ADD">
        <w:rPr>
          <w:rFonts w:ascii="Times New Roman" w:hAnsi="Times New Roman"/>
          <w:lang w:val="en-AU"/>
        </w:rPr>
        <w:t xml:space="preserve">W and asked for clarification of the impact of the growth curve on temporal changes.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Pr="009C2ADD">
        <w:rPr>
          <w:rFonts w:ascii="Times New Roman" w:hAnsi="Times New Roman"/>
          <w:lang w:val="en-AU"/>
        </w:rPr>
        <w:t>Farley noted that further work would be required to investigate sample sizes but also clarified that ~90 of the samples read were over 140 cm, that fish move across the assessment boundary and that the boundary was a question for the stock assessment, and that the current sample size was not sufficient to investigate differences at a temporal scale.</w:t>
      </w:r>
    </w:p>
    <w:p w14:paraId="2A368DC4"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4B4A0463" w14:textId="0FFE028A"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Korea queried what influence might be expected from the different areas used for the growth analysis compared with the stock assessment.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Pr="009C2ADD">
        <w:rPr>
          <w:rFonts w:ascii="Times New Roman" w:hAnsi="Times New Roman"/>
          <w:lang w:val="en-AU"/>
        </w:rPr>
        <w:t xml:space="preserve">Farley responded that all areas were combined for the growth analysis. </w:t>
      </w:r>
    </w:p>
    <w:p w14:paraId="57BB305A"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71973842" w14:textId="77777777"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Indonesia also expressed concern that most samples were from areas 3 and 4 and few samples were collected from area 7.  They offered to collaborate in work to collect samples from area 7. They also asked why most samples came from the longline fishery. SPC noted that most large fish were collected through the longline fishery while the smaller samples were collected via the purse seine fishery.</w:t>
      </w:r>
    </w:p>
    <w:p w14:paraId="4548F49E"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51562433" w14:textId="0FD86C01"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USA questioned the influence of the decimal age on the stock assessment results compared with the annual age. It was noted that the usage</w:t>
      </w:r>
      <w:r w:rsidR="00653867">
        <w:rPr>
          <w:rFonts w:ascii="Times New Roman" w:hAnsi="Times New Roman" w:hint="eastAsia"/>
          <w:lang w:val="en-AU" w:eastAsia="ko-KR"/>
        </w:rPr>
        <w:t xml:space="preserve"> of the data</w:t>
      </w:r>
      <w:r w:rsidRPr="009C2ADD">
        <w:rPr>
          <w:rFonts w:ascii="Times New Roman" w:hAnsi="Times New Roman"/>
          <w:lang w:val="en-AU"/>
        </w:rPr>
        <w:t xml:space="preserve"> in stock assessment model</w:t>
      </w:r>
      <w:r w:rsidR="00653867">
        <w:rPr>
          <w:rFonts w:ascii="Times New Roman" w:hAnsi="Times New Roman" w:hint="eastAsia"/>
          <w:lang w:val="en-AU" w:eastAsia="ko-KR"/>
        </w:rPr>
        <w:t>s</w:t>
      </w:r>
      <w:r w:rsidRPr="009C2ADD">
        <w:rPr>
          <w:rFonts w:ascii="Times New Roman" w:hAnsi="Times New Roman"/>
          <w:lang w:val="en-AU"/>
        </w:rPr>
        <w:t xml:space="preserve"> was beyond the scope of this document.</w:t>
      </w:r>
    </w:p>
    <w:p w14:paraId="308043F7"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70B7ABD7" w14:textId="1EB43397"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Tonga asked why male fish were not included in the reproductive study. </w:t>
      </w:r>
      <w:r w:rsidR="00653867">
        <w:rPr>
          <w:rFonts w:ascii="Times New Roman" w:hAnsi="Times New Roman" w:hint="eastAsia"/>
          <w:lang w:val="en-AU" w:eastAsia="ko-KR"/>
        </w:rPr>
        <w:t>J.</w:t>
      </w:r>
      <w:r w:rsidR="00653867" w:rsidRPr="009C2ADD">
        <w:rPr>
          <w:rFonts w:ascii="Times New Roman" w:hAnsi="Times New Roman"/>
          <w:lang w:val="en-AU"/>
        </w:rPr>
        <w:t xml:space="preserve"> </w:t>
      </w:r>
      <w:r w:rsidRPr="009C2ADD">
        <w:rPr>
          <w:rFonts w:ascii="Times New Roman" w:hAnsi="Times New Roman"/>
          <w:lang w:val="en-AU"/>
        </w:rPr>
        <w:t>Farley noted that it was difficult to determine if a male was mature or immature after the spawning season, and female reproduction and fecundity was the limiting factor.</w:t>
      </w:r>
    </w:p>
    <w:p w14:paraId="23AD1412"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514845D9" w14:textId="14ACE2F9" w:rsidR="007A2461"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RMI</w:t>
      </w:r>
      <w:r w:rsidR="007A2461" w:rsidRPr="009C2ADD">
        <w:rPr>
          <w:rFonts w:ascii="Times New Roman" w:hAnsi="Times New Roman"/>
          <w:lang w:val="en-AU"/>
        </w:rPr>
        <w:t xml:space="preserve"> noted that PNA </w:t>
      </w:r>
      <w:r w:rsidR="00D5432C">
        <w:rPr>
          <w:rFonts w:ascii="Times New Roman" w:hAnsi="Times New Roman"/>
          <w:lang w:val="en-AU"/>
        </w:rPr>
        <w:t>member</w:t>
      </w:r>
      <w:r w:rsidR="007A2461" w:rsidRPr="009C2ADD">
        <w:rPr>
          <w:rFonts w:ascii="Times New Roman" w:hAnsi="Times New Roman"/>
          <w:lang w:val="en-AU"/>
        </w:rPr>
        <w:t>s supported recommendations for further biological studies, but considered there should be more priority on further work on the regional structures for the assessments of all three major tropical tunas. PNA suggested that SPC undertake a systematic analysis of reasonable alternative regional structures for both the northern and southern regions across all 3 stocks to a) understand how assessment outcomes are affected by assumptions about regional structure; and b) ensure that we aren’t using regional structures that just happen to provide extreme outcomes in terms of the assessment results.</w:t>
      </w:r>
    </w:p>
    <w:p w14:paraId="7197346C"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5CAC81A7" w14:textId="64907510"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asked why the daily ageing did not extend to </w:t>
      </w:r>
      <w:r w:rsidR="006C57DF">
        <w:rPr>
          <w:rFonts w:ascii="Times New Roman" w:hAnsi="Times New Roman" w:hint="eastAsia"/>
          <w:lang w:val="en-AU" w:eastAsia="ko-KR"/>
        </w:rPr>
        <w:t xml:space="preserve">the </w:t>
      </w:r>
      <w:r w:rsidRPr="009C2ADD">
        <w:rPr>
          <w:rFonts w:ascii="Times New Roman" w:hAnsi="Times New Roman"/>
          <w:lang w:val="en-AU"/>
        </w:rPr>
        <w:t xml:space="preserve">four-year age group and why there would be a difference in daily ageing between the WCPO and EPO. USA also suggested that estimation of growth based on selecting by length underestimated length-at-age for long-lived species. </w:t>
      </w:r>
      <w:r w:rsidR="00D71FD5">
        <w:rPr>
          <w:rFonts w:ascii="Times New Roman" w:hAnsi="Times New Roman" w:hint="eastAsia"/>
          <w:lang w:val="en-AU" w:eastAsia="ko-KR"/>
        </w:rPr>
        <w:t>J.</w:t>
      </w:r>
      <w:r w:rsidR="00D71FD5" w:rsidRPr="009C2ADD">
        <w:rPr>
          <w:rFonts w:ascii="Times New Roman" w:hAnsi="Times New Roman"/>
          <w:lang w:val="en-AU"/>
        </w:rPr>
        <w:t xml:space="preserve"> </w:t>
      </w:r>
      <w:r w:rsidRPr="009C2ADD">
        <w:rPr>
          <w:rFonts w:ascii="Times New Roman" w:hAnsi="Times New Roman"/>
          <w:lang w:val="en-AU"/>
        </w:rPr>
        <w:t xml:space="preserve">Farley responded that differences in growth </w:t>
      </w:r>
      <w:r w:rsidR="006C57DF">
        <w:rPr>
          <w:rFonts w:ascii="Times New Roman" w:hAnsi="Times New Roman" w:hint="eastAsia"/>
          <w:lang w:val="en-AU" w:eastAsia="ko-KR"/>
        </w:rPr>
        <w:t>have</w:t>
      </w:r>
      <w:r w:rsidR="006C57DF" w:rsidRPr="009C2ADD">
        <w:rPr>
          <w:rFonts w:ascii="Times New Roman" w:hAnsi="Times New Roman"/>
          <w:lang w:val="en-AU"/>
        </w:rPr>
        <w:t xml:space="preserve"> </w:t>
      </w:r>
      <w:r w:rsidRPr="009C2ADD">
        <w:rPr>
          <w:rFonts w:ascii="Times New Roman" w:hAnsi="Times New Roman"/>
          <w:lang w:val="en-AU"/>
        </w:rPr>
        <w:t>been found for other tuna species across the Pacific, and that the faster growth of bigeye in the EPO could make it easier to detect the daily increments in otoliths, but that daily ageing was not possible past one year in the otoliths from fish in the WCPO.</w:t>
      </w:r>
    </w:p>
    <w:p w14:paraId="63C28468"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0F6CC1E" w14:textId="14E7E49F" w:rsidR="007A2461"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questioned the influence of setting a July 1st birth date given that fish spawn throughout the year. </w:t>
      </w:r>
      <w:r w:rsidR="00D71FD5">
        <w:rPr>
          <w:rFonts w:ascii="Times New Roman" w:hAnsi="Times New Roman" w:hint="eastAsia"/>
          <w:lang w:val="en-AU" w:eastAsia="ko-KR"/>
        </w:rPr>
        <w:t>J.</w:t>
      </w:r>
      <w:r w:rsidR="00D71FD5" w:rsidRPr="009C2ADD">
        <w:rPr>
          <w:rFonts w:ascii="Times New Roman" w:hAnsi="Times New Roman"/>
          <w:lang w:val="en-AU"/>
        </w:rPr>
        <w:t xml:space="preserve"> </w:t>
      </w:r>
      <w:r w:rsidRPr="009C2ADD">
        <w:rPr>
          <w:rFonts w:ascii="Times New Roman" w:hAnsi="Times New Roman"/>
          <w:lang w:val="en-AU"/>
        </w:rPr>
        <w:t>Farley responded that testing various birth dat</w:t>
      </w:r>
      <w:r w:rsidR="009E5AEB" w:rsidRPr="009C2ADD">
        <w:rPr>
          <w:rFonts w:ascii="Times New Roman" w:hAnsi="Times New Roman"/>
          <w:lang w:val="en-AU"/>
        </w:rPr>
        <w:t xml:space="preserve">es was undertaken and July 1st </w:t>
      </w:r>
      <w:r w:rsidRPr="009C2ADD">
        <w:rPr>
          <w:rFonts w:ascii="Times New Roman" w:hAnsi="Times New Roman"/>
          <w:lang w:val="en-AU"/>
        </w:rPr>
        <w:t>resulted in a growth curve that did not appear to split cohorts or result in negative ages, and was similar to length at daily age for the young age classes.</w:t>
      </w:r>
    </w:p>
    <w:p w14:paraId="18B335D7"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77017CAD" w14:textId="77777777" w:rsidR="00894490" w:rsidRPr="009C2ADD" w:rsidRDefault="007A246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noted that the SC had requested a study to consider a representative growth curve across the WCPO on the basis that there was perceived concern about differences in growth. A lack of large fish in the sample does not imply bias; increased samples would just reduce uncertainty. Australia expressed its support for the study as the best and most comprehensive available and supported its use for the stock assessment.</w:t>
      </w:r>
    </w:p>
    <w:p w14:paraId="3B37C216" w14:textId="77777777" w:rsidR="00DA7AC9" w:rsidRPr="009C2ADD" w:rsidRDefault="00DA7AC9" w:rsidP="009C2ADD">
      <w:pPr>
        <w:pStyle w:val="ListParagraph"/>
        <w:adjustRightInd w:val="0"/>
        <w:snapToGrid w:val="0"/>
        <w:contextualSpacing w:val="0"/>
        <w:rPr>
          <w:rFonts w:ascii="Times New Roman" w:hAnsi="Times New Roman"/>
          <w:lang w:val="en-AU"/>
        </w:rPr>
      </w:pPr>
    </w:p>
    <w:p w14:paraId="73E8E166" w14:textId="4AEC8CAD" w:rsidR="00812A60" w:rsidRPr="009C2ADD" w:rsidRDefault="00DC0615" w:rsidP="009C2ADD">
      <w:pPr>
        <w:pStyle w:val="ListParagraph"/>
        <w:numPr>
          <w:ilvl w:val="2"/>
          <w:numId w:val="20"/>
        </w:numPr>
        <w:tabs>
          <w:tab w:val="clear" w:pos="720"/>
        </w:tabs>
        <w:adjustRightInd w:val="0"/>
        <w:snapToGrid w:val="0"/>
        <w:ind w:left="0"/>
        <w:contextualSpacing w:val="0"/>
        <w:rPr>
          <w:rFonts w:ascii="Times New Roman" w:eastAsia="바탕" w:hAnsi="Times New Roman"/>
          <w:b/>
          <w:lang w:eastAsia="ko-KR"/>
        </w:rPr>
      </w:pPr>
      <w:r w:rsidRPr="009C2ADD">
        <w:rPr>
          <w:rFonts w:ascii="Times New Roman" w:eastAsia="맑은 고딕" w:hAnsi="Times New Roman"/>
          <w:b/>
          <w:bCs/>
          <w:lang w:eastAsia="ko-KR"/>
        </w:rPr>
        <w:t>Improvement of MULTIFAN-CL software for stock assessments</w:t>
      </w:r>
    </w:p>
    <w:p w14:paraId="4D15D37E" w14:textId="51D47A6F" w:rsidR="00812A60" w:rsidRPr="009C2ADD" w:rsidRDefault="00812A60" w:rsidP="009C2ADD">
      <w:pPr>
        <w:pStyle w:val="ListParagraph"/>
        <w:autoSpaceDE w:val="0"/>
        <w:autoSpaceDN w:val="0"/>
        <w:adjustRightInd w:val="0"/>
        <w:snapToGrid w:val="0"/>
        <w:ind w:firstLine="0"/>
        <w:contextualSpacing w:val="0"/>
        <w:rPr>
          <w:rFonts w:ascii="Times New Roman" w:hAnsi="Times New Roman"/>
          <w:lang w:val="en-AU" w:eastAsia="ko-KR"/>
        </w:rPr>
      </w:pPr>
    </w:p>
    <w:p w14:paraId="0F18FAA0" w14:textId="1CA5A684" w:rsidR="005D2193" w:rsidRPr="009C2ADD" w:rsidRDefault="00DC061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eastAsia="ko-KR"/>
        </w:rPr>
        <w:t>A paper</w:t>
      </w:r>
      <w:r w:rsidR="005D2193" w:rsidRPr="009C2ADD">
        <w:rPr>
          <w:rFonts w:ascii="Times New Roman" w:hAnsi="Times New Roman"/>
          <w:lang w:val="en-AU"/>
        </w:rPr>
        <w:t xml:space="preserve"> </w:t>
      </w:r>
      <w:r w:rsidR="005D2193" w:rsidRPr="0070772D">
        <w:rPr>
          <w:rFonts w:ascii="Times New Roman" w:hAnsi="Times New Roman"/>
          <w:bCs/>
          <w:lang w:val="en-AU"/>
        </w:rPr>
        <w:t>SC13-SA-IP</w:t>
      </w:r>
      <w:r w:rsidR="00457671" w:rsidRPr="0070772D">
        <w:rPr>
          <w:rFonts w:ascii="Times New Roman" w:hAnsi="Times New Roman"/>
          <w:bCs/>
          <w:lang w:val="en-AU"/>
        </w:rPr>
        <w:t>-</w:t>
      </w:r>
      <w:r w:rsidR="005D2193" w:rsidRPr="0070772D">
        <w:rPr>
          <w:rFonts w:ascii="Times New Roman" w:hAnsi="Times New Roman"/>
          <w:bCs/>
          <w:lang w:val="en-AU"/>
        </w:rPr>
        <w:t>05</w:t>
      </w:r>
      <w:r w:rsidR="005D2193" w:rsidRPr="009C2ADD">
        <w:rPr>
          <w:rFonts w:ascii="Times New Roman" w:hAnsi="Times New Roman"/>
          <w:lang w:val="en-AU"/>
        </w:rPr>
        <w:t xml:space="preserve"> </w:t>
      </w:r>
      <w:r w:rsidRPr="009C2ADD">
        <w:rPr>
          <w:rFonts w:ascii="Times New Roman" w:hAnsi="Times New Roman"/>
          <w:lang w:val="en-AU" w:eastAsia="ko-KR"/>
        </w:rPr>
        <w:t>(</w:t>
      </w:r>
      <w:r w:rsidRPr="009C2ADD">
        <w:rPr>
          <w:rFonts w:ascii="Times New Roman" w:hAnsi="Times New Roman"/>
        </w:rPr>
        <w:t>Developments in the MULTIFAN-CL software 2016-2017</w:t>
      </w:r>
      <w:r w:rsidRPr="009C2ADD">
        <w:rPr>
          <w:rFonts w:ascii="Times New Roman" w:hAnsi="Times New Roman"/>
          <w:lang w:eastAsia="ko-KR"/>
        </w:rPr>
        <w:t xml:space="preserve">) was noted </w:t>
      </w:r>
      <w:r w:rsidR="00D71FD5">
        <w:rPr>
          <w:rFonts w:ascii="Times New Roman" w:hAnsi="Times New Roman" w:hint="eastAsia"/>
          <w:lang w:eastAsia="ko-KR"/>
        </w:rPr>
        <w:t>without</w:t>
      </w:r>
      <w:r w:rsidRPr="009C2ADD">
        <w:rPr>
          <w:rFonts w:ascii="Times New Roman" w:hAnsi="Times New Roman"/>
          <w:lang w:eastAsia="ko-KR"/>
        </w:rPr>
        <w:t xml:space="preserve"> discussion</w:t>
      </w:r>
      <w:r w:rsidR="005D2193" w:rsidRPr="009C2ADD">
        <w:rPr>
          <w:rFonts w:ascii="Times New Roman" w:hAnsi="Times New Roman"/>
          <w:lang w:val="en-AU"/>
        </w:rPr>
        <w:t>.</w:t>
      </w:r>
    </w:p>
    <w:p w14:paraId="2E254024"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01BBFA33" w14:textId="3F7A8365" w:rsidR="00812A60" w:rsidRPr="009C2ADD" w:rsidRDefault="00DC0615" w:rsidP="009C2ADD">
      <w:pPr>
        <w:pStyle w:val="ListParagraph"/>
        <w:numPr>
          <w:ilvl w:val="2"/>
          <w:numId w:val="20"/>
        </w:numPr>
        <w:tabs>
          <w:tab w:val="clear" w:pos="720"/>
        </w:tabs>
        <w:autoSpaceDE w:val="0"/>
        <w:autoSpaceDN w:val="0"/>
        <w:adjustRightInd w:val="0"/>
        <w:snapToGrid w:val="0"/>
        <w:ind w:left="0"/>
        <w:contextualSpacing w:val="0"/>
        <w:rPr>
          <w:rFonts w:ascii="Times New Roman" w:hAnsi="Times New Roman"/>
          <w:b/>
          <w:lang w:val="en-AU" w:eastAsia="ko-KR"/>
        </w:rPr>
      </w:pPr>
      <w:r w:rsidRPr="009C2ADD">
        <w:rPr>
          <w:rFonts w:ascii="Times New Roman" w:eastAsia="바탕" w:hAnsi="Times New Roman"/>
          <w:b/>
          <w:lang w:eastAsia="ko-KR"/>
        </w:rPr>
        <w:t>Review of 2017 bigeye tuna stock assessment</w:t>
      </w:r>
    </w:p>
    <w:p w14:paraId="5A0F9C4C" w14:textId="77777777" w:rsidR="00DC0615" w:rsidRPr="009C2ADD" w:rsidRDefault="00DC0615" w:rsidP="009C2ADD">
      <w:pPr>
        <w:pStyle w:val="ListParagraph"/>
        <w:autoSpaceDE w:val="0"/>
        <w:autoSpaceDN w:val="0"/>
        <w:adjustRightInd w:val="0"/>
        <w:snapToGrid w:val="0"/>
        <w:ind w:firstLine="0"/>
        <w:contextualSpacing w:val="0"/>
        <w:rPr>
          <w:rFonts w:ascii="Times New Roman" w:hAnsi="Times New Roman"/>
          <w:lang w:val="en-AU" w:eastAsia="ko-KR"/>
        </w:rPr>
      </w:pPr>
    </w:p>
    <w:p w14:paraId="4C5396AE" w14:textId="19F1D831"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G</w:t>
      </w:r>
      <w:r w:rsidR="00D71FD5">
        <w:rPr>
          <w:rFonts w:ascii="Times New Roman" w:hAnsi="Times New Roman" w:hint="eastAsia"/>
          <w:lang w:val="en-AU" w:eastAsia="ko-KR"/>
        </w:rPr>
        <w:t>.</w:t>
      </w:r>
      <w:r w:rsidRPr="009C2ADD">
        <w:rPr>
          <w:rFonts w:ascii="Times New Roman" w:hAnsi="Times New Roman"/>
          <w:lang w:val="en-AU"/>
        </w:rPr>
        <w:t xml:space="preserve"> Pilling (SPC) presented </w:t>
      </w:r>
      <w:r w:rsidRPr="0070772D">
        <w:rPr>
          <w:rFonts w:ascii="Times New Roman" w:hAnsi="Times New Roman"/>
          <w:bCs/>
          <w:lang w:val="en-AU"/>
        </w:rPr>
        <w:t>SC13-SA-IP-20</w:t>
      </w:r>
      <w:r w:rsidRPr="009C2ADD">
        <w:rPr>
          <w:rFonts w:ascii="Times New Roman" w:hAnsi="Times New Roman"/>
          <w:lang w:val="en-AU"/>
        </w:rPr>
        <w:t xml:space="preserve"> </w:t>
      </w:r>
      <w:r w:rsidRPr="009C2ADD">
        <w:rPr>
          <w:rFonts w:ascii="Times New Roman" w:hAnsi="Times New Roman"/>
          <w:i/>
          <w:lang w:val="en-AU"/>
        </w:rPr>
        <w:t>Summary of major changes in the 2017 tropical tuna assessments</w:t>
      </w:r>
      <w:r w:rsidRPr="009C2ADD">
        <w:rPr>
          <w:rFonts w:ascii="Times New Roman" w:hAnsi="Times New Roman"/>
          <w:lang w:val="en-AU"/>
        </w:rPr>
        <w:t>. The major changes from the 2014 stock assessments for bigeye and yellowfin tunas to those undertaken in 2017 were summarised, in particular those changes to assessment data and model structure. Those changes, which were discussed during the 2017 Pre-Assessment Workshop held in April in Noumea, included those related to remaining recommendations from the 2011 Independent Review of the Bigeye Assessmen</w:t>
      </w:r>
      <w:r w:rsidR="0034646F" w:rsidRPr="009C2ADD">
        <w:rPr>
          <w:rFonts w:ascii="Times New Roman" w:hAnsi="Times New Roman"/>
          <w:lang w:val="en-AU"/>
        </w:rPr>
        <w:t>t, which had</w:t>
      </w:r>
      <w:r w:rsidRPr="009C2ADD">
        <w:rPr>
          <w:rFonts w:ascii="Times New Roman" w:hAnsi="Times New Roman"/>
          <w:lang w:val="en-AU"/>
        </w:rPr>
        <w:t xml:space="preserve"> also been applied to the yellowfin assessment where appropriate. The approach to develop the ‘diagnostic case’ model, used to present key model fit diagnostics and as the basis for ‘one-off sensitivity’ model runs and the development of the ‘structural uncertainty grid’ as a basis for management advice was summarised.</w:t>
      </w:r>
    </w:p>
    <w:p w14:paraId="661A600B"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3DC860C9" w14:textId="6DFF9927"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D71FD5">
        <w:rPr>
          <w:rFonts w:ascii="Times New Roman" w:hAnsi="Times New Roman" w:hint="eastAsia"/>
          <w:lang w:val="en-AU" w:eastAsia="ko-KR"/>
        </w:rPr>
        <w:t>.</w:t>
      </w:r>
      <w:r w:rsidRPr="009C2ADD">
        <w:rPr>
          <w:rFonts w:ascii="Times New Roman" w:hAnsi="Times New Roman"/>
          <w:lang w:val="en-AU"/>
        </w:rPr>
        <w:t xml:space="preserve"> Tremblay-Boyer (SPC) presented </w:t>
      </w:r>
      <w:r w:rsidRPr="0070772D">
        <w:rPr>
          <w:rFonts w:ascii="Times New Roman" w:hAnsi="Times New Roman"/>
          <w:bCs/>
          <w:lang w:val="en-AU"/>
        </w:rPr>
        <w:t>SC13-SA-WP-03</w:t>
      </w:r>
      <w:r w:rsidRPr="009C2ADD">
        <w:rPr>
          <w:rFonts w:ascii="Times New Roman" w:hAnsi="Times New Roman"/>
          <w:lang w:val="en-AU"/>
        </w:rPr>
        <w:t xml:space="preserve"> </w:t>
      </w:r>
      <w:r w:rsidRPr="009C2ADD">
        <w:rPr>
          <w:rFonts w:ascii="Times New Roman" w:hAnsi="Times New Roman"/>
          <w:i/>
          <w:lang w:val="en-AU"/>
        </w:rPr>
        <w:t>Geo-statistical analyses of operational longline CPUE data</w:t>
      </w:r>
      <w:r w:rsidRPr="009C2ADD">
        <w:rPr>
          <w:rFonts w:ascii="Times New Roman" w:hAnsi="Times New Roman"/>
          <w:lang w:val="en-AU"/>
        </w:rPr>
        <w:t>, which explored the potential of applying geo-statistical approaches to WCPO longline operational data, including benefits and some of the challenges.</w:t>
      </w:r>
      <w:r w:rsidR="00AC06BE" w:rsidRPr="009C2ADD">
        <w:rPr>
          <w:rFonts w:ascii="Times New Roman" w:hAnsi="Times New Roman"/>
          <w:lang w:val="en-AU"/>
        </w:rPr>
        <w:t xml:space="preserve"> </w:t>
      </w:r>
      <w:r w:rsidR="0034646F" w:rsidRPr="009C2ADD">
        <w:rPr>
          <w:rFonts w:ascii="Times New Roman" w:hAnsi="Times New Roman"/>
          <w:lang w:val="en-AU"/>
        </w:rPr>
        <w:t>A key feature of CPUE data was</w:t>
      </w:r>
      <w:r w:rsidRPr="009C2ADD">
        <w:rPr>
          <w:rFonts w:ascii="Times New Roman" w:hAnsi="Times New Roman"/>
          <w:lang w:val="en-AU"/>
        </w:rPr>
        <w:t xml:space="preserve"> that catch rates tend</w:t>
      </w:r>
      <w:r w:rsidR="0034646F" w:rsidRPr="009C2ADD">
        <w:rPr>
          <w:rFonts w:ascii="Times New Roman" w:hAnsi="Times New Roman"/>
          <w:lang w:val="en-AU"/>
        </w:rPr>
        <w:t>ed</w:t>
      </w:r>
      <w:r w:rsidRPr="009C2ADD">
        <w:rPr>
          <w:rFonts w:ascii="Times New Roman" w:hAnsi="Times New Roman"/>
          <w:lang w:val="en-AU"/>
        </w:rPr>
        <w:t xml:space="preserve"> to be uneven in space. This could be due to actual trends in abundance, which could </w:t>
      </w:r>
      <w:r w:rsidR="0034646F" w:rsidRPr="009C2ADD">
        <w:rPr>
          <w:rFonts w:ascii="Times New Roman" w:hAnsi="Times New Roman"/>
          <w:lang w:val="en-AU"/>
        </w:rPr>
        <w:t xml:space="preserve">be </w:t>
      </w:r>
      <w:r w:rsidRPr="009C2ADD">
        <w:rPr>
          <w:rFonts w:ascii="Times New Roman" w:hAnsi="Times New Roman"/>
          <w:lang w:val="en-AU"/>
        </w:rPr>
        <w:t>relate</w:t>
      </w:r>
      <w:r w:rsidR="0034646F" w:rsidRPr="009C2ADD">
        <w:rPr>
          <w:rFonts w:ascii="Times New Roman" w:hAnsi="Times New Roman"/>
          <w:lang w:val="en-AU"/>
        </w:rPr>
        <w:t>d</w:t>
      </w:r>
      <w:r w:rsidRPr="009C2ADD">
        <w:rPr>
          <w:rFonts w:ascii="Times New Roman" w:hAnsi="Times New Roman"/>
          <w:lang w:val="en-AU"/>
        </w:rPr>
        <w:t xml:space="preserve"> to local environmental conditions, fishing fleets in specific l</w:t>
      </w:r>
      <w:r w:rsidR="0034646F" w:rsidRPr="009C2ADD">
        <w:rPr>
          <w:rFonts w:ascii="Times New Roman" w:hAnsi="Times New Roman"/>
          <w:lang w:val="en-AU"/>
        </w:rPr>
        <w:t>ocales using gear that increased</w:t>
      </w:r>
      <w:r w:rsidRPr="009C2ADD">
        <w:rPr>
          <w:rFonts w:ascii="Times New Roman" w:hAnsi="Times New Roman"/>
          <w:lang w:val="en-AU"/>
        </w:rPr>
        <w:t xml:space="preserve"> catchability, low </w:t>
      </w:r>
      <w:r w:rsidR="0034646F" w:rsidRPr="009C2ADD">
        <w:rPr>
          <w:rFonts w:ascii="Times New Roman" w:hAnsi="Times New Roman"/>
          <w:lang w:val="en-AU"/>
        </w:rPr>
        <w:t>fishing effort in areas which ga</w:t>
      </w:r>
      <w:r w:rsidRPr="009C2ADD">
        <w:rPr>
          <w:rFonts w:ascii="Times New Roman" w:hAnsi="Times New Roman"/>
          <w:lang w:val="en-AU"/>
        </w:rPr>
        <w:t>ve inaccurate average catch rates, oceanography conditions that increase catchability by, for instance, making fish more vulnerable to fishing gear (thermocline), or simply chance. Geostatistical approac</w:t>
      </w:r>
      <w:r w:rsidR="0034646F" w:rsidRPr="009C2ADD">
        <w:rPr>
          <w:rFonts w:ascii="Times New Roman" w:hAnsi="Times New Roman"/>
          <w:lang w:val="en-AU"/>
        </w:rPr>
        <w:t>hes to CPUE standardization had</w:t>
      </w:r>
      <w:r w:rsidRPr="009C2ADD">
        <w:rPr>
          <w:rFonts w:ascii="Times New Roman" w:hAnsi="Times New Roman"/>
          <w:lang w:val="en-AU"/>
        </w:rPr>
        <w:t xml:space="preserve"> become more prevalent in recent years, due in part to impr</w:t>
      </w:r>
      <w:r w:rsidR="0034646F" w:rsidRPr="009C2ADD">
        <w:rPr>
          <w:rFonts w:ascii="Times New Roman" w:hAnsi="Times New Roman"/>
          <w:lang w:val="en-AU"/>
        </w:rPr>
        <w:t>ovements in algorithms which had</w:t>
      </w:r>
      <w:r w:rsidRPr="009C2ADD">
        <w:rPr>
          <w:rFonts w:ascii="Times New Roman" w:hAnsi="Times New Roman"/>
          <w:lang w:val="en-AU"/>
        </w:rPr>
        <w:t xml:space="preserve"> made them more computationally efficient and the increased exposure in the fisheries literature.</w:t>
      </w:r>
      <w:r w:rsidR="0034646F" w:rsidRPr="009C2ADD">
        <w:rPr>
          <w:rFonts w:ascii="Times New Roman" w:hAnsi="Times New Roman"/>
          <w:lang w:val="en-AU"/>
        </w:rPr>
        <w:t xml:space="preserve"> Geostatistics explicitly modeled</w:t>
      </w:r>
      <w:r w:rsidRPr="009C2ADD">
        <w:rPr>
          <w:rFonts w:ascii="Times New Roman" w:hAnsi="Times New Roman"/>
          <w:lang w:val="en-AU"/>
        </w:rPr>
        <w:t xml:space="preserve"> the spatial structure in the response variable, that is, the fact that observati</w:t>
      </w:r>
      <w:r w:rsidR="0034646F" w:rsidRPr="009C2ADD">
        <w:rPr>
          <w:rFonts w:ascii="Times New Roman" w:hAnsi="Times New Roman"/>
          <w:lang w:val="en-AU"/>
        </w:rPr>
        <w:t>ons that occur closer in space we</w:t>
      </w:r>
      <w:r w:rsidRPr="009C2ADD">
        <w:rPr>
          <w:rFonts w:ascii="Times New Roman" w:hAnsi="Times New Roman"/>
          <w:lang w:val="en-AU"/>
        </w:rPr>
        <w:t xml:space="preserve">re more likely to be similar. </w:t>
      </w:r>
    </w:p>
    <w:p w14:paraId="1CE38454"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4B35D51D" w14:textId="77777777"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These analyses generated time series of standardised CPUE used as one-off CPUE sensitivities for the yellowfin and bigeye assessments, and also the regional weights used in other model runs of those assessments. </w:t>
      </w:r>
    </w:p>
    <w:p w14:paraId="58B93AA6"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B3D880F" w14:textId="3DF0BC8F"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Basin-sca</w:t>
      </w:r>
      <w:r w:rsidR="0034646F" w:rsidRPr="009C2ADD">
        <w:rPr>
          <w:rFonts w:ascii="Times New Roman" w:hAnsi="Times New Roman"/>
          <w:lang w:val="en-AU"/>
        </w:rPr>
        <w:t>le oceanographic information could</w:t>
      </w:r>
      <w:r w:rsidRPr="009C2ADD">
        <w:rPr>
          <w:rFonts w:ascii="Times New Roman" w:hAnsi="Times New Roman"/>
          <w:lang w:val="en-AU"/>
        </w:rPr>
        <w:t xml:space="preserve"> be included within these models. When oceanography was included as part of the standardized indices, there was little difference in the index over time by region, though the regional weights did vary slightly by shifting</w:t>
      </w:r>
      <w:r w:rsidR="0034646F" w:rsidRPr="009C2ADD">
        <w:rPr>
          <w:rFonts w:ascii="Times New Roman" w:hAnsi="Times New Roman"/>
          <w:lang w:val="en-AU"/>
        </w:rPr>
        <w:t xml:space="preserve"> some of the abundance towards Region 1 where there wa</w:t>
      </w:r>
      <w:r w:rsidRPr="009C2ADD">
        <w:rPr>
          <w:rFonts w:ascii="Times New Roman" w:hAnsi="Times New Roman"/>
          <w:lang w:val="en-AU"/>
        </w:rPr>
        <w:t xml:space="preserve">s a clear thermocline feature. </w:t>
      </w:r>
      <w:r w:rsidR="00BD2366" w:rsidRPr="009C2ADD">
        <w:rPr>
          <w:rFonts w:ascii="Times New Roman" w:hAnsi="Times New Roman"/>
          <w:lang w:val="en-AU"/>
        </w:rPr>
        <w:t xml:space="preserve">Comparison of the influence of oceanography variables on bigeye </w:t>
      </w:r>
      <w:r w:rsidR="00BD2366">
        <w:rPr>
          <w:rFonts w:ascii="Times New Roman" w:hAnsi="Times New Roman"/>
          <w:lang w:val="en-AU"/>
        </w:rPr>
        <w:t>versus</w:t>
      </w:r>
      <w:r w:rsidR="00BD2366" w:rsidRPr="009C2ADD">
        <w:rPr>
          <w:rFonts w:ascii="Times New Roman" w:hAnsi="Times New Roman"/>
          <w:lang w:val="en-AU"/>
        </w:rPr>
        <w:t xml:space="preserve"> yellowfin catch rates also underscored the challenges of disentangling the impacts of oceanography on catchability </w:t>
      </w:r>
      <w:r w:rsidR="00BD2366">
        <w:rPr>
          <w:rFonts w:ascii="Times New Roman" w:hAnsi="Times New Roman"/>
          <w:lang w:val="en-AU"/>
        </w:rPr>
        <w:t xml:space="preserve">versus impacts on </w:t>
      </w:r>
      <w:r w:rsidR="00BD2366" w:rsidRPr="009C2ADD">
        <w:rPr>
          <w:rFonts w:ascii="Times New Roman" w:hAnsi="Times New Roman"/>
          <w:lang w:val="en-AU"/>
        </w:rPr>
        <w:t>abundance that emerged with the inclusion of this type of covariates in CPUE standardization</w:t>
      </w:r>
      <w:r w:rsidRPr="009C2ADD">
        <w:rPr>
          <w:rFonts w:ascii="Times New Roman" w:hAnsi="Times New Roman"/>
          <w:lang w:val="en-AU"/>
        </w:rPr>
        <w:t xml:space="preserve">. </w:t>
      </w:r>
    </w:p>
    <w:p w14:paraId="345FDF32"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5D025A7A" w14:textId="77777777" w:rsidR="008E0FAE"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There we</w:t>
      </w:r>
      <w:r w:rsidR="005D2193" w:rsidRPr="009C2ADD">
        <w:rPr>
          <w:rFonts w:ascii="Times New Roman" w:hAnsi="Times New Roman"/>
          <w:lang w:val="en-AU"/>
        </w:rPr>
        <w:t>re a number of logistical advantages to the development of geostatistical approaches to standardize CPUE data in the WCPO. The Pacific-</w:t>
      </w:r>
      <w:r w:rsidRPr="009C2ADD">
        <w:rPr>
          <w:rFonts w:ascii="Times New Roman" w:hAnsi="Times New Roman"/>
          <w:lang w:val="en-AU"/>
        </w:rPr>
        <w:t>wide scale of the analysis made</w:t>
      </w:r>
      <w:r w:rsidR="005D2193" w:rsidRPr="009C2ADD">
        <w:rPr>
          <w:rFonts w:ascii="Times New Roman" w:hAnsi="Times New Roman"/>
          <w:lang w:val="en-AU"/>
        </w:rPr>
        <w:t xml:space="preserve"> it straightforward to generate standardized indices and measures of variations for different region configurations, unlike current sta</w:t>
      </w:r>
      <w:r w:rsidRPr="009C2ADD">
        <w:rPr>
          <w:rFonts w:ascii="Times New Roman" w:hAnsi="Times New Roman"/>
          <w:lang w:val="en-AU"/>
        </w:rPr>
        <w:t>ndardization approaches which ra</w:t>
      </w:r>
      <w:r w:rsidR="005D2193" w:rsidRPr="009C2ADD">
        <w:rPr>
          <w:rFonts w:ascii="Times New Roman" w:hAnsi="Times New Roman"/>
          <w:lang w:val="en-AU"/>
        </w:rPr>
        <w:t>n on a discrete and isolated regional subset of the data and need</w:t>
      </w:r>
      <w:r w:rsidRPr="009C2ADD">
        <w:rPr>
          <w:rFonts w:ascii="Times New Roman" w:hAnsi="Times New Roman"/>
          <w:lang w:val="en-AU"/>
        </w:rPr>
        <w:t>ed</w:t>
      </w:r>
      <w:r w:rsidR="005D2193" w:rsidRPr="009C2ADD">
        <w:rPr>
          <w:rFonts w:ascii="Times New Roman" w:hAnsi="Times New Roman"/>
          <w:lang w:val="en-AU"/>
        </w:rPr>
        <w:t xml:space="preserve"> to be relaunche</w:t>
      </w:r>
      <w:r w:rsidRPr="009C2ADD">
        <w:rPr>
          <w:rFonts w:ascii="Times New Roman" w:hAnsi="Times New Roman"/>
          <w:lang w:val="en-AU"/>
        </w:rPr>
        <w:t>d when new regional structures we</w:t>
      </w:r>
      <w:r w:rsidR="005D2193" w:rsidRPr="009C2ADD">
        <w:rPr>
          <w:rFonts w:ascii="Times New Roman" w:hAnsi="Times New Roman"/>
          <w:lang w:val="en-AU"/>
        </w:rPr>
        <w:t>re explored. The previously required extra step of calculating regional we</w:t>
      </w:r>
      <w:r w:rsidRPr="009C2ADD">
        <w:rPr>
          <w:rFonts w:ascii="Times New Roman" w:hAnsi="Times New Roman"/>
          <w:lang w:val="en-AU"/>
        </w:rPr>
        <w:t>ights in a separate analysis could</w:t>
      </w:r>
      <w:r w:rsidR="005D2193" w:rsidRPr="009C2ADD">
        <w:rPr>
          <w:rFonts w:ascii="Times New Roman" w:hAnsi="Times New Roman"/>
          <w:lang w:val="en-AU"/>
        </w:rPr>
        <w:t xml:space="preserve"> also be avoided s</w:t>
      </w:r>
      <w:r w:rsidRPr="009C2ADD">
        <w:rPr>
          <w:rFonts w:ascii="Times New Roman" w:hAnsi="Times New Roman"/>
          <w:lang w:val="en-AU"/>
        </w:rPr>
        <w:t>ince the model implicitly scaled</w:t>
      </w:r>
      <w:r w:rsidR="005D2193" w:rsidRPr="009C2ADD">
        <w:rPr>
          <w:rFonts w:ascii="Times New Roman" w:hAnsi="Times New Roman"/>
          <w:lang w:val="en-AU"/>
        </w:rPr>
        <w:t xml:space="preserve"> relative abundance among regions over time. The work presented </w:t>
      </w:r>
      <w:r w:rsidRPr="009C2ADD">
        <w:rPr>
          <w:rFonts w:ascii="Times New Roman" w:hAnsi="Times New Roman"/>
          <w:lang w:val="en-AU"/>
        </w:rPr>
        <w:t xml:space="preserve">was </w:t>
      </w:r>
      <w:r w:rsidR="005D2193" w:rsidRPr="009C2ADD">
        <w:rPr>
          <w:rFonts w:ascii="Times New Roman" w:hAnsi="Times New Roman"/>
          <w:lang w:val="en-AU"/>
        </w:rPr>
        <w:t>an overview of ongoing re</w:t>
      </w:r>
      <w:r w:rsidRPr="009C2ADD">
        <w:rPr>
          <w:rFonts w:ascii="Times New Roman" w:hAnsi="Times New Roman"/>
          <w:lang w:val="en-AU"/>
        </w:rPr>
        <w:t xml:space="preserve">search on this topic, which would </w:t>
      </w:r>
      <w:r w:rsidR="005D2193" w:rsidRPr="009C2ADD">
        <w:rPr>
          <w:rFonts w:ascii="Times New Roman" w:hAnsi="Times New Roman"/>
          <w:lang w:val="en-AU"/>
        </w:rPr>
        <w:t xml:space="preserve">be pursued collaboratively in the inter-sessional season. </w:t>
      </w:r>
    </w:p>
    <w:p w14:paraId="00AFD86E"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32998F14" w14:textId="3E55E7F1"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Moving forward, </w:t>
      </w:r>
      <w:r w:rsidR="0034646F" w:rsidRPr="009C2ADD">
        <w:rPr>
          <w:rFonts w:ascii="Times New Roman" w:hAnsi="Times New Roman"/>
          <w:lang w:val="en-AU"/>
        </w:rPr>
        <w:t xml:space="preserve">the authors identified </w:t>
      </w:r>
      <w:r w:rsidRPr="009C2ADD">
        <w:rPr>
          <w:rFonts w:ascii="Times New Roman" w:hAnsi="Times New Roman"/>
          <w:lang w:val="en-AU"/>
        </w:rPr>
        <w:t xml:space="preserve">four priority areas for development: </w:t>
      </w:r>
    </w:p>
    <w:p w14:paraId="4812ADD5" w14:textId="098F7480" w:rsidR="005D2193" w:rsidRPr="009C2ADD" w:rsidRDefault="005D2193" w:rsidP="009C2ADD">
      <w:pPr>
        <w:pStyle w:val="WCPFC"/>
        <w:numPr>
          <w:ilvl w:val="1"/>
          <w:numId w:val="46"/>
        </w:numPr>
        <w:adjustRightInd w:val="0"/>
        <w:spacing w:after="0"/>
        <w:ind w:left="1080"/>
      </w:pPr>
      <w:r w:rsidRPr="009C2ADD">
        <w:t>Modelling of the relationship between oceanography c</w:t>
      </w:r>
      <w:r w:rsidR="0034646F" w:rsidRPr="009C2ADD">
        <w:t xml:space="preserve">ovariates and catch rates needed </w:t>
      </w:r>
      <w:r w:rsidRPr="009C2ADD">
        <w:t>to be refined to ensure the model properly cap</w:t>
      </w:r>
      <w:r w:rsidR="0034646F" w:rsidRPr="009C2ADD">
        <w:t>tured</w:t>
      </w:r>
      <w:r w:rsidRPr="009C2ADD">
        <w:t xml:space="preserve"> the spatio-temporal effect implied by oceanography cycles impacting the distribution of thermal layers differently across stock assessment regions. </w:t>
      </w:r>
    </w:p>
    <w:p w14:paraId="0FA3ADBB" w14:textId="2E4EE4BE" w:rsidR="005D2193" w:rsidRPr="009C2ADD" w:rsidRDefault="005D2193" w:rsidP="009C2ADD">
      <w:pPr>
        <w:pStyle w:val="WCPFC"/>
        <w:numPr>
          <w:ilvl w:val="1"/>
          <w:numId w:val="46"/>
        </w:numPr>
        <w:adjustRightInd w:val="0"/>
        <w:spacing w:after="0"/>
        <w:ind w:left="1080"/>
      </w:pPr>
      <w:r w:rsidRPr="009C2ADD">
        <w:t xml:space="preserve">Current </w:t>
      </w:r>
      <w:r w:rsidR="0034646F" w:rsidRPr="009C2ADD">
        <w:t>diagnostics for this algorithm we</w:t>
      </w:r>
      <w:r w:rsidRPr="009C2ADD">
        <w:t>re limited and challenging to interpret at finer resolutions. The development of improved diagnostics which summarize</w:t>
      </w:r>
      <w:r w:rsidR="0034646F" w:rsidRPr="009C2ADD">
        <w:t>d</w:t>
      </w:r>
      <w:r w:rsidRPr="009C2ADD">
        <w:t xml:space="preserve"> model performance over covariate combinations should </w:t>
      </w:r>
      <w:r w:rsidR="00AC06BE" w:rsidRPr="009C2ADD">
        <w:t xml:space="preserve">be prioritized, with a special </w:t>
      </w:r>
      <w:r w:rsidRPr="009C2ADD">
        <w:t xml:space="preserve">attention to optimizing mesh configuration. </w:t>
      </w:r>
    </w:p>
    <w:p w14:paraId="154CA140" w14:textId="577E98E2" w:rsidR="005D2193" w:rsidRPr="009C2ADD" w:rsidRDefault="005D2193" w:rsidP="009C2ADD">
      <w:pPr>
        <w:pStyle w:val="WCPFC"/>
        <w:numPr>
          <w:ilvl w:val="1"/>
          <w:numId w:val="46"/>
        </w:numPr>
        <w:adjustRightInd w:val="0"/>
        <w:spacing w:after="0"/>
        <w:ind w:left="1080"/>
      </w:pPr>
      <w:r w:rsidRPr="009C2ADD">
        <w:t xml:space="preserve">The indices required for WCPO assessments </w:t>
      </w:r>
      <w:r w:rsidR="00AC06BE" w:rsidRPr="009C2ADD">
        <w:t xml:space="preserve">were </w:t>
      </w:r>
      <w:r w:rsidR="0034646F" w:rsidRPr="009C2ADD">
        <w:t xml:space="preserve">required </w:t>
      </w:r>
      <w:r w:rsidRPr="009C2ADD">
        <w:t>at the year-qu</w:t>
      </w:r>
      <w:r w:rsidR="0034646F" w:rsidRPr="009C2ADD">
        <w:t>arter scale, and the algorithm wa</w:t>
      </w:r>
      <w:r w:rsidRPr="009C2ADD">
        <w:t>s currently configured such that the spatio-temporal interaction on th</w:t>
      </w:r>
      <w:r w:rsidR="0034646F" w:rsidRPr="009C2ADD">
        <w:t>e geostatistical surface matched</w:t>
      </w:r>
      <w:r w:rsidRPr="009C2ADD">
        <w:t xml:space="preserve"> that of the overall time effect used in the analysis. This might yield a geost</w:t>
      </w:r>
      <w:r w:rsidR="0034646F" w:rsidRPr="009C2ADD">
        <w:t xml:space="preserve">atistical surface that captured </w:t>
      </w:r>
      <w:r w:rsidRPr="009C2ADD">
        <w:t>too much of the va</w:t>
      </w:r>
      <w:r w:rsidR="0034646F" w:rsidRPr="009C2ADD">
        <w:t>riation in the data, and dampened</w:t>
      </w:r>
      <w:r w:rsidRPr="009C2ADD">
        <w:t xml:space="preserve"> the abundance signal instead of clarifying it. </w:t>
      </w:r>
      <w:r w:rsidR="0034646F" w:rsidRPr="009C2ADD">
        <w:t>Exploration of a</w:t>
      </w:r>
      <w:r w:rsidR="005921AA" w:rsidRPr="009C2ADD">
        <w:t xml:space="preserve">lternative approaches </w:t>
      </w:r>
      <w:r w:rsidRPr="009C2ADD">
        <w:t xml:space="preserve">to parameterize the time interaction </w:t>
      </w:r>
      <w:r w:rsidR="0034646F" w:rsidRPr="009C2ADD">
        <w:t>was needed</w:t>
      </w:r>
      <w:r w:rsidRPr="009C2ADD">
        <w:t>, for instance by constraining the knot × effect via an AR1 at the annual scale.</w:t>
      </w:r>
    </w:p>
    <w:p w14:paraId="37D2BE36" w14:textId="2B9EB77B" w:rsidR="005D2193" w:rsidRPr="009C2ADD" w:rsidRDefault="005D2193" w:rsidP="009C2ADD">
      <w:pPr>
        <w:pStyle w:val="WCPFC"/>
        <w:numPr>
          <w:ilvl w:val="1"/>
          <w:numId w:val="46"/>
        </w:numPr>
        <w:adjustRightInd w:val="0"/>
        <w:spacing w:after="0"/>
        <w:ind w:left="1080"/>
      </w:pPr>
      <w:r w:rsidRPr="009C2ADD">
        <w:t xml:space="preserve">Continued exploration of alternative mesh configuration </w:t>
      </w:r>
      <w:r w:rsidR="0034646F" w:rsidRPr="009C2ADD">
        <w:t xml:space="preserve">was </w:t>
      </w:r>
      <w:r w:rsidRPr="009C2ADD">
        <w:t xml:space="preserve">considered a priority, especially given edge effects in the WCPO for both the modelled variable and sampling intensity. Approaches to account for biased sampling intensity across the range of the response variable </w:t>
      </w:r>
      <w:r w:rsidR="0034646F" w:rsidRPr="009C2ADD">
        <w:t xml:space="preserve">were also considered necessary. </w:t>
      </w:r>
      <w:r w:rsidRPr="009C2ADD">
        <w:t xml:space="preserve"> </w:t>
      </w:r>
    </w:p>
    <w:p w14:paraId="02F1B5E4" w14:textId="77777777" w:rsidR="008E0FAE" w:rsidRDefault="008E0FAE" w:rsidP="0070772D">
      <w:pPr>
        <w:pStyle w:val="WCPFC"/>
        <w:numPr>
          <w:ilvl w:val="0"/>
          <w:numId w:val="0"/>
        </w:numPr>
        <w:adjustRightInd w:val="0"/>
        <w:spacing w:after="0"/>
        <w:rPr>
          <w:lang w:eastAsia="ko-KR"/>
        </w:rPr>
      </w:pPr>
    </w:p>
    <w:p w14:paraId="20090303" w14:textId="72E82968" w:rsidR="00D71FD5" w:rsidRPr="0070772D" w:rsidRDefault="00D71FD5" w:rsidP="0070772D">
      <w:pPr>
        <w:pStyle w:val="WCPFC"/>
        <w:numPr>
          <w:ilvl w:val="0"/>
          <w:numId w:val="0"/>
        </w:numPr>
        <w:adjustRightInd w:val="0"/>
        <w:spacing w:after="0"/>
        <w:rPr>
          <w:b/>
          <w:lang w:eastAsia="ko-KR"/>
        </w:rPr>
      </w:pPr>
      <w:r w:rsidRPr="0070772D">
        <w:rPr>
          <w:b/>
          <w:lang w:eastAsia="ko-KR"/>
        </w:rPr>
        <w:t>Discussion</w:t>
      </w:r>
    </w:p>
    <w:p w14:paraId="14C55F5D" w14:textId="77777777" w:rsidR="00D71FD5" w:rsidRPr="009C2ADD" w:rsidRDefault="00D71FD5" w:rsidP="0070772D">
      <w:pPr>
        <w:pStyle w:val="WCPFC"/>
        <w:numPr>
          <w:ilvl w:val="0"/>
          <w:numId w:val="0"/>
        </w:numPr>
        <w:adjustRightInd w:val="0"/>
        <w:spacing w:after="0"/>
        <w:rPr>
          <w:lang w:eastAsia="ko-KR"/>
        </w:rPr>
      </w:pPr>
    </w:p>
    <w:p w14:paraId="2AD7ECAB" w14:textId="01A366B5" w:rsidR="005D2193" w:rsidRPr="009C2ADD" w:rsidRDefault="00F3770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query from EU</w:t>
      </w:r>
      <w:r w:rsidR="005D2193" w:rsidRPr="009C2ADD">
        <w:rPr>
          <w:rFonts w:ascii="Times New Roman" w:hAnsi="Times New Roman"/>
          <w:lang w:val="en-AU"/>
        </w:rPr>
        <w:t xml:space="preserve"> regarding th</w:t>
      </w:r>
      <w:r w:rsidR="000F6FF2" w:rsidRPr="009C2ADD">
        <w:rPr>
          <w:rFonts w:ascii="Times New Roman" w:hAnsi="Times New Roman"/>
          <w:lang w:val="en-AU"/>
        </w:rPr>
        <w:t>e main differences between this</w:t>
      </w:r>
      <w:r w:rsidR="005D2193" w:rsidRPr="009C2ADD">
        <w:rPr>
          <w:rFonts w:ascii="Times New Roman" w:hAnsi="Times New Roman"/>
          <w:lang w:val="en-AU"/>
        </w:rPr>
        <w:t xml:space="preserve"> and the previous assessment, L</w:t>
      </w:r>
      <w:r w:rsidR="00D71FD5">
        <w:rPr>
          <w:rFonts w:ascii="Times New Roman" w:hAnsi="Times New Roman" w:hint="eastAsia"/>
          <w:lang w:val="en-AU" w:eastAsia="ko-KR"/>
        </w:rPr>
        <w:t>.</w:t>
      </w:r>
      <w:r w:rsidR="005D2193" w:rsidRPr="009C2ADD">
        <w:rPr>
          <w:rFonts w:ascii="Times New Roman" w:hAnsi="Times New Roman"/>
          <w:lang w:val="en-AU"/>
        </w:rPr>
        <w:t xml:space="preserve"> Tremblay-Boyer noted that the key difference was that oceanography covariates were included within a geostatistical framework instead of a thin-plate-regression-spline within a GAM. The addition of oceanography factors caused a reduction in the relative abundance for area 4 and an increase in the relative abundance for area 1.</w:t>
      </w:r>
    </w:p>
    <w:p w14:paraId="0DDB94E4"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389F27CD" w14:textId="16DF3C56"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asked about the differences between the </w:t>
      </w:r>
      <w:r w:rsidR="00BD2366">
        <w:rPr>
          <w:rFonts w:ascii="Times New Roman" w:hAnsi="Times New Roman"/>
          <w:lang w:val="en-AU"/>
        </w:rPr>
        <w:t>g</w:t>
      </w:r>
      <w:r w:rsidRPr="009C2ADD">
        <w:rPr>
          <w:rFonts w:ascii="Times New Roman" w:hAnsi="Times New Roman"/>
          <w:lang w:val="en-AU"/>
        </w:rPr>
        <w:t xml:space="preserve">eo-statistical model and the GLM method used to generate the usual indices, the scale of the data and how the mesh structure was </w:t>
      </w:r>
      <w:r w:rsidR="00BD2366">
        <w:rPr>
          <w:rFonts w:ascii="Times New Roman" w:hAnsi="Times New Roman"/>
          <w:lang w:val="en-AU"/>
        </w:rPr>
        <w:t>formulated</w:t>
      </w:r>
      <w:r w:rsidRPr="009C2ADD">
        <w:rPr>
          <w:rFonts w:ascii="Times New Roman" w:hAnsi="Times New Roman"/>
          <w:lang w:val="en-AU"/>
        </w:rPr>
        <w:t>. Laur</w:t>
      </w:r>
      <w:r w:rsidR="000F6FF2" w:rsidRPr="009C2ADD">
        <w:rPr>
          <w:rFonts w:ascii="Times New Roman" w:hAnsi="Times New Roman"/>
          <w:lang w:val="en-AU"/>
        </w:rPr>
        <w:t>a Tremblay-Boyer responded that</w:t>
      </w:r>
      <w:r w:rsidRPr="009C2ADD">
        <w:rPr>
          <w:rFonts w:ascii="Times New Roman" w:hAnsi="Times New Roman"/>
          <w:lang w:val="en-AU"/>
        </w:rPr>
        <w:t xml:space="preserve"> the main difference between the models was tha</w:t>
      </w:r>
      <w:r w:rsidR="000F6FF2" w:rsidRPr="009C2ADD">
        <w:rPr>
          <w:rFonts w:ascii="Times New Roman" w:hAnsi="Times New Roman"/>
          <w:lang w:val="en-AU"/>
        </w:rPr>
        <w:t xml:space="preserve">t the GLM model did not include oceanographic </w:t>
      </w:r>
      <w:r w:rsidRPr="009C2ADD">
        <w:rPr>
          <w:rFonts w:ascii="Times New Roman" w:hAnsi="Times New Roman"/>
          <w:lang w:val="en-AU"/>
        </w:rPr>
        <w:t xml:space="preserve">covariates and that, conversely, the geostatistical model did not </w:t>
      </w:r>
      <w:r w:rsidR="0034646F" w:rsidRPr="009C2ADD">
        <w:rPr>
          <w:rFonts w:ascii="Times New Roman" w:hAnsi="Times New Roman"/>
          <w:lang w:val="en-AU"/>
        </w:rPr>
        <w:t xml:space="preserve">include </w:t>
      </w:r>
      <w:r w:rsidRPr="009C2ADD">
        <w:rPr>
          <w:rFonts w:ascii="Times New Roman" w:hAnsi="Times New Roman"/>
          <w:lang w:val="en-AU"/>
        </w:rPr>
        <w:t xml:space="preserve">targeting or vessel effects. It was also noted that the dataset was provided at the </w:t>
      </w:r>
      <w:r w:rsidR="000F6FF2" w:rsidRPr="009C2ADD">
        <w:rPr>
          <w:rFonts w:ascii="Times New Roman" w:hAnsi="Times New Roman"/>
          <w:lang w:val="en-AU"/>
        </w:rPr>
        <w:t>resolution of the fishing set, and that further analysis was required</w:t>
      </w:r>
      <w:r w:rsidRPr="009C2ADD">
        <w:rPr>
          <w:rFonts w:ascii="Times New Roman" w:hAnsi="Times New Roman"/>
          <w:lang w:val="en-AU"/>
        </w:rPr>
        <w:t xml:space="preserve"> to improve the mesh structure, especially at the boundaries. As such, the year-quarter abundance indices</w:t>
      </w:r>
      <w:r w:rsidR="0034646F" w:rsidRPr="009C2ADD">
        <w:rPr>
          <w:rFonts w:ascii="Times New Roman" w:hAnsi="Times New Roman"/>
          <w:lang w:val="en-AU"/>
        </w:rPr>
        <w:t xml:space="preserve"> from the geostatistical model we</w:t>
      </w:r>
      <w:r w:rsidRPr="009C2ADD">
        <w:rPr>
          <w:rFonts w:ascii="Times New Roman" w:hAnsi="Times New Roman"/>
          <w:lang w:val="en-AU"/>
        </w:rPr>
        <w:t>re preliminary and were only used as one-off sensitivity analyses in the yellowfin and bigeye models.</w:t>
      </w:r>
    </w:p>
    <w:p w14:paraId="5CD7CF51"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4CC6A87B" w14:textId="77777777"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commented that the effect of the number of knots in the mesh did not appear important, and noted that it would have liked to have seen some comparison across previous methodologies.</w:t>
      </w:r>
    </w:p>
    <w:p w14:paraId="5395CB85"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7C3A5BAF" w14:textId="0D1A71B5"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noted its plan to hold a CAPAM workshop in </w:t>
      </w:r>
      <w:r w:rsidR="00BD2366" w:rsidRPr="009C2ADD">
        <w:rPr>
          <w:rFonts w:ascii="Times New Roman" w:hAnsi="Times New Roman"/>
          <w:lang w:val="en-AU"/>
        </w:rPr>
        <w:t xml:space="preserve">La Jolla </w:t>
      </w:r>
      <w:r w:rsidR="00BD2366">
        <w:rPr>
          <w:rFonts w:ascii="Times New Roman" w:hAnsi="Times New Roman"/>
          <w:lang w:val="en-AU"/>
        </w:rPr>
        <w:t>during</w:t>
      </w:r>
      <w:r w:rsidR="00BD2366" w:rsidRPr="009C2ADD">
        <w:rPr>
          <w:rFonts w:ascii="Times New Roman" w:hAnsi="Times New Roman"/>
          <w:lang w:val="en-AU"/>
        </w:rPr>
        <w:t xml:space="preserve"> February </w:t>
      </w:r>
      <w:r w:rsidR="00BD2366">
        <w:rPr>
          <w:rFonts w:ascii="Times New Roman" w:hAnsi="Times New Roman"/>
          <w:lang w:val="en-AU"/>
        </w:rPr>
        <w:t xml:space="preserve">2018 </w:t>
      </w:r>
      <w:r w:rsidR="00BD2366" w:rsidRPr="009C2ADD">
        <w:rPr>
          <w:rFonts w:ascii="Times New Roman" w:hAnsi="Times New Roman"/>
          <w:lang w:val="en-AU"/>
        </w:rPr>
        <w:t>on the topic of spatio-temporal models</w:t>
      </w:r>
      <w:r w:rsidRPr="009C2ADD">
        <w:rPr>
          <w:rFonts w:ascii="Times New Roman" w:hAnsi="Times New Roman"/>
          <w:lang w:val="en-AU"/>
        </w:rPr>
        <w:t>.</w:t>
      </w:r>
    </w:p>
    <w:p w14:paraId="01D8E7AE"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5DC4314" w14:textId="74A7D2B1" w:rsidR="005D2193" w:rsidRPr="009C2ADD" w:rsidRDefault="00B140D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D71FD5">
        <w:rPr>
          <w:rFonts w:ascii="Times New Roman" w:hAnsi="Times New Roman" w:hint="eastAsia"/>
          <w:lang w:val="en-AU" w:eastAsia="ko-KR"/>
        </w:rPr>
        <w:t>.</w:t>
      </w:r>
      <w:r w:rsidRPr="009C2ADD">
        <w:rPr>
          <w:rFonts w:ascii="Times New Roman" w:hAnsi="Times New Roman"/>
          <w:lang w:val="en-AU"/>
        </w:rPr>
        <w:t xml:space="preserve"> Tremblay-Boyer</w:t>
      </w:r>
      <w:r w:rsidR="005D2193" w:rsidRPr="009C2ADD">
        <w:rPr>
          <w:rFonts w:ascii="Times New Roman" w:hAnsi="Times New Roman"/>
          <w:lang w:val="en-AU"/>
        </w:rPr>
        <w:t xml:space="preserve"> introduced </w:t>
      </w:r>
      <w:r w:rsidR="005D2193" w:rsidRPr="0070772D">
        <w:rPr>
          <w:rFonts w:ascii="Times New Roman" w:hAnsi="Times New Roman"/>
          <w:bCs/>
          <w:lang w:val="en-AU"/>
        </w:rPr>
        <w:t>SC13-SA-WP-04</w:t>
      </w:r>
      <w:r w:rsidR="005D2193" w:rsidRPr="009C2ADD">
        <w:rPr>
          <w:rFonts w:ascii="Times New Roman" w:hAnsi="Times New Roman"/>
          <w:lang w:val="en-AU"/>
        </w:rPr>
        <w:t xml:space="preserve"> </w:t>
      </w:r>
      <w:r w:rsidR="005D2193" w:rsidRPr="009C2ADD">
        <w:rPr>
          <w:rFonts w:ascii="Times New Roman" w:hAnsi="Times New Roman"/>
          <w:i/>
          <w:lang w:val="en-AU"/>
        </w:rPr>
        <w:t>Use of operational vessel proxies to account for vessels with missing identifiers in the development of standardised CPUE time series</w:t>
      </w:r>
      <w:r w:rsidR="005D2193" w:rsidRPr="009C2ADD">
        <w:rPr>
          <w:rFonts w:ascii="Times New Roman" w:hAnsi="Times New Roman"/>
          <w:lang w:val="en-AU"/>
        </w:rPr>
        <w:t>.</w:t>
      </w:r>
      <w:r w:rsidRPr="009C2ADD">
        <w:rPr>
          <w:rFonts w:ascii="Times New Roman" w:hAnsi="Times New Roman"/>
          <w:lang w:val="en-AU"/>
        </w:rPr>
        <w:t xml:space="preserve"> </w:t>
      </w:r>
      <w:r w:rsidR="005D2193" w:rsidRPr="009C2ADD">
        <w:rPr>
          <w:rFonts w:ascii="Times New Roman" w:hAnsi="Times New Roman"/>
          <w:lang w:val="en-AU"/>
        </w:rPr>
        <w:t>CPUE standardization</w:t>
      </w:r>
      <w:r w:rsidR="0034646F" w:rsidRPr="009C2ADD">
        <w:rPr>
          <w:rFonts w:ascii="Times New Roman" w:hAnsi="Times New Roman"/>
          <w:lang w:val="en-AU"/>
        </w:rPr>
        <w:t xml:space="preserve"> involved</w:t>
      </w:r>
      <w:r w:rsidR="005D2193" w:rsidRPr="009C2ADD">
        <w:rPr>
          <w:rFonts w:ascii="Times New Roman" w:hAnsi="Times New Roman"/>
          <w:lang w:val="en-AU"/>
        </w:rPr>
        <w:t xml:space="preserve"> modelling CPUE over time to account f</w:t>
      </w:r>
      <w:r w:rsidR="0034646F" w:rsidRPr="009C2ADD">
        <w:rPr>
          <w:rFonts w:ascii="Times New Roman" w:hAnsi="Times New Roman"/>
          <w:lang w:val="en-AU"/>
        </w:rPr>
        <w:t xml:space="preserve">or additional variables that could impact CPUE but which </w:t>
      </w:r>
      <w:r w:rsidR="00BD2366">
        <w:rPr>
          <w:rFonts w:ascii="Times New Roman" w:hAnsi="Times New Roman"/>
          <w:lang w:val="en-AU"/>
        </w:rPr>
        <w:t>were</w:t>
      </w:r>
      <w:r w:rsidR="00BD2366" w:rsidRPr="009C2ADD">
        <w:rPr>
          <w:rFonts w:ascii="Times New Roman" w:hAnsi="Times New Roman"/>
          <w:lang w:val="en-AU"/>
        </w:rPr>
        <w:t xml:space="preserve"> </w:t>
      </w:r>
      <w:r w:rsidR="005D2193" w:rsidRPr="009C2ADD">
        <w:rPr>
          <w:rFonts w:ascii="Times New Roman" w:hAnsi="Times New Roman"/>
          <w:lang w:val="en-AU"/>
        </w:rPr>
        <w:t>not reflective of abundan</w:t>
      </w:r>
      <w:r w:rsidR="0034646F" w:rsidRPr="009C2ADD">
        <w:rPr>
          <w:rFonts w:ascii="Times New Roman" w:hAnsi="Times New Roman"/>
          <w:lang w:val="en-AU"/>
        </w:rPr>
        <w:t>ce trends. One variable that had</w:t>
      </w:r>
      <w:r w:rsidR="005D2193" w:rsidRPr="009C2ADD">
        <w:rPr>
          <w:rFonts w:ascii="Times New Roman" w:hAnsi="Times New Roman"/>
          <w:lang w:val="en-AU"/>
        </w:rPr>
        <w:t xml:space="preserve"> consistently been found to be </w:t>
      </w:r>
      <w:r w:rsidR="0034646F" w:rsidRPr="009C2ADD">
        <w:rPr>
          <w:rFonts w:ascii="Times New Roman" w:hAnsi="Times New Roman"/>
          <w:lang w:val="en-AU"/>
        </w:rPr>
        <w:t>influential in standardization wa</w:t>
      </w:r>
      <w:r w:rsidR="005D2193" w:rsidRPr="009C2ADD">
        <w:rPr>
          <w:rFonts w:ascii="Times New Roman" w:hAnsi="Times New Roman"/>
          <w:lang w:val="en-AU"/>
        </w:rPr>
        <w:t xml:space="preserve">s the vessel identifier, that </w:t>
      </w:r>
      <w:r w:rsidR="0034646F" w:rsidRPr="009C2ADD">
        <w:rPr>
          <w:rFonts w:ascii="Times New Roman" w:hAnsi="Times New Roman"/>
          <w:lang w:val="en-AU"/>
        </w:rPr>
        <w:t>is, a variable that identified which fishing sets we</w:t>
      </w:r>
      <w:r w:rsidR="005D2193" w:rsidRPr="009C2ADD">
        <w:rPr>
          <w:rFonts w:ascii="Times New Roman" w:hAnsi="Times New Roman"/>
          <w:lang w:val="en-AU"/>
        </w:rPr>
        <w:t>re performed by a given vessel. For the 2017 assessments, an exte</w:t>
      </w:r>
      <w:r w:rsidR="0034646F" w:rsidRPr="009C2ADD">
        <w:rPr>
          <w:rFonts w:ascii="Times New Roman" w:hAnsi="Times New Roman"/>
          <w:lang w:val="en-AU"/>
        </w:rPr>
        <w:t>nsive operational LL dataset had</w:t>
      </w:r>
      <w:r w:rsidR="005D2193" w:rsidRPr="009C2ADD">
        <w:rPr>
          <w:rFonts w:ascii="Times New Roman" w:hAnsi="Times New Roman"/>
          <w:lang w:val="en-AU"/>
        </w:rPr>
        <w:t xml:space="preserve"> been amalgamated from the SPC-held data together with the data held by all the important distant water fishing nations. This provided a significantly extended temporal span for longline indices and as such, the assessments for b</w:t>
      </w:r>
      <w:r w:rsidR="0034646F" w:rsidRPr="009C2ADD">
        <w:rPr>
          <w:rFonts w:ascii="Times New Roman" w:hAnsi="Times New Roman"/>
          <w:lang w:val="en-AU"/>
        </w:rPr>
        <w:t>igeye and yellowfin in 2017 had</w:t>
      </w:r>
      <w:r w:rsidR="005D2193" w:rsidRPr="009C2ADD">
        <w:rPr>
          <w:rFonts w:ascii="Times New Roman" w:hAnsi="Times New Roman"/>
          <w:lang w:val="en-AU"/>
        </w:rPr>
        <w:t xml:space="preserve"> series that extend</w:t>
      </w:r>
      <w:r w:rsidR="0034646F" w:rsidRPr="009C2ADD">
        <w:rPr>
          <w:rFonts w:ascii="Times New Roman" w:hAnsi="Times New Roman"/>
          <w:lang w:val="en-AU"/>
        </w:rPr>
        <w:t>ed</w:t>
      </w:r>
      <w:r w:rsidR="005D2193" w:rsidRPr="009C2ADD">
        <w:rPr>
          <w:rFonts w:ascii="Times New Roman" w:hAnsi="Times New Roman"/>
          <w:lang w:val="en-AU"/>
        </w:rPr>
        <w:t xml:space="preserve"> back in time for more than 25 years in some regions compared to previous assessments</w:t>
      </w:r>
      <w:r w:rsidR="0034646F" w:rsidRPr="009C2ADD">
        <w:rPr>
          <w:rFonts w:ascii="Times New Roman" w:hAnsi="Times New Roman"/>
          <w:lang w:val="en-AU"/>
        </w:rPr>
        <w:t xml:space="preserve"> for this species. A challenge wa</w:t>
      </w:r>
      <w:r w:rsidR="005D2193" w:rsidRPr="009C2ADD">
        <w:rPr>
          <w:rFonts w:ascii="Times New Roman" w:hAnsi="Times New Roman"/>
          <w:lang w:val="en-AU"/>
        </w:rPr>
        <w:t>s that in many assessment model regions, the bulk of the historical effo</w:t>
      </w:r>
      <w:r w:rsidR="0034646F" w:rsidRPr="009C2ADD">
        <w:rPr>
          <w:rFonts w:ascii="Times New Roman" w:hAnsi="Times New Roman"/>
          <w:lang w:val="en-AU"/>
        </w:rPr>
        <w:t>rt (e.g. 1950 to the 1980s) did</w:t>
      </w:r>
      <w:r w:rsidR="005D2193" w:rsidRPr="009C2ADD">
        <w:rPr>
          <w:rFonts w:ascii="Times New Roman" w:hAnsi="Times New Roman"/>
          <w:lang w:val="en-AU"/>
        </w:rPr>
        <w:t xml:space="preserve"> not have unique vesse</w:t>
      </w:r>
      <w:r w:rsidR="0034646F" w:rsidRPr="009C2ADD">
        <w:rPr>
          <w:rFonts w:ascii="Times New Roman" w:hAnsi="Times New Roman"/>
          <w:lang w:val="en-AU"/>
        </w:rPr>
        <w:t>l identifier information. This wa</w:t>
      </w:r>
      <w:r w:rsidR="005D2193" w:rsidRPr="009C2ADD">
        <w:rPr>
          <w:rFonts w:ascii="Times New Roman" w:hAnsi="Times New Roman"/>
          <w:lang w:val="en-AU"/>
        </w:rPr>
        <w:t>s a common issue across tun</w:t>
      </w:r>
      <w:r w:rsidR="0034646F" w:rsidRPr="009C2ADD">
        <w:rPr>
          <w:rFonts w:ascii="Times New Roman" w:hAnsi="Times New Roman"/>
          <w:lang w:val="en-AU"/>
        </w:rPr>
        <w:t>a RFMOs. The de facto solution wa</w:t>
      </w:r>
      <w:r w:rsidR="005D2193" w:rsidRPr="009C2ADD">
        <w:rPr>
          <w:rFonts w:ascii="Times New Roman" w:hAnsi="Times New Roman"/>
          <w:lang w:val="en-AU"/>
        </w:rPr>
        <w:t xml:space="preserve">s to estimate a generic missing vessel ID for that historical period, combined with vessel effects for a core fleet. </w:t>
      </w:r>
      <w:r w:rsidR="0034646F" w:rsidRPr="009C2ADD">
        <w:rPr>
          <w:rFonts w:ascii="Times New Roman" w:hAnsi="Times New Roman"/>
          <w:lang w:val="en-AU"/>
        </w:rPr>
        <w:t>However, as vessel IDs only beca</w:t>
      </w:r>
      <w:r w:rsidR="005D2193" w:rsidRPr="009C2ADD">
        <w:rPr>
          <w:rFonts w:ascii="Times New Roman" w:hAnsi="Times New Roman"/>
          <w:lang w:val="en-AU"/>
        </w:rPr>
        <w:t>me available later</w:t>
      </w:r>
      <w:r w:rsidR="0034646F" w:rsidRPr="009C2ADD">
        <w:rPr>
          <w:rFonts w:ascii="Times New Roman" w:hAnsi="Times New Roman"/>
          <w:lang w:val="en-AU"/>
        </w:rPr>
        <w:t xml:space="preserve"> in the time series, this caused</w:t>
      </w:r>
      <w:r w:rsidR="005D2193" w:rsidRPr="009C2ADD">
        <w:rPr>
          <w:rFonts w:ascii="Times New Roman" w:hAnsi="Times New Roman"/>
          <w:lang w:val="en-AU"/>
        </w:rPr>
        <w:t xml:space="preserve"> an abrupt change in the value for this variable </w:t>
      </w:r>
      <w:r w:rsidR="00845088">
        <w:rPr>
          <w:rFonts w:ascii="Times New Roman" w:hAnsi="Times New Roman"/>
          <w:lang w:val="en-AU"/>
        </w:rPr>
        <w:t>when the vessel ID was identified over time</w:t>
      </w:r>
      <w:r w:rsidR="005D2193" w:rsidRPr="009C2ADD">
        <w:rPr>
          <w:rFonts w:ascii="Times New Roman" w:hAnsi="Times New Roman"/>
          <w:lang w:val="en-AU"/>
        </w:rPr>
        <w:t xml:space="preserve">, thereby introducing a temporal bias in the standardization for the variable. </w:t>
      </w:r>
    </w:p>
    <w:p w14:paraId="793CA8C4"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4E0655DE" w14:textId="77777777"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idea for this paper was initially presented at the 2017 Pre-assessment</w:t>
      </w:r>
      <w:r w:rsidR="0034646F" w:rsidRPr="009C2ADD">
        <w:rPr>
          <w:rFonts w:ascii="Times New Roman" w:hAnsi="Times New Roman"/>
          <w:lang w:val="en-AU"/>
        </w:rPr>
        <w:t xml:space="preserve"> workshop in Noumea and consisted</w:t>
      </w:r>
      <w:r w:rsidRPr="009C2ADD">
        <w:rPr>
          <w:rFonts w:ascii="Times New Roman" w:hAnsi="Times New Roman"/>
          <w:lang w:val="en-AU"/>
        </w:rPr>
        <w:t xml:space="preserve"> of a proof-of-concept rather than a comprehensive development of the new methodology. As such, the generated indices were not used as the basis for the diagnostic case for this year’s bigeye and yellowfin assessment, but used instead as a one-off sensitivity (referred to under CPUE-Proxy in McKechnie et al. 2017a and Tremblay-Boyer et al. 2017). </w:t>
      </w:r>
    </w:p>
    <w:p w14:paraId="153FDE14"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64190C4C" w14:textId="3328862E"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authors used the term vessel proxy to ref</w:t>
      </w:r>
      <w:r w:rsidR="0034646F" w:rsidRPr="009C2ADD">
        <w:rPr>
          <w:rFonts w:ascii="Times New Roman" w:hAnsi="Times New Roman"/>
          <w:lang w:val="en-AU"/>
        </w:rPr>
        <w:t>er to a new variable that grouped</w:t>
      </w:r>
      <w:r w:rsidRPr="009C2ADD">
        <w:rPr>
          <w:rFonts w:ascii="Times New Roman" w:hAnsi="Times New Roman"/>
          <w:lang w:val="en-AU"/>
        </w:rPr>
        <w:t xml:space="preserve"> individual fishing sets via clustering based on a set of explanat</w:t>
      </w:r>
      <w:r w:rsidR="0034646F" w:rsidRPr="009C2ADD">
        <w:rPr>
          <w:rFonts w:ascii="Times New Roman" w:hAnsi="Times New Roman"/>
          <w:lang w:val="en-AU"/>
        </w:rPr>
        <w:t>ory variables. These variables we</w:t>
      </w:r>
      <w:r w:rsidRPr="009C2ADD">
        <w:rPr>
          <w:rFonts w:ascii="Times New Roman" w:hAnsi="Times New Roman"/>
          <w:lang w:val="en-AU"/>
        </w:rPr>
        <w:t>re present in the dataset on a longe</w:t>
      </w:r>
      <w:r w:rsidR="0034646F" w:rsidRPr="009C2ADD">
        <w:rPr>
          <w:rFonts w:ascii="Times New Roman" w:hAnsi="Times New Roman"/>
          <w:lang w:val="en-AU"/>
        </w:rPr>
        <w:t>r timespan than the vessel IDs we</w:t>
      </w:r>
      <w:r w:rsidRPr="009C2ADD">
        <w:rPr>
          <w:rFonts w:ascii="Times New Roman" w:hAnsi="Times New Roman"/>
          <w:lang w:val="en-AU"/>
        </w:rPr>
        <w:t xml:space="preserve">re, even in very early years, and would </w:t>
      </w:r>
      <w:r w:rsidR="0034646F" w:rsidRPr="009C2ADD">
        <w:rPr>
          <w:rFonts w:ascii="Times New Roman" w:hAnsi="Times New Roman"/>
          <w:lang w:val="en-AU"/>
        </w:rPr>
        <w:t xml:space="preserve">have been </w:t>
      </w:r>
      <w:r w:rsidRPr="009C2ADD">
        <w:rPr>
          <w:rFonts w:ascii="Times New Roman" w:hAnsi="Times New Roman"/>
          <w:lang w:val="en-AU"/>
        </w:rPr>
        <w:t xml:space="preserve">expected to be roughly similar (i.e. distributed around an average) for a given vessel. </w:t>
      </w:r>
      <w:r w:rsidR="0034646F" w:rsidRPr="009C2ADD">
        <w:rPr>
          <w:rFonts w:ascii="Times New Roman" w:hAnsi="Times New Roman"/>
          <w:lang w:val="en-AU"/>
        </w:rPr>
        <w:t>The aim of the authors wa</w:t>
      </w:r>
      <w:r w:rsidRPr="009C2ADD">
        <w:rPr>
          <w:rFonts w:ascii="Times New Roman" w:hAnsi="Times New Roman"/>
          <w:lang w:val="en-AU"/>
        </w:rPr>
        <w:t>s not to exactly recreate vessel IDs but to create groupings that would be representative of sets of operational characteristics present within a fleet, hence the term ‘proxy’. The pote</w:t>
      </w:r>
      <w:r w:rsidR="0034646F" w:rsidRPr="009C2ADD">
        <w:rPr>
          <w:rFonts w:ascii="Times New Roman" w:hAnsi="Times New Roman"/>
          <w:lang w:val="en-AU"/>
        </w:rPr>
        <w:t>ntial efficacy of the approach wa</w:t>
      </w:r>
      <w:r w:rsidRPr="009C2ADD">
        <w:rPr>
          <w:rFonts w:ascii="Times New Roman" w:hAnsi="Times New Roman"/>
          <w:lang w:val="en-AU"/>
        </w:rPr>
        <w:t xml:space="preserve">s examined primarily through correlation between the true and proxy </w:t>
      </w:r>
      <w:r w:rsidR="00214513" w:rsidRPr="009C2ADD">
        <w:rPr>
          <w:rFonts w:ascii="Times New Roman" w:hAnsi="Times New Roman"/>
          <w:lang w:val="en-AU"/>
        </w:rPr>
        <w:t>vessel</w:t>
      </w:r>
      <w:r w:rsidRPr="009C2ADD">
        <w:rPr>
          <w:rFonts w:ascii="Times New Roman" w:hAnsi="Times New Roman"/>
          <w:lang w:val="en-AU"/>
        </w:rPr>
        <w:t xml:space="preserve"> effects, using the extensive Japanese fleet data as a basis b</w:t>
      </w:r>
      <w:r w:rsidR="0034646F" w:rsidRPr="009C2ADD">
        <w:rPr>
          <w:rFonts w:ascii="Times New Roman" w:hAnsi="Times New Roman"/>
          <w:lang w:val="en-AU"/>
        </w:rPr>
        <w:t>ecause (1) this fleet represented</w:t>
      </w:r>
      <w:r w:rsidRPr="009C2ADD">
        <w:rPr>
          <w:rFonts w:ascii="Times New Roman" w:hAnsi="Times New Roman"/>
          <w:lang w:val="en-AU"/>
        </w:rPr>
        <w:t xml:space="preserve"> the bulk of the early longli</w:t>
      </w:r>
      <w:r w:rsidR="0034646F" w:rsidRPr="009C2ADD">
        <w:rPr>
          <w:rFonts w:ascii="Times New Roman" w:hAnsi="Times New Roman"/>
          <w:lang w:val="en-AU"/>
        </w:rPr>
        <w:t>ne effort; and, as such, (2) had</w:t>
      </w:r>
      <w:r w:rsidRPr="009C2ADD">
        <w:rPr>
          <w:rFonts w:ascii="Times New Roman" w:hAnsi="Times New Roman"/>
          <w:lang w:val="en-AU"/>
        </w:rPr>
        <w:t xml:space="preserve"> the highest proportion of </w:t>
      </w:r>
      <w:r w:rsidR="00845088">
        <w:rPr>
          <w:rFonts w:ascii="Times New Roman" w:hAnsi="Times New Roman"/>
          <w:lang w:val="en-AU"/>
        </w:rPr>
        <w:t xml:space="preserve">historical fishing operations with </w:t>
      </w:r>
      <w:r w:rsidRPr="009C2ADD">
        <w:rPr>
          <w:rFonts w:ascii="Times New Roman" w:hAnsi="Times New Roman"/>
          <w:lang w:val="en-AU"/>
        </w:rPr>
        <w:t xml:space="preserve">missing vessel identifiers. </w:t>
      </w:r>
    </w:p>
    <w:p w14:paraId="3E0C0EE9"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2FF9B9F8" w14:textId="31849842"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approach appeared to work well in particular model regions for both bigeye and yellowfin, potentially due to the history of fishing effort by various fleets within a region, and the f</w:t>
      </w:r>
      <w:r w:rsidR="0034646F" w:rsidRPr="009C2ADD">
        <w:rPr>
          <w:rFonts w:ascii="Times New Roman" w:hAnsi="Times New Roman"/>
          <w:lang w:val="en-AU"/>
        </w:rPr>
        <w:t>act that Japanese effort reduced</w:t>
      </w:r>
      <w:r w:rsidRPr="009C2ADD">
        <w:rPr>
          <w:rFonts w:ascii="Times New Roman" w:hAnsi="Times New Roman"/>
          <w:lang w:val="en-AU"/>
        </w:rPr>
        <w:t xml:space="preserve"> to very low levels in some WCPO regi</w:t>
      </w:r>
      <w:r w:rsidR="0034646F" w:rsidRPr="009C2ADD">
        <w:rPr>
          <w:rFonts w:ascii="Times New Roman" w:hAnsi="Times New Roman"/>
          <w:lang w:val="en-AU"/>
        </w:rPr>
        <w:t>ons after the 1980s, which meant</w:t>
      </w:r>
      <w:r w:rsidRPr="009C2ADD">
        <w:rPr>
          <w:rFonts w:ascii="Times New Roman" w:hAnsi="Times New Roman"/>
          <w:lang w:val="en-AU"/>
        </w:rPr>
        <w:t xml:space="preserve"> that even </w:t>
      </w:r>
      <w:r w:rsidR="0034646F" w:rsidRPr="009C2ADD">
        <w:rPr>
          <w:rFonts w:ascii="Times New Roman" w:hAnsi="Times New Roman"/>
          <w:lang w:val="en-AU"/>
        </w:rPr>
        <w:t>the vessel standardised index was</w:t>
      </w:r>
      <w:r w:rsidRPr="009C2ADD">
        <w:rPr>
          <w:rFonts w:ascii="Times New Roman" w:hAnsi="Times New Roman"/>
          <w:lang w:val="en-AU"/>
        </w:rPr>
        <w:t xml:space="preserve"> highly variable. I</w:t>
      </w:r>
      <w:r w:rsidR="0034646F" w:rsidRPr="009C2ADD">
        <w:rPr>
          <w:rFonts w:ascii="Times New Roman" w:hAnsi="Times New Roman"/>
          <w:lang w:val="en-AU"/>
        </w:rPr>
        <w:t>n addition, the approach appeared</w:t>
      </w:r>
      <w:r w:rsidRPr="009C2ADD">
        <w:rPr>
          <w:rFonts w:ascii="Times New Roman" w:hAnsi="Times New Roman"/>
          <w:lang w:val="en-AU"/>
        </w:rPr>
        <w:t xml:space="preserve"> to have performed wo</w:t>
      </w:r>
      <w:r w:rsidR="0034646F" w:rsidRPr="009C2ADD">
        <w:rPr>
          <w:rFonts w:ascii="Times New Roman" w:hAnsi="Times New Roman"/>
          <w:lang w:val="en-AU"/>
        </w:rPr>
        <w:t xml:space="preserve">rst in Region 5, where effort was highly seasonal; this suggested that </w:t>
      </w:r>
      <w:r w:rsidRPr="009C2ADD">
        <w:rPr>
          <w:rFonts w:ascii="Times New Roman" w:hAnsi="Times New Roman"/>
          <w:lang w:val="en-AU"/>
        </w:rPr>
        <w:t xml:space="preserve">some form of seasonality in the classification might </w:t>
      </w:r>
      <w:r w:rsidR="0034646F" w:rsidRPr="009C2ADD">
        <w:rPr>
          <w:rFonts w:ascii="Times New Roman" w:hAnsi="Times New Roman"/>
          <w:lang w:val="en-AU"/>
        </w:rPr>
        <w:t xml:space="preserve">improve results. </w:t>
      </w:r>
      <w:r w:rsidR="009C18D7" w:rsidRPr="009C2ADD">
        <w:rPr>
          <w:rFonts w:ascii="Times New Roman" w:hAnsi="Times New Roman"/>
          <w:lang w:val="en-AU"/>
        </w:rPr>
        <w:t>Finally,</w:t>
      </w:r>
      <w:r w:rsidR="0034646F" w:rsidRPr="009C2ADD">
        <w:rPr>
          <w:rFonts w:ascii="Times New Roman" w:hAnsi="Times New Roman"/>
          <w:lang w:val="en-AU"/>
        </w:rPr>
        <w:t xml:space="preserve"> there wa</w:t>
      </w:r>
      <w:r w:rsidRPr="009C2ADD">
        <w:rPr>
          <w:rFonts w:ascii="Times New Roman" w:hAnsi="Times New Roman"/>
          <w:lang w:val="en-AU"/>
        </w:rPr>
        <w:t>s currently no clear indication of the optimal number of clusters to provide to the algorithm. An experimental</w:t>
      </w:r>
      <w:r w:rsidR="0034646F" w:rsidRPr="009C2ADD">
        <w:rPr>
          <w:rFonts w:ascii="Times New Roman" w:hAnsi="Times New Roman"/>
          <w:lang w:val="en-AU"/>
        </w:rPr>
        <w:t xml:space="preserve"> approach had</w:t>
      </w:r>
      <w:r w:rsidRPr="009C2ADD">
        <w:rPr>
          <w:rFonts w:ascii="Times New Roman" w:hAnsi="Times New Roman"/>
          <w:lang w:val="en-AU"/>
        </w:rPr>
        <w:t xml:space="preserve"> been used here, where the approach was fitted to a training dataset with vessel </w:t>
      </w:r>
      <w:proofErr w:type="gramStart"/>
      <w:r w:rsidRPr="009C2ADD">
        <w:rPr>
          <w:rFonts w:ascii="Times New Roman" w:hAnsi="Times New Roman"/>
          <w:lang w:val="en-AU"/>
        </w:rPr>
        <w:t>IDs,</w:t>
      </w:r>
      <w:proofErr w:type="gramEnd"/>
      <w:r w:rsidRPr="009C2ADD">
        <w:rPr>
          <w:rFonts w:ascii="Times New Roman" w:hAnsi="Times New Roman"/>
          <w:lang w:val="en-AU"/>
        </w:rPr>
        <w:t xml:space="preserve"> and the assumption made that the same rule coul</w:t>
      </w:r>
      <w:r w:rsidR="0034646F" w:rsidRPr="009C2ADD">
        <w:rPr>
          <w:rFonts w:ascii="Times New Roman" w:hAnsi="Times New Roman"/>
          <w:lang w:val="en-AU"/>
        </w:rPr>
        <w:t>d apply to earlier years. This wa</w:t>
      </w:r>
      <w:r w:rsidRPr="009C2ADD">
        <w:rPr>
          <w:rFonts w:ascii="Times New Roman" w:hAnsi="Times New Roman"/>
          <w:lang w:val="en-AU"/>
        </w:rPr>
        <w:t>s a strong assumption, in particular because vessel operational characteristics such as hooks between floats appeared to be less variable earlier i</w:t>
      </w:r>
      <w:r w:rsidR="0034646F" w:rsidRPr="009C2ADD">
        <w:rPr>
          <w:rFonts w:ascii="Times New Roman" w:hAnsi="Times New Roman"/>
          <w:lang w:val="en-AU"/>
        </w:rPr>
        <w:t>n the data set. However, there wa</w:t>
      </w:r>
      <w:r w:rsidRPr="009C2ADD">
        <w:rPr>
          <w:rFonts w:ascii="Times New Roman" w:hAnsi="Times New Roman"/>
          <w:lang w:val="en-AU"/>
        </w:rPr>
        <w:t>s the potential to examine the performance of the approach through sim</w:t>
      </w:r>
      <w:r w:rsidR="0034646F" w:rsidRPr="009C2ADD">
        <w:rPr>
          <w:rFonts w:ascii="Times New Roman" w:hAnsi="Times New Roman"/>
          <w:lang w:val="en-AU"/>
        </w:rPr>
        <w:t>ulation, where these factors could</w:t>
      </w:r>
      <w:r w:rsidRPr="009C2ADD">
        <w:rPr>
          <w:rFonts w:ascii="Times New Roman" w:hAnsi="Times New Roman"/>
          <w:lang w:val="en-AU"/>
        </w:rPr>
        <w:t xml:space="preserve"> be defined and controlled. </w:t>
      </w:r>
    </w:p>
    <w:p w14:paraId="6FA4C953"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1A602A53" w14:textId="46D1EEC6" w:rsidR="005D2193"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method as is appeared to show promise, but there we</w:t>
      </w:r>
      <w:r w:rsidR="005D2193" w:rsidRPr="009C2ADD">
        <w:rPr>
          <w:rFonts w:ascii="Times New Roman" w:hAnsi="Times New Roman"/>
          <w:lang w:val="en-AU"/>
        </w:rPr>
        <w:t xml:space="preserve">re </w:t>
      </w:r>
      <w:r w:rsidR="009C18D7" w:rsidRPr="009C2ADD">
        <w:rPr>
          <w:rFonts w:ascii="Times New Roman" w:hAnsi="Times New Roman"/>
          <w:lang w:val="en-AU"/>
        </w:rPr>
        <w:t>several</w:t>
      </w:r>
      <w:r w:rsidR="005D2193" w:rsidRPr="009C2ADD">
        <w:rPr>
          <w:rFonts w:ascii="Times New Roman" w:hAnsi="Times New Roman"/>
          <w:lang w:val="en-AU"/>
        </w:rPr>
        <w:t xml:space="preserve"> aspects that need</w:t>
      </w:r>
      <w:r w:rsidRPr="009C2ADD">
        <w:rPr>
          <w:rFonts w:ascii="Times New Roman" w:hAnsi="Times New Roman"/>
          <w:lang w:val="en-AU"/>
        </w:rPr>
        <w:t>ed</w:t>
      </w:r>
      <w:r w:rsidR="005D2193" w:rsidRPr="009C2ADD">
        <w:rPr>
          <w:rFonts w:ascii="Times New Roman" w:hAnsi="Times New Roman"/>
          <w:lang w:val="en-AU"/>
        </w:rPr>
        <w:t xml:space="preserve"> to be </w:t>
      </w:r>
      <w:r w:rsidRPr="009C2ADD">
        <w:rPr>
          <w:rFonts w:ascii="Times New Roman" w:hAnsi="Times New Roman"/>
          <w:lang w:val="en-AU"/>
        </w:rPr>
        <w:t xml:space="preserve">further </w:t>
      </w:r>
      <w:r w:rsidR="005D2193" w:rsidRPr="009C2ADD">
        <w:rPr>
          <w:rFonts w:ascii="Times New Roman" w:hAnsi="Times New Roman"/>
          <w:lang w:val="en-AU"/>
        </w:rPr>
        <w:t xml:space="preserve">explored and could be optimized: </w:t>
      </w:r>
    </w:p>
    <w:p w14:paraId="764473B6" w14:textId="48801BC1" w:rsidR="005D2193" w:rsidRPr="009C2ADD" w:rsidRDefault="0034646F" w:rsidP="009C2ADD">
      <w:pPr>
        <w:pStyle w:val="WCPFC"/>
        <w:numPr>
          <w:ilvl w:val="1"/>
          <w:numId w:val="47"/>
        </w:numPr>
        <w:adjustRightInd w:val="0"/>
        <w:spacing w:after="0"/>
        <w:ind w:left="1080"/>
      </w:pPr>
      <w:r w:rsidRPr="009C2ADD">
        <w:t>Current validation had</w:t>
      </w:r>
      <w:r w:rsidR="005D2193" w:rsidRPr="009C2ADD">
        <w:t xml:space="preserve"> focused on mapping the estimated proxy effects against tru</w:t>
      </w:r>
      <w:r w:rsidRPr="009C2ADD">
        <w:t>e vessel effects and extrapolating</w:t>
      </w:r>
      <w:r w:rsidR="005D2193" w:rsidRPr="009C2ADD">
        <w:t xml:space="preserve"> from there to select an optimal vessel proxy number for the </w:t>
      </w:r>
      <w:r w:rsidRPr="009C2ADD">
        <w:t>prediction dataset. This assumed that the testing dataset wa</w:t>
      </w:r>
      <w:r w:rsidR="005D2193" w:rsidRPr="009C2ADD">
        <w:t>s representative of the prediction dataset in the way the operational covariates map</w:t>
      </w:r>
      <w:r w:rsidRPr="009C2ADD">
        <w:t>ped</w:t>
      </w:r>
      <w:r w:rsidR="005D2193" w:rsidRPr="009C2ADD">
        <w:t xml:space="preserve"> out to vessel effects, and also th</w:t>
      </w:r>
      <w:r w:rsidRPr="009C2ADD">
        <w:t>at the optimal cluster number was</w:t>
      </w:r>
      <w:r w:rsidR="005D2193" w:rsidRPr="009C2ADD">
        <w:t xml:space="preserve"> related to effort. </w:t>
      </w:r>
      <w:r w:rsidRPr="009C2ADD">
        <w:t xml:space="preserve">The </w:t>
      </w:r>
      <w:r w:rsidR="005D2193" w:rsidRPr="009C2ADD">
        <w:t>importance of the relative change in time in the value of cova</w:t>
      </w:r>
      <w:r w:rsidRPr="009C2ADD">
        <w:t>riates on standardized indices suggested that t</w:t>
      </w:r>
      <w:r w:rsidR="005D2193" w:rsidRPr="009C2ADD">
        <w:t xml:space="preserve">his aspect could also be explored as a way of assessing performance. </w:t>
      </w:r>
    </w:p>
    <w:p w14:paraId="3B180AD9" w14:textId="75B5982C" w:rsidR="005D2193" w:rsidRPr="009C2ADD" w:rsidRDefault="0034646F" w:rsidP="009C2ADD">
      <w:pPr>
        <w:pStyle w:val="WCPFC"/>
        <w:numPr>
          <w:ilvl w:val="1"/>
          <w:numId w:val="47"/>
        </w:numPr>
        <w:adjustRightInd w:val="0"/>
        <w:spacing w:after="0"/>
        <w:ind w:left="1080"/>
      </w:pPr>
      <w:r w:rsidRPr="009C2ADD">
        <w:t>G</w:t>
      </w:r>
      <w:r w:rsidR="005D2193" w:rsidRPr="009C2ADD">
        <w:t xml:space="preserve">iven the trend in lognormal proxy effects performing better than binomial ones, other error distributions that only require one effect, such as </w:t>
      </w:r>
      <w:r w:rsidRPr="009C2ADD">
        <w:t xml:space="preserve">the negative binomial, were worthy of </w:t>
      </w:r>
      <w:r w:rsidR="009C18D7" w:rsidRPr="009C2ADD">
        <w:t>further exploration</w:t>
      </w:r>
      <w:r w:rsidR="005D2193" w:rsidRPr="009C2ADD">
        <w:t xml:space="preserve">. </w:t>
      </w:r>
    </w:p>
    <w:p w14:paraId="2464F8E1" w14:textId="529BC0C0" w:rsidR="005D2193" w:rsidRPr="009C2ADD" w:rsidRDefault="005D2193" w:rsidP="009C2ADD">
      <w:pPr>
        <w:pStyle w:val="WCPFC"/>
        <w:numPr>
          <w:ilvl w:val="1"/>
          <w:numId w:val="47"/>
        </w:numPr>
        <w:adjustRightInd w:val="0"/>
        <w:spacing w:after="0"/>
        <w:ind w:left="1080"/>
      </w:pPr>
      <w:r w:rsidRPr="009C2ADD">
        <w:t xml:space="preserve">The inclusion of additional covariates should be considered, such as set start time, although some reconstruction work might </w:t>
      </w:r>
      <w:r w:rsidR="0034646F" w:rsidRPr="009C2ADD">
        <w:t xml:space="preserve">also </w:t>
      </w:r>
      <w:r w:rsidRPr="009C2ADD">
        <w:t>be needed. National scientists might also suggest other</w:t>
      </w:r>
      <w:r w:rsidR="0034646F" w:rsidRPr="009C2ADD">
        <w:t xml:space="preserve"> non-standard covariates which were available when vessel IDs we</w:t>
      </w:r>
      <w:r w:rsidRPr="009C2ADD">
        <w:t xml:space="preserve">re missing, and might give further information on vessel ID clusters. </w:t>
      </w:r>
    </w:p>
    <w:p w14:paraId="50ACA59B" w14:textId="3C3E6DD3" w:rsidR="005D2193" w:rsidRPr="009C2ADD" w:rsidRDefault="005D2193" w:rsidP="009C2ADD">
      <w:pPr>
        <w:pStyle w:val="WCPFC"/>
        <w:numPr>
          <w:ilvl w:val="1"/>
          <w:numId w:val="47"/>
        </w:numPr>
        <w:adjustRightInd w:val="0"/>
        <w:spacing w:after="0"/>
        <w:ind w:left="1080"/>
      </w:pPr>
      <w:r w:rsidRPr="009C2ADD">
        <w:t>The definiti</w:t>
      </w:r>
      <w:r w:rsidR="0034646F" w:rsidRPr="009C2ADD">
        <w:t>on for the testing dataset needed</w:t>
      </w:r>
      <w:r w:rsidRPr="009C2ADD">
        <w:t xml:space="preserve"> to be expanded, as in the current </w:t>
      </w:r>
      <w:proofErr w:type="gramStart"/>
      <w:r w:rsidRPr="009C2ADD">
        <w:t>case,</w:t>
      </w:r>
      <w:proofErr w:type="gramEnd"/>
      <w:r w:rsidRPr="009C2ADD">
        <w:t xml:space="preserve"> the Japanese core fleet became quite small in some regions such that it was unclear if the poor performance of the method was due to the method itself or the testing dataset being very variable. </w:t>
      </w:r>
    </w:p>
    <w:p w14:paraId="0A5A0B4C" w14:textId="42081CF5" w:rsidR="005D2193" w:rsidRPr="009C2ADD" w:rsidRDefault="005D2193" w:rsidP="009C2ADD">
      <w:pPr>
        <w:pStyle w:val="WCPFC"/>
        <w:numPr>
          <w:ilvl w:val="1"/>
          <w:numId w:val="47"/>
        </w:numPr>
        <w:adjustRightInd w:val="0"/>
        <w:spacing w:after="0"/>
        <w:ind w:left="1080"/>
      </w:pPr>
      <w:r w:rsidRPr="009C2ADD">
        <w:t>Performance was sensitive to the number of clusters assumed, in some instances in unpredictable ways. Given its potential influence, th</w:t>
      </w:r>
      <w:r w:rsidR="0034646F" w:rsidRPr="009C2ADD">
        <w:t>is part of the methodology needed</w:t>
      </w:r>
      <w:r w:rsidRPr="009C2ADD">
        <w:t xml:space="preserve"> to be refined as a priority. Hierarchical clustering might be a more practical appr</w:t>
      </w:r>
      <w:r w:rsidR="0034646F" w:rsidRPr="009C2ADD">
        <w:t>oach as the algorithm only needed</w:t>
      </w:r>
      <w:r w:rsidRPr="009C2ADD">
        <w:t xml:space="preserve"> to be run once to generate a range of cluster numbers. Supervised classification methods should also be explored. </w:t>
      </w:r>
    </w:p>
    <w:p w14:paraId="4C4BACA8" w14:textId="77777777" w:rsidR="008E0FAE" w:rsidRPr="009C2ADD" w:rsidRDefault="008E0FAE" w:rsidP="009C2ADD">
      <w:pPr>
        <w:pStyle w:val="WCPFC"/>
        <w:numPr>
          <w:ilvl w:val="0"/>
          <w:numId w:val="0"/>
        </w:numPr>
        <w:adjustRightInd w:val="0"/>
        <w:spacing w:after="0"/>
        <w:ind w:left="1080"/>
      </w:pPr>
    </w:p>
    <w:p w14:paraId="3B7009DF" w14:textId="654ABF32"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Overall, </w:t>
      </w:r>
      <w:r w:rsidR="0034646F" w:rsidRPr="009C2ADD">
        <w:rPr>
          <w:rFonts w:ascii="Times New Roman" w:hAnsi="Times New Roman"/>
          <w:lang w:val="en-AU"/>
        </w:rPr>
        <w:t xml:space="preserve">it was suggested that </w:t>
      </w:r>
      <w:r w:rsidRPr="009C2ADD">
        <w:rPr>
          <w:rFonts w:ascii="Times New Roman" w:hAnsi="Times New Roman"/>
          <w:lang w:val="en-AU"/>
        </w:rPr>
        <w:t xml:space="preserve">additional investigation could improve performance, and would greatly benefit from collaboration with other national agencies with better intrinsic understanding of the drivers of fleet performance across the region. </w:t>
      </w:r>
    </w:p>
    <w:p w14:paraId="7CD50005" w14:textId="15053425" w:rsidR="008E0FAE" w:rsidRPr="009C2ADD" w:rsidRDefault="008E0FAE" w:rsidP="009C2ADD">
      <w:pPr>
        <w:autoSpaceDE w:val="0"/>
        <w:autoSpaceDN w:val="0"/>
        <w:adjustRightInd w:val="0"/>
        <w:snapToGrid w:val="0"/>
        <w:spacing w:after="0"/>
        <w:rPr>
          <w:rFonts w:ascii="Times New Roman" w:hAnsi="Times New Roman"/>
          <w:lang w:val="en-AU"/>
        </w:rPr>
      </w:pPr>
    </w:p>
    <w:p w14:paraId="126EAB57" w14:textId="3F333019" w:rsidR="008E0FAE" w:rsidRPr="009C2ADD" w:rsidRDefault="008E0FA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authors invited SC13 to:</w:t>
      </w:r>
    </w:p>
    <w:p w14:paraId="72B8B5F7" w14:textId="33D2D3F8" w:rsidR="005D2193" w:rsidRPr="009C2ADD" w:rsidRDefault="005D2193" w:rsidP="009C2ADD">
      <w:pPr>
        <w:pStyle w:val="WCPFC"/>
        <w:numPr>
          <w:ilvl w:val="2"/>
          <w:numId w:val="48"/>
        </w:numPr>
        <w:adjustRightInd w:val="0"/>
        <w:spacing w:after="0"/>
        <w:ind w:left="1080" w:hanging="360"/>
      </w:pPr>
      <w:r w:rsidRPr="009C2ADD">
        <w:t xml:space="preserve">discuss the approach used here, the areas of potential development, and its potential for future stock assessments within the WCPO; </w:t>
      </w:r>
    </w:p>
    <w:p w14:paraId="3329C8FB" w14:textId="46447183" w:rsidR="005D2193" w:rsidRPr="009C2ADD" w:rsidRDefault="005D2193" w:rsidP="009C2ADD">
      <w:pPr>
        <w:pStyle w:val="WCPFC"/>
        <w:numPr>
          <w:ilvl w:val="2"/>
          <w:numId w:val="48"/>
        </w:numPr>
        <w:adjustRightInd w:val="0"/>
        <w:spacing w:after="0"/>
        <w:ind w:left="1080" w:hanging="360"/>
      </w:pPr>
      <w:r w:rsidRPr="009C2ADD">
        <w:t xml:space="preserve">note the importance of vessel and gear information as inputs into CPUE standardisation; </w:t>
      </w:r>
    </w:p>
    <w:p w14:paraId="65100F96" w14:textId="4AC381AF" w:rsidR="005D2193" w:rsidRPr="009C2ADD" w:rsidRDefault="005D2193" w:rsidP="009C2ADD">
      <w:pPr>
        <w:pStyle w:val="WCPFC"/>
        <w:numPr>
          <w:ilvl w:val="2"/>
          <w:numId w:val="48"/>
        </w:numPr>
        <w:adjustRightInd w:val="0"/>
        <w:spacing w:after="0"/>
        <w:ind w:left="1080" w:hanging="360"/>
      </w:pPr>
      <w:proofErr w:type="gramStart"/>
      <w:r w:rsidRPr="009C2ADD">
        <w:t>discuss</w:t>
      </w:r>
      <w:proofErr w:type="gramEnd"/>
      <w:r w:rsidRPr="009C2ADD">
        <w:t xml:space="preserve"> collaborative work between the scientific services provider and national scientists to enhance the analyses.</w:t>
      </w:r>
    </w:p>
    <w:p w14:paraId="0F8F4885" w14:textId="77777777" w:rsidR="008E0FAE" w:rsidRDefault="008E0FAE" w:rsidP="0070772D">
      <w:pPr>
        <w:pStyle w:val="WCPFC"/>
        <w:numPr>
          <w:ilvl w:val="0"/>
          <w:numId w:val="0"/>
        </w:numPr>
        <w:adjustRightInd w:val="0"/>
        <w:spacing w:after="0"/>
        <w:rPr>
          <w:lang w:eastAsia="ko-KR"/>
        </w:rPr>
      </w:pPr>
    </w:p>
    <w:p w14:paraId="5C6AFB5C" w14:textId="3883632B" w:rsidR="00D71FD5" w:rsidRPr="0070772D" w:rsidRDefault="00D71FD5" w:rsidP="0070772D">
      <w:pPr>
        <w:pStyle w:val="WCPFC"/>
        <w:numPr>
          <w:ilvl w:val="0"/>
          <w:numId w:val="0"/>
        </w:numPr>
        <w:adjustRightInd w:val="0"/>
        <w:spacing w:after="0"/>
        <w:rPr>
          <w:b/>
          <w:lang w:eastAsia="ko-KR"/>
        </w:rPr>
      </w:pPr>
      <w:r w:rsidRPr="0070772D">
        <w:rPr>
          <w:b/>
          <w:lang w:eastAsia="ko-KR"/>
        </w:rPr>
        <w:t>Discussion</w:t>
      </w:r>
    </w:p>
    <w:p w14:paraId="0F39D3EA" w14:textId="77777777" w:rsidR="00D71FD5" w:rsidRPr="009C2ADD" w:rsidRDefault="00D71FD5" w:rsidP="0070772D">
      <w:pPr>
        <w:pStyle w:val="WCPFC"/>
        <w:numPr>
          <w:ilvl w:val="0"/>
          <w:numId w:val="0"/>
        </w:numPr>
        <w:adjustRightInd w:val="0"/>
        <w:spacing w:after="0"/>
        <w:rPr>
          <w:lang w:eastAsia="ko-KR"/>
        </w:rPr>
      </w:pPr>
    </w:p>
    <w:p w14:paraId="3432D57E" w14:textId="77777777" w:rsidR="005D2193" w:rsidRPr="009C2ADD" w:rsidRDefault="00B81E3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w:t>
      </w:r>
      <w:r w:rsidR="005D2193" w:rsidRPr="009C2ADD">
        <w:rPr>
          <w:rFonts w:ascii="Times New Roman" w:hAnsi="Times New Roman"/>
          <w:lang w:val="en-AU"/>
        </w:rPr>
        <w:t xml:space="preserve"> commented that they had started compiling information on vessel ID and hoped to report on this in the future.</w:t>
      </w:r>
    </w:p>
    <w:p w14:paraId="06DDE239"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1D35211C" w14:textId="7F95BFF2" w:rsidR="005D2193"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noted that if a given vessel displayed significant variation for the explanatory variables used to construct the proxies, they were unlikely to be useful. L</w:t>
      </w:r>
      <w:r w:rsidR="006233F1">
        <w:rPr>
          <w:rFonts w:ascii="Times New Roman" w:hAnsi="Times New Roman" w:hint="eastAsia"/>
          <w:lang w:val="en-AU" w:eastAsia="ko-KR"/>
        </w:rPr>
        <w:t>.</w:t>
      </w:r>
      <w:r w:rsidRPr="009C2ADD">
        <w:rPr>
          <w:rFonts w:ascii="Times New Roman" w:hAnsi="Times New Roman"/>
          <w:lang w:val="en-AU"/>
        </w:rPr>
        <w:t xml:space="preserve"> Tremblay-Boyer agreed, noting that each vessel tended to be assigned to more than one proxy variable, and that many had consistent patterns in their operational features such as the number of hooks in the set and the fishing grounds where they operate.  She did note however that there were differences between regions and fleet types.</w:t>
      </w:r>
    </w:p>
    <w:p w14:paraId="6B12B49D"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1A43FCF3" w14:textId="2EF19E80" w:rsidR="005A4895" w:rsidRPr="009C2ADD" w:rsidRDefault="005D219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Indonesia asked whether vessel proxies would be used even if vessel ID was available and why the effect of vessel ID for CPUE was significantly different in area 5 to other areas. L</w:t>
      </w:r>
      <w:r w:rsidR="006233F1">
        <w:rPr>
          <w:rFonts w:ascii="Times New Roman" w:hAnsi="Times New Roman" w:hint="eastAsia"/>
          <w:lang w:val="en-AU" w:eastAsia="ko-KR"/>
        </w:rPr>
        <w:t>.</w:t>
      </w:r>
      <w:r w:rsidRPr="009C2ADD">
        <w:rPr>
          <w:rFonts w:ascii="Times New Roman" w:hAnsi="Times New Roman"/>
          <w:lang w:val="en-AU"/>
        </w:rPr>
        <w:t xml:space="preserve"> Tremblay-Boyer responded that if Japan were able to provide the vessel ID variable, the use of this variable would be preferable over vessel proxies. It was also noted that the seasonality of the fisheries fo</w:t>
      </w:r>
      <w:r w:rsidR="0034646F" w:rsidRPr="009C2ADD">
        <w:rPr>
          <w:rFonts w:ascii="Times New Roman" w:hAnsi="Times New Roman"/>
          <w:lang w:val="en-AU"/>
        </w:rPr>
        <w:t>r both bigeye and yellowfin in R</w:t>
      </w:r>
      <w:r w:rsidRPr="009C2ADD">
        <w:rPr>
          <w:rFonts w:ascii="Times New Roman" w:hAnsi="Times New Roman"/>
          <w:lang w:val="en-AU"/>
        </w:rPr>
        <w:t>egion 5 tended to generate variable indices when vessel effects were included in the standardization.</w:t>
      </w:r>
      <w:r w:rsidR="009C18D7" w:rsidRPr="009C2ADD">
        <w:rPr>
          <w:rFonts w:ascii="Times New Roman" w:hAnsi="Times New Roman"/>
          <w:lang w:val="en-AU"/>
        </w:rPr>
        <w:t xml:space="preserve"> </w:t>
      </w:r>
    </w:p>
    <w:p w14:paraId="0F48FCB9" w14:textId="77777777" w:rsidR="008E0FAE" w:rsidRPr="009C2ADD" w:rsidRDefault="008E0FAE" w:rsidP="009C2ADD">
      <w:pPr>
        <w:pStyle w:val="ListParagraph"/>
        <w:adjustRightInd w:val="0"/>
        <w:snapToGrid w:val="0"/>
        <w:contextualSpacing w:val="0"/>
        <w:rPr>
          <w:rFonts w:ascii="Times New Roman" w:hAnsi="Times New Roman"/>
          <w:lang w:val="en-AU"/>
        </w:rPr>
      </w:pPr>
    </w:p>
    <w:p w14:paraId="3D4BBE95" w14:textId="065A6A72" w:rsidR="00484240" w:rsidRPr="009C2ADD" w:rsidRDefault="00D7417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D71FD5">
        <w:rPr>
          <w:rFonts w:ascii="Times New Roman" w:hAnsi="Times New Roman" w:hint="eastAsia"/>
          <w:lang w:val="en-AU" w:eastAsia="ko-KR"/>
        </w:rPr>
        <w:t>.</w:t>
      </w:r>
      <w:r w:rsidRPr="009C2ADD">
        <w:rPr>
          <w:rFonts w:ascii="Times New Roman" w:hAnsi="Times New Roman"/>
          <w:lang w:val="en-AU"/>
        </w:rPr>
        <w:t xml:space="preserve"> McKechnie (SPC) presented</w:t>
      </w:r>
      <w:r w:rsidR="00484240" w:rsidRPr="009C2ADD">
        <w:rPr>
          <w:rFonts w:ascii="Times New Roman" w:hAnsi="Times New Roman"/>
          <w:lang w:val="en-AU"/>
        </w:rPr>
        <w:t xml:space="preserve"> </w:t>
      </w:r>
      <w:r w:rsidR="00484240" w:rsidRPr="009C2ADD">
        <w:rPr>
          <w:rFonts w:ascii="Times New Roman" w:hAnsi="Times New Roman"/>
          <w:b/>
          <w:lang w:val="en-AU"/>
        </w:rPr>
        <w:t>SC-13-SA-WP-05</w:t>
      </w:r>
      <w:r w:rsidR="00484240" w:rsidRPr="009C2ADD">
        <w:rPr>
          <w:rFonts w:ascii="Times New Roman" w:hAnsi="Times New Roman"/>
          <w:lang w:val="en-AU"/>
        </w:rPr>
        <w:t xml:space="preserve"> </w:t>
      </w:r>
      <w:r w:rsidR="00484240" w:rsidRPr="009C2ADD">
        <w:rPr>
          <w:rFonts w:ascii="Times New Roman" w:hAnsi="Times New Roman"/>
          <w:i/>
          <w:lang w:val="en-AU"/>
        </w:rPr>
        <w:t>Stock assessment of bigeye tuna in the western and central Pacific Ocean</w:t>
      </w:r>
      <w:r w:rsidR="00484240" w:rsidRPr="009C2ADD">
        <w:rPr>
          <w:rFonts w:ascii="Times New Roman" w:hAnsi="Times New Roman"/>
          <w:lang w:val="en-AU"/>
        </w:rPr>
        <w:t>. This paper described the 2017 stock assessment of bigeye tuna (</w:t>
      </w:r>
      <w:r w:rsidR="00484240" w:rsidRPr="00464B7F">
        <w:rPr>
          <w:rFonts w:ascii="Times New Roman" w:hAnsi="Times New Roman"/>
          <w:i/>
          <w:lang w:val="en-AU"/>
        </w:rPr>
        <w:t>Thunnus obesus</w:t>
      </w:r>
      <w:r w:rsidR="00484240" w:rsidRPr="009C2ADD">
        <w:rPr>
          <w:rFonts w:ascii="Times New Roman" w:hAnsi="Times New Roman"/>
          <w:lang w:val="en-AU"/>
        </w:rPr>
        <w:t>) in the western and central Pacif</w:t>
      </w:r>
      <w:r w:rsidRPr="009C2ADD">
        <w:rPr>
          <w:rFonts w:ascii="Times New Roman" w:hAnsi="Times New Roman"/>
          <w:lang w:val="en-AU"/>
        </w:rPr>
        <w:t>ic Ocean. A further three years</w:t>
      </w:r>
      <w:r w:rsidR="0034646F" w:rsidRPr="009C2ADD">
        <w:rPr>
          <w:rFonts w:ascii="Times New Roman" w:hAnsi="Times New Roman"/>
          <w:lang w:val="en-AU"/>
        </w:rPr>
        <w:t xml:space="preserve"> of </w:t>
      </w:r>
      <w:r w:rsidR="00484240" w:rsidRPr="009C2ADD">
        <w:rPr>
          <w:rFonts w:ascii="Times New Roman" w:hAnsi="Times New Roman"/>
          <w:lang w:val="en-AU"/>
        </w:rPr>
        <w:t>data were available since the last stock assessment was conducted in 2014, and the mo</w:t>
      </w:r>
      <w:r w:rsidR="0034646F" w:rsidRPr="009C2ADD">
        <w:rPr>
          <w:rFonts w:ascii="Times New Roman" w:hAnsi="Times New Roman"/>
          <w:lang w:val="en-AU"/>
        </w:rPr>
        <w:t>del time period extended</w:t>
      </w:r>
      <w:r w:rsidR="00484240" w:rsidRPr="009C2ADD">
        <w:rPr>
          <w:rFonts w:ascii="Times New Roman" w:hAnsi="Times New Roman"/>
          <w:lang w:val="en-AU"/>
        </w:rPr>
        <w:t xml:space="preserve"> to the end of 2015. New developments </w:t>
      </w:r>
      <w:r w:rsidR="0034646F" w:rsidRPr="009C2ADD">
        <w:rPr>
          <w:rFonts w:ascii="Times New Roman" w:hAnsi="Times New Roman"/>
          <w:lang w:val="en-AU"/>
        </w:rPr>
        <w:t xml:space="preserve">to the stock assessment included </w:t>
      </w:r>
      <w:r w:rsidR="00484240" w:rsidRPr="009C2ADD">
        <w:rPr>
          <w:rFonts w:ascii="Times New Roman" w:hAnsi="Times New Roman"/>
          <w:lang w:val="en-AU"/>
        </w:rPr>
        <w:t>addressing the recommendations of the 2014 stock assessment report (Harley et al. 2014), incorporation of new data such as a recent ageing of otoliths to estimate age-at-length for WCPO fish, investigation of an alternative regional structure, exploration of uncertainties in the assessment model, particularly in response to the inclusion of additio</w:t>
      </w:r>
      <w:r w:rsidR="0034646F" w:rsidRPr="009C2ADD">
        <w:rPr>
          <w:rFonts w:ascii="Times New Roman" w:hAnsi="Times New Roman"/>
          <w:lang w:val="en-AU"/>
        </w:rPr>
        <w:t xml:space="preserve">nal years of data, and improvement of </w:t>
      </w:r>
      <w:r w:rsidR="00484240" w:rsidRPr="009C2ADD">
        <w:rPr>
          <w:rFonts w:ascii="Times New Roman" w:hAnsi="Times New Roman"/>
          <w:lang w:val="en-AU"/>
        </w:rPr>
        <w:t>diagnostic weaknesses of previous assessments. This assessment was supported by the analysis of recently collected biological data (Farley et al. 2017, McKechnie et al. 2017), catch-per-unit-effort data for longline fisheries (Tremblay-Boyer et al. 2017), tagging data (McKechnie et al. 2017) and the data summaries for fisheries definitions used in the stock assessment (McKechnie et al. 2017).</w:t>
      </w:r>
    </w:p>
    <w:p w14:paraId="7E140D6F" w14:textId="77777777" w:rsidR="008E0FAE" w:rsidRPr="009C2ADD" w:rsidRDefault="008E0FAE" w:rsidP="009C2ADD">
      <w:pPr>
        <w:autoSpaceDE w:val="0"/>
        <w:autoSpaceDN w:val="0"/>
        <w:adjustRightInd w:val="0"/>
        <w:snapToGrid w:val="0"/>
        <w:spacing w:after="0"/>
        <w:rPr>
          <w:rFonts w:ascii="Times New Roman" w:hAnsi="Times New Roman"/>
          <w:lang w:val="en-AU"/>
        </w:rPr>
      </w:pPr>
    </w:p>
    <w:p w14:paraId="1DDB3ED6" w14:textId="77777777"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Changes made in the progression from the 2014 reference case to 2017 diagnostic case models include</w:t>
      </w:r>
      <w:r w:rsidR="0034646F" w:rsidRPr="009C2ADD">
        <w:rPr>
          <w:rFonts w:ascii="Times New Roman" w:hAnsi="Times New Roman"/>
          <w:lang w:val="en-AU"/>
        </w:rPr>
        <w:t>d</w:t>
      </w:r>
      <w:r w:rsidRPr="009C2ADD">
        <w:rPr>
          <w:rFonts w:ascii="Times New Roman" w:hAnsi="Times New Roman"/>
          <w:lang w:val="en-AU"/>
        </w:rPr>
        <w:t>:</w:t>
      </w:r>
    </w:p>
    <w:p w14:paraId="7F065003" w14:textId="77777777" w:rsidR="00484240" w:rsidRPr="009C2ADD" w:rsidRDefault="00484240" w:rsidP="009C2ADD">
      <w:pPr>
        <w:pStyle w:val="WCPFC"/>
        <w:numPr>
          <w:ilvl w:val="0"/>
          <w:numId w:val="4"/>
        </w:numPr>
        <w:adjustRightInd w:val="0"/>
        <w:spacing w:after="0"/>
        <w:ind w:left="1080" w:hanging="357"/>
      </w:pPr>
      <w:r w:rsidRPr="009C2ADD">
        <w:t>Updating all data up to the end of 2015.</w:t>
      </w:r>
    </w:p>
    <w:p w14:paraId="30386CBD" w14:textId="77777777" w:rsidR="00484240" w:rsidRPr="009C2ADD" w:rsidRDefault="0034646F" w:rsidP="009C2ADD">
      <w:pPr>
        <w:pStyle w:val="WCPFC"/>
        <w:numPr>
          <w:ilvl w:val="0"/>
          <w:numId w:val="4"/>
        </w:numPr>
        <w:adjustRightInd w:val="0"/>
        <w:spacing w:after="0"/>
        <w:ind w:left="1080" w:hanging="357"/>
      </w:pPr>
      <w:r w:rsidRPr="009C2ADD">
        <w:t>Utiliz</w:t>
      </w:r>
      <w:r w:rsidR="00484240" w:rsidRPr="009C2ADD">
        <w:t>ing</w:t>
      </w:r>
      <w:r w:rsidRPr="009C2ADD">
        <w:t xml:space="preserve"> standardiz</w:t>
      </w:r>
      <w:r w:rsidR="00484240" w:rsidRPr="009C2ADD">
        <w:t>ed CPUE indices calculated from the recently collated operational longline CPUE dataset.</w:t>
      </w:r>
    </w:p>
    <w:p w14:paraId="7FB06CFE" w14:textId="77777777" w:rsidR="00484240" w:rsidRPr="009C2ADD" w:rsidRDefault="00484240" w:rsidP="009C2ADD">
      <w:pPr>
        <w:pStyle w:val="WCPFC"/>
        <w:numPr>
          <w:ilvl w:val="0"/>
          <w:numId w:val="4"/>
        </w:numPr>
        <w:adjustRightInd w:val="0"/>
        <w:spacing w:after="0"/>
        <w:ind w:left="1080" w:hanging="357"/>
      </w:pPr>
      <w:r w:rsidRPr="009C2ADD">
        <w:t>Investigating an alternative spatial structure with the boundaries between the tropical and northern temperate regions shifted from 20</w:t>
      </w:r>
      <w:r w:rsidRPr="009C2ADD">
        <w:rPr>
          <w:vertAlign w:val="superscript"/>
        </w:rPr>
        <w:t>0</w:t>
      </w:r>
      <w:r w:rsidRPr="009C2ADD">
        <w:t>N to 10</w:t>
      </w:r>
      <w:r w:rsidRPr="009C2ADD">
        <w:rPr>
          <w:vertAlign w:val="superscript"/>
        </w:rPr>
        <w:t>0</w:t>
      </w:r>
      <w:r w:rsidRPr="009C2ADD">
        <w:t>N.</w:t>
      </w:r>
    </w:p>
    <w:p w14:paraId="2E52406A" w14:textId="77777777" w:rsidR="00484240" w:rsidRPr="009C2ADD" w:rsidRDefault="00484240" w:rsidP="009C2ADD">
      <w:pPr>
        <w:pStyle w:val="WCPFC"/>
        <w:numPr>
          <w:ilvl w:val="0"/>
          <w:numId w:val="4"/>
        </w:numPr>
        <w:adjustRightInd w:val="0"/>
        <w:spacing w:after="0"/>
        <w:ind w:left="1080" w:hanging="357"/>
      </w:pPr>
      <w:r w:rsidRPr="009C2ADD">
        <w:t xml:space="preserve">Investigating the use of a new growth curve based on the recently processed otoliths of Farley </w:t>
      </w:r>
      <w:r w:rsidRPr="009C2ADD">
        <w:rPr>
          <w:i/>
        </w:rPr>
        <w:t>et al</w:t>
      </w:r>
      <w:r w:rsidRPr="009C2ADD">
        <w:t>. (2017), which suggest</w:t>
      </w:r>
      <w:r w:rsidR="0034646F" w:rsidRPr="009C2ADD">
        <w:t>ed</w:t>
      </w:r>
      <w:r w:rsidRPr="009C2ADD">
        <w:t xml:space="preserve"> a much lower asymptotic size for old fish.</w:t>
      </w:r>
    </w:p>
    <w:p w14:paraId="247DEAF7" w14:textId="55B25800" w:rsidR="00484240" w:rsidRPr="009C2ADD" w:rsidRDefault="00484240" w:rsidP="009C2ADD">
      <w:pPr>
        <w:pStyle w:val="WCPFC"/>
        <w:numPr>
          <w:ilvl w:val="0"/>
          <w:numId w:val="4"/>
        </w:numPr>
        <w:adjustRightInd w:val="0"/>
        <w:spacing w:after="0"/>
        <w:ind w:left="1080" w:hanging="357"/>
      </w:pPr>
      <w:r w:rsidRPr="009C2ADD">
        <w:t xml:space="preserve">Implementation of new features developed in </w:t>
      </w:r>
      <w:r w:rsidR="006233F1" w:rsidRPr="009C2ADD">
        <w:t>MULTIFAN-CL</w:t>
      </w:r>
      <w:r w:rsidRPr="009C2ADD">
        <w:t>, including an annual stock recruitment relationship.</w:t>
      </w:r>
    </w:p>
    <w:p w14:paraId="7BB3FAEF" w14:textId="77777777" w:rsidR="003123E3" w:rsidRPr="009C2ADD" w:rsidRDefault="003123E3" w:rsidP="009C2ADD">
      <w:pPr>
        <w:pStyle w:val="WCPFC"/>
        <w:numPr>
          <w:ilvl w:val="0"/>
          <w:numId w:val="0"/>
        </w:numPr>
        <w:adjustRightInd w:val="0"/>
        <w:spacing w:after="0"/>
        <w:ind w:left="1080"/>
      </w:pPr>
    </w:p>
    <w:p w14:paraId="0DABD203" w14:textId="765A10C1"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addition </w:t>
      </w:r>
      <w:r w:rsidR="0034646F" w:rsidRPr="009C2ADD">
        <w:rPr>
          <w:rFonts w:ascii="Times New Roman" w:hAnsi="Times New Roman"/>
          <w:lang w:val="en-AU"/>
        </w:rPr>
        <w:t xml:space="preserve">to the diagnostic case model, the authors </w:t>
      </w:r>
      <w:r w:rsidRPr="009C2ADD">
        <w:rPr>
          <w:rFonts w:ascii="Times New Roman" w:hAnsi="Times New Roman"/>
          <w:lang w:val="en-AU"/>
        </w:rPr>
        <w:t>report</w:t>
      </w:r>
      <w:r w:rsidR="0034646F" w:rsidRPr="009C2ADD">
        <w:rPr>
          <w:rFonts w:ascii="Times New Roman" w:hAnsi="Times New Roman"/>
          <w:lang w:val="en-AU"/>
        </w:rPr>
        <w:t xml:space="preserve">ed on </w:t>
      </w:r>
      <w:r w:rsidRPr="009C2ADD">
        <w:rPr>
          <w:rFonts w:ascii="Times New Roman" w:hAnsi="Times New Roman"/>
          <w:lang w:val="en-AU"/>
        </w:rPr>
        <w:t xml:space="preserve">the results of one-off sensitivity models </w:t>
      </w:r>
      <w:r w:rsidR="0034646F" w:rsidRPr="009C2ADD">
        <w:rPr>
          <w:rFonts w:ascii="Times New Roman" w:hAnsi="Times New Roman"/>
          <w:lang w:val="en-AU"/>
        </w:rPr>
        <w:t xml:space="preserve">that </w:t>
      </w:r>
      <w:r w:rsidRPr="009C2ADD">
        <w:rPr>
          <w:rFonts w:ascii="Times New Roman" w:hAnsi="Times New Roman"/>
          <w:lang w:val="en-AU"/>
        </w:rPr>
        <w:t>explore</w:t>
      </w:r>
      <w:r w:rsidR="0034646F" w:rsidRPr="009C2ADD">
        <w:rPr>
          <w:rFonts w:ascii="Times New Roman" w:hAnsi="Times New Roman"/>
          <w:lang w:val="en-AU"/>
        </w:rPr>
        <w:t>d</w:t>
      </w:r>
      <w:r w:rsidRPr="009C2ADD">
        <w:rPr>
          <w:rFonts w:ascii="Times New Roman" w:hAnsi="Times New Roman"/>
          <w:lang w:val="en-AU"/>
        </w:rPr>
        <w:t xml:space="preserve"> the relative impacts of key data and model assumptions for the diagnostic case model on the stock assess</w:t>
      </w:r>
      <w:r w:rsidR="0034646F" w:rsidRPr="009C2ADD">
        <w:rPr>
          <w:rFonts w:ascii="Times New Roman" w:hAnsi="Times New Roman"/>
          <w:lang w:val="en-AU"/>
        </w:rPr>
        <w:t xml:space="preserve">ment results and conclusions. They </w:t>
      </w:r>
      <w:r w:rsidRPr="009C2ADD">
        <w:rPr>
          <w:rFonts w:ascii="Times New Roman" w:hAnsi="Times New Roman"/>
          <w:lang w:val="en-AU"/>
        </w:rPr>
        <w:t>also undertook a structural uncertainty analysis (model grid) for consideration in developing management advice where all possible combinations of the most important axes of uncertainty from the one-off models were included. In comparison to previous asses</w:t>
      </w:r>
      <w:r w:rsidR="0034646F" w:rsidRPr="009C2ADD">
        <w:rPr>
          <w:rFonts w:ascii="Times New Roman" w:hAnsi="Times New Roman"/>
          <w:lang w:val="en-AU"/>
        </w:rPr>
        <w:t>sments, little emphasis wa</w:t>
      </w:r>
      <w:r w:rsidRPr="009C2ADD">
        <w:rPr>
          <w:rFonts w:ascii="Times New Roman" w:hAnsi="Times New Roman"/>
          <w:lang w:val="en-AU"/>
        </w:rPr>
        <w:t>s placed on the dia</w:t>
      </w:r>
      <w:r w:rsidR="0034646F" w:rsidRPr="009C2ADD">
        <w:rPr>
          <w:rFonts w:ascii="Times New Roman" w:hAnsi="Times New Roman"/>
          <w:lang w:val="en-AU"/>
        </w:rPr>
        <w:t>gnostic case model. Instead it wa</w:t>
      </w:r>
      <w:r w:rsidRPr="009C2ADD">
        <w:rPr>
          <w:rFonts w:ascii="Times New Roman" w:hAnsi="Times New Roman"/>
          <w:lang w:val="en-AU"/>
        </w:rPr>
        <w:t>s reco</w:t>
      </w:r>
      <w:r w:rsidR="0034646F" w:rsidRPr="009C2ADD">
        <w:rPr>
          <w:rFonts w:ascii="Times New Roman" w:hAnsi="Times New Roman"/>
          <w:lang w:val="en-AU"/>
        </w:rPr>
        <w:t xml:space="preserve">mmended that management advice </w:t>
      </w:r>
      <w:r w:rsidR="006C57DF">
        <w:rPr>
          <w:rFonts w:ascii="Times New Roman" w:hAnsi="Times New Roman" w:hint="eastAsia"/>
          <w:lang w:val="en-AU" w:eastAsia="ko-KR"/>
        </w:rPr>
        <w:t>be</w:t>
      </w:r>
      <w:r w:rsidR="006C57DF" w:rsidRPr="009C2ADD">
        <w:rPr>
          <w:rFonts w:ascii="Times New Roman" w:hAnsi="Times New Roman"/>
          <w:lang w:val="en-AU"/>
        </w:rPr>
        <w:t xml:space="preserve"> </w:t>
      </w:r>
      <w:r w:rsidRPr="009C2ADD">
        <w:rPr>
          <w:rFonts w:ascii="Times New Roman" w:hAnsi="Times New Roman"/>
          <w:lang w:val="en-AU"/>
        </w:rPr>
        <w:t>formulated from the results of the structural uncertainty grid.</w:t>
      </w:r>
    </w:p>
    <w:p w14:paraId="42AE8BF3" w14:textId="77777777" w:rsidR="003123E3" w:rsidRPr="009C2ADD" w:rsidRDefault="003123E3" w:rsidP="009C2ADD">
      <w:pPr>
        <w:autoSpaceDE w:val="0"/>
        <w:autoSpaceDN w:val="0"/>
        <w:adjustRightInd w:val="0"/>
        <w:snapToGrid w:val="0"/>
        <w:spacing w:after="0"/>
        <w:rPr>
          <w:rFonts w:ascii="Times New Roman" w:hAnsi="Times New Roman"/>
          <w:lang w:val="en-AU"/>
        </w:rPr>
      </w:pPr>
    </w:p>
    <w:p w14:paraId="13A46D1F" w14:textId="77777777"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Across the range of models run in this assessment, the most important factors with respect to estimates of stock status were the choice of the new (lower asymptotic size) versus old (higher asymptotic size) growth curves. The former estimated considerably more optimistic results than the latter, and this was also the case when compared to the results of the 2014 assessment. The second key axis explored in the structural uncertainty grid was whether the 2014 or 2017 regional structures were assumed. Again, the latter estimated significantly more optimistic stock status (though the effect of this assumption was less than for growth). The models assuming the 2017 regions essentially assign</w:t>
      </w:r>
      <w:r w:rsidR="0034646F" w:rsidRPr="009C2ADD">
        <w:rPr>
          <w:rFonts w:ascii="Times New Roman" w:hAnsi="Times New Roman"/>
          <w:lang w:val="en-AU"/>
        </w:rPr>
        <w:t>ed</w:t>
      </w:r>
      <w:r w:rsidRPr="009C2ADD">
        <w:rPr>
          <w:rFonts w:ascii="Times New Roman" w:hAnsi="Times New Roman"/>
          <w:lang w:val="en-AU"/>
        </w:rPr>
        <w:t xml:space="preserve"> more of the stock to the less exploited temperate regions from the highly exploited equatorial r</w:t>
      </w:r>
      <w:r w:rsidR="0034646F" w:rsidRPr="009C2ADD">
        <w:rPr>
          <w:rFonts w:ascii="Times New Roman" w:hAnsi="Times New Roman"/>
          <w:lang w:val="en-AU"/>
        </w:rPr>
        <w:t>egions where fishing depletion wa</w:t>
      </w:r>
      <w:r w:rsidRPr="009C2ADD">
        <w:rPr>
          <w:rFonts w:ascii="Times New Roman" w:hAnsi="Times New Roman"/>
          <w:lang w:val="en-AU"/>
        </w:rPr>
        <w:t>s estimated to be higher.</w:t>
      </w:r>
    </w:p>
    <w:p w14:paraId="37D331EB"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6AA86AF6" w14:textId="1845EB68" w:rsidR="003123E3"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Based on these results, the main conclus</w:t>
      </w:r>
      <w:r w:rsidR="0034646F" w:rsidRPr="009C2ADD">
        <w:rPr>
          <w:rFonts w:ascii="Times New Roman" w:hAnsi="Times New Roman"/>
          <w:lang w:val="en-AU"/>
        </w:rPr>
        <w:t>ions of the current assessment we</w:t>
      </w:r>
      <w:r w:rsidRPr="009C2ADD">
        <w:rPr>
          <w:rFonts w:ascii="Times New Roman" w:hAnsi="Times New Roman"/>
          <w:lang w:val="en-AU"/>
        </w:rPr>
        <w:t>re more difficult to construct than in previous bigeye assessme</w:t>
      </w:r>
      <w:r w:rsidR="0034646F" w:rsidRPr="009C2ADD">
        <w:rPr>
          <w:rFonts w:ascii="Times New Roman" w:hAnsi="Times New Roman"/>
          <w:lang w:val="en-AU"/>
        </w:rPr>
        <w:t xml:space="preserve">nts. The Scientific Committee </w:t>
      </w:r>
      <w:r w:rsidR="003A65FA">
        <w:rPr>
          <w:rFonts w:ascii="Times New Roman" w:hAnsi="Times New Roman"/>
          <w:lang w:val="en-AU"/>
        </w:rPr>
        <w:t>had</w:t>
      </w:r>
      <w:r w:rsidRPr="009C2ADD">
        <w:rPr>
          <w:rFonts w:ascii="Times New Roman" w:hAnsi="Times New Roman"/>
          <w:lang w:val="en-AU"/>
        </w:rPr>
        <w:t xml:space="preserve"> to assess the plausibility of the different models in the structural uncert</w:t>
      </w:r>
      <w:r w:rsidR="0034646F" w:rsidRPr="009C2ADD">
        <w:rPr>
          <w:rFonts w:ascii="Times New Roman" w:hAnsi="Times New Roman"/>
          <w:lang w:val="en-AU"/>
        </w:rPr>
        <w:t>ainty grid, particularly fou</w:t>
      </w:r>
      <w:r w:rsidRPr="009C2ADD">
        <w:rPr>
          <w:rFonts w:ascii="Times New Roman" w:hAnsi="Times New Roman"/>
          <w:lang w:val="en-AU"/>
        </w:rPr>
        <w:t>r groups of models resulting from different combinations of new and old growth/maturity, and the 2017 and 2014 reg</w:t>
      </w:r>
      <w:r w:rsidR="0034646F" w:rsidRPr="009C2ADD">
        <w:rPr>
          <w:rFonts w:ascii="Times New Roman" w:hAnsi="Times New Roman"/>
          <w:lang w:val="en-AU"/>
        </w:rPr>
        <w:t xml:space="preserve">ional structure. </w:t>
      </w:r>
    </w:p>
    <w:p w14:paraId="0D68B744"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25FB024C" w14:textId="5A1C5EAB" w:rsidR="00484240"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authors summariz</w:t>
      </w:r>
      <w:r w:rsidR="00484240" w:rsidRPr="009C2ADD">
        <w:rPr>
          <w:rFonts w:ascii="Times New Roman" w:hAnsi="Times New Roman"/>
          <w:lang w:val="en-AU"/>
        </w:rPr>
        <w:t>e</w:t>
      </w:r>
      <w:r w:rsidRPr="009C2ADD">
        <w:rPr>
          <w:rFonts w:ascii="Times New Roman" w:hAnsi="Times New Roman"/>
          <w:lang w:val="en-AU"/>
        </w:rPr>
        <w:t>d</w:t>
      </w:r>
      <w:r w:rsidR="00484240" w:rsidRPr="009C2ADD">
        <w:rPr>
          <w:rFonts w:ascii="Times New Roman" w:hAnsi="Times New Roman"/>
          <w:lang w:val="en-AU"/>
        </w:rPr>
        <w:t xml:space="preserve"> the general conclusions of this assessment as follows:</w:t>
      </w:r>
    </w:p>
    <w:p w14:paraId="2993F4C1" w14:textId="37B15D94" w:rsidR="00B050AF" w:rsidRPr="009C2ADD" w:rsidRDefault="00B050AF" w:rsidP="009C2ADD">
      <w:pPr>
        <w:pStyle w:val="WCPFC"/>
        <w:numPr>
          <w:ilvl w:val="1"/>
          <w:numId w:val="49"/>
        </w:numPr>
        <w:adjustRightInd w:val="0"/>
        <w:spacing w:after="0"/>
        <w:ind w:left="1080"/>
      </w:pPr>
      <w:r w:rsidRPr="009C2ADD">
        <w:t>All models that assume the new growth function estimate</w:t>
      </w:r>
      <w:r w:rsidR="0034646F" w:rsidRPr="009C2ADD">
        <w:t>d</w:t>
      </w:r>
      <w:r w:rsidRPr="009C2ADD">
        <w:t xml:space="preserve"> significantly more optimistic stock status than the 2014 assessment, with the stock above the limit reference point in all cases.</w:t>
      </w:r>
    </w:p>
    <w:p w14:paraId="2C214D1B" w14:textId="2A5FBA0E" w:rsidR="00B050AF" w:rsidRPr="009C2ADD" w:rsidRDefault="00B050AF" w:rsidP="009C2ADD">
      <w:pPr>
        <w:pStyle w:val="WCPFC"/>
        <w:numPr>
          <w:ilvl w:val="1"/>
          <w:numId w:val="49"/>
        </w:numPr>
        <w:adjustRightInd w:val="0"/>
        <w:spacing w:after="0"/>
        <w:ind w:left="1080"/>
      </w:pPr>
      <w:r w:rsidRPr="009C2ADD">
        <w:t>All models with the new growth estimate</w:t>
      </w:r>
      <w:r w:rsidR="0034646F" w:rsidRPr="009C2ADD">
        <w:t>d</w:t>
      </w:r>
      <w:r w:rsidRPr="009C2ADD">
        <w:t xml:space="preserve"> a significant recent recruitment event t</w:t>
      </w:r>
      <w:r w:rsidR="0034646F" w:rsidRPr="009C2ADD">
        <w:t>hat had</w:t>
      </w:r>
      <w:r w:rsidRPr="009C2ADD">
        <w:t xml:space="preserve"> increased spawning potential in </w:t>
      </w:r>
      <w:r w:rsidR="0034646F" w:rsidRPr="009C2ADD">
        <w:t>the last several years, and it wa</w:t>
      </w:r>
      <w:r w:rsidRPr="009C2ADD">
        <w:t>s expected that for the old g</w:t>
      </w:r>
      <w:r w:rsidR="0034646F" w:rsidRPr="009C2ADD">
        <w:t>rowth models these recruits would</w:t>
      </w:r>
      <w:r w:rsidRPr="009C2ADD">
        <w:t xml:space="preserve"> soon progress into the spawning potential and increase stock status, at least in the short-term.</w:t>
      </w:r>
    </w:p>
    <w:p w14:paraId="1497D91B" w14:textId="357162E9" w:rsidR="00B050AF" w:rsidRPr="009C2ADD" w:rsidRDefault="00B050AF" w:rsidP="009C2ADD">
      <w:pPr>
        <w:pStyle w:val="WCPFC"/>
        <w:numPr>
          <w:ilvl w:val="1"/>
          <w:numId w:val="49"/>
        </w:numPr>
        <w:adjustRightInd w:val="0"/>
        <w:spacing w:after="0"/>
        <w:ind w:left="1080"/>
      </w:pPr>
      <w:r w:rsidRPr="009C2ADD">
        <w:t>Of the four sets of models in the structural uncertainty grid (the combinations of old/new growth and 2017/2014 regions), only th</w:t>
      </w:r>
      <w:r w:rsidR="0034646F" w:rsidRPr="009C2ADD">
        <w:t>e old growth/2014 regions models</w:t>
      </w:r>
      <w:r w:rsidRPr="009C2ADD">
        <w:t xml:space="preserve"> estimate</w:t>
      </w:r>
      <w:r w:rsidR="0034646F" w:rsidRPr="009C2ADD">
        <w:t>d</w:t>
      </w:r>
      <w:r w:rsidRPr="009C2ADD">
        <w:t xml:space="preserve"> spawning potential to be below limit reference point for all models in the set. These models estimate</w:t>
      </w:r>
      <w:r w:rsidR="0034646F" w:rsidRPr="009C2ADD">
        <w:t>d</w:t>
      </w:r>
      <w:r w:rsidRPr="009C2ADD">
        <w:t xml:space="preserve"> SB</w:t>
      </w:r>
      <w:r w:rsidRPr="0070772D">
        <w:rPr>
          <w:i/>
          <w:vertAlign w:val="subscript"/>
        </w:rPr>
        <w:t>latest</w:t>
      </w:r>
      <w:r w:rsidRPr="009C2ADD">
        <w:t>/SB</w:t>
      </w:r>
      <w:r w:rsidRPr="0070772D">
        <w:rPr>
          <w:vertAlign w:val="subscript"/>
        </w:rPr>
        <w:t>F=0</w:t>
      </w:r>
      <w:r w:rsidRPr="009C2ADD">
        <w:t xml:space="preserve"> to </w:t>
      </w:r>
      <w:r w:rsidR="0034646F" w:rsidRPr="009C2ADD">
        <w:t>be between 0.08 and 0.17 which wa</w:t>
      </w:r>
      <w:r w:rsidRPr="009C2ADD">
        <w:t>s slightly more pessimistic than the structural uncertainty grid of the 2014 assessment (between 0.1 and 0.2).</w:t>
      </w:r>
    </w:p>
    <w:p w14:paraId="2070A18D" w14:textId="59EC447B" w:rsidR="00B050AF" w:rsidRPr="009C2ADD" w:rsidRDefault="00B050AF" w:rsidP="009C2ADD">
      <w:pPr>
        <w:pStyle w:val="WCPFC"/>
        <w:numPr>
          <w:ilvl w:val="1"/>
          <w:numId w:val="49"/>
        </w:numPr>
        <w:adjustRightInd w:val="0"/>
        <w:spacing w:after="0"/>
        <w:ind w:left="1080"/>
      </w:pPr>
      <w:r w:rsidRPr="009C2ADD">
        <w:t>A substantial decline in bigeye abundance was estimated by all models in the assessment and recent estimates of depletion with respect to estimates earlier in the assessment period, and with respect to estima</w:t>
      </w:r>
      <w:r w:rsidR="0034646F" w:rsidRPr="009C2ADD">
        <w:t>tes in the absence of fishing, we</w:t>
      </w:r>
      <w:r w:rsidRPr="009C2ADD">
        <w:t>re significant and appear</w:t>
      </w:r>
      <w:r w:rsidR="0034646F" w:rsidRPr="009C2ADD">
        <w:t>ed</w:t>
      </w:r>
      <w:r w:rsidRPr="009C2ADD">
        <w:t xml:space="preserve"> to be ongoing, at least on a multi-year scale.</w:t>
      </w:r>
    </w:p>
    <w:p w14:paraId="1BF24F4E" w14:textId="580C1998" w:rsidR="00B050AF" w:rsidRPr="009C2ADD" w:rsidRDefault="00B050AF" w:rsidP="009C2ADD">
      <w:pPr>
        <w:pStyle w:val="WCPFC"/>
        <w:numPr>
          <w:ilvl w:val="1"/>
          <w:numId w:val="49"/>
        </w:numPr>
        <w:adjustRightInd w:val="0"/>
        <w:spacing w:after="0"/>
        <w:ind w:left="1080"/>
      </w:pPr>
      <w:r w:rsidRPr="009C2ADD">
        <w:t>The significance of the recent high recruitment events and the progression of these fish to the spawning po</w:t>
      </w:r>
      <w:r w:rsidR="0034646F" w:rsidRPr="009C2ADD">
        <w:t>tential component of the stock we</w:t>
      </w:r>
      <w:r w:rsidRPr="009C2ADD">
        <w:t>re enco</w:t>
      </w:r>
      <w:r w:rsidR="0034646F" w:rsidRPr="009C2ADD">
        <w:t>uraging, although whether this wa</w:t>
      </w:r>
      <w:r w:rsidRPr="009C2ADD">
        <w:t>s a result of managem</w:t>
      </w:r>
      <w:r w:rsidR="00483CDC" w:rsidRPr="009C2ADD">
        <w:t xml:space="preserve">ent measures for the fishery or </w:t>
      </w:r>
      <w:r w:rsidRPr="009C2ADD">
        <w:t>benef</w:t>
      </w:r>
      <w:r w:rsidR="0034646F" w:rsidRPr="009C2ADD">
        <w:t>ic</w:t>
      </w:r>
      <w:r w:rsidR="00483CDC" w:rsidRPr="009C2ADD">
        <w:t>ial environmental conditions were</w:t>
      </w:r>
      <w:r w:rsidR="0034646F" w:rsidRPr="009C2ADD">
        <w:t xml:space="preserve"> currently unclear. It wa</w:t>
      </w:r>
      <w:r w:rsidRPr="009C2ADD">
        <w:t xml:space="preserve">s noteworthy, however, that recent </w:t>
      </w:r>
      <w:r w:rsidR="0034646F" w:rsidRPr="009C2ADD">
        <w:t>positive recruitment events had</w:t>
      </w:r>
      <w:r w:rsidRPr="009C2ADD">
        <w:t xml:space="preserve"> also been estimated for skipjack (McKechnie </w:t>
      </w:r>
      <w:r w:rsidRPr="009C2ADD">
        <w:rPr>
          <w:i/>
        </w:rPr>
        <w:t>et al</w:t>
      </w:r>
      <w:r w:rsidRPr="009C2ADD">
        <w:t xml:space="preserve">. 2016) and yellowfin (Tremblay-Boyer </w:t>
      </w:r>
      <w:r w:rsidRPr="009C2ADD">
        <w:rPr>
          <w:i/>
        </w:rPr>
        <w:t>et al</w:t>
      </w:r>
      <w:r w:rsidRPr="009C2ADD">
        <w:t xml:space="preserve">. 2017) in the WCPO, and bigeye in the EPO (Aires-da-silva </w:t>
      </w:r>
      <w:r w:rsidRPr="009C2ADD">
        <w:rPr>
          <w:i/>
        </w:rPr>
        <w:t>et al</w:t>
      </w:r>
      <w:r w:rsidR="0034646F" w:rsidRPr="009C2ADD">
        <w:t>. 2017), which might</w:t>
      </w:r>
      <w:r w:rsidRPr="009C2ADD">
        <w:t xml:space="preserve"> give weight to the favourable environmental conditions hy</w:t>
      </w:r>
      <w:r w:rsidR="0034646F" w:rsidRPr="009C2ADD">
        <w:t>pothesis. Whether these trends we</w:t>
      </w:r>
      <w:r w:rsidRPr="009C2ADD">
        <w:t>r</w:t>
      </w:r>
      <w:r w:rsidR="0034646F" w:rsidRPr="009C2ADD">
        <w:t>e maintained in coming years would</w:t>
      </w:r>
      <w:r w:rsidRPr="009C2ADD">
        <w:t xml:space="preserve"> help te</w:t>
      </w:r>
      <w:r w:rsidR="0034646F" w:rsidRPr="009C2ADD">
        <w:t>ase these factors apart and would</w:t>
      </w:r>
      <w:r w:rsidRPr="009C2ADD">
        <w:t xml:space="preserve"> likely provide more certainty about the future trajectories of the stock.</w:t>
      </w:r>
    </w:p>
    <w:p w14:paraId="3C2ECE2D" w14:textId="77777777" w:rsidR="003123E3" w:rsidRDefault="003123E3" w:rsidP="0070772D">
      <w:pPr>
        <w:pStyle w:val="WCPFC"/>
        <w:numPr>
          <w:ilvl w:val="0"/>
          <w:numId w:val="0"/>
        </w:numPr>
        <w:adjustRightInd w:val="0"/>
        <w:spacing w:after="0"/>
        <w:rPr>
          <w:lang w:eastAsia="ko-KR"/>
        </w:rPr>
      </w:pPr>
    </w:p>
    <w:p w14:paraId="11A090FA" w14:textId="4169F636" w:rsidR="00D71FD5" w:rsidRPr="0070772D" w:rsidRDefault="00D71FD5" w:rsidP="0070772D">
      <w:pPr>
        <w:pStyle w:val="WCPFC"/>
        <w:numPr>
          <w:ilvl w:val="0"/>
          <w:numId w:val="0"/>
        </w:numPr>
        <w:adjustRightInd w:val="0"/>
        <w:spacing w:after="0"/>
        <w:rPr>
          <w:b/>
          <w:lang w:eastAsia="ko-KR"/>
        </w:rPr>
      </w:pPr>
      <w:r w:rsidRPr="0070772D">
        <w:rPr>
          <w:b/>
          <w:lang w:eastAsia="ko-KR"/>
        </w:rPr>
        <w:t>Discussion</w:t>
      </w:r>
    </w:p>
    <w:p w14:paraId="57E6842F" w14:textId="77777777" w:rsidR="00D71FD5" w:rsidRPr="009C2ADD" w:rsidRDefault="00D71FD5" w:rsidP="0070772D">
      <w:pPr>
        <w:pStyle w:val="WCPFC"/>
        <w:numPr>
          <w:ilvl w:val="0"/>
          <w:numId w:val="0"/>
        </w:numPr>
        <w:adjustRightInd w:val="0"/>
        <w:spacing w:after="0"/>
        <w:rPr>
          <w:lang w:eastAsia="ko-KR"/>
        </w:rPr>
      </w:pPr>
    </w:p>
    <w:p w14:paraId="39D915D7" w14:textId="4D64B2E5"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Cook Islands suggested additional axes for the u</w:t>
      </w:r>
      <w:r w:rsidR="00B050AF" w:rsidRPr="009C2ADD">
        <w:rPr>
          <w:rFonts w:ascii="Times New Roman" w:hAnsi="Times New Roman"/>
          <w:lang w:val="en-AU"/>
        </w:rPr>
        <w:t>ncertainty grid.</w:t>
      </w:r>
      <w:r w:rsidRPr="009C2ADD">
        <w:rPr>
          <w:rFonts w:ascii="Times New Roman" w:hAnsi="Times New Roman"/>
          <w:lang w:val="en-AU"/>
        </w:rPr>
        <w:t xml:space="preserve"> SPC felt that it was undesirable to search for additional axes of uncertainty without evidence to suggest that they would </w:t>
      </w:r>
      <w:r w:rsidR="003A65FA">
        <w:rPr>
          <w:rFonts w:ascii="Times New Roman" w:hAnsi="Times New Roman"/>
          <w:lang w:val="en-AU"/>
        </w:rPr>
        <w:t>have substantial effects</w:t>
      </w:r>
      <w:r w:rsidR="003A65FA" w:rsidRPr="009C2ADD">
        <w:rPr>
          <w:rFonts w:ascii="Times New Roman" w:hAnsi="Times New Roman"/>
          <w:lang w:val="en-AU"/>
        </w:rPr>
        <w:t xml:space="preserve"> </w:t>
      </w:r>
      <w:r w:rsidR="003A65FA">
        <w:rPr>
          <w:rFonts w:ascii="Times New Roman" w:hAnsi="Times New Roman"/>
          <w:lang w:val="en-AU"/>
        </w:rPr>
        <w:t>on</w:t>
      </w:r>
      <w:r w:rsidR="003A65FA" w:rsidRPr="009C2ADD">
        <w:rPr>
          <w:rFonts w:ascii="Times New Roman" w:hAnsi="Times New Roman"/>
          <w:lang w:val="en-AU"/>
        </w:rPr>
        <w:t xml:space="preserve"> estimates of stock status</w:t>
      </w:r>
      <w:r w:rsidRPr="009C2ADD">
        <w:rPr>
          <w:rFonts w:ascii="Times New Roman" w:hAnsi="Times New Roman"/>
          <w:lang w:val="en-AU"/>
        </w:rPr>
        <w:t>.</w:t>
      </w:r>
    </w:p>
    <w:p w14:paraId="633EC02C" w14:textId="77777777" w:rsidR="003123E3" w:rsidRPr="009C2ADD" w:rsidRDefault="003123E3" w:rsidP="009C2ADD">
      <w:pPr>
        <w:autoSpaceDE w:val="0"/>
        <w:autoSpaceDN w:val="0"/>
        <w:adjustRightInd w:val="0"/>
        <w:snapToGrid w:val="0"/>
        <w:spacing w:after="0"/>
        <w:rPr>
          <w:rFonts w:ascii="Times New Roman" w:hAnsi="Times New Roman"/>
          <w:lang w:val="en-AU"/>
        </w:rPr>
      </w:pPr>
    </w:p>
    <w:p w14:paraId="58279CEA" w14:textId="11023D4E" w:rsidR="00484240" w:rsidRPr="00CE3164"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 EU </w:t>
      </w:r>
      <w:r w:rsidRPr="00CE3164">
        <w:rPr>
          <w:rFonts w:ascii="Times New Roman" w:hAnsi="Times New Roman"/>
          <w:lang w:val="en-AU"/>
        </w:rPr>
        <w:t xml:space="preserve">indicated their preference for the inclusion of both the new and the old spatial boundaries in the grid analysis.  They noted </w:t>
      </w:r>
      <w:r w:rsidR="003C61E2" w:rsidRPr="00CE3164">
        <w:rPr>
          <w:rFonts w:ascii="Times New Roman" w:hAnsi="Times New Roman"/>
          <w:lang w:val="en-US"/>
        </w:rPr>
        <w:t>concerns about the impact of boundary changes [over the stock and fishery status], and that tagging data alone are not a rational for boundary changes, given the low number of tag returns out of the purse seine fishing grounds</w:t>
      </w:r>
      <w:r w:rsidRPr="00CE3164">
        <w:rPr>
          <w:rFonts w:ascii="Times New Roman" w:hAnsi="Times New Roman"/>
          <w:lang w:val="en-AU"/>
        </w:rPr>
        <w:t xml:space="preserve">.   </w:t>
      </w:r>
      <w:r w:rsidR="003C61E2" w:rsidRPr="00CE3164">
        <w:rPr>
          <w:rFonts w:ascii="Times New Roman" w:hAnsi="Times New Roman" w:hint="eastAsia"/>
          <w:lang w:val="en-AU" w:eastAsia="ko-KR"/>
        </w:rPr>
        <w:t xml:space="preserve">S. </w:t>
      </w:r>
      <w:r w:rsidRPr="00CE3164">
        <w:rPr>
          <w:rFonts w:ascii="Times New Roman" w:hAnsi="Times New Roman"/>
          <w:lang w:val="en-AU"/>
        </w:rPr>
        <w:t>McKechnie noted that the new struc</w:t>
      </w:r>
      <w:r w:rsidR="0034646F" w:rsidRPr="00CE3164">
        <w:rPr>
          <w:rFonts w:ascii="Times New Roman" w:hAnsi="Times New Roman"/>
          <w:lang w:val="en-AU"/>
        </w:rPr>
        <w:t>ture did</w:t>
      </w:r>
      <w:r w:rsidRPr="00CE3164">
        <w:rPr>
          <w:rFonts w:ascii="Times New Roman" w:hAnsi="Times New Roman"/>
          <w:lang w:val="en-AU"/>
        </w:rPr>
        <w:t xml:space="preserve"> change the relative biomass between regions and noted that some additional spatial analysis might be beneficial but was challenging to do.  </w:t>
      </w:r>
    </w:p>
    <w:p w14:paraId="55CD68E4"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02BBA59D" w14:textId="2B2FEB49"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questioned the influence of an apparent variability in catchability patterns even within similar fleets, a</w:t>
      </w:r>
      <w:r w:rsidR="0034646F" w:rsidRPr="009C2ADD">
        <w:rPr>
          <w:rFonts w:ascii="Times New Roman" w:hAnsi="Times New Roman"/>
          <w:lang w:val="en-AU"/>
        </w:rPr>
        <w:t>nd the purse seine fishery showed a significant decline.</w:t>
      </w:r>
      <w:r w:rsidRPr="009C2ADD">
        <w:rPr>
          <w:rFonts w:ascii="Times New Roman" w:hAnsi="Times New Roman"/>
          <w:lang w:val="en-AU"/>
        </w:rPr>
        <w:t xml:space="preserve"> In reply</w:t>
      </w:r>
      <w:r w:rsidR="0034646F" w:rsidRPr="009C2ADD">
        <w:rPr>
          <w:rFonts w:ascii="Times New Roman" w:hAnsi="Times New Roman"/>
          <w:lang w:val="en-AU"/>
        </w:rPr>
        <w:t>,</w:t>
      </w:r>
      <w:r w:rsidR="00483CDC" w:rsidRPr="009C2ADD">
        <w:rPr>
          <w:rFonts w:ascii="Times New Roman" w:hAnsi="Times New Roman"/>
          <w:lang w:val="en-AU"/>
        </w:rPr>
        <w:t xml:space="preserve"> it was noted that this did not</w:t>
      </w:r>
      <w:r w:rsidRPr="009C2ADD">
        <w:rPr>
          <w:rFonts w:ascii="Times New Roman" w:hAnsi="Times New Roman"/>
          <w:lang w:val="en-AU"/>
        </w:rPr>
        <w:t xml:space="preserve"> impact the assess</w:t>
      </w:r>
      <w:r w:rsidR="0034646F" w:rsidRPr="009C2ADD">
        <w:rPr>
          <w:rFonts w:ascii="Times New Roman" w:hAnsi="Times New Roman"/>
          <w:lang w:val="en-AU"/>
        </w:rPr>
        <w:t xml:space="preserve">ment </w:t>
      </w:r>
      <w:r w:rsidR="003A65FA">
        <w:rPr>
          <w:rFonts w:ascii="Times New Roman" w:hAnsi="Times New Roman"/>
          <w:lang w:val="en-AU"/>
        </w:rPr>
        <w:t xml:space="preserve">substantially </w:t>
      </w:r>
      <w:r w:rsidR="0034646F" w:rsidRPr="009C2ADD">
        <w:rPr>
          <w:rFonts w:ascii="Times New Roman" w:hAnsi="Times New Roman"/>
          <w:lang w:val="en-AU"/>
        </w:rPr>
        <w:t>and there we</w:t>
      </w:r>
      <w:r w:rsidRPr="009C2ADD">
        <w:rPr>
          <w:rFonts w:ascii="Times New Roman" w:hAnsi="Times New Roman"/>
          <w:lang w:val="en-AU"/>
        </w:rPr>
        <w:t>re different trends for different fisheries.</w:t>
      </w:r>
    </w:p>
    <w:p w14:paraId="11F88CC3"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73CD1B06" w14:textId="1DF69DBF"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indicated support for the use of the new growth model in combination with 2017 boundaries as representing the best available information.  They asked how the assessment addressed retrospective pattern errors and what implications this might have for projections, how best to select steepness and natural </w:t>
      </w:r>
      <w:r w:rsidR="0034646F" w:rsidRPr="009C2ADD">
        <w:rPr>
          <w:rFonts w:ascii="Times New Roman" w:hAnsi="Times New Roman"/>
          <w:lang w:val="en-AU"/>
        </w:rPr>
        <w:t xml:space="preserve">mortality, </w:t>
      </w:r>
      <w:r w:rsidRPr="009C2ADD">
        <w:rPr>
          <w:rFonts w:ascii="Times New Roman" w:hAnsi="Times New Roman"/>
          <w:lang w:val="en-AU"/>
        </w:rPr>
        <w:t xml:space="preserve">and what level of confidence was held in the projection.  </w:t>
      </w:r>
      <w:r w:rsidR="00CD4B68">
        <w:rPr>
          <w:rFonts w:ascii="Times New Roman" w:hAnsi="Times New Roman" w:hint="eastAsia"/>
          <w:lang w:val="en-AU" w:eastAsia="ko-KR"/>
        </w:rPr>
        <w:t xml:space="preserve">S. </w:t>
      </w:r>
      <w:r w:rsidRPr="009C2ADD">
        <w:rPr>
          <w:rFonts w:ascii="Times New Roman" w:hAnsi="Times New Roman"/>
          <w:lang w:val="en-AU"/>
        </w:rPr>
        <w:t>McKechnie noted that the assessment had not explicitly addressed retrospective error, that retrospective pattern error was not uncommon in tuna models, and that this should improve as more data was added. With respect to steepness and natural mortality, he indicated that this might be best addressed through an independent tagging stud</w:t>
      </w:r>
      <w:r w:rsidR="0034646F" w:rsidRPr="009C2ADD">
        <w:rPr>
          <w:rFonts w:ascii="Times New Roman" w:hAnsi="Times New Roman"/>
          <w:lang w:val="en-AU"/>
        </w:rPr>
        <w:t>y</w:t>
      </w:r>
      <w:r w:rsidRPr="009C2ADD">
        <w:rPr>
          <w:rFonts w:ascii="Times New Roman" w:hAnsi="Times New Roman"/>
          <w:lang w:val="en-AU"/>
        </w:rPr>
        <w:t>. He noted that projections were difficult with complex models, observing for example that since the big recruitment a few years ago, the stocks had experienced extreme environmental conditions.</w:t>
      </w:r>
    </w:p>
    <w:p w14:paraId="429B5490"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1E92AEB8" w14:textId="254315E8"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Taipei asked if L</w:t>
      </w:r>
      <w:r w:rsidR="006C57DF">
        <w:rPr>
          <w:rFonts w:ascii="Times New Roman" w:hAnsi="Times New Roman" w:hint="eastAsia"/>
          <w:lang w:val="en-AU" w:eastAsia="ko-KR"/>
        </w:rPr>
        <w:t>_</w:t>
      </w:r>
      <w:r w:rsidRPr="009C2ADD">
        <w:rPr>
          <w:rFonts w:ascii="Times New Roman" w:hAnsi="Times New Roman"/>
          <w:lang w:val="en-AU"/>
        </w:rPr>
        <w:t>infinity of the growth model based on current size frequency data was reliable, and, noting that the growth model differed among regions, whether i</w:t>
      </w:r>
      <w:r w:rsidR="0034646F" w:rsidRPr="009C2ADD">
        <w:rPr>
          <w:rFonts w:ascii="Times New Roman" w:hAnsi="Times New Roman"/>
          <w:lang w:val="en-AU"/>
        </w:rPr>
        <w:t>t was possible to incorporate a</w:t>
      </w:r>
      <w:r w:rsidRPr="009C2ADD">
        <w:rPr>
          <w:rFonts w:ascii="Times New Roman" w:hAnsi="Times New Roman"/>
          <w:lang w:val="en-AU"/>
        </w:rPr>
        <w:t xml:space="preserve"> multiple area-specific growth curves. </w:t>
      </w:r>
      <w:r w:rsidR="00662585">
        <w:rPr>
          <w:rFonts w:ascii="Times New Roman" w:hAnsi="Times New Roman" w:hint="eastAsia"/>
          <w:lang w:val="en-AU" w:eastAsia="ko-KR"/>
        </w:rPr>
        <w:t xml:space="preserve">S. </w:t>
      </w:r>
      <w:r w:rsidRPr="009C2ADD">
        <w:rPr>
          <w:rFonts w:ascii="Times New Roman" w:hAnsi="Times New Roman"/>
          <w:lang w:val="en-AU"/>
        </w:rPr>
        <w:t>McKechnie responded that L</w:t>
      </w:r>
      <w:r w:rsidR="00D85176">
        <w:rPr>
          <w:rFonts w:ascii="Times New Roman" w:hAnsi="Times New Roman" w:hint="eastAsia"/>
          <w:lang w:val="en-AU" w:eastAsia="ko-KR"/>
        </w:rPr>
        <w:t>_</w:t>
      </w:r>
      <w:r w:rsidRPr="009C2ADD">
        <w:rPr>
          <w:rFonts w:ascii="Times New Roman" w:hAnsi="Times New Roman"/>
          <w:lang w:val="en-AU"/>
        </w:rPr>
        <w:t>infinity was unstable when estimated given the current data set available, and t</w:t>
      </w:r>
      <w:r w:rsidR="0034646F" w:rsidRPr="009C2ADD">
        <w:rPr>
          <w:rFonts w:ascii="Times New Roman" w:hAnsi="Times New Roman"/>
          <w:lang w:val="en-AU"/>
        </w:rPr>
        <w:t xml:space="preserve">hat multiple growth curves could </w:t>
      </w:r>
      <w:r w:rsidR="00F13801">
        <w:rPr>
          <w:rFonts w:ascii="Times New Roman" w:hAnsi="Times New Roman" w:hint="eastAsia"/>
          <w:lang w:val="en-AU" w:eastAsia="ko-KR"/>
        </w:rPr>
        <w:t>not</w:t>
      </w:r>
      <w:r w:rsidR="00F13801" w:rsidRPr="009C2ADD">
        <w:rPr>
          <w:rFonts w:ascii="Times New Roman" w:hAnsi="Times New Roman"/>
          <w:lang w:val="en-AU"/>
        </w:rPr>
        <w:t xml:space="preserve"> </w:t>
      </w:r>
      <w:r w:rsidRPr="009C2ADD">
        <w:rPr>
          <w:rFonts w:ascii="Times New Roman" w:hAnsi="Times New Roman"/>
          <w:lang w:val="en-AU"/>
        </w:rPr>
        <w:t xml:space="preserve">be utilized in </w:t>
      </w:r>
      <w:r w:rsidR="006233F1" w:rsidRPr="009C2ADD">
        <w:rPr>
          <w:rFonts w:ascii="Times New Roman" w:hAnsi="Times New Roman"/>
        </w:rPr>
        <w:t xml:space="preserve">MULTIFAN-CL </w:t>
      </w:r>
      <w:r w:rsidRPr="009C2ADD">
        <w:rPr>
          <w:rFonts w:ascii="Times New Roman" w:hAnsi="Times New Roman"/>
          <w:lang w:val="en-AU"/>
        </w:rPr>
        <w:t>or other age-structured models such as SS3.  Additionally, an investigation of whether the growth differences were genetic or environmental would be required.  This would be a very big undertaking.</w:t>
      </w:r>
    </w:p>
    <w:p w14:paraId="374C1A91"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7C4584DC" w14:textId="19AC226D"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suggested that while the overall </w:t>
      </w:r>
      <w:r w:rsidR="008918CA">
        <w:rPr>
          <w:rFonts w:ascii="Times New Roman" w:hAnsi="Times New Roman"/>
          <w:lang w:val="en-AU" w:eastAsia="ko-KR"/>
        </w:rPr>
        <w:t>likelihood</w:t>
      </w:r>
      <w:r w:rsidR="008918CA">
        <w:rPr>
          <w:rFonts w:ascii="Times New Roman" w:hAnsi="Times New Roman" w:hint="eastAsia"/>
          <w:lang w:val="en-AU" w:eastAsia="ko-KR"/>
        </w:rPr>
        <w:t xml:space="preserve"> </w:t>
      </w:r>
      <w:r w:rsidRPr="009C2ADD">
        <w:rPr>
          <w:rFonts w:ascii="Times New Roman" w:hAnsi="Times New Roman"/>
          <w:lang w:val="en-AU"/>
        </w:rPr>
        <w:t xml:space="preserve">profile showed a good fit </w:t>
      </w:r>
      <w:r w:rsidR="008918CA">
        <w:rPr>
          <w:rFonts w:ascii="Times New Roman" w:hAnsi="Times New Roman"/>
          <w:lang w:val="en-AU"/>
        </w:rPr>
        <w:t>(global minimum achieved)</w:t>
      </w:r>
      <w:r w:rsidRPr="009C2ADD">
        <w:rPr>
          <w:rFonts w:ascii="Times New Roman" w:hAnsi="Times New Roman"/>
          <w:lang w:val="en-AU"/>
        </w:rPr>
        <w:t xml:space="preserve">, there were implications </w:t>
      </w:r>
      <w:r w:rsidR="00B050AF" w:rsidRPr="009C2ADD">
        <w:rPr>
          <w:rFonts w:ascii="Times New Roman" w:hAnsi="Times New Roman"/>
          <w:lang w:val="en-AU"/>
        </w:rPr>
        <w:t>arising from the</w:t>
      </w:r>
      <w:r w:rsidRPr="009C2ADD">
        <w:rPr>
          <w:rFonts w:ascii="Times New Roman" w:hAnsi="Times New Roman"/>
          <w:lang w:val="en-AU"/>
        </w:rPr>
        <w:t xml:space="preserve"> new regional structure on the weighting of the indices that needed to be considered.   </w:t>
      </w:r>
    </w:p>
    <w:p w14:paraId="162823D2"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1206D8B9" w14:textId="733BB18B"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observed that as the data sets for the new and old growth curves were different, a direct comparison of the two models would be useful to facilitate a discussion of </w:t>
      </w:r>
      <w:r w:rsidR="00B050AF" w:rsidRPr="009C2ADD">
        <w:rPr>
          <w:rFonts w:ascii="Times New Roman" w:hAnsi="Times New Roman"/>
          <w:lang w:val="en-AU"/>
        </w:rPr>
        <w:t>the merits and disadvantages of each model type</w:t>
      </w:r>
      <w:r w:rsidRPr="009C2ADD">
        <w:rPr>
          <w:rFonts w:ascii="Times New Roman" w:hAnsi="Times New Roman"/>
          <w:lang w:val="en-AU"/>
        </w:rPr>
        <w:t xml:space="preserve"> prior to deciding on which one to use for the stock assessment.  They asked for further explanation of the large differences in </w:t>
      </w:r>
      <w:r w:rsidR="00D85176">
        <w:rPr>
          <w:rFonts w:ascii="Times New Roman" w:hAnsi="Times New Roman"/>
          <w:lang w:val="en-AU"/>
        </w:rPr>
        <w:t>L_infinity</w:t>
      </w:r>
      <w:r w:rsidRPr="009C2ADD">
        <w:rPr>
          <w:rFonts w:ascii="Times New Roman" w:hAnsi="Times New Roman"/>
          <w:lang w:val="en-AU"/>
        </w:rPr>
        <w:t xml:space="preserve">, noting that the long time series available for the growth model using size frequency was advantageous. SPC responded that it was very difficult to accurately estimate </w:t>
      </w:r>
      <w:r w:rsidR="00D85176">
        <w:rPr>
          <w:rFonts w:ascii="Times New Roman" w:hAnsi="Times New Roman"/>
          <w:lang w:val="en-AU"/>
        </w:rPr>
        <w:t>L_infinity</w:t>
      </w:r>
      <w:r w:rsidRPr="009C2ADD">
        <w:rPr>
          <w:rFonts w:ascii="Times New Roman" w:hAnsi="Times New Roman"/>
          <w:lang w:val="en-AU"/>
        </w:rPr>
        <w:t>, and that other diagnostic tools indicate</w:t>
      </w:r>
      <w:r w:rsidR="0034646F" w:rsidRPr="009C2ADD">
        <w:rPr>
          <w:rFonts w:ascii="Times New Roman" w:hAnsi="Times New Roman"/>
          <w:lang w:val="en-AU"/>
        </w:rPr>
        <w:t>d</w:t>
      </w:r>
      <w:r w:rsidRPr="009C2ADD">
        <w:rPr>
          <w:rFonts w:ascii="Times New Roman" w:hAnsi="Times New Roman"/>
          <w:lang w:val="en-AU"/>
        </w:rPr>
        <w:t xml:space="preserve"> the absence of large fish.</w:t>
      </w:r>
    </w:p>
    <w:p w14:paraId="2F482FFA"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2BB4DACB" w14:textId="56983666"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referred to the increasing trend of LL CPUE in the current stock assessment and suggested this could be biased as the assessment model did not include a </w:t>
      </w:r>
      <w:r w:rsidR="00CD4B68">
        <w:rPr>
          <w:rFonts w:ascii="Times New Roman" w:hAnsi="Times New Roman" w:hint="eastAsia"/>
          <w:lang w:val="en-AU" w:eastAsia="ko-KR"/>
        </w:rPr>
        <w:t>covaria</w:t>
      </w:r>
      <w:r w:rsidR="00276CC2">
        <w:rPr>
          <w:rFonts w:ascii="Times New Roman" w:hAnsi="Times New Roman" w:hint="eastAsia"/>
          <w:lang w:val="en-AU" w:eastAsia="ko-KR"/>
        </w:rPr>
        <w:t>t</w:t>
      </w:r>
      <w:r w:rsidR="00CD4B68">
        <w:rPr>
          <w:rFonts w:ascii="Times New Roman" w:hAnsi="Times New Roman" w:hint="eastAsia"/>
          <w:lang w:val="en-AU" w:eastAsia="ko-KR"/>
        </w:rPr>
        <w:t>e</w:t>
      </w:r>
      <w:r w:rsidR="00CD4B68" w:rsidRPr="009C2ADD">
        <w:rPr>
          <w:rFonts w:ascii="Times New Roman" w:hAnsi="Times New Roman"/>
          <w:lang w:val="en-AU"/>
        </w:rPr>
        <w:t xml:space="preserve"> </w:t>
      </w:r>
      <w:r w:rsidRPr="009C2ADD">
        <w:rPr>
          <w:rFonts w:ascii="Times New Roman" w:hAnsi="Times New Roman"/>
          <w:lang w:val="en-AU"/>
        </w:rPr>
        <w:t>relating to oceanographic conditions, which was important given the relationship between the recent strong E</w:t>
      </w:r>
      <w:r w:rsidR="00410CEC">
        <w:rPr>
          <w:rFonts w:ascii="Times New Roman" w:hAnsi="Times New Roman" w:hint="eastAsia"/>
          <w:lang w:val="en-AU" w:eastAsia="ko-KR"/>
        </w:rPr>
        <w:t>l</w:t>
      </w:r>
      <w:r w:rsidRPr="009C2ADD">
        <w:rPr>
          <w:rFonts w:ascii="Times New Roman" w:hAnsi="Times New Roman"/>
          <w:lang w:val="en-AU"/>
        </w:rPr>
        <w:t xml:space="preserve"> </w:t>
      </w:r>
      <w:r w:rsidR="009C216F" w:rsidRPr="009C2ADD">
        <w:rPr>
          <w:rFonts w:ascii="Times New Roman" w:hAnsi="Times New Roman"/>
          <w:lang w:val="en-AU"/>
        </w:rPr>
        <w:t xml:space="preserve">Niño </w:t>
      </w:r>
      <w:r w:rsidRPr="009C2ADD">
        <w:rPr>
          <w:rFonts w:ascii="Times New Roman" w:hAnsi="Times New Roman"/>
          <w:lang w:val="en-AU"/>
        </w:rPr>
        <w:t xml:space="preserve">conditions and catchability. </w:t>
      </w:r>
      <w:r w:rsidR="00662585">
        <w:rPr>
          <w:rFonts w:ascii="Times New Roman" w:hAnsi="Times New Roman" w:hint="eastAsia"/>
          <w:lang w:val="en-AU" w:eastAsia="ko-KR"/>
        </w:rPr>
        <w:t xml:space="preserve">S. </w:t>
      </w:r>
      <w:r w:rsidRPr="009C2ADD">
        <w:rPr>
          <w:rFonts w:ascii="Times New Roman" w:hAnsi="Times New Roman"/>
          <w:lang w:val="en-AU"/>
        </w:rPr>
        <w:t>McKechnie noted that this might be possible but the changes were evident across a large area and appeared to be at least partly related to abundance rather than catchability. Japan noted that the likelihood profile did not provide information on which stock size was appropriate and suggested the application of an ASPM analysis, a recently developed diagnostic tool applied to tuna stock assessment in the EPO, to better understand the stock size.</w:t>
      </w:r>
    </w:p>
    <w:p w14:paraId="6DA1F39A"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543A7051" w14:textId="77777777"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PNG pointed out a consistent trend in annual </w:t>
      </w:r>
      <w:r w:rsidR="00483CDC" w:rsidRPr="009C2ADD">
        <w:rPr>
          <w:rFonts w:ascii="Times New Roman" w:hAnsi="Times New Roman"/>
          <w:lang w:val="en-AU"/>
        </w:rPr>
        <w:t>spawning potential across areas</w:t>
      </w:r>
      <w:r w:rsidRPr="009C2ADD">
        <w:rPr>
          <w:rFonts w:ascii="Times New Roman" w:hAnsi="Times New Roman"/>
          <w:lang w:val="en-AU"/>
        </w:rPr>
        <w:t xml:space="preserve"> and questioned if this was based on the environment, or based on management. SPC replied that it was difficult to distinguish specific reasons at this time.  Influence from environmental factors may not last long while management influence would be expected to be more persistent. </w:t>
      </w:r>
    </w:p>
    <w:p w14:paraId="410E3113"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60F3B3B5" w14:textId="286BD26E"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RMI stated that PNA </w:t>
      </w:r>
      <w:r w:rsidR="00D5432C">
        <w:rPr>
          <w:rFonts w:ascii="Times New Roman" w:hAnsi="Times New Roman"/>
          <w:lang w:val="en-AU"/>
        </w:rPr>
        <w:t>member</w:t>
      </w:r>
      <w:r w:rsidRPr="009C2ADD">
        <w:rPr>
          <w:rFonts w:ascii="Times New Roman" w:hAnsi="Times New Roman"/>
          <w:lang w:val="en-AU"/>
        </w:rPr>
        <w:t xml:space="preserve">s supported recommendations for further biological studies, but considered there should be more priority on further work on the regional structures for the assessments of all three major tropical tunas.  PNA suggested that SPC undertake a systematic analysis of reasonable alternative regional structures for both the northern and southern regions across all </w:t>
      </w:r>
      <w:r w:rsidR="00483CDC" w:rsidRPr="009C2ADD">
        <w:rPr>
          <w:rFonts w:ascii="Times New Roman" w:hAnsi="Times New Roman"/>
          <w:lang w:val="en-AU"/>
        </w:rPr>
        <w:t>three stocks with two purposes:</w:t>
      </w:r>
      <w:r w:rsidRPr="009C2ADD">
        <w:rPr>
          <w:rFonts w:ascii="Times New Roman" w:hAnsi="Times New Roman"/>
          <w:lang w:val="en-AU"/>
        </w:rPr>
        <w:t xml:space="preserve"> to understand how assessment outcomes are affected by assumptions about regional structure;</w:t>
      </w:r>
      <w:r w:rsidR="00483CDC" w:rsidRPr="009C2ADD">
        <w:rPr>
          <w:rFonts w:ascii="Times New Roman" w:hAnsi="Times New Roman"/>
          <w:lang w:val="en-AU"/>
        </w:rPr>
        <w:t xml:space="preserve"> and b) to ensure that we are not</w:t>
      </w:r>
      <w:r w:rsidRPr="009C2ADD">
        <w:rPr>
          <w:rFonts w:ascii="Times New Roman" w:hAnsi="Times New Roman"/>
          <w:lang w:val="en-AU"/>
        </w:rPr>
        <w:t xml:space="preserve"> using regional structures that just happen to provide extreme outcomes in terms of the assessment results.</w:t>
      </w:r>
    </w:p>
    <w:p w14:paraId="5EDD0D40"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00421042" w14:textId="54EA4943"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Noting the efforts of SPC, CSIRO and others in producing the 2017 assessment, Korea indicated its willingness to review the information provided positively.  They also supported the proposal for further analysis on ag</w:t>
      </w:r>
      <w:r w:rsidR="00290F29">
        <w:rPr>
          <w:rFonts w:ascii="Times New Roman" w:hAnsi="Times New Roman" w:hint="eastAsia"/>
          <w:lang w:val="en-AU" w:eastAsia="ko-KR"/>
        </w:rPr>
        <w:t>e</w:t>
      </w:r>
      <w:r w:rsidRPr="009C2ADD">
        <w:rPr>
          <w:rFonts w:ascii="Times New Roman" w:hAnsi="Times New Roman"/>
          <w:lang w:val="en-AU"/>
        </w:rPr>
        <w:t>ing.</w:t>
      </w:r>
    </w:p>
    <w:p w14:paraId="294AB8D6"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01765DDE" w14:textId="110DC901"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noted that the fit-to-size data was overall improved in this assessment but highlighted the model predictions of stable fish sizes for areas 1, 2 and 7 which contrast with observed declines in fish size for some fisheries. SPC agreed that additional work was required to ascertain the reasons behind the differences, and noted the absence of data in some areas, the conflict between CPUE and size data and between different fisheries in the northern regions. Australia pointed out that </w:t>
      </w:r>
      <w:r w:rsidR="00300F08" w:rsidRPr="009C2ADD">
        <w:rPr>
          <w:rFonts w:ascii="Times New Roman" w:hAnsi="Times New Roman"/>
          <w:lang w:val="en-AU"/>
        </w:rPr>
        <w:t>F</w:t>
      </w:r>
      <w:r w:rsidR="00300F08" w:rsidRPr="0070772D">
        <w:rPr>
          <w:rFonts w:ascii="Times New Roman" w:hAnsi="Times New Roman"/>
          <w:vertAlign w:val="subscript"/>
          <w:lang w:val="en-AU" w:eastAsia="ko-KR"/>
        </w:rPr>
        <w:t>MSY</w:t>
      </w:r>
      <w:r w:rsidR="00300F08" w:rsidRPr="009C2ADD">
        <w:rPr>
          <w:rFonts w:ascii="Times New Roman" w:hAnsi="Times New Roman"/>
          <w:lang w:val="en-AU"/>
        </w:rPr>
        <w:t xml:space="preserve"> </w:t>
      </w:r>
      <w:r w:rsidRPr="009C2ADD">
        <w:rPr>
          <w:rFonts w:ascii="Times New Roman" w:hAnsi="Times New Roman"/>
          <w:lang w:val="en-AU"/>
        </w:rPr>
        <w:t>dropped sharply before the PS fishery started and asked if estimates of F</w:t>
      </w:r>
      <w:r w:rsidR="00300F08" w:rsidRPr="00104C78">
        <w:rPr>
          <w:rFonts w:ascii="Times New Roman" w:hAnsi="Times New Roman" w:hint="eastAsia"/>
          <w:vertAlign w:val="subscript"/>
          <w:lang w:val="en-AU" w:eastAsia="ko-KR"/>
        </w:rPr>
        <w:t>MSY</w:t>
      </w:r>
      <w:r w:rsidR="00F90964" w:rsidRPr="009C2ADD">
        <w:rPr>
          <w:rFonts w:ascii="Times New Roman" w:hAnsi="Times New Roman"/>
          <w:lang w:val="en-AU"/>
        </w:rPr>
        <w:t xml:space="preserve"> changed as the gears changed.</w:t>
      </w:r>
      <w:r w:rsidRPr="009C2ADD">
        <w:rPr>
          <w:rFonts w:ascii="Times New Roman" w:hAnsi="Times New Roman"/>
          <w:lang w:val="en-AU"/>
        </w:rPr>
        <w:t xml:space="preserve"> SPC noted that the impact of the initiating purse seine fisheries and provision of data for the miscell</w:t>
      </w:r>
      <w:r w:rsidR="0034646F" w:rsidRPr="009C2ADD">
        <w:rPr>
          <w:rFonts w:ascii="Times New Roman" w:hAnsi="Times New Roman"/>
          <w:lang w:val="en-AU"/>
        </w:rPr>
        <w:t>aneous small-fish fisheries in R</w:t>
      </w:r>
      <w:r w:rsidRPr="009C2ADD">
        <w:rPr>
          <w:rFonts w:ascii="Times New Roman" w:hAnsi="Times New Roman"/>
          <w:lang w:val="en-AU"/>
        </w:rPr>
        <w:t xml:space="preserve">egion 7, </w:t>
      </w:r>
      <w:r w:rsidR="0034646F" w:rsidRPr="009C2ADD">
        <w:rPr>
          <w:rFonts w:ascii="Times New Roman" w:hAnsi="Times New Roman"/>
          <w:lang w:val="en-AU"/>
        </w:rPr>
        <w:t xml:space="preserve">where the </w:t>
      </w:r>
      <w:r w:rsidRPr="009C2ADD">
        <w:rPr>
          <w:rFonts w:ascii="Times New Roman" w:hAnsi="Times New Roman"/>
          <w:lang w:val="en-AU"/>
        </w:rPr>
        <w:t xml:space="preserve">catch </w:t>
      </w:r>
      <w:r w:rsidR="0034646F" w:rsidRPr="009C2ADD">
        <w:rPr>
          <w:rFonts w:ascii="Times New Roman" w:hAnsi="Times New Roman"/>
          <w:lang w:val="en-AU"/>
        </w:rPr>
        <w:t xml:space="preserve">consisted of </w:t>
      </w:r>
      <w:r w:rsidRPr="009C2ADD">
        <w:rPr>
          <w:rFonts w:ascii="Times New Roman" w:hAnsi="Times New Roman"/>
          <w:lang w:val="en-AU"/>
        </w:rPr>
        <w:t>very large numbers of small fish</w:t>
      </w:r>
      <w:r w:rsidR="0034646F" w:rsidRPr="009C2ADD">
        <w:rPr>
          <w:rFonts w:ascii="Times New Roman" w:hAnsi="Times New Roman"/>
          <w:lang w:val="en-AU"/>
        </w:rPr>
        <w:t>, changed</w:t>
      </w:r>
      <w:r w:rsidRPr="009C2ADD">
        <w:rPr>
          <w:rFonts w:ascii="Times New Roman" w:hAnsi="Times New Roman"/>
          <w:lang w:val="en-AU"/>
        </w:rPr>
        <w:t xml:space="preserve"> the age-specific fishing mortality and thus </w:t>
      </w:r>
      <w:r w:rsidR="0034646F" w:rsidRPr="009C2ADD">
        <w:rPr>
          <w:rFonts w:ascii="Times New Roman" w:hAnsi="Times New Roman"/>
          <w:lang w:val="en-AU"/>
        </w:rPr>
        <w:t xml:space="preserve">the </w:t>
      </w:r>
      <w:r w:rsidRPr="009C2ADD">
        <w:rPr>
          <w:rFonts w:ascii="Times New Roman" w:hAnsi="Times New Roman"/>
          <w:lang w:val="en-AU"/>
        </w:rPr>
        <w:t>estimated MSY.</w:t>
      </w:r>
    </w:p>
    <w:p w14:paraId="0306FABC"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34FBAF5E" w14:textId="4366AC4A"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commented that the new regional structure essentially assigned more stock to the less exploited tropical waters while significant numbers of bigeye are still found in the region between 10</w:t>
      </w:r>
      <w:r w:rsidR="00410CEC">
        <w:rPr>
          <w:rFonts w:ascii="Times New Roman" w:hAnsi="Times New Roman"/>
          <w:lang w:val="en-AU"/>
        </w:rPr>
        <w:t>ᴼ</w:t>
      </w:r>
      <w:r w:rsidRPr="009C2ADD">
        <w:rPr>
          <w:rFonts w:ascii="Times New Roman" w:hAnsi="Times New Roman"/>
          <w:lang w:val="en-AU"/>
        </w:rPr>
        <w:t>N and 20</w:t>
      </w:r>
      <w:r w:rsidR="00410CEC">
        <w:rPr>
          <w:rFonts w:ascii="Times New Roman" w:hAnsi="Times New Roman"/>
          <w:lang w:val="en-AU"/>
        </w:rPr>
        <w:t>ᴼ</w:t>
      </w:r>
      <w:r w:rsidRPr="009C2ADD">
        <w:rPr>
          <w:rFonts w:ascii="Times New Roman" w:hAnsi="Times New Roman"/>
          <w:lang w:val="en-AU"/>
        </w:rPr>
        <w:t>N.  China also asked how standardized CPUE data were used in the model,</w:t>
      </w:r>
      <w:r w:rsidR="0034646F" w:rsidRPr="009C2ADD">
        <w:rPr>
          <w:rFonts w:ascii="Times New Roman" w:hAnsi="Times New Roman"/>
          <w:lang w:val="en-AU"/>
        </w:rPr>
        <w:t xml:space="preserve"> and noted that fishing effort wa</w:t>
      </w:r>
      <w:r w:rsidRPr="009C2ADD">
        <w:rPr>
          <w:rFonts w:ascii="Times New Roman" w:hAnsi="Times New Roman"/>
          <w:lang w:val="en-AU"/>
        </w:rPr>
        <w:t xml:space="preserve">s often relatively difficult to quantify in the PS fishery.  </w:t>
      </w:r>
      <w:r w:rsidR="00662585">
        <w:rPr>
          <w:rFonts w:ascii="Times New Roman" w:hAnsi="Times New Roman" w:hint="eastAsia"/>
          <w:lang w:val="en-AU" w:eastAsia="ko-KR"/>
        </w:rPr>
        <w:t xml:space="preserve">S. </w:t>
      </w:r>
      <w:r w:rsidRPr="009C2ADD">
        <w:rPr>
          <w:rFonts w:ascii="Times New Roman" w:hAnsi="Times New Roman"/>
          <w:lang w:val="en-AU"/>
        </w:rPr>
        <w:t xml:space="preserve">McKechnie noted that stock synthesis and </w:t>
      </w:r>
      <w:r w:rsidR="006233F1">
        <w:rPr>
          <w:rFonts w:ascii="Times New Roman" w:hAnsi="Times New Roman"/>
          <w:lang w:val="en-AU"/>
        </w:rPr>
        <w:t>MULTIFAN-CL</w:t>
      </w:r>
      <w:r w:rsidRPr="009C2ADD">
        <w:rPr>
          <w:rFonts w:ascii="Times New Roman" w:hAnsi="Times New Roman"/>
          <w:lang w:val="en-AU"/>
        </w:rPr>
        <w:t xml:space="preserve"> use</w:t>
      </w:r>
      <w:r w:rsidR="0034646F" w:rsidRPr="009C2ADD">
        <w:rPr>
          <w:rFonts w:ascii="Times New Roman" w:hAnsi="Times New Roman"/>
          <w:lang w:val="en-AU"/>
        </w:rPr>
        <w:t>d</w:t>
      </w:r>
      <w:r w:rsidRPr="009C2ADD">
        <w:rPr>
          <w:rFonts w:ascii="Times New Roman" w:hAnsi="Times New Roman"/>
          <w:lang w:val="en-AU"/>
        </w:rPr>
        <w:t xml:space="preserve"> different approaches to modelling standardis</w:t>
      </w:r>
      <w:r w:rsidR="0034646F" w:rsidRPr="009C2ADD">
        <w:rPr>
          <w:rFonts w:ascii="Times New Roman" w:hAnsi="Times New Roman"/>
          <w:lang w:val="en-AU"/>
        </w:rPr>
        <w:t>ed CPUE indices. The latter used</w:t>
      </w:r>
      <w:r w:rsidRPr="009C2ADD">
        <w:rPr>
          <w:rFonts w:ascii="Times New Roman" w:hAnsi="Times New Roman"/>
          <w:lang w:val="en-AU"/>
        </w:rPr>
        <w:t xml:space="preserve"> the effort deviations approach where these allow</w:t>
      </w:r>
      <w:r w:rsidR="0034646F" w:rsidRPr="009C2ADD">
        <w:rPr>
          <w:rFonts w:ascii="Times New Roman" w:hAnsi="Times New Roman"/>
          <w:lang w:val="en-AU"/>
        </w:rPr>
        <w:t>ed</w:t>
      </w:r>
      <w:r w:rsidRPr="009C2ADD">
        <w:rPr>
          <w:rFonts w:ascii="Times New Roman" w:hAnsi="Times New Roman"/>
          <w:lang w:val="en-AU"/>
        </w:rPr>
        <w:t xml:space="preserve"> for error in the relationship between fishing effort and fishing mortality. </w:t>
      </w:r>
    </w:p>
    <w:p w14:paraId="18B678C2"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36838752" w14:textId="54EC6CB9"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proposed that otolith data be reanalysed for </w:t>
      </w:r>
      <w:r w:rsidR="00D85176">
        <w:rPr>
          <w:rFonts w:ascii="Times New Roman" w:hAnsi="Times New Roman"/>
          <w:lang w:val="en-AU"/>
        </w:rPr>
        <w:t>L_infinity</w:t>
      </w:r>
      <w:r w:rsidRPr="009C2ADD">
        <w:rPr>
          <w:rFonts w:ascii="Times New Roman" w:hAnsi="Times New Roman"/>
          <w:lang w:val="en-AU"/>
        </w:rPr>
        <w:t xml:space="preserve"> to check for bias associated with the absence </w:t>
      </w:r>
      <w:r w:rsidR="003A65FA" w:rsidRPr="009C2ADD">
        <w:rPr>
          <w:rFonts w:ascii="Times New Roman" w:hAnsi="Times New Roman"/>
          <w:lang w:val="en-AU"/>
        </w:rPr>
        <w:t>of samples</w:t>
      </w:r>
      <w:r w:rsidR="003A65FA">
        <w:rPr>
          <w:rFonts w:ascii="Times New Roman" w:hAnsi="Times New Roman"/>
          <w:lang w:val="en-AU"/>
        </w:rPr>
        <w:t xml:space="preserve"> of large fish</w:t>
      </w:r>
      <w:r w:rsidRPr="009C2ADD">
        <w:rPr>
          <w:rFonts w:ascii="Times New Roman" w:hAnsi="Times New Roman"/>
          <w:lang w:val="en-AU"/>
        </w:rPr>
        <w:t>.  They also suggested that steepness be added to the current five axes of uncertainty included in the assessment.</w:t>
      </w:r>
    </w:p>
    <w:p w14:paraId="56DC18BF"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6EEB2F9A" w14:textId="60B780BB"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Solomon Islands noted that PNA </w:t>
      </w:r>
      <w:r w:rsidR="00D5432C">
        <w:rPr>
          <w:rFonts w:ascii="Times New Roman" w:hAnsi="Times New Roman"/>
          <w:lang w:val="en-AU"/>
        </w:rPr>
        <w:t>member</w:t>
      </w:r>
      <w:r w:rsidRPr="009C2ADD">
        <w:rPr>
          <w:rFonts w:ascii="Times New Roman" w:hAnsi="Times New Roman"/>
          <w:lang w:val="en-AU"/>
        </w:rPr>
        <w:t>s expressed their concern at a recent report which estimated that 30% of the bigeye catch in the tropical longline fishery was not reported. PNA thanked SPC for including a sensitivity test on catch misreportin</w:t>
      </w:r>
      <w:r w:rsidR="0034646F" w:rsidRPr="009C2ADD">
        <w:rPr>
          <w:rFonts w:ascii="Times New Roman" w:hAnsi="Times New Roman"/>
          <w:lang w:val="en-AU"/>
        </w:rPr>
        <w:t xml:space="preserve">g in this assessment, and </w:t>
      </w:r>
      <w:r w:rsidRPr="009C2ADD">
        <w:rPr>
          <w:rFonts w:ascii="Times New Roman" w:hAnsi="Times New Roman"/>
          <w:lang w:val="en-AU"/>
        </w:rPr>
        <w:t>asked whether the sensitivity test took into account the possible effect of misreporting on the CPUE indices used in the assessment or whether it was just taken in</w:t>
      </w:r>
      <w:r w:rsidR="0034646F" w:rsidRPr="009C2ADD">
        <w:rPr>
          <w:rFonts w:ascii="Times New Roman" w:hAnsi="Times New Roman"/>
          <w:lang w:val="en-AU"/>
        </w:rPr>
        <w:t xml:space="preserve">to account in the catch series. </w:t>
      </w:r>
      <w:r w:rsidRPr="009C2ADD">
        <w:rPr>
          <w:rFonts w:ascii="Times New Roman" w:hAnsi="Times New Roman"/>
          <w:lang w:val="en-AU"/>
        </w:rPr>
        <w:t xml:space="preserve"> SPC responded that only the change in catch was included (although effort was also changed to maintain the estimated CPUE ratio),  that most data comes from fleets with low under-reporting, and that sensitivity analysis was preliminary at this stage due to a lack of reliable estimates of misreporting for the range of longline fisheries included in the model.</w:t>
      </w:r>
    </w:p>
    <w:p w14:paraId="398F30A6"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4F8E067A" w14:textId="77777777"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expressed the view that while the likelihood profile differed between tag data and others, the absolute biomass estimation seemed appropriate.</w:t>
      </w:r>
    </w:p>
    <w:p w14:paraId="47C15050"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169B66F1" w14:textId="7AD27859" w:rsidR="00484240" w:rsidRPr="009C2ADD" w:rsidRDefault="0048424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Palau asked for some further explanation of the previous experience with changing the regional structure. SPC responded that previous changes to regional structure were slightly different. In 2005 an extra region was added in the northern temperate are</w:t>
      </w:r>
      <w:r w:rsidR="00CD4B68">
        <w:rPr>
          <w:rFonts w:ascii="Times New Roman" w:hAnsi="Times New Roman" w:hint="eastAsia"/>
          <w:lang w:val="en-AU" w:eastAsia="ko-KR"/>
        </w:rPr>
        <w:t>a</w:t>
      </w:r>
      <w:r w:rsidRPr="009C2ADD">
        <w:rPr>
          <w:rFonts w:ascii="Times New Roman" w:hAnsi="Times New Roman"/>
          <w:lang w:val="en-AU"/>
        </w:rPr>
        <w:t xml:space="preserve">, which led to more pessimistic estimates of stock status. </w:t>
      </w:r>
    </w:p>
    <w:p w14:paraId="63664B5A"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62C8DF40" w14:textId="775FD62E" w:rsidR="00484240" w:rsidRPr="009C2ADD" w:rsidRDefault="003A65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w:t>
      </w:r>
      <w:r>
        <w:rPr>
          <w:rFonts w:ascii="Times New Roman" w:hAnsi="Times New Roman"/>
          <w:lang w:val="en-AU"/>
        </w:rPr>
        <w:t xml:space="preserve">also </w:t>
      </w:r>
      <w:r w:rsidRPr="009C2ADD">
        <w:rPr>
          <w:rFonts w:ascii="Times New Roman" w:hAnsi="Times New Roman"/>
          <w:lang w:val="en-AU"/>
        </w:rPr>
        <w:t xml:space="preserve">suggested that </w:t>
      </w:r>
      <w:r>
        <w:rPr>
          <w:rFonts w:ascii="Times New Roman" w:hAnsi="Times New Roman"/>
          <w:lang w:val="en-AU"/>
        </w:rPr>
        <w:t>an estimate of the standard error</w:t>
      </w:r>
      <w:r w:rsidRPr="009C2ADD">
        <w:rPr>
          <w:rFonts w:ascii="Times New Roman" w:hAnsi="Times New Roman"/>
          <w:lang w:val="en-AU"/>
        </w:rPr>
        <w:t xml:space="preserve"> for </w:t>
      </w:r>
      <w:r w:rsidR="00D85176">
        <w:rPr>
          <w:rFonts w:ascii="Times New Roman" w:hAnsi="Times New Roman"/>
          <w:lang w:val="en-AU"/>
        </w:rPr>
        <w:t>L_infinity</w:t>
      </w:r>
      <w:r w:rsidRPr="009C2ADD">
        <w:rPr>
          <w:rFonts w:ascii="Times New Roman" w:hAnsi="Times New Roman"/>
          <w:lang w:val="en-AU"/>
        </w:rPr>
        <w:t xml:space="preserve"> </w:t>
      </w:r>
      <w:r>
        <w:rPr>
          <w:rFonts w:ascii="Times New Roman" w:hAnsi="Times New Roman"/>
          <w:lang w:val="en-AU"/>
        </w:rPr>
        <w:t>would be</w:t>
      </w:r>
      <w:r w:rsidRPr="009C2ADD">
        <w:rPr>
          <w:rFonts w:ascii="Times New Roman" w:hAnsi="Times New Roman"/>
          <w:lang w:val="en-AU"/>
        </w:rPr>
        <w:t xml:space="preserve"> </w:t>
      </w:r>
      <w:r>
        <w:rPr>
          <w:rFonts w:ascii="Times New Roman" w:hAnsi="Times New Roman"/>
          <w:lang w:val="en-AU"/>
        </w:rPr>
        <w:t>needed for fitting size composition data using the new growth curve</w:t>
      </w:r>
      <w:r w:rsidR="00484240" w:rsidRPr="009C2ADD">
        <w:rPr>
          <w:rFonts w:ascii="Times New Roman" w:hAnsi="Times New Roman"/>
          <w:lang w:val="en-AU"/>
        </w:rPr>
        <w:t xml:space="preserve">.  </w:t>
      </w:r>
    </w:p>
    <w:p w14:paraId="66FD62B3" w14:textId="77777777" w:rsidR="003123E3" w:rsidRPr="009C2ADD" w:rsidRDefault="003123E3" w:rsidP="009C2ADD">
      <w:pPr>
        <w:pStyle w:val="ListParagraph"/>
        <w:adjustRightInd w:val="0"/>
        <w:snapToGrid w:val="0"/>
        <w:contextualSpacing w:val="0"/>
        <w:rPr>
          <w:rFonts w:ascii="Times New Roman" w:hAnsi="Times New Roman"/>
          <w:lang w:val="en-AU"/>
        </w:rPr>
      </w:pPr>
    </w:p>
    <w:p w14:paraId="4F2980D4" w14:textId="36B14ED2" w:rsidR="00484240" w:rsidRPr="009C2ADD" w:rsidRDefault="00F9096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Referring</w:t>
      </w:r>
      <w:r w:rsidR="00484240" w:rsidRPr="009C2ADD">
        <w:rPr>
          <w:rFonts w:ascii="Times New Roman" w:hAnsi="Times New Roman"/>
          <w:lang w:val="en-AU"/>
        </w:rPr>
        <w:t xml:space="preserve"> to China's suggestion to use steepness of 1, RMI recalled from previous work on appropriate levels of steepness, that 0.8 was considered to be an appropriate level for these assessments and has been tested and </w:t>
      </w:r>
      <w:r w:rsidR="0034646F" w:rsidRPr="009C2ADD">
        <w:rPr>
          <w:rFonts w:ascii="Times New Roman" w:hAnsi="Times New Roman"/>
          <w:lang w:val="en-AU"/>
        </w:rPr>
        <w:t xml:space="preserve">broadly agreed.  A value of 1 was </w:t>
      </w:r>
      <w:r w:rsidR="00484240" w:rsidRPr="009C2ADD">
        <w:rPr>
          <w:rFonts w:ascii="Times New Roman" w:hAnsi="Times New Roman"/>
          <w:lang w:val="en-AU"/>
        </w:rPr>
        <w:t xml:space="preserve">unrealistic and not biologically plausible.  China also noted that the absolute value of SB was significantly different from that for the last assessment, </w:t>
      </w:r>
      <w:r w:rsidR="003A65FA" w:rsidRPr="009C2ADD">
        <w:rPr>
          <w:rFonts w:ascii="Times New Roman" w:hAnsi="Times New Roman"/>
          <w:lang w:val="en-AU"/>
        </w:rPr>
        <w:t xml:space="preserve">and that the </w:t>
      </w:r>
      <w:r w:rsidR="003A65FA">
        <w:rPr>
          <w:rFonts w:ascii="Times New Roman" w:hAnsi="Times New Roman"/>
          <w:lang w:val="en-AU"/>
        </w:rPr>
        <w:t xml:space="preserve">validity of the </w:t>
      </w:r>
      <w:r w:rsidR="003A65FA" w:rsidRPr="009C2ADD">
        <w:rPr>
          <w:rFonts w:ascii="Times New Roman" w:hAnsi="Times New Roman"/>
          <w:lang w:val="en-AU"/>
        </w:rPr>
        <w:t xml:space="preserve">assumptions made in the model should be addressed through </w:t>
      </w:r>
      <w:r w:rsidR="003A65FA">
        <w:rPr>
          <w:rFonts w:ascii="Times New Roman" w:hAnsi="Times New Roman"/>
          <w:lang w:val="en-AU"/>
        </w:rPr>
        <w:t xml:space="preserve">further </w:t>
      </w:r>
      <w:r w:rsidR="003A65FA" w:rsidRPr="009C2ADD">
        <w:rPr>
          <w:rFonts w:ascii="Times New Roman" w:hAnsi="Times New Roman"/>
          <w:lang w:val="en-AU"/>
        </w:rPr>
        <w:t>sensitivity analysis</w:t>
      </w:r>
      <w:r w:rsidR="00484240" w:rsidRPr="009C2ADD">
        <w:rPr>
          <w:rFonts w:ascii="Times New Roman" w:hAnsi="Times New Roman"/>
          <w:lang w:val="en-AU"/>
        </w:rPr>
        <w:t>.</w:t>
      </w:r>
    </w:p>
    <w:p w14:paraId="21C06151" w14:textId="77777777" w:rsidR="003123E3" w:rsidRPr="009C2ADD" w:rsidRDefault="003123E3" w:rsidP="009C2ADD">
      <w:pPr>
        <w:pStyle w:val="WCPFC"/>
        <w:numPr>
          <w:ilvl w:val="0"/>
          <w:numId w:val="0"/>
        </w:numPr>
        <w:adjustRightInd w:val="0"/>
        <w:spacing w:after="0"/>
        <w:ind w:left="567" w:hanging="567"/>
        <w:rPr>
          <w:b/>
          <w:lang w:eastAsia="ko-KR"/>
        </w:rPr>
      </w:pPr>
    </w:p>
    <w:p w14:paraId="6300FF58" w14:textId="3A3F1A6F" w:rsidR="00E71C4F" w:rsidRPr="009C2ADD" w:rsidRDefault="000D5143" w:rsidP="009C2ADD">
      <w:pPr>
        <w:pStyle w:val="WCPFC"/>
        <w:numPr>
          <w:ilvl w:val="0"/>
          <w:numId w:val="0"/>
        </w:numPr>
        <w:adjustRightInd w:val="0"/>
        <w:spacing w:after="0"/>
        <w:ind w:left="567" w:hanging="567"/>
        <w:rPr>
          <w:b/>
        </w:rPr>
      </w:pPr>
      <w:r w:rsidRPr="009C2ADD">
        <w:rPr>
          <w:b/>
          <w:lang w:eastAsia="ko-KR"/>
        </w:rPr>
        <w:t xml:space="preserve">4.1.1.2 </w:t>
      </w:r>
      <w:r w:rsidRPr="009C2ADD">
        <w:rPr>
          <w:b/>
          <w:lang w:eastAsia="ko-KR"/>
        </w:rPr>
        <w:tab/>
      </w:r>
      <w:r w:rsidR="00E71C4F" w:rsidRPr="009C2ADD">
        <w:rPr>
          <w:b/>
        </w:rPr>
        <w:t>Provision of scientific information</w:t>
      </w:r>
    </w:p>
    <w:p w14:paraId="6C6236AA" w14:textId="77777777" w:rsidR="003123E3" w:rsidRPr="009C2ADD" w:rsidRDefault="003123E3" w:rsidP="009C2ADD">
      <w:pPr>
        <w:pStyle w:val="WCPFC"/>
        <w:numPr>
          <w:ilvl w:val="0"/>
          <w:numId w:val="0"/>
        </w:numPr>
        <w:adjustRightInd w:val="0"/>
        <w:spacing w:after="0"/>
        <w:ind w:left="567" w:hanging="567"/>
        <w:rPr>
          <w:b/>
        </w:rPr>
      </w:pPr>
    </w:p>
    <w:p w14:paraId="3850BA85" w14:textId="0A641CE9" w:rsidR="00E71C4F" w:rsidRPr="009C2ADD" w:rsidRDefault="00E71C4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noted that the preliminary total bigeye tuna catch in 2016 (154,045</w:t>
      </w:r>
      <w:r w:rsidR="009C216F" w:rsidRPr="009C2ADD">
        <w:rPr>
          <w:rFonts w:ascii="Times New Roman" w:hAnsi="Times New Roman"/>
          <w:lang w:val="en-AU"/>
        </w:rPr>
        <w:t xml:space="preserve"> m</w:t>
      </w:r>
      <w:r w:rsidRPr="009C2ADD">
        <w:rPr>
          <w:rFonts w:ascii="Times New Roman" w:hAnsi="Times New Roman"/>
          <w:lang w:val="en-AU"/>
        </w:rPr>
        <w:t>t) was a 9% increase over 2015 but a 2% decrease over 2011-</w:t>
      </w:r>
      <w:r w:rsidR="00410CEC">
        <w:rPr>
          <w:rFonts w:ascii="Times New Roman" w:hAnsi="Times New Roman" w:hint="eastAsia"/>
          <w:lang w:val="en-AU" w:eastAsia="ko-KR"/>
        </w:rPr>
        <w:t>20</w:t>
      </w:r>
      <w:r w:rsidRPr="009C2ADD">
        <w:rPr>
          <w:rFonts w:ascii="Times New Roman" w:hAnsi="Times New Roman"/>
          <w:lang w:val="en-AU"/>
        </w:rPr>
        <w:t>15. Longline catch (65,371</w:t>
      </w:r>
      <w:r w:rsidR="009C216F" w:rsidRPr="009C2ADD">
        <w:rPr>
          <w:rFonts w:ascii="Times New Roman" w:hAnsi="Times New Roman"/>
          <w:lang w:val="en-AU"/>
        </w:rPr>
        <w:t xml:space="preserve"> m</w:t>
      </w:r>
      <w:r w:rsidRPr="009C2ADD">
        <w:rPr>
          <w:rFonts w:ascii="Times New Roman" w:hAnsi="Times New Roman"/>
          <w:lang w:val="en-AU"/>
        </w:rPr>
        <w:t>t) was 5% lower than in 2015 and 11% lower than the 2011-</w:t>
      </w:r>
      <w:r w:rsidR="00410CEC">
        <w:rPr>
          <w:rFonts w:ascii="Times New Roman" w:hAnsi="Times New Roman" w:hint="eastAsia"/>
          <w:lang w:val="en-AU" w:eastAsia="ko-KR"/>
        </w:rPr>
        <w:t>20</w:t>
      </w:r>
      <w:r w:rsidRPr="009C2ADD">
        <w:rPr>
          <w:rFonts w:ascii="Times New Roman" w:hAnsi="Times New Roman"/>
          <w:lang w:val="en-AU"/>
        </w:rPr>
        <w:t>15 average. Pole and line catch (3,700</w:t>
      </w:r>
      <w:r w:rsidR="009C216F" w:rsidRPr="009C2ADD">
        <w:rPr>
          <w:rFonts w:ascii="Times New Roman" w:hAnsi="Times New Roman"/>
          <w:lang w:val="en-AU"/>
        </w:rPr>
        <w:t xml:space="preserve"> m</w:t>
      </w:r>
      <w:r w:rsidRPr="009C2ADD">
        <w:rPr>
          <w:rFonts w:ascii="Times New Roman" w:hAnsi="Times New Roman"/>
          <w:lang w:val="en-AU"/>
        </w:rPr>
        <w:t>t) was 35% lower than in 2015 and 26% lower than 2011-</w:t>
      </w:r>
      <w:r w:rsidR="00410CEC">
        <w:rPr>
          <w:rFonts w:ascii="Times New Roman" w:hAnsi="Times New Roman" w:hint="eastAsia"/>
          <w:lang w:val="en-AU" w:eastAsia="ko-KR"/>
        </w:rPr>
        <w:t>20</w:t>
      </w:r>
      <w:r w:rsidRPr="009C2ADD">
        <w:rPr>
          <w:rFonts w:ascii="Times New Roman" w:hAnsi="Times New Roman"/>
          <w:lang w:val="en-AU"/>
        </w:rPr>
        <w:t xml:space="preserve">15 average. Purse seine catch (63,304 </w:t>
      </w:r>
      <w:r w:rsidR="009C216F" w:rsidRPr="009C2ADD">
        <w:rPr>
          <w:rFonts w:ascii="Times New Roman" w:hAnsi="Times New Roman"/>
          <w:lang w:val="en-AU"/>
        </w:rPr>
        <w:t>m</w:t>
      </w:r>
      <w:r w:rsidRPr="009C2ADD">
        <w:rPr>
          <w:rFonts w:ascii="Times New Roman" w:hAnsi="Times New Roman"/>
          <w:lang w:val="en-AU"/>
        </w:rPr>
        <w:t>t) was 22% higher than in 2015, but 5% lower than 2011-</w:t>
      </w:r>
      <w:r w:rsidR="00410CEC">
        <w:rPr>
          <w:rFonts w:ascii="Times New Roman" w:hAnsi="Times New Roman" w:hint="eastAsia"/>
          <w:lang w:val="en-AU" w:eastAsia="ko-KR"/>
        </w:rPr>
        <w:t>20</w:t>
      </w:r>
      <w:r w:rsidRPr="009C2ADD">
        <w:rPr>
          <w:rFonts w:ascii="Times New Roman" w:hAnsi="Times New Roman"/>
          <w:lang w:val="en-AU"/>
        </w:rPr>
        <w:t xml:space="preserve">15 average. Catches from other gears (21,670 </w:t>
      </w:r>
      <w:r w:rsidR="009C216F" w:rsidRPr="009C2ADD">
        <w:rPr>
          <w:rFonts w:ascii="Times New Roman" w:hAnsi="Times New Roman"/>
          <w:lang w:val="en-AU"/>
        </w:rPr>
        <w:t>m</w:t>
      </w:r>
      <w:r w:rsidRPr="009C2ADD">
        <w:rPr>
          <w:rFonts w:ascii="Times New Roman" w:hAnsi="Times New Roman"/>
          <w:lang w:val="en-AU"/>
        </w:rPr>
        <w:t>t) were 44 % higher than in 2015 and 76% higher than the 2011-</w:t>
      </w:r>
      <w:r w:rsidR="00410CEC">
        <w:rPr>
          <w:rFonts w:ascii="Times New Roman" w:hAnsi="Times New Roman" w:hint="eastAsia"/>
          <w:lang w:val="en-AU" w:eastAsia="ko-KR"/>
        </w:rPr>
        <w:t>20</w:t>
      </w:r>
      <w:r w:rsidRPr="009C2ADD">
        <w:rPr>
          <w:rFonts w:ascii="Times New Roman" w:hAnsi="Times New Roman"/>
          <w:lang w:val="en-AU"/>
        </w:rPr>
        <w:t xml:space="preserve">15 average (see </w:t>
      </w:r>
      <w:r w:rsidRPr="0070772D">
        <w:rPr>
          <w:rFonts w:ascii="Times New Roman" w:hAnsi="Times New Roman"/>
          <w:bCs/>
          <w:lang w:val="en-AU"/>
        </w:rPr>
        <w:t>SC13-SA-WP-02</w:t>
      </w:r>
      <w:r w:rsidRPr="009C2ADD">
        <w:rPr>
          <w:rFonts w:ascii="Times New Roman" w:hAnsi="Times New Roman"/>
          <w:lang w:val="en-AU"/>
        </w:rPr>
        <w:t xml:space="preserve">). </w:t>
      </w:r>
    </w:p>
    <w:p w14:paraId="0ED81A96" w14:textId="77777777" w:rsidR="003123E3" w:rsidRPr="009C2ADD" w:rsidRDefault="003123E3" w:rsidP="009C2ADD">
      <w:pPr>
        <w:autoSpaceDE w:val="0"/>
        <w:autoSpaceDN w:val="0"/>
        <w:adjustRightInd w:val="0"/>
        <w:snapToGrid w:val="0"/>
        <w:spacing w:after="0"/>
        <w:rPr>
          <w:rFonts w:ascii="Times New Roman" w:hAnsi="Times New Roman"/>
          <w:lang w:val="en-AU"/>
        </w:rPr>
      </w:pPr>
    </w:p>
    <w:p w14:paraId="74ECA8BF" w14:textId="77777777" w:rsidR="00E71C4F" w:rsidRPr="009C2ADD" w:rsidRDefault="00E71C4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endorsed the 2017 WCPO bigeye tuna stock assessment as the most advanced and comprehensive assessment yet conducted for this species. </w:t>
      </w:r>
    </w:p>
    <w:p w14:paraId="010984AE" w14:textId="77777777" w:rsidR="003123E3" w:rsidRPr="009C2ADD" w:rsidRDefault="003123E3" w:rsidP="009C2ADD">
      <w:pPr>
        <w:pStyle w:val="ListParagraph"/>
        <w:adjustRightInd w:val="0"/>
        <w:snapToGrid w:val="0"/>
        <w:contextualSpacing w:val="0"/>
        <w:rPr>
          <w:rFonts w:ascii="Times New Roman" w:hAnsi="Times New Roman"/>
          <w:b/>
          <w:lang w:val="en-AU"/>
        </w:rPr>
      </w:pPr>
    </w:p>
    <w:p w14:paraId="3612A139" w14:textId="77777777" w:rsidR="00E71C4F" w:rsidRPr="009C2ADD" w:rsidRDefault="00E71C4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endorsed the use of the assessment model uncertainty grid to characterize stock status and management advice and implications but noted the large variance in the assessment results, mainly due to the inclusion of the old and new regional structures and growth curves, for which some CCMs considered further investigation is necessary.</w:t>
      </w:r>
    </w:p>
    <w:p w14:paraId="0B62D110" w14:textId="77777777" w:rsidR="003123E3" w:rsidRPr="009C2ADD" w:rsidRDefault="003123E3" w:rsidP="009C2ADD">
      <w:pPr>
        <w:pStyle w:val="ListParagraph"/>
        <w:adjustRightInd w:val="0"/>
        <w:snapToGrid w:val="0"/>
        <w:contextualSpacing w:val="0"/>
        <w:rPr>
          <w:rFonts w:ascii="Times New Roman" w:hAnsi="Times New Roman"/>
          <w:b/>
          <w:lang w:val="en-AU"/>
        </w:rPr>
      </w:pPr>
    </w:p>
    <w:p w14:paraId="03BFC8AD" w14:textId="4B9B66BB" w:rsidR="00E71C4F" w:rsidRPr="009C2ADD" w:rsidRDefault="00E71C4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reached consensus on the weighting of assessment models in the uncertainty grid for bigeye tuna. </w:t>
      </w:r>
      <w:r w:rsidR="003A65FA">
        <w:rPr>
          <w:rFonts w:ascii="Times New Roman" w:hAnsi="Times New Roman"/>
          <w:b/>
          <w:lang w:val="en-AU"/>
        </w:rPr>
        <w:t>The</w:t>
      </w:r>
      <w:r w:rsidRPr="009C2ADD">
        <w:rPr>
          <w:rFonts w:ascii="Times New Roman" w:hAnsi="Times New Roman"/>
          <w:b/>
          <w:lang w:val="en-AU"/>
        </w:rPr>
        <w:t xml:space="preserve"> consensus weighting considered all options within the four axes of uncertainty for steepness, tagging dispersion, size frequency and regional structure to be equally likely. For the growth axis of uncertainty, the new growth curve models (n=36 models, weight=3, 108 model weight units) were weighted three times more than the old growth curve models (n=36 models, weight=1, 36 model weight units). In total there were 144 model weight units. The resulting uncertainty grid was used to characterize stock status, to summarize reference points as provided in the assessment document </w:t>
      </w:r>
      <w:r w:rsidRPr="00AF1231">
        <w:rPr>
          <w:rFonts w:ascii="Times New Roman" w:hAnsi="Times New Roman"/>
          <w:b/>
          <w:lang w:val="en-AU"/>
        </w:rPr>
        <w:t>SC13-SA-WP-05</w:t>
      </w:r>
      <w:r w:rsidRPr="009C2ADD">
        <w:rPr>
          <w:rFonts w:ascii="Times New Roman" w:hAnsi="Times New Roman"/>
          <w:b/>
          <w:lang w:val="en-AU"/>
        </w:rPr>
        <w:t>, and to calculate the probability of breaching the adopted spawning biomass limit reference point (0.2*SB</w:t>
      </w:r>
      <w:r w:rsidRPr="0070772D">
        <w:rPr>
          <w:rFonts w:ascii="Times New Roman" w:hAnsi="Times New Roman"/>
          <w:b/>
          <w:vertAlign w:val="subscript"/>
          <w:lang w:val="en-AU"/>
        </w:rPr>
        <w:t>F=0</w:t>
      </w:r>
      <w:r w:rsidRPr="009C2ADD">
        <w:rPr>
          <w:rFonts w:ascii="Times New Roman" w:hAnsi="Times New Roman"/>
          <w:b/>
          <w:lang w:val="en-AU"/>
        </w:rPr>
        <w:t>) and the probability of F</w:t>
      </w:r>
      <w:r w:rsidRPr="0070772D">
        <w:rPr>
          <w:rFonts w:ascii="Times New Roman" w:hAnsi="Times New Roman"/>
          <w:b/>
          <w:vertAlign w:val="subscript"/>
          <w:lang w:val="en-AU"/>
        </w:rPr>
        <w:t>recent</w:t>
      </w:r>
      <w:r w:rsidRPr="009C2ADD">
        <w:rPr>
          <w:rFonts w:ascii="Times New Roman" w:hAnsi="Times New Roman"/>
          <w:b/>
          <w:lang w:val="en-AU"/>
        </w:rPr>
        <w:t xml:space="preserve"> being greater than F</w:t>
      </w:r>
      <w:r w:rsidR="00300F08" w:rsidRPr="0070772D">
        <w:rPr>
          <w:rFonts w:ascii="Times New Roman" w:hAnsi="Times New Roman"/>
          <w:b/>
          <w:vertAlign w:val="subscript"/>
          <w:lang w:val="en-AU" w:eastAsia="ko-KR"/>
        </w:rPr>
        <w:t>MSY</w:t>
      </w:r>
      <w:r w:rsidRPr="009C2ADD">
        <w:rPr>
          <w:rFonts w:ascii="Times New Roman" w:hAnsi="Times New Roman"/>
          <w:b/>
          <w:lang w:val="en-AU"/>
        </w:rPr>
        <w:t xml:space="preserve">. It should be noted that the results would vary depending on the choice and/or weighting of grids, in particular the growth curve model, thus those characterizations of central tendency of stock status need to be interpreted with caution.  </w:t>
      </w:r>
    </w:p>
    <w:p w14:paraId="68FB17E5" w14:textId="77777777" w:rsidR="003123E3" w:rsidRPr="009C2ADD" w:rsidRDefault="003123E3" w:rsidP="009C2ADD">
      <w:pPr>
        <w:autoSpaceDE w:val="0"/>
        <w:autoSpaceDN w:val="0"/>
        <w:adjustRightInd w:val="0"/>
        <w:snapToGrid w:val="0"/>
        <w:spacing w:after="0"/>
        <w:rPr>
          <w:rFonts w:ascii="Times New Roman" w:hAnsi="Times New Roman"/>
          <w:b/>
          <w:lang w:val="en-AU"/>
        </w:rPr>
      </w:pPr>
    </w:p>
    <w:p w14:paraId="7123AC18" w14:textId="67E663F8" w:rsidR="00E71C4F" w:rsidRPr="009C2ADD" w:rsidRDefault="00E71C4F" w:rsidP="00001F31">
      <w:pPr>
        <w:pStyle w:val="WCPFC"/>
        <w:numPr>
          <w:ilvl w:val="0"/>
          <w:numId w:val="186"/>
        </w:numPr>
        <w:adjustRightInd w:val="0"/>
        <w:spacing w:after="0"/>
        <w:ind w:left="0" w:firstLine="0"/>
        <w:rPr>
          <w:b/>
        </w:rPr>
      </w:pPr>
      <w:r w:rsidRPr="009C2ADD">
        <w:rPr>
          <w:b/>
        </w:rPr>
        <w:t>Stock status and trends</w:t>
      </w:r>
    </w:p>
    <w:p w14:paraId="03D0982B" w14:textId="77777777" w:rsidR="003123E3" w:rsidRPr="009C2ADD" w:rsidRDefault="003123E3" w:rsidP="009C2ADD">
      <w:pPr>
        <w:pStyle w:val="WCPFC"/>
        <w:numPr>
          <w:ilvl w:val="0"/>
          <w:numId w:val="0"/>
        </w:numPr>
        <w:adjustRightInd w:val="0"/>
        <w:spacing w:after="0"/>
        <w:ind w:left="720"/>
        <w:rPr>
          <w:b/>
        </w:rPr>
      </w:pPr>
    </w:p>
    <w:p w14:paraId="008E0018" w14:textId="3608AECF" w:rsidR="006C6EBA" w:rsidRPr="009C2ADD" w:rsidRDefault="006C6EB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(2012-2015) spawning biomass (SB</w:t>
      </w:r>
      <w:r w:rsidRPr="0070772D">
        <w:rPr>
          <w:rFonts w:ascii="Times New Roman" w:hAnsi="Times New Roman"/>
          <w:b/>
          <w:vertAlign w:val="subscript"/>
          <w:lang w:val="en-AU"/>
        </w:rPr>
        <w:t>recent</w:t>
      </w:r>
      <w:r w:rsidRPr="009C2ADD">
        <w:rPr>
          <w:rFonts w:ascii="Times New Roman" w:hAnsi="Times New Roman"/>
          <w:b/>
          <w:lang w:val="en-AU"/>
        </w:rPr>
        <w:t>/</w:t>
      </w:r>
      <w:r w:rsidR="00300F08" w:rsidRPr="00300F08">
        <w:t xml:space="preserve"> </w:t>
      </w:r>
      <w:r w:rsidR="00300F08" w:rsidRPr="0070772D">
        <w:rPr>
          <w:rFonts w:ascii="Times New Roman" w:hAnsi="Times New Roman"/>
          <w:b/>
        </w:rPr>
        <w:t>SB</w:t>
      </w:r>
      <w:r w:rsidR="00300F08" w:rsidRPr="0070772D">
        <w:rPr>
          <w:rFonts w:ascii="Times New Roman" w:hAnsi="Times New Roman"/>
          <w:b/>
          <w:vertAlign w:val="subscript"/>
        </w:rPr>
        <w:t>F=0</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w:t>
      </w:r>
      <w:r w:rsidRPr="00300F08">
        <w:rPr>
          <w:rFonts w:ascii="Times New Roman" w:hAnsi="Times New Roman"/>
          <w:b/>
          <w:lang w:val="en-AU"/>
        </w:rPr>
        <w:t>F</w:t>
      </w:r>
      <w:r w:rsidR="00300F08" w:rsidRPr="0070772D">
        <w:rPr>
          <w:rFonts w:ascii="Times New Roman" w:hAnsi="Times New Roman"/>
          <w:b/>
          <w:vertAlign w:val="subscript"/>
          <w:lang w:val="en-AU" w:eastAsia="ko-KR"/>
        </w:rPr>
        <w:t>MSY</w:t>
      </w:r>
      <w:r w:rsidRPr="009C2ADD">
        <w:rPr>
          <w:rFonts w:ascii="Times New Roman" w:hAnsi="Times New Roman"/>
          <w:b/>
          <w:lang w:val="en-AU"/>
        </w:rPr>
        <w:t xml:space="preserve">)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6C8D6A65" w14:textId="77777777" w:rsidR="003123E3" w:rsidRPr="009C2ADD" w:rsidRDefault="003123E3" w:rsidP="009C2ADD">
      <w:pPr>
        <w:autoSpaceDE w:val="0"/>
        <w:autoSpaceDN w:val="0"/>
        <w:adjustRightInd w:val="0"/>
        <w:snapToGrid w:val="0"/>
        <w:spacing w:after="0"/>
        <w:rPr>
          <w:rFonts w:ascii="Times New Roman" w:hAnsi="Times New Roman"/>
          <w:b/>
          <w:lang w:val="en-AU"/>
        </w:rPr>
      </w:pPr>
    </w:p>
    <w:p w14:paraId="62A6576F" w14:textId="07FF7B6E" w:rsidR="006C6EBA" w:rsidRPr="009C2ADD" w:rsidRDefault="006C6EB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 </w:t>
      </w:r>
      <w:r w:rsidR="003A65FA">
        <w:rPr>
          <w:rFonts w:ascii="Times New Roman" w:hAnsi="Times New Roman"/>
          <w:b/>
          <w:lang w:val="en-AU"/>
        </w:rPr>
        <w:t>d</w:t>
      </w:r>
      <w:r w:rsidRPr="009C2ADD">
        <w:rPr>
          <w:rFonts w:ascii="Times New Roman" w:hAnsi="Times New Roman"/>
          <w:b/>
          <w:lang w:val="en-AU"/>
        </w:rPr>
        <w:t>escription of the updated structural sensitivity grid used to characterize uncertainty in the assessment was set out in Table BET-1. Time series of total annual catch by fishing gear for the diagnostic case model over the full assessment period is shown in Figure</w:t>
      </w:r>
      <w:r w:rsidR="00CE7ACF">
        <w:rPr>
          <w:rFonts w:ascii="Times New Roman" w:hAnsi="Times New Roman" w:hint="eastAsia"/>
          <w:b/>
          <w:lang w:val="en-AU" w:eastAsia="ko-KR"/>
        </w:rPr>
        <w:t xml:space="preserve"> BET</w:t>
      </w:r>
      <w:r w:rsidRPr="009C2ADD">
        <w:rPr>
          <w:rFonts w:ascii="Times New Roman" w:hAnsi="Times New Roman"/>
          <w:b/>
          <w:lang w:val="en-AU"/>
        </w:rPr>
        <w:t xml:space="preserve">-1.  Estimated annual average recruitment, spawning potential, juvenile and adult fishing mortality and fishing depletion for the diagnostic case model are shown in Figures BET-2 – BET-5.  Figures BET-6 and BET-7 display Majuro plots summarising the results for each of the models in the structural uncertainty grid. Figures BET-8 and BET-9 show Kobe plots summarising the results for each of the models in the structural uncertainty grid.  </w:t>
      </w:r>
      <w:r w:rsidR="00401B5D">
        <w:rPr>
          <w:rFonts w:ascii="Times New Roman" w:hAnsi="Times New Roman" w:hint="eastAsia"/>
          <w:b/>
          <w:lang w:val="en-AU" w:eastAsia="ko-KR"/>
        </w:rPr>
        <w:t xml:space="preserve">Figure BET-10 </w:t>
      </w:r>
      <w:r w:rsidR="004E7F00" w:rsidRPr="0048229F">
        <w:rPr>
          <w:rFonts w:ascii="Times New Roman" w:hAnsi="Times New Roman"/>
          <w:b/>
          <w:lang w:val="en-AU" w:eastAsia="ko-KR"/>
        </w:rPr>
        <w:t xml:space="preserve">provides </w:t>
      </w:r>
      <w:r w:rsidR="00214513">
        <w:rPr>
          <w:rFonts w:ascii="Times New Roman" w:hAnsi="Times New Roman"/>
          <w:b/>
          <w:lang w:val="en-AU" w:eastAsia="ko-KR"/>
        </w:rPr>
        <w:t>estimated</w:t>
      </w:r>
      <w:r w:rsidR="004E7F00" w:rsidRPr="0070772D">
        <w:rPr>
          <w:rFonts w:ascii="Times New Roman" w:hAnsi="Times New Roman"/>
          <w:b/>
        </w:rPr>
        <w:t xml:space="preserve"> time-series (or “dynamic”) Majuro and Kobe plots from the bigeye ‘diagnostic case’ model run</w:t>
      </w:r>
      <w:r w:rsidR="004E7F00">
        <w:rPr>
          <w:rFonts w:ascii="Times New Roman" w:hAnsi="Times New Roman" w:hint="eastAsia"/>
          <w:b/>
          <w:lang w:eastAsia="ko-KR"/>
        </w:rPr>
        <w:t>.</w:t>
      </w:r>
      <w:r w:rsidR="004E7F00" w:rsidRPr="004E7F00">
        <w:rPr>
          <w:rFonts w:ascii="Times New Roman" w:hAnsi="Times New Roman"/>
          <w:b/>
          <w:lang w:val="en-AU"/>
        </w:rPr>
        <w:t xml:space="preserve"> </w:t>
      </w:r>
      <w:r w:rsidRPr="004E7F00">
        <w:rPr>
          <w:rFonts w:ascii="Times New Roman" w:hAnsi="Times New Roman"/>
          <w:b/>
          <w:lang w:val="en-AU"/>
        </w:rPr>
        <w:t>Figure</w:t>
      </w:r>
      <w:r w:rsidRPr="009C2ADD">
        <w:rPr>
          <w:rFonts w:ascii="Times New Roman" w:hAnsi="Times New Roman"/>
          <w:b/>
          <w:lang w:val="en-AU"/>
        </w:rPr>
        <w:t xml:space="preserve"> BET-1</w:t>
      </w:r>
      <w:r w:rsidR="004E7F00">
        <w:rPr>
          <w:rFonts w:ascii="Times New Roman" w:hAnsi="Times New Roman" w:hint="eastAsia"/>
          <w:b/>
          <w:lang w:val="en-AU" w:eastAsia="ko-KR"/>
        </w:rPr>
        <w:t>1</w:t>
      </w:r>
      <w:r w:rsidRPr="009C2ADD">
        <w:rPr>
          <w:rFonts w:ascii="Times New Roman" w:hAnsi="Times New Roman"/>
          <w:b/>
          <w:lang w:val="en-AU"/>
        </w:rPr>
        <w:t xml:space="preserve"> provides estimates of reduction in spawning potential due to fishing by region, and over all regions attributed to various fishery groups (gear-types) for the diagnostic case model. Table BET-2 </w:t>
      </w:r>
      <w:r w:rsidR="00CE7ACF">
        <w:rPr>
          <w:rFonts w:ascii="Times New Roman" w:hAnsi="Times New Roman" w:hint="eastAsia"/>
          <w:b/>
          <w:lang w:val="en-AU" w:eastAsia="ko-KR"/>
        </w:rPr>
        <w:t>p</w:t>
      </w:r>
      <w:r w:rsidRPr="009C2ADD">
        <w:rPr>
          <w:rFonts w:ascii="Times New Roman" w:hAnsi="Times New Roman"/>
          <w:b/>
          <w:lang w:val="en-AU"/>
        </w:rPr>
        <w:t>rovides a summary of reference points over the 72 models in the structural uncertainty grid.</w:t>
      </w:r>
    </w:p>
    <w:p w14:paraId="22751871" w14:textId="77777777" w:rsidR="0019314C" w:rsidRPr="009C2ADD" w:rsidRDefault="0019314C" w:rsidP="009C2ADD">
      <w:pPr>
        <w:pStyle w:val="WCPFC"/>
        <w:numPr>
          <w:ilvl w:val="0"/>
          <w:numId w:val="0"/>
        </w:numPr>
        <w:adjustRightInd w:val="0"/>
        <w:spacing w:after="0"/>
        <w:ind w:left="567"/>
        <w:jc w:val="center"/>
        <w:rPr>
          <w:b/>
        </w:rPr>
      </w:pPr>
    </w:p>
    <w:p w14:paraId="01376133" w14:textId="77777777" w:rsidR="0019314C" w:rsidRPr="009C2ADD" w:rsidRDefault="0019314C" w:rsidP="009C2ADD">
      <w:pPr>
        <w:pStyle w:val="WCPFC"/>
        <w:numPr>
          <w:ilvl w:val="0"/>
          <w:numId w:val="0"/>
        </w:numPr>
        <w:adjustRightInd w:val="0"/>
        <w:spacing w:after="0"/>
        <w:jc w:val="left"/>
      </w:pPr>
      <w:proofErr w:type="gramStart"/>
      <w:r w:rsidRPr="009C2ADD">
        <w:rPr>
          <w:b/>
        </w:rPr>
        <w:t>Table BET-1.</w:t>
      </w:r>
      <w:proofErr w:type="gramEnd"/>
      <w:r w:rsidRPr="009C2ADD">
        <w:rPr>
          <w:b/>
        </w:rPr>
        <w:t xml:space="preserve"> </w:t>
      </w:r>
      <w:r w:rsidRPr="009C2ADD">
        <w:t>Description of the updated structural sensitivity grid used to characterize uncertainty in the assessment.</w:t>
      </w:r>
    </w:p>
    <w:tbl>
      <w:tblPr>
        <w:tblW w:w="5000" w:type="pct"/>
        <w:jc w:val="center"/>
        <w:tblLook w:val="04A0" w:firstRow="1" w:lastRow="0" w:firstColumn="1" w:lastColumn="0" w:noHBand="0" w:noVBand="1"/>
      </w:tblPr>
      <w:tblGrid>
        <w:gridCol w:w="3184"/>
        <w:gridCol w:w="1547"/>
        <w:gridCol w:w="4845"/>
      </w:tblGrid>
      <w:tr w:rsidR="00D352AD" w:rsidRPr="009C2ADD" w14:paraId="6FF433F7" w14:textId="77777777" w:rsidTr="003123E3">
        <w:trPr>
          <w:jc w:val="center"/>
        </w:trPr>
        <w:tc>
          <w:tcPr>
            <w:tcW w:w="1662" w:type="pct"/>
            <w:tcBorders>
              <w:top w:val="single" w:sz="12" w:space="0" w:color="auto"/>
              <w:bottom w:val="single" w:sz="12" w:space="0" w:color="auto"/>
            </w:tcBorders>
            <w:shd w:val="clear" w:color="auto" w:fill="auto"/>
            <w:vAlign w:val="center"/>
          </w:tcPr>
          <w:p w14:paraId="44989334" w14:textId="77777777" w:rsidR="0019314C" w:rsidRPr="009C2ADD" w:rsidRDefault="0019314C" w:rsidP="009C2ADD">
            <w:pPr>
              <w:adjustRightInd w:val="0"/>
              <w:snapToGrid w:val="0"/>
              <w:spacing w:after="0"/>
              <w:rPr>
                <w:rFonts w:ascii="Times New Roman" w:hAnsi="Times New Roman"/>
                <w:b/>
                <w:lang w:val="en-AU" w:eastAsia="en-AU"/>
              </w:rPr>
            </w:pPr>
            <w:r w:rsidRPr="009C2ADD">
              <w:rPr>
                <w:rFonts w:ascii="Times New Roman" w:hAnsi="Times New Roman"/>
                <w:b/>
                <w:lang w:val="en-AU" w:eastAsia="en-AU"/>
              </w:rPr>
              <w:t>Axis</w:t>
            </w:r>
          </w:p>
        </w:tc>
        <w:tc>
          <w:tcPr>
            <w:tcW w:w="808" w:type="pct"/>
            <w:tcBorders>
              <w:top w:val="single" w:sz="12" w:space="0" w:color="auto"/>
              <w:bottom w:val="single" w:sz="12" w:space="0" w:color="auto"/>
            </w:tcBorders>
            <w:shd w:val="clear" w:color="auto" w:fill="auto"/>
            <w:vAlign w:val="center"/>
          </w:tcPr>
          <w:p w14:paraId="2C541C24" w14:textId="77777777" w:rsidR="0019314C" w:rsidRPr="009C2ADD" w:rsidRDefault="0019314C" w:rsidP="009C2ADD">
            <w:pPr>
              <w:adjustRightInd w:val="0"/>
              <w:snapToGrid w:val="0"/>
              <w:spacing w:after="0"/>
              <w:jc w:val="center"/>
              <w:rPr>
                <w:rFonts w:ascii="Times New Roman" w:hAnsi="Times New Roman"/>
                <w:b/>
                <w:lang w:val="en-AU" w:eastAsia="en-AU"/>
              </w:rPr>
            </w:pPr>
            <w:r w:rsidRPr="009C2ADD">
              <w:rPr>
                <w:rFonts w:ascii="Times New Roman" w:hAnsi="Times New Roman"/>
                <w:b/>
                <w:lang w:val="en-AU" w:eastAsia="en-AU"/>
              </w:rPr>
              <w:t>Levels</w:t>
            </w:r>
          </w:p>
        </w:tc>
        <w:tc>
          <w:tcPr>
            <w:tcW w:w="2529" w:type="pct"/>
            <w:tcBorders>
              <w:top w:val="single" w:sz="12" w:space="0" w:color="auto"/>
              <w:bottom w:val="single" w:sz="12" w:space="0" w:color="auto"/>
            </w:tcBorders>
            <w:shd w:val="clear" w:color="auto" w:fill="auto"/>
            <w:vAlign w:val="center"/>
          </w:tcPr>
          <w:p w14:paraId="31C865C0" w14:textId="77777777" w:rsidR="0019314C" w:rsidRPr="009C2ADD" w:rsidRDefault="0019314C" w:rsidP="009C2ADD">
            <w:pPr>
              <w:adjustRightInd w:val="0"/>
              <w:snapToGrid w:val="0"/>
              <w:spacing w:after="0"/>
              <w:ind w:left="184" w:hanging="184"/>
              <w:rPr>
                <w:rFonts w:ascii="Times New Roman" w:hAnsi="Times New Roman"/>
                <w:b/>
                <w:lang w:val="en-AU" w:eastAsia="en-AU"/>
              </w:rPr>
            </w:pPr>
            <w:r w:rsidRPr="009C2ADD">
              <w:rPr>
                <w:rFonts w:ascii="Times New Roman" w:hAnsi="Times New Roman"/>
                <w:b/>
                <w:lang w:val="en-AU" w:eastAsia="en-AU"/>
              </w:rPr>
              <w:t>Option</w:t>
            </w:r>
          </w:p>
        </w:tc>
      </w:tr>
      <w:tr w:rsidR="00D352AD" w:rsidRPr="009C2ADD" w14:paraId="75957C04" w14:textId="77777777" w:rsidTr="003123E3">
        <w:trPr>
          <w:jc w:val="center"/>
        </w:trPr>
        <w:tc>
          <w:tcPr>
            <w:tcW w:w="1662" w:type="pct"/>
            <w:tcBorders>
              <w:top w:val="single" w:sz="12" w:space="0" w:color="auto"/>
            </w:tcBorders>
            <w:shd w:val="clear" w:color="auto" w:fill="auto"/>
            <w:vAlign w:val="center"/>
          </w:tcPr>
          <w:p w14:paraId="067A73EF"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Steepness</w:t>
            </w:r>
          </w:p>
        </w:tc>
        <w:tc>
          <w:tcPr>
            <w:tcW w:w="808" w:type="pct"/>
            <w:tcBorders>
              <w:top w:val="single" w:sz="12" w:space="0" w:color="auto"/>
            </w:tcBorders>
            <w:shd w:val="clear" w:color="auto" w:fill="auto"/>
            <w:vAlign w:val="center"/>
          </w:tcPr>
          <w:p w14:paraId="22BE4C34" w14:textId="77777777" w:rsidR="0019314C" w:rsidRPr="009C2ADD" w:rsidRDefault="0019314C" w:rsidP="009C2ADD">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3</w:t>
            </w:r>
          </w:p>
        </w:tc>
        <w:tc>
          <w:tcPr>
            <w:tcW w:w="2529" w:type="pct"/>
            <w:tcBorders>
              <w:top w:val="single" w:sz="12" w:space="0" w:color="auto"/>
            </w:tcBorders>
            <w:shd w:val="clear" w:color="auto" w:fill="auto"/>
            <w:vAlign w:val="center"/>
          </w:tcPr>
          <w:p w14:paraId="797E1917"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0.65, 0.80, 0.95</w:t>
            </w:r>
          </w:p>
        </w:tc>
      </w:tr>
      <w:tr w:rsidR="00D352AD" w:rsidRPr="009C2ADD" w14:paraId="5F23C5B7" w14:textId="77777777" w:rsidTr="003123E3">
        <w:trPr>
          <w:jc w:val="center"/>
        </w:trPr>
        <w:tc>
          <w:tcPr>
            <w:tcW w:w="1662" w:type="pct"/>
            <w:shd w:val="clear" w:color="auto" w:fill="auto"/>
            <w:vAlign w:val="center"/>
          </w:tcPr>
          <w:p w14:paraId="02C39E9E"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Growth</w:t>
            </w:r>
          </w:p>
        </w:tc>
        <w:tc>
          <w:tcPr>
            <w:tcW w:w="808" w:type="pct"/>
            <w:shd w:val="clear" w:color="auto" w:fill="auto"/>
            <w:vAlign w:val="center"/>
          </w:tcPr>
          <w:p w14:paraId="25A8BBF0" w14:textId="77777777" w:rsidR="0019314C" w:rsidRPr="009C2ADD" w:rsidRDefault="0019314C" w:rsidP="009C2ADD">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shd w:val="clear" w:color="auto" w:fill="auto"/>
            <w:vAlign w:val="center"/>
          </w:tcPr>
          <w:p w14:paraId="553EA3EE"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‘Old growth’, ‘New growth’</w:t>
            </w:r>
          </w:p>
        </w:tc>
      </w:tr>
      <w:tr w:rsidR="00D352AD" w:rsidRPr="009C2ADD" w14:paraId="0E5123DB" w14:textId="77777777" w:rsidTr="003123E3">
        <w:trPr>
          <w:jc w:val="center"/>
        </w:trPr>
        <w:tc>
          <w:tcPr>
            <w:tcW w:w="1662" w:type="pct"/>
            <w:shd w:val="clear" w:color="auto" w:fill="auto"/>
            <w:vAlign w:val="center"/>
          </w:tcPr>
          <w:p w14:paraId="7A64D8AA"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Tagging over-dispersion</w:t>
            </w:r>
          </w:p>
        </w:tc>
        <w:tc>
          <w:tcPr>
            <w:tcW w:w="808" w:type="pct"/>
            <w:shd w:val="clear" w:color="auto" w:fill="auto"/>
            <w:vAlign w:val="center"/>
          </w:tcPr>
          <w:p w14:paraId="09D8F423" w14:textId="77777777" w:rsidR="0019314C" w:rsidRPr="009C2ADD" w:rsidRDefault="0019314C" w:rsidP="009C2ADD">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shd w:val="clear" w:color="auto" w:fill="auto"/>
            <w:vAlign w:val="center"/>
          </w:tcPr>
          <w:p w14:paraId="631A9849"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Default level (1), fixed (moderate) level</w:t>
            </w:r>
          </w:p>
        </w:tc>
      </w:tr>
      <w:tr w:rsidR="00D352AD" w:rsidRPr="009C2ADD" w14:paraId="14C24DD3" w14:textId="77777777" w:rsidTr="003123E3">
        <w:trPr>
          <w:jc w:val="center"/>
        </w:trPr>
        <w:tc>
          <w:tcPr>
            <w:tcW w:w="1662" w:type="pct"/>
            <w:shd w:val="clear" w:color="auto" w:fill="auto"/>
            <w:vAlign w:val="center"/>
          </w:tcPr>
          <w:p w14:paraId="59D93B49"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Size frequency weighting</w:t>
            </w:r>
          </w:p>
        </w:tc>
        <w:tc>
          <w:tcPr>
            <w:tcW w:w="808" w:type="pct"/>
            <w:shd w:val="clear" w:color="auto" w:fill="auto"/>
            <w:vAlign w:val="center"/>
          </w:tcPr>
          <w:p w14:paraId="7DC4383B" w14:textId="77777777" w:rsidR="0019314C" w:rsidRPr="009C2ADD" w:rsidRDefault="0019314C" w:rsidP="009C2ADD">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3</w:t>
            </w:r>
          </w:p>
        </w:tc>
        <w:tc>
          <w:tcPr>
            <w:tcW w:w="2529" w:type="pct"/>
            <w:shd w:val="clear" w:color="auto" w:fill="auto"/>
            <w:vAlign w:val="center"/>
          </w:tcPr>
          <w:p w14:paraId="6BAE3208"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Sample sizes divided by 10, 20, 50</w:t>
            </w:r>
          </w:p>
        </w:tc>
      </w:tr>
      <w:tr w:rsidR="0019314C" w:rsidRPr="009C2ADD" w14:paraId="531F073A" w14:textId="77777777" w:rsidTr="003123E3">
        <w:trPr>
          <w:jc w:val="center"/>
        </w:trPr>
        <w:tc>
          <w:tcPr>
            <w:tcW w:w="1662" w:type="pct"/>
            <w:tcBorders>
              <w:bottom w:val="single" w:sz="12" w:space="0" w:color="auto"/>
            </w:tcBorders>
            <w:shd w:val="clear" w:color="auto" w:fill="auto"/>
            <w:vAlign w:val="center"/>
          </w:tcPr>
          <w:p w14:paraId="7D30674C"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Regional structure</w:t>
            </w:r>
          </w:p>
        </w:tc>
        <w:tc>
          <w:tcPr>
            <w:tcW w:w="808" w:type="pct"/>
            <w:tcBorders>
              <w:bottom w:val="single" w:sz="12" w:space="0" w:color="auto"/>
            </w:tcBorders>
            <w:shd w:val="clear" w:color="auto" w:fill="auto"/>
            <w:vAlign w:val="center"/>
          </w:tcPr>
          <w:p w14:paraId="44F7D209" w14:textId="77777777" w:rsidR="0019314C" w:rsidRPr="009C2ADD" w:rsidRDefault="0019314C" w:rsidP="009C2ADD">
            <w:pPr>
              <w:adjustRightInd w:val="0"/>
              <w:snapToGrid w:val="0"/>
              <w:spacing w:after="0"/>
              <w:jc w:val="center"/>
              <w:rPr>
                <w:rFonts w:ascii="Times New Roman" w:hAnsi="Times New Roman"/>
                <w:lang w:val="en-AU" w:eastAsia="en-AU"/>
              </w:rPr>
            </w:pPr>
            <w:r w:rsidRPr="009C2ADD">
              <w:rPr>
                <w:rFonts w:ascii="Times New Roman" w:hAnsi="Times New Roman"/>
                <w:lang w:val="en-AU" w:eastAsia="en-AU"/>
              </w:rPr>
              <w:t>2</w:t>
            </w:r>
          </w:p>
        </w:tc>
        <w:tc>
          <w:tcPr>
            <w:tcW w:w="2529" w:type="pct"/>
            <w:tcBorders>
              <w:bottom w:val="single" w:sz="12" w:space="0" w:color="auto"/>
            </w:tcBorders>
            <w:shd w:val="clear" w:color="auto" w:fill="auto"/>
            <w:vAlign w:val="center"/>
          </w:tcPr>
          <w:p w14:paraId="72416DD2" w14:textId="77777777" w:rsidR="0019314C" w:rsidRPr="009C2ADD" w:rsidRDefault="0019314C" w:rsidP="009C2ADD">
            <w:pPr>
              <w:adjustRightInd w:val="0"/>
              <w:snapToGrid w:val="0"/>
              <w:spacing w:after="0"/>
              <w:rPr>
                <w:rFonts w:ascii="Times New Roman" w:hAnsi="Times New Roman"/>
                <w:lang w:val="en-AU" w:eastAsia="en-AU"/>
              </w:rPr>
            </w:pPr>
            <w:r w:rsidRPr="009C2ADD">
              <w:rPr>
                <w:rFonts w:ascii="Times New Roman" w:hAnsi="Times New Roman"/>
                <w:lang w:val="en-AU" w:eastAsia="en-AU"/>
              </w:rPr>
              <w:t>2017 regions, 2014 regions</w:t>
            </w:r>
          </w:p>
        </w:tc>
      </w:tr>
    </w:tbl>
    <w:p w14:paraId="68651250" w14:textId="77777777" w:rsidR="006C6EBA" w:rsidRPr="009C2ADD" w:rsidRDefault="006C6EBA" w:rsidP="009C2ADD">
      <w:pPr>
        <w:pStyle w:val="WCPFC"/>
        <w:numPr>
          <w:ilvl w:val="0"/>
          <w:numId w:val="0"/>
        </w:numPr>
        <w:adjustRightInd w:val="0"/>
        <w:spacing w:after="0"/>
        <w:ind w:left="567"/>
        <w:rPr>
          <w:b/>
        </w:rPr>
      </w:pPr>
    </w:p>
    <w:p w14:paraId="087C6387" w14:textId="72410E7C" w:rsidR="0019314C" w:rsidRPr="009C2ADD" w:rsidRDefault="00535BED" w:rsidP="009C2ADD">
      <w:pPr>
        <w:pStyle w:val="WCPFC"/>
        <w:numPr>
          <w:ilvl w:val="0"/>
          <w:numId w:val="0"/>
        </w:numPr>
        <w:adjustRightInd w:val="0"/>
        <w:spacing w:after="0"/>
        <w:jc w:val="center"/>
        <w:rPr>
          <w:b/>
        </w:rPr>
      </w:pPr>
      <w:r w:rsidRPr="009C2ADD">
        <w:rPr>
          <w:noProof/>
          <w:lang w:val="en-US" w:eastAsia="ko-KR"/>
        </w:rPr>
        <w:drawing>
          <wp:inline distT="0" distB="0" distL="0" distR="0" wp14:anchorId="125D7437" wp14:editId="2F4E8495">
            <wp:extent cx="5725795" cy="3270885"/>
            <wp:effectExtent l="0" t="0" r="0" b="0"/>
            <wp:docPr id="8" name="Picture 1" descr="Timeseries_c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series_cat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5795" cy="3270885"/>
                    </a:xfrm>
                    <a:prstGeom prst="rect">
                      <a:avLst/>
                    </a:prstGeom>
                    <a:noFill/>
                    <a:ln>
                      <a:noFill/>
                    </a:ln>
                  </pic:spPr>
                </pic:pic>
              </a:graphicData>
            </a:graphic>
          </wp:inline>
        </w:drawing>
      </w:r>
    </w:p>
    <w:p w14:paraId="3600A76B" w14:textId="0260E7DF" w:rsidR="001C62E2" w:rsidRPr="009C2ADD" w:rsidRDefault="001C62E2" w:rsidP="009C2ADD">
      <w:pPr>
        <w:adjustRightInd w:val="0"/>
        <w:snapToGrid w:val="0"/>
        <w:spacing w:after="0"/>
        <w:jc w:val="left"/>
        <w:rPr>
          <w:rFonts w:ascii="Times New Roman" w:eastAsia="MS Mincho" w:hAnsi="Times New Roman"/>
        </w:rPr>
      </w:pPr>
      <w:bookmarkStart w:id="97" w:name="_Hlk491521704"/>
      <w:r w:rsidRPr="009C2ADD">
        <w:rPr>
          <w:rFonts w:ascii="Times New Roman" w:eastAsia="MS Mincho" w:hAnsi="Times New Roman"/>
          <w:b/>
        </w:rPr>
        <w:t xml:space="preserve">Figure BET-1. </w:t>
      </w:r>
      <w:r w:rsidRPr="009C2ADD">
        <w:rPr>
          <w:rFonts w:ascii="Times New Roman" w:eastAsia="MS Mincho" w:hAnsi="Times New Roman"/>
        </w:rPr>
        <w:t>Time series of total annual catch (1000's mt) by fishing gear for the diagnostic case model over the full assessment period.</w:t>
      </w:r>
    </w:p>
    <w:bookmarkEnd w:id="97"/>
    <w:p w14:paraId="52238F35" w14:textId="77777777" w:rsidR="001C62E2" w:rsidRPr="009C2ADD" w:rsidRDefault="001C62E2" w:rsidP="009C2ADD">
      <w:pPr>
        <w:pStyle w:val="WCPFC"/>
        <w:numPr>
          <w:ilvl w:val="0"/>
          <w:numId w:val="0"/>
        </w:numPr>
        <w:adjustRightInd w:val="0"/>
        <w:spacing w:after="0"/>
        <w:ind w:left="567"/>
        <w:rPr>
          <w:b/>
        </w:rPr>
      </w:pPr>
    </w:p>
    <w:p w14:paraId="3939CE34" w14:textId="42F0D5DD" w:rsidR="001C62E2" w:rsidRPr="009C2ADD" w:rsidRDefault="00535BED" w:rsidP="009C2ADD">
      <w:pPr>
        <w:pStyle w:val="WCPFC"/>
        <w:numPr>
          <w:ilvl w:val="0"/>
          <w:numId w:val="0"/>
        </w:numPr>
        <w:adjustRightInd w:val="0"/>
        <w:spacing w:after="0"/>
        <w:jc w:val="center"/>
        <w:rPr>
          <w:b/>
        </w:rPr>
      </w:pPr>
      <w:r w:rsidRPr="009C2ADD">
        <w:rPr>
          <w:noProof/>
          <w:lang w:val="en-US" w:eastAsia="ko-KR"/>
        </w:rPr>
        <w:drawing>
          <wp:inline distT="0" distB="0" distL="0" distR="0" wp14:anchorId="264013CF" wp14:editId="77E5B8D6">
            <wp:extent cx="5725795" cy="2868295"/>
            <wp:effectExtent l="0" t="0" r="0" b="0"/>
            <wp:docPr id="9" name="Picture 5" descr="plot_biomass_stacked_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t_biomass_stacked_RE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5795" cy="2868295"/>
                    </a:xfrm>
                    <a:prstGeom prst="rect">
                      <a:avLst/>
                    </a:prstGeom>
                    <a:noFill/>
                    <a:ln>
                      <a:noFill/>
                    </a:ln>
                  </pic:spPr>
                </pic:pic>
              </a:graphicData>
            </a:graphic>
          </wp:inline>
        </w:drawing>
      </w:r>
    </w:p>
    <w:p w14:paraId="4E8D7436" w14:textId="73D1387C" w:rsidR="003C0603" w:rsidRPr="009C2ADD" w:rsidRDefault="003C0603" w:rsidP="009C2ADD">
      <w:pPr>
        <w:adjustRightInd w:val="0"/>
        <w:snapToGrid w:val="0"/>
        <w:spacing w:after="0"/>
        <w:jc w:val="left"/>
        <w:rPr>
          <w:rFonts w:ascii="Times New Roman" w:eastAsia="MS Mincho" w:hAnsi="Times New Roman"/>
        </w:rPr>
      </w:pPr>
      <w:r w:rsidRPr="009C2ADD">
        <w:rPr>
          <w:rFonts w:ascii="Times New Roman" w:eastAsia="MS Mincho" w:hAnsi="Times New Roman"/>
          <w:b/>
        </w:rPr>
        <w:t xml:space="preserve">Figure BET-2. </w:t>
      </w:r>
      <w:proofErr w:type="gramStart"/>
      <w:r w:rsidRPr="009C2ADD">
        <w:rPr>
          <w:rFonts w:ascii="Times New Roman" w:eastAsia="MS Mincho" w:hAnsi="Times New Roman"/>
        </w:rPr>
        <w:t>Estimated annual average recruitment by model region for the diagnostic</w:t>
      </w:r>
      <w:r w:rsidR="003123E3" w:rsidRPr="009C2ADD">
        <w:rPr>
          <w:rFonts w:ascii="Times New Roman" w:eastAsia="MS Mincho" w:hAnsi="Times New Roman"/>
        </w:rPr>
        <w:t xml:space="preserve"> </w:t>
      </w:r>
      <w:r w:rsidRPr="009C2ADD">
        <w:rPr>
          <w:rFonts w:ascii="Times New Roman" w:eastAsia="MS Mincho" w:hAnsi="Times New Roman"/>
        </w:rPr>
        <w:t>case model, showing the relative sizes among regions.</w:t>
      </w:r>
      <w:proofErr w:type="gramEnd"/>
    </w:p>
    <w:p w14:paraId="23B00DAA" w14:textId="77777777" w:rsidR="003C0603" w:rsidRPr="009C2ADD" w:rsidRDefault="003C0603" w:rsidP="009C2ADD">
      <w:pPr>
        <w:pStyle w:val="WCPFC"/>
        <w:numPr>
          <w:ilvl w:val="0"/>
          <w:numId w:val="0"/>
        </w:numPr>
        <w:adjustRightInd w:val="0"/>
        <w:spacing w:after="0"/>
        <w:ind w:left="567"/>
        <w:rPr>
          <w:b/>
        </w:rPr>
      </w:pPr>
    </w:p>
    <w:p w14:paraId="340908A0" w14:textId="61C91DC4" w:rsidR="003C0603" w:rsidRPr="009C2ADD" w:rsidRDefault="00535BED" w:rsidP="009C2ADD">
      <w:pPr>
        <w:pStyle w:val="WCPFC"/>
        <w:numPr>
          <w:ilvl w:val="0"/>
          <w:numId w:val="0"/>
        </w:numPr>
        <w:adjustRightInd w:val="0"/>
        <w:spacing w:after="0"/>
        <w:rPr>
          <w:b/>
        </w:rPr>
      </w:pPr>
      <w:r w:rsidRPr="009C2ADD">
        <w:rPr>
          <w:noProof/>
          <w:lang w:val="en-US" w:eastAsia="ko-KR"/>
        </w:rPr>
        <w:drawing>
          <wp:inline distT="0" distB="0" distL="0" distR="0" wp14:anchorId="0344BE06" wp14:editId="49FBF3E9">
            <wp:extent cx="5725795" cy="2868295"/>
            <wp:effectExtent l="0" t="0" r="0" b="0"/>
            <wp:docPr id="10" name="Picture 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biomass_stacked_SS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795" cy="2868295"/>
                    </a:xfrm>
                    <a:prstGeom prst="rect">
                      <a:avLst/>
                    </a:prstGeom>
                    <a:noFill/>
                    <a:ln>
                      <a:noFill/>
                    </a:ln>
                  </pic:spPr>
                </pic:pic>
              </a:graphicData>
            </a:graphic>
          </wp:inline>
        </w:drawing>
      </w:r>
    </w:p>
    <w:p w14:paraId="6DCF79CC" w14:textId="4F8A6D31" w:rsidR="003C0603" w:rsidRPr="009C2ADD" w:rsidRDefault="003C0603" w:rsidP="009C2ADD">
      <w:pPr>
        <w:adjustRightInd w:val="0"/>
        <w:snapToGrid w:val="0"/>
        <w:spacing w:after="0"/>
        <w:jc w:val="left"/>
        <w:rPr>
          <w:rFonts w:ascii="Times New Roman" w:eastAsia="MS Mincho" w:hAnsi="Times New Roman"/>
        </w:rPr>
      </w:pPr>
      <w:r w:rsidRPr="009C2ADD">
        <w:rPr>
          <w:rFonts w:ascii="Times New Roman" w:eastAsia="MS Mincho" w:hAnsi="Times New Roman"/>
          <w:b/>
        </w:rPr>
        <w:t xml:space="preserve">Figure BET-3. </w:t>
      </w:r>
      <w:r w:rsidRPr="009C2ADD">
        <w:rPr>
          <w:rFonts w:ascii="Times New Roman" w:eastAsia="MS Mincho" w:hAnsi="Times New Roman"/>
        </w:rPr>
        <w:t>Estimated annual average spawning potential by model region for</w:t>
      </w:r>
      <w:r w:rsidR="003123E3" w:rsidRPr="009C2ADD">
        <w:rPr>
          <w:rFonts w:ascii="Times New Roman" w:eastAsia="MS Mincho" w:hAnsi="Times New Roman"/>
        </w:rPr>
        <w:t xml:space="preserve"> </w:t>
      </w:r>
      <w:r w:rsidRPr="009C2ADD">
        <w:rPr>
          <w:rFonts w:ascii="Times New Roman" w:eastAsia="MS Mincho" w:hAnsi="Times New Roman"/>
        </w:rPr>
        <w:t>diagnostic case model, showing the relative sizes among regions</w:t>
      </w:r>
    </w:p>
    <w:p w14:paraId="4B8067D7" w14:textId="77777777" w:rsidR="003C0603" w:rsidRPr="009C2ADD" w:rsidRDefault="003C0603" w:rsidP="009C2ADD">
      <w:pPr>
        <w:pStyle w:val="WCPFC"/>
        <w:numPr>
          <w:ilvl w:val="0"/>
          <w:numId w:val="0"/>
        </w:numPr>
        <w:adjustRightInd w:val="0"/>
        <w:spacing w:after="0"/>
        <w:ind w:left="567"/>
        <w:jc w:val="center"/>
        <w:rPr>
          <w:b/>
        </w:rPr>
      </w:pPr>
    </w:p>
    <w:p w14:paraId="181C9021" w14:textId="7A85CCDB" w:rsidR="003C0603" w:rsidRPr="009C2ADD" w:rsidRDefault="00535BED" w:rsidP="009C2ADD">
      <w:pPr>
        <w:pStyle w:val="WCPFC"/>
        <w:numPr>
          <w:ilvl w:val="0"/>
          <w:numId w:val="0"/>
        </w:numPr>
        <w:adjustRightInd w:val="0"/>
        <w:spacing w:after="0"/>
        <w:jc w:val="center"/>
        <w:rPr>
          <w:b/>
        </w:rPr>
      </w:pPr>
      <w:r w:rsidRPr="009C2ADD">
        <w:rPr>
          <w:noProof/>
          <w:lang w:val="en-US" w:eastAsia="ko-KR"/>
        </w:rPr>
        <w:drawing>
          <wp:inline distT="0" distB="0" distL="0" distR="0" wp14:anchorId="7F3AAD24" wp14:editId="79793B7B">
            <wp:extent cx="5144949" cy="3581400"/>
            <wp:effectExtent l="0" t="0" r="0" b="0"/>
            <wp:docPr id="11" name="Picture 10" descr="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oral_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6089" cy="3582194"/>
                    </a:xfrm>
                    <a:prstGeom prst="rect">
                      <a:avLst/>
                    </a:prstGeom>
                    <a:noFill/>
                    <a:ln>
                      <a:noFill/>
                    </a:ln>
                  </pic:spPr>
                </pic:pic>
              </a:graphicData>
            </a:graphic>
          </wp:inline>
        </w:drawing>
      </w:r>
    </w:p>
    <w:p w14:paraId="3A293BFA" w14:textId="51ACE187" w:rsidR="003A65FA" w:rsidRPr="00464B7F" w:rsidRDefault="003C0603" w:rsidP="003A65FA">
      <w:pPr>
        <w:pStyle w:val="CommentText"/>
        <w:rPr>
          <w:rFonts w:ascii="Times New Roman" w:hAnsi="Times New Roman"/>
          <w:sz w:val="22"/>
          <w:szCs w:val="22"/>
        </w:rPr>
      </w:pPr>
      <w:bookmarkStart w:id="98" w:name="_Hlk491521759"/>
      <w:r w:rsidRPr="00464B7F">
        <w:rPr>
          <w:rFonts w:ascii="Times New Roman" w:eastAsia="MS Mincho" w:hAnsi="Times New Roman"/>
          <w:b/>
          <w:sz w:val="22"/>
          <w:szCs w:val="22"/>
        </w:rPr>
        <w:t xml:space="preserve">Figure BET-4. </w:t>
      </w:r>
      <w:proofErr w:type="gramStart"/>
      <w:r w:rsidRPr="00464B7F">
        <w:rPr>
          <w:rFonts w:ascii="Times New Roman" w:eastAsia="MS Mincho" w:hAnsi="Times New Roman"/>
          <w:sz w:val="22"/>
          <w:szCs w:val="22"/>
        </w:rPr>
        <w:t>Estimated annual average juvenile and adult fishing mortality for the</w:t>
      </w:r>
      <w:r w:rsidR="003123E3" w:rsidRPr="00464B7F">
        <w:rPr>
          <w:rFonts w:ascii="Times New Roman" w:eastAsia="MS Mincho" w:hAnsi="Times New Roman"/>
          <w:sz w:val="22"/>
          <w:szCs w:val="22"/>
        </w:rPr>
        <w:t xml:space="preserve"> </w:t>
      </w:r>
      <w:r w:rsidRPr="00464B7F">
        <w:rPr>
          <w:rFonts w:ascii="Times New Roman" w:eastAsia="MS Mincho" w:hAnsi="Times New Roman"/>
          <w:sz w:val="22"/>
          <w:szCs w:val="22"/>
        </w:rPr>
        <w:t>diagnostic case model.</w:t>
      </w:r>
      <w:proofErr w:type="gramEnd"/>
      <w:r w:rsidR="003A65FA" w:rsidRPr="00464B7F">
        <w:rPr>
          <w:rFonts w:ascii="Times New Roman" w:eastAsia="MS Mincho" w:hAnsi="Times New Roman"/>
          <w:sz w:val="22"/>
          <w:szCs w:val="22"/>
        </w:rPr>
        <w:t xml:space="preserve"> </w:t>
      </w:r>
    </w:p>
    <w:p w14:paraId="056934E5" w14:textId="742B3F53" w:rsidR="003C0603" w:rsidRPr="009C2ADD" w:rsidRDefault="003C0603" w:rsidP="009C2ADD">
      <w:pPr>
        <w:adjustRightInd w:val="0"/>
        <w:snapToGrid w:val="0"/>
        <w:spacing w:after="0"/>
        <w:jc w:val="left"/>
        <w:rPr>
          <w:rFonts w:ascii="Times New Roman" w:eastAsia="MS Mincho" w:hAnsi="Times New Roman"/>
        </w:rPr>
      </w:pPr>
    </w:p>
    <w:bookmarkEnd w:id="98"/>
    <w:p w14:paraId="301EF03C" w14:textId="77777777" w:rsidR="003C0603" w:rsidRPr="009C2ADD" w:rsidRDefault="003C0603" w:rsidP="009C2ADD">
      <w:pPr>
        <w:pStyle w:val="WCPFC"/>
        <w:numPr>
          <w:ilvl w:val="0"/>
          <w:numId w:val="0"/>
        </w:numPr>
        <w:adjustRightInd w:val="0"/>
        <w:spacing w:after="0"/>
        <w:ind w:left="567"/>
        <w:jc w:val="center"/>
        <w:rPr>
          <w:b/>
        </w:rPr>
      </w:pPr>
    </w:p>
    <w:p w14:paraId="2DF30CBC" w14:textId="522CF256" w:rsidR="003C0603" w:rsidRPr="009C2ADD" w:rsidRDefault="00535BED" w:rsidP="009C2ADD">
      <w:pPr>
        <w:pStyle w:val="WCPFC"/>
        <w:numPr>
          <w:ilvl w:val="0"/>
          <w:numId w:val="0"/>
        </w:numPr>
        <w:adjustRightInd w:val="0"/>
        <w:spacing w:after="0"/>
        <w:jc w:val="center"/>
        <w:rPr>
          <w:b/>
        </w:rPr>
      </w:pPr>
      <w:r w:rsidRPr="009C2ADD">
        <w:rPr>
          <w:noProof/>
          <w:lang w:val="en-US" w:eastAsia="ko-KR"/>
        </w:rPr>
        <w:drawing>
          <wp:inline distT="0" distB="0" distL="0" distR="0" wp14:anchorId="09112A6E" wp14:editId="45021A41">
            <wp:extent cx="5856822" cy="3607496"/>
            <wp:effectExtent l="0" t="0" r="0" b="0"/>
            <wp:docPr id="12" name="Picture 11" descr="plot_depletion_compare_2017Grid_grow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ot_depletion_compare_2017Grid_growth-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9467" cy="3615285"/>
                    </a:xfrm>
                    <a:prstGeom prst="rect">
                      <a:avLst/>
                    </a:prstGeom>
                    <a:noFill/>
                    <a:ln>
                      <a:noFill/>
                    </a:ln>
                  </pic:spPr>
                </pic:pic>
              </a:graphicData>
            </a:graphic>
          </wp:inline>
        </w:drawing>
      </w:r>
    </w:p>
    <w:p w14:paraId="07B1598F" w14:textId="35041B50" w:rsidR="0066470A" w:rsidRPr="00464B7F" w:rsidRDefault="00885EFB" w:rsidP="0066470A">
      <w:pPr>
        <w:pStyle w:val="CommentText"/>
        <w:rPr>
          <w:rFonts w:ascii="Times New Roman" w:hAnsi="Times New Roman"/>
          <w:color w:val="FF0000"/>
          <w:sz w:val="22"/>
          <w:szCs w:val="22"/>
        </w:rPr>
      </w:pPr>
      <w:bookmarkStart w:id="99" w:name="_Hlk491521802"/>
      <w:r w:rsidRPr="00464B7F">
        <w:rPr>
          <w:rFonts w:ascii="Times New Roman" w:eastAsia="MS Mincho" w:hAnsi="Times New Roman"/>
          <w:b/>
          <w:sz w:val="22"/>
          <w:szCs w:val="22"/>
        </w:rPr>
        <w:t xml:space="preserve">Figure BET-5. </w:t>
      </w:r>
      <w:r w:rsidRPr="00464B7F">
        <w:rPr>
          <w:rFonts w:ascii="Times New Roman" w:eastAsia="MS Mincho" w:hAnsi="Times New Roman"/>
          <w:sz w:val="22"/>
          <w:szCs w:val="22"/>
        </w:rPr>
        <w:t>Plot showing the trajectories of fishing depletion (of spawning potential)</w:t>
      </w:r>
      <w:r w:rsidR="003123E3" w:rsidRPr="00464B7F">
        <w:rPr>
          <w:rFonts w:ascii="Times New Roman" w:eastAsia="MS Mincho" w:hAnsi="Times New Roman"/>
          <w:sz w:val="22"/>
          <w:szCs w:val="22"/>
        </w:rPr>
        <w:t xml:space="preserve"> </w:t>
      </w:r>
      <w:r w:rsidRPr="00464B7F">
        <w:rPr>
          <w:rFonts w:ascii="Times New Roman" w:eastAsia="MS Mincho" w:hAnsi="Times New Roman"/>
          <w:sz w:val="22"/>
          <w:szCs w:val="22"/>
        </w:rPr>
        <w:t>for the 72 model runs included in the structural uncertainty grid. The colours depict</w:t>
      </w:r>
      <w:r w:rsidR="003123E3" w:rsidRPr="00464B7F">
        <w:rPr>
          <w:rFonts w:ascii="Times New Roman" w:eastAsia="MS Mincho" w:hAnsi="Times New Roman"/>
          <w:sz w:val="22"/>
          <w:szCs w:val="22"/>
        </w:rPr>
        <w:t xml:space="preserve"> </w:t>
      </w:r>
      <w:r w:rsidRPr="00464B7F">
        <w:rPr>
          <w:rFonts w:ascii="Times New Roman" w:eastAsia="MS Mincho" w:hAnsi="Times New Roman"/>
          <w:sz w:val="22"/>
          <w:szCs w:val="22"/>
        </w:rPr>
        <w:t>the models in the grid with the new and old growth functions.</w:t>
      </w:r>
      <w:bookmarkEnd w:id="99"/>
      <w:r w:rsidR="0066470A" w:rsidRPr="00464B7F">
        <w:rPr>
          <w:rFonts w:ascii="Times New Roman" w:eastAsia="MS Mincho" w:hAnsi="Times New Roman"/>
          <w:sz w:val="22"/>
          <w:szCs w:val="22"/>
        </w:rPr>
        <w:t xml:space="preserve"> </w:t>
      </w:r>
    </w:p>
    <w:p w14:paraId="69820792" w14:textId="14C5EA11" w:rsidR="00885EFB" w:rsidRPr="009C2ADD" w:rsidRDefault="00885EFB" w:rsidP="009C2ADD">
      <w:pPr>
        <w:adjustRightInd w:val="0"/>
        <w:snapToGrid w:val="0"/>
        <w:spacing w:after="0"/>
        <w:jc w:val="left"/>
        <w:rPr>
          <w:rFonts w:ascii="Times New Roman" w:eastAsia="MS Mincho" w:hAnsi="Times New Roman"/>
        </w:rPr>
      </w:pPr>
    </w:p>
    <w:p w14:paraId="0EB03471" w14:textId="77777777" w:rsidR="003123E3" w:rsidRPr="009C2ADD" w:rsidRDefault="003123E3" w:rsidP="009C2ADD">
      <w:pPr>
        <w:adjustRightInd w:val="0"/>
        <w:snapToGrid w:val="0"/>
        <w:spacing w:after="0"/>
        <w:jc w:val="left"/>
        <w:rPr>
          <w:rFonts w:ascii="Times New Roman" w:eastAsia="MS Mincho" w:hAnsi="Times New Roman"/>
        </w:rPr>
      </w:pPr>
    </w:p>
    <w:p w14:paraId="3C6954DE" w14:textId="6AB6D394" w:rsidR="00885EFB" w:rsidRPr="009C2ADD" w:rsidRDefault="00535BED" w:rsidP="009C2ADD">
      <w:pPr>
        <w:pStyle w:val="WCPFC"/>
        <w:numPr>
          <w:ilvl w:val="0"/>
          <w:numId w:val="0"/>
        </w:numPr>
        <w:adjustRightInd w:val="0"/>
        <w:spacing w:after="0"/>
        <w:jc w:val="center"/>
        <w:rPr>
          <w:b/>
        </w:rPr>
      </w:pPr>
      <w:r w:rsidRPr="009C2ADD">
        <w:rPr>
          <w:noProof/>
          <w:lang w:val="en-US" w:eastAsia="ko-KR"/>
        </w:rPr>
        <w:drawing>
          <wp:inline distT="0" distB="0" distL="0" distR="0" wp14:anchorId="72957B2D" wp14:editId="7C1AA8C6">
            <wp:extent cx="5731510" cy="5633085"/>
            <wp:effectExtent l="0" t="0" r="0" b="0"/>
            <wp:docPr id="13" name="Picture 12" descr="plot_Majuro_grid_compare_growth_wgtd_la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ot_Majuro_grid_compare_growth_wgtd_latest-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633085"/>
                    </a:xfrm>
                    <a:prstGeom prst="rect">
                      <a:avLst/>
                    </a:prstGeom>
                    <a:noFill/>
                    <a:ln>
                      <a:noFill/>
                    </a:ln>
                  </pic:spPr>
                </pic:pic>
              </a:graphicData>
            </a:graphic>
          </wp:inline>
        </w:drawing>
      </w:r>
    </w:p>
    <w:p w14:paraId="2FE9978D" w14:textId="3A077C79" w:rsidR="00CB5136" w:rsidRPr="009C2ADD" w:rsidRDefault="00CB5136" w:rsidP="009C2ADD">
      <w:pPr>
        <w:adjustRightInd w:val="0"/>
        <w:snapToGrid w:val="0"/>
        <w:spacing w:after="0"/>
        <w:rPr>
          <w:rFonts w:ascii="Times New Roman" w:eastAsia="MS Mincho" w:hAnsi="Times New Roman"/>
        </w:rPr>
      </w:pPr>
      <w:bookmarkStart w:id="100" w:name="_Hlk491521789"/>
      <w:r w:rsidRPr="009C2ADD">
        <w:rPr>
          <w:rFonts w:ascii="Times New Roman" w:eastAsia="MS Mincho" w:hAnsi="Times New Roman"/>
          <w:b/>
        </w:rPr>
        <w:t>Figure BET-6</w:t>
      </w:r>
      <w:r w:rsidRPr="009C2ADD">
        <w:rPr>
          <w:rFonts w:ascii="Times New Roman" w:eastAsia="MS Mincho" w:hAnsi="Times New Roman"/>
        </w:rPr>
        <w:t xml:space="preserve">. </w:t>
      </w:r>
      <w:proofErr w:type="gramStart"/>
      <w:r w:rsidRPr="009C2ADD">
        <w:rPr>
          <w:rFonts w:ascii="Times New Roman" w:eastAsia="MS Mincho" w:hAnsi="Times New Roman"/>
        </w:rPr>
        <w:t>Majuro plot summarising the results for each of the models in the structural uncertainty grid.</w:t>
      </w:r>
      <w:proofErr w:type="gramEnd"/>
      <w:r w:rsidRPr="009C2ADD">
        <w:rPr>
          <w:rFonts w:ascii="Times New Roman" w:eastAsia="MS Mincho" w:hAnsi="Times New Roman"/>
          <w:b/>
        </w:rPr>
        <w:t xml:space="preserve"> </w:t>
      </w:r>
      <w:bookmarkEnd w:id="100"/>
      <w:r w:rsidRPr="009C2ADD">
        <w:rPr>
          <w:rFonts w:ascii="Times New Roman" w:eastAsia="MS Mincho" w:hAnsi="Times New Roman"/>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9C2ADD">
        <w:rPr>
          <w:rFonts w:ascii="Times New Roman" w:eastAsia="MS Mincho" w:hAnsi="Times New Roman"/>
          <w:i/>
        </w:rPr>
        <w:t>F</w:t>
      </w:r>
      <w:r w:rsidR="00A265B1" w:rsidRPr="00104C78">
        <w:rPr>
          <w:rFonts w:ascii="Times New Roman" w:hAnsi="Times New Roman"/>
          <w:vertAlign w:val="subscript"/>
          <w:lang w:val="en-AU"/>
        </w:rPr>
        <w:t>MSY</w:t>
      </w:r>
      <w:r w:rsidRPr="009C2ADD">
        <w:rPr>
          <w:rFonts w:ascii="Times New Roman" w:eastAsia="MS Mincho" w:hAnsi="Times New Roman"/>
        </w:rPr>
        <w:t xml:space="preserve"> (</w:t>
      </w:r>
      <w:r w:rsidRPr="009C2ADD">
        <w:rPr>
          <w:rFonts w:ascii="Times New Roman" w:eastAsia="MS Mincho" w:hAnsi="Times New Roman"/>
          <w:i/>
        </w:rPr>
        <w:t>F</w:t>
      </w:r>
      <w:r w:rsidR="00A265B1" w:rsidRPr="00104C78">
        <w:rPr>
          <w:rFonts w:ascii="Times New Roman" w:hAnsi="Times New Roman"/>
          <w:vertAlign w:val="subscript"/>
          <w:lang w:val="en-AU"/>
        </w:rPr>
        <w:t>MSY</w:t>
      </w:r>
      <w:r w:rsidRPr="009C2ADD">
        <w:rPr>
          <w:rFonts w:ascii="Times New Roman" w:eastAsia="MS Mincho" w:hAnsi="Times New Roman"/>
        </w:rPr>
        <w:t xml:space="preserve"> is marked with the black dashed line). The points represent </w:t>
      </w:r>
      <w:r w:rsidRPr="009C2ADD">
        <w:rPr>
          <w:rFonts w:ascii="Times New Roman" w:eastAsia="MS Mincho" w:hAnsi="Times New Roman"/>
          <w:i/>
        </w:rPr>
        <w:t>SB</w:t>
      </w:r>
      <w:r w:rsidRPr="0070772D">
        <w:rPr>
          <w:rFonts w:ascii="Times New Roman" w:eastAsia="MS Mincho" w:hAnsi="Times New Roman"/>
          <w:i/>
          <w:vertAlign w:val="subscript"/>
        </w:rPr>
        <w:t>latest</w:t>
      </w:r>
      <w:r w:rsidRPr="009C2ADD">
        <w:rPr>
          <w:rFonts w:ascii="Times New Roman" w:eastAsia="MS Mincho" w:hAnsi="Times New Roman"/>
          <w:i/>
        </w:rPr>
        <w:t>/</w:t>
      </w:r>
      <w:r w:rsidR="00300F08" w:rsidRPr="0070772D">
        <w:rPr>
          <w:rFonts w:ascii="Times New Roman" w:hAnsi="Times New Roman"/>
          <w:i/>
        </w:rPr>
        <w:t>SB</w:t>
      </w:r>
      <w:r w:rsidR="00300F08" w:rsidRPr="0070772D">
        <w:rPr>
          <w:rFonts w:ascii="Times New Roman" w:hAnsi="Times New Roman"/>
          <w:i/>
          <w:vertAlign w:val="subscript"/>
        </w:rPr>
        <w:t>F=0</w:t>
      </w:r>
      <w:r w:rsidRPr="009C2ADD">
        <w:rPr>
          <w:rFonts w:ascii="Times New Roman" w:eastAsia="MS Mincho" w:hAnsi="Times New Roman"/>
        </w:rPr>
        <w:t xml:space="preserve"> </w:t>
      </w:r>
      <w:r w:rsidR="0066470A">
        <w:rPr>
          <w:rFonts w:ascii="Times New Roman" w:eastAsia="MS Mincho" w:hAnsi="Times New Roman"/>
        </w:rPr>
        <w:t>(labelled as SB/SB</w:t>
      </w:r>
      <w:r w:rsidR="0066470A" w:rsidRPr="0070772D">
        <w:rPr>
          <w:rFonts w:ascii="Times New Roman" w:eastAsia="MS Mincho" w:hAnsi="Times New Roman"/>
          <w:vertAlign w:val="subscript"/>
        </w:rPr>
        <w:t>F</w:t>
      </w:r>
      <w:r w:rsidR="00887159" w:rsidRPr="0070772D">
        <w:rPr>
          <w:rFonts w:ascii="Times New Roman" w:hAnsi="Times New Roman"/>
          <w:vertAlign w:val="subscript"/>
          <w:lang w:eastAsia="ko-KR"/>
        </w:rPr>
        <w:t>=</w:t>
      </w:r>
      <w:r w:rsidR="0066470A" w:rsidRPr="0070772D">
        <w:rPr>
          <w:rFonts w:ascii="Times New Roman" w:eastAsia="MS Mincho" w:hAnsi="Times New Roman"/>
          <w:vertAlign w:val="subscript"/>
        </w:rPr>
        <w:t>0</w:t>
      </w:r>
      <w:r w:rsidR="0066470A">
        <w:rPr>
          <w:rFonts w:ascii="Times New Roman" w:eastAsia="MS Mincho" w:hAnsi="Times New Roman"/>
        </w:rPr>
        <w:t xml:space="preserve"> above)</w:t>
      </w:r>
      <w:r w:rsidR="00290F29">
        <w:rPr>
          <w:rFonts w:ascii="Times New Roman" w:hAnsi="Times New Roman" w:hint="eastAsia"/>
          <w:lang w:eastAsia="ko-KR"/>
        </w:rPr>
        <w:t>,</w:t>
      </w:r>
      <w:r w:rsidRPr="009C2ADD">
        <w:rPr>
          <w:rFonts w:ascii="Times New Roman" w:eastAsia="MS Mincho" w:hAnsi="Times New Roman"/>
        </w:rPr>
        <w:t xml:space="preserve"> and the colours depict the models in the grid with the new and old growth functions with the size of the points representing the decision of the SC to weight the new growth models three times higher than the old growth models.</w:t>
      </w:r>
    </w:p>
    <w:p w14:paraId="18D89C55" w14:textId="77777777" w:rsidR="003123E3" w:rsidRPr="009C2ADD" w:rsidRDefault="003123E3" w:rsidP="009C2ADD">
      <w:pPr>
        <w:adjustRightInd w:val="0"/>
        <w:snapToGrid w:val="0"/>
        <w:spacing w:after="0"/>
        <w:rPr>
          <w:rFonts w:ascii="Times New Roman" w:eastAsia="MS Mincho" w:hAnsi="Times New Roman"/>
        </w:rPr>
      </w:pPr>
    </w:p>
    <w:p w14:paraId="2F67B9F7" w14:textId="4F4B3CCB" w:rsidR="00CB5136" w:rsidRPr="009C2ADD" w:rsidRDefault="00535BED" w:rsidP="009C2ADD">
      <w:pPr>
        <w:pStyle w:val="WCPFC"/>
        <w:numPr>
          <w:ilvl w:val="0"/>
          <w:numId w:val="0"/>
        </w:numPr>
        <w:adjustRightInd w:val="0"/>
        <w:spacing w:after="0"/>
        <w:jc w:val="center"/>
        <w:rPr>
          <w:b/>
        </w:rPr>
      </w:pPr>
      <w:r w:rsidRPr="009C2ADD">
        <w:rPr>
          <w:b/>
          <w:noProof/>
          <w:lang w:val="en-US" w:eastAsia="ko-KR"/>
        </w:rPr>
        <w:drawing>
          <wp:inline distT="0" distB="0" distL="0" distR="0" wp14:anchorId="6BA3568B" wp14:editId="0A3FDE99">
            <wp:extent cx="5731510" cy="5731510"/>
            <wp:effectExtent l="0" t="0" r="0" b="0"/>
            <wp:docPr id="14" name="Picture 13" descr="plot_Majuro_grid_compare_growth_wgtd_rec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ot_Majuro_grid_compare_growth_wgtd_recent-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95605FB" w14:textId="7DB529EE" w:rsidR="00EC4FFD" w:rsidRPr="009C2ADD" w:rsidRDefault="00EC4FFD" w:rsidP="009C2ADD">
      <w:pPr>
        <w:adjustRightInd w:val="0"/>
        <w:snapToGrid w:val="0"/>
        <w:spacing w:after="0"/>
        <w:rPr>
          <w:rFonts w:ascii="Times New Roman" w:eastAsia="MS Mincho" w:hAnsi="Times New Roman"/>
        </w:rPr>
      </w:pPr>
      <w:bookmarkStart w:id="101" w:name="_Hlk491521827"/>
      <w:r w:rsidRPr="009C2ADD">
        <w:rPr>
          <w:rFonts w:ascii="Times New Roman" w:eastAsia="MS Mincho" w:hAnsi="Times New Roman"/>
          <w:b/>
        </w:rPr>
        <w:t xml:space="preserve">Figure BET-7. </w:t>
      </w:r>
      <w:proofErr w:type="gramStart"/>
      <w:r w:rsidRPr="009C2ADD">
        <w:rPr>
          <w:rFonts w:ascii="Times New Roman" w:eastAsia="MS Mincho" w:hAnsi="Times New Roman"/>
        </w:rPr>
        <w:t>Majuro plot summarising the results for each of the models in the structural uncertainty grid.</w:t>
      </w:r>
      <w:bookmarkEnd w:id="101"/>
      <w:proofErr w:type="gramEnd"/>
      <w:r w:rsidRPr="009C2ADD">
        <w:rPr>
          <w:rFonts w:ascii="Times New Roman" w:eastAsia="MS Mincho" w:hAnsi="Times New Roman"/>
          <w:b/>
        </w:rPr>
        <w:t xml:space="preserve"> </w:t>
      </w:r>
      <w:r w:rsidRPr="009C2ADD">
        <w:rPr>
          <w:rFonts w:ascii="Times New Roman" w:eastAsia="MS Mincho" w:hAnsi="Times New Roman"/>
        </w:rPr>
        <w:t xml:space="preserve">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w:t>
      </w:r>
      <w:r w:rsidRPr="009C2ADD">
        <w:rPr>
          <w:rFonts w:ascii="Times New Roman" w:eastAsia="MS Mincho" w:hAnsi="Times New Roman"/>
          <w:i/>
        </w:rPr>
        <w:t>F</w:t>
      </w:r>
      <w:r w:rsidR="00A265B1" w:rsidRPr="00A265B1">
        <w:rPr>
          <w:rFonts w:ascii="Times New Roman" w:hAnsi="Times New Roman"/>
          <w:vertAlign w:val="subscript"/>
          <w:lang w:val="en-AU"/>
        </w:rPr>
        <w:t>MSY</w:t>
      </w:r>
      <w:r w:rsidRPr="009C2ADD">
        <w:rPr>
          <w:rFonts w:ascii="Times New Roman" w:eastAsia="MS Mincho" w:hAnsi="Times New Roman"/>
        </w:rPr>
        <w:t xml:space="preserve"> (</w:t>
      </w:r>
      <w:r w:rsidRPr="009C2ADD">
        <w:rPr>
          <w:rFonts w:ascii="Times New Roman" w:eastAsia="MS Mincho" w:hAnsi="Times New Roman"/>
          <w:i/>
        </w:rPr>
        <w:t>F</w:t>
      </w:r>
      <w:r w:rsidR="00A265B1" w:rsidRPr="00A265B1">
        <w:rPr>
          <w:rFonts w:ascii="Times New Roman" w:hAnsi="Times New Roman"/>
          <w:vertAlign w:val="subscript"/>
          <w:lang w:val="en-AU"/>
        </w:rPr>
        <w:t>MSY</w:t>
      </w:r>
      <w:r w:rsidRPr="009C2ADD">
        <w:rPr>
          <w:rFonts w:ascii="Times New Roman" w:eastAsia="MS Mincho" w:hAnsi="Times New Roman"/>
        </w:rPr>
        <w:t xml:space="preserve"> is marked with the black dashed line). The points represent </w:t>
      </w:r>
      <w:r w:rsidRPr="009C2ADD">
        <w:rPr>
          <w:rFonts w:ascii="Times New Roman" w:eastAsia="MS Mincho" w:hAnsi="Times New Roman"/>
          <w:i/>
        </w:rPr>
        <w:t>SB</w:t>
      </w:r>
      <w:r w:rsidRPr="0070772D">
        <w:rPr>
          <w:rFonts w:ascii="Times New Roman" w:eastAsia="MS Mincho" w:hAnsi="Times New Roman"/>
          <w:i/>
          <w:vertAlign w:val="subscript"/>
        </w:rPr>
        <w:t>recent</w:t>
      </w:r>
      <w:r w:rsidRPr="009C2ADD">
        <w:rPr>
          <w:rFonts w:ascii="Times New Roman" w:eastAsia="MS Mincho" w:hAnsi="Times New Roman"/>
          <w:i/>
        </w:rPr>
        <w:t>/</w:t>
      </w:r>
      <w:r w:rsidR="00300F08" w:rsidRPr="0070772D">
        <w:rPr>
          <w:rFonts w:ascii="Times New Roman" w:hAnsi="Times New Roman"/>
        </w:rPr>
        <w:t>SB</w:t>
      </w:r>
      <w:r w:rsidR="00300F08" w:rsidRPr="0070772D">
        <w:rPr>
          <w:rFonts w:ascii="Times New Roman" w:hAnsi="Times New Roman"/>
          <w:vertAlign w:val="subscript"/>
        </w:rPr>
        <w:t>F=0</w:t>
      </w:r>
      <w:r w:rsidRPr="009C2ADD">
        <w:rPr>
          <w:rFonts w:ascii="Times New Roman" w:eastAsia="MS Mincho" w:hAnsi="Times New Roman"/>
        </w:rPr>
        <w:t xml:space="preserve"> </w:t>
      </w:r>
      <w:r w:rsidR="0066470A">
        <w:rPr>
          <w:rFonts w:ascii="Times New Roman" w:eastAsia="MS Mincho" w:hAnsi="Times New Roman"/>
        </w:rPr>
        <w:t>(labelled as SB/SB</w:t>
      </w:r>
      <w:r w:rsidR="0066470A" w:rsidRPr="0070772D">
        <w:rPr>
          <w:rFonts w:ascii="Times New Roman" w:eastAsia="MS Mincho" w:hAnsi="Times New Roman"/>
          <w:vertAlign w:val="subscript"/>
        </w:rPr>
        <w:t>F</w:t>
      </w:r>
      <w:r w:rsidR="00887159" w:rsidRPr="0070772D">
        <w:rPr>
          <w:rFonts w:ascii="Times New Roman" w:hAnsi="Times New Roman"/>
          <w:vertAlign w:val="subscript"/>
          <w:lang w:eastAsia="ko-KR"/>
        </w:rPr>
        <w:t>=</w:t>
      </w:r>
      <w:r w:rsidR="0066470A" w:rsidRPr="0070772D">
        <w:rPr>
          <w:rFonts w:ascii="Times New Roman" w:eastAsia="MS Mincho" w:hAnsi="Times New Roman"/>
          <w:vertAlign w:val="subscript"/>
        </w:rPr>
        <w:t>0</w:t>
      </w:r>
      <w:r w:rsidR="0066470A">
        <w:rPr>
          <w:rFonts w:ascii="Times New Roman" w:eastAsia="MS Mincho" w:hAnsi="Times New Roman"/>
        </w:rPr>
        <w:t xml:space="preserve"> above)</w:t>
      </w:r>
      <w:r w:rsidR="00290F29">
        <w:rPr>
          <w:rFonts w:ascii="Times New Roman" w:hAnsi="Times New Roman" w:hint="eastAsia"/>
          <w:lang w:eastAsia="ko-KR"/>
        </w:rPr>
        <w:t>,</w:t>
      </w:r>
      <w:r w:rsidRPr="009C2ADD">
        <w:rPr>
          <w:rFonts w:ascii="Times New Roman" w:eastAsia="MS Mincho" w:hAnsi="Times New Roman"/>
        </w:rPr>
        <w:t xml:space="preserve"> where </w:t>
      </w:r>
      <w:r w:rsidRPr="009C2ADD">
        <w:rPr>
          <w:rFonts w:ascii="Times New Roman" w:eastAsia="MS Mincho" w:hAnsi="Times New Roman"/>
          <w:i/>
        </w:rPr>
        <w:t>SB</w:t>
      </w:r>
      <w:r w:rsidRPr="0070772D">
        <w:rPr>
          <w:rFonts w:ascii="Times New Roman" w:eastAsia="MS Mincho" w:hAnsi="Times New Roman"/>
          <w:i/>
          <w:vertAlign w:val="subscript"/>
        </w:rPr>
        <w:t>recent</w:t>
      </w:r>
      <w:r w:rsidRPr="009C2ADD">
        <w:rPr>
          <w:rFonts w:ascii="Times New Roman" w:eastAsia="MS Mincho" w:hAnsi="Times New Roman"/>
        </w:rPr>
        <w:t xml:space="preserve"> is the mean </w:t>
      </w:r>
      <w:r w:rsidRPr="009C2ADD">
        <w:rPr>
          <w:rFonts w:ascii="Times New Roman" w:eastAsia="MS Mincho" w:hAnsi="Times New Roman"/>
          <w:i/>
        </w:rPr>
        <w:t>SB</w:t>
      </w:r>
      <w:r w:rsidRPr="009C2ADD">
        <w:rPr>
          <w:rFonts w:ascii="Times New Roman" w:eastAsia="MS Mincho" w:hAnsi="Times New Roman"/>
        </w:rPr>
        <w:t xml:space="preserve"> over 2012-2015 instead of 2011-2014 (used in the stock assessment report), at the request of the Scientific Committee. The colours depict the models in the grid with the new and old growth functions with the size of the points representing the decision of the SC to weight the new growth models three times higher than the old growth models.</w:t>
      </w:r>
    </w:p>
    <w:p w14:paraId="48F23515" w14:textId="77777777" w:rsidR="003123E3" w:rsidRPr="009C2ADD" w:rsidRDefault="003123E3" w:rsidP="009C2ADD">
      <w:pPr>
        <w:adjustRightInd w:val="0"/>
        <w:snapToGrid w:val="0"/>
        <w:spacing w:after="0"/>
        <w:rPr>
          <w:rFonts w:ascii="Times New Roman" w:eastAsia="MS Mincho" w:hAnsi="Times New Roman"/>
        </w:rPr>
      </w:pPr>
    </w:p>
    <w:p w14:paraId="34305270" w14:textId="1D49D243" w:rsidR="00EC4FFD" w:rsidRPr="009C2ADD" w:rsidRDefault="00535BED" w:rsidP="009C2ADD">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743C1398" wp14:editId="70A5A221">
            <wp:extent cx="5731510" cy="5731510"/>
            <wp:effectExtent l="0" t="0" r="0" b="0"/>
            <wp:docPr id="15" name="Picture 14" descr="plot_Kobe_grid_compare_growth_wgtd_la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ot_Kobe_grid_compare_growth_wgtd_latest-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3ADA5D8" w14:textId="56E0400A" w:rsidR="0066470A" w:rsidRPr="00464B7F" w:rsidRDefault="00516289" w:rsidP="0066470A">
      <w:pPr>
        <w:pStyle w:val="CommentText"/>
        <w:rPr>
          <w:rFonts w:ascii="Times New Roman" w:hAnsi="Times New Roman"/>
          <w:sz w:val="22"/>
          <w:szCs w:val="22"/>
        </w:rPr>
      </w:pPr>
      <w:r w:rsidRPr="00464B7F">
        <w:rPr>
          <w:rFonts w:ascii="Times New Roman" w:eastAsia="MS Mincho" w:hAnsi="Times New Roman"/>
          <w:b/>
          <w:sz w:val="22"/>
          <w:szCs w:val="22"/>
        </w:rPr>
        <w:t xml:space="preserve">Figure BET8. </w:t>
      </w:r>
      <w:proofErr w:type="gramStart"/>
      <w:r w:rsidRPr="00464B7F">
        <w:rPr>
          <w:rFonts w:ascii="Times New Roman" w:eastAsia="MS Mincho" w:hAnsi="Times New Roman"/>
          <w:sz w:val="22"/>
          <w:szCs w:val="22"/>
        </w:rPr>
        <w:t>Kobe plot summarising the results for each of the models in the structural uncertainty grid.</w:t>
      </w:r>
      <w:proofErr w:type="gramEnd"/>
      <w:r w:rsidRPr="00464B7F">
        <w:rPr>
          <w:rFonts w:ascii="Times New Roman" w:eastAsia="MS Mincho" w:hAnsi="Times New Roman"/>
          <w:b/>
          <w:sz w:val="22"/>
          <w:szCs w:val="22"/>
        </w:rPr>
        <w:t xml:space="preserve"> </w:t>
      </w:r>
      <w:r w:rsidRPr="00464B7F">
        <w:rPr>
          <w:rFonts w:ascii="Times New Roman" w:eastAsia="MS Mincho" w:hAnsi="Times New Roman"/>
          <w:sz w:val="22"/>
          <w:szCs w:val="22"/>
        </w:rPr>
        <w:t xml:space="preserve">The points represent </w:t>
      </w:r>
      <w:r w:rsidR="00300F08" w:rsidRPr="009C2ADD">
        <w:rPr>
          <w:rFonts w:ascii="Times New Roman" w:eastAsia="MS Mincho" w:hAnsi="Times New Roman"/>
          <w:i/>
        </w:rPr>
        <w:t>SB</w:t>
      </w:r>
      <w:r w:rsidR="00300F08" w:rsidRPr="00104C78">
        <w:rPr>
          <w:rFonts w:ascii="Times New Roman" w:eastAsia="MS Mincho" w:hAnsi="Times New Roman"/>
          <w:i/>
          <w:vertAlign w:val="subscript"/>
        </w:rPr>
        <w:t>latest</w:t>
      </w:r>
      <w:r w:rsidR="00300F08" w:rsidRPr="00464B7F" w:rsidDel="00300F08">
        <w:rPr>
          <w:rFonts w:ascii="Times New Roman" w:eastAsia="MS Mincho" w:hAnsi="Times New Roman"/>
          <w:i/>
          <w:sz w:val="22"/>
          <w:szCs w:val="22"/>
        </w:rPr>
        <w:t xml:space="preserve"> </w:t>
      </w:r>
      <w:r w:rsidRPr="00464B7F">
        <w:rPr>
          <w:rFonts w:ascii="Times New Roman" w:eastAsia="MS Mincho" w:hAnsi="Times New Roman"/>
          <w:i/>
          <w:sz w:val="22"/>
          <w:szCs w:val="22"/>
        </w:rPr>
        <w:t>/</w:t>
      </w:r>
      <w:proofErr w:type="gramStart"/>
      <w:r w:rsidRPr="00464B7F">
        <w:rPr>
          <w:rFonts w:ascii="Times New Roman" w:eastAsia="MS Mincho" w:hAnsi="Times New Roman"/>
          <w:i/>
          <w:sz w:val="22"/>
          <w:szCs w:val="22"/>
        </w:rPr>
        <w:t>SB</w:t>
      </w:r>
      <w:r w:rsidR="00A265B1" w:rsidRPr="00A265B1">
        <w:rPr>
          <w:rFonts w:ascii="Times New Roman" w:hAnsi="Times New Roman"/>
          <w:vertAlign w:val="subscript"/>
          <w:lang w:val="en-AU"/>
        </w:rPr>
        <w:t>MSY</w:t>
      </w:r>
      <w:r w:rsidRPr="00464B7F">
        <w:rPr>
          <w:rFonts w:ascii="Times New Roman" w:eastAsia="MS Mincho" w:hAnsi="Times New Roman"/>
          <w:sz w:val="22"/>
          <w:szCs w:val="22"/>
        </w:rPr>
        <w:t xml:space="preserve"> ,</w:t>
      </w:r>
      <w:proofErr w:type="gramEnd"/>
      <w:r w:rsidRPr="00464B7F">
        <w:rPr>
          <w:rFonts w:ascii="Times New Roman" w:eastAsia="MS Mincho" w:hAnsi="Times New Roman"/>
          <w:sz w:val="22"/>
          <w:szCs w:val="22"/>
        </w:rPr>
        <w:t xml:space="preserve"> with the colours depicting the models in the grid with the new and old growth functions, and the size of the points representing the decision of the SC to weight the new growth models three times higher than the old growth models.</w:t>
      </w:r>
      <w:r w:rsidR="0066470A" w:rsidRPr="00464B7F">
        <w:rPr>
          <w:rFonts w:ascii="Times New Roman" w:eastAsia="MS Mincho" w:hAnsi="Times New Roman"/>
          <w:sz w:val="22"/>
          <w:szCs w:val="22"/>
        </w:rPr>
        <w:t xml:space="preserve"> </w:t>
      </w:r>
    </w:p>
    <w:p w14:paraId="3CD76DE0" w14:textId="1904AEAB" w:rsidR="00516289" w:rsidRPr="009C2ADD" w:rsidRDefault="00516289" w:rsidP="009C2ADD">
      <w:pPr>
        <w:adjustRightInd w:val="0"/>
        <w:snapToGrid w:val="0"/>
        <w:spacing w:after="0"/>
        <w:rPr>
          <w:rFonts w:ascii="Times New Roman" w:eastAsia="MS Mincho" w:hAnsi="Times New Roman"/>
        </w:rPr>
      </w:pPr>
    </w:p>
    <w:p w14:paraId="2F9F0663" w14:textId="7B76EE8E" w:rsidR="00516289" w:rsidRPr="009C2ADD" w:rsidRDefault="00535BED" w:rsidP="009C2ADD">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3FC8AD39" wp14:editId="61119B12">
            <wp:extent cx="5731510" cy="5731510"/>
            <wp:effectExtent l="0" t="0" r="0" b="0"/>
            <wp:docPr id="16" name="Picture 15" descr="plot_Kobe_grid_compare_growth_wgtd_rec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ot_Kobe_grid_compare_growth_wgtd_recent-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2C4DFE8" w14:textId="74059B91" w:rsidR="00B65E7C" w:rsidRDefault="00B65E7C" w:rsidP="009C2ADD">
      <w:pPr>
        <w:adjustRightInd w:val="0"/>
        <w:snapToGrid w:val="0"/>
        <w:spacing w:after="0"/>
        <w:rPr>
          <w:rFonts w:ascii="Times New Roman" w:hAnsi="Times New Roman"/>
          <w:lang w:eastAsia="ko-KR"/>
        </w:rPr>
      </w:pPr>
      <w:bookmarkStart w:id="102" w:name="_Hlk491521858"/>
      <w:r w:rsidRPr="009C2ADD">
        <w:rPr>
          <w:rFonts w:ascii="Times New Roman" w:eastAsia="MS Mincho" w:hAnsi="Times New Roman"/>
          <w:b/>
        </w:rPr>
        <w:t xml:space="preserve">Figure BET-9. </w:t>
      </w:r>
      <w:proofErr w:type="gramStart"/>
      <w:r w:rsidRPr="009C2ADD">
        <w:rPr>
          <w:rFonts w:ascii="Times New Roman" w:eastAsia="MS Mincho" w:hAnsi="Times New Roman"/>
        </w:rPr>
        <w:t>Kobe plot summarising the results for each of the models in the structural uncertainty grid.</w:t>
      </w:r>
      <w:proofErr w:type="gramEnd"/>
      <w:r w:rsidRPr="009C2ADD">
        <w:rPr>
          <w:rFonts w:ascii="Times New Roman" w:eastAsia="MS Mincho" w:hAnsi="Times New Roman"/>
        </w:rPr>
        <w:t xml:space="preserve"> </w:t>
      </w:r>
      <w:bookmarkEnd w:id="102"/>
      <w:r w:rsidRPr="009C2ADD">
        <w:rPr>
          <w:rFonts w:ascii="Times New Roman" w:eastAsia="MS Mincho" w:hAnsi="Times New Roman"/>
        </w:rPr>
        <w:t xml:space="preserve">The points represent </w:t>
      </w:r>
      <w:r w:rsidRPr="0070772D">
        <w:rPr>
          <w:rFonts w:ascii="Times New Roman" w:eastAsia="MS Mincho" w:hAnsi="Times New Roman"/>
          <w:iCs/>
        </w:rPr>
        <w:t>SB</w:t>
      </w:r>
      <w:r w:rsidRPr="0070772D">
        <w:rPr>
          <w:rFonts w:ascii="Times New Roman" w:eastAsia="MS Mincho" w:hAnsi="Times New Roman"/>
          <w:iCs/>
          <w:vertAlign w:val="subscript"/>
        </w:rPr>
        <w:t>recent</w:t>
      </w:r>
      <w:r w:rsidRPr="0070772D">
        <w:rPr>
          <w:rFonts w:ascii="Times New Roman" w:eastAsia="MS Mincho" w:hAnsi="Times New Roman"/>
          <w:iCs/>
        </w:rPr>
        <w:t>/SB</w:t>
      </w:r>
      <w:r w:rsidRPr="0070772D">
        <w:rPr>
          <w:rFonts w:ascii="Times New Roman" w:eastAsia="MS Mincho" w:hAnsi="Times New Roman"/>
          <w:iCs/>
          <w:vertAlign w:val="subscript"/>
        </w:rPr>
        <w:t>MSY</w:t>
      </w:r>
      <w:r w:rsidRPr="009C2ADD">
        <w:rPr>
          <w:rFonts w:ascii="Times New Roman" w:eastAsia="MS Mincho" w:hAnsi="Times New Roman"/>
        </w:rPr>
        <w:t>, with the colours depicting the models in the grid with the new and old growth functions, and the size of the points representing the decision of the SC to weight the new growth models three times higher than the old growth models.</w:t>
      </w:r>
    </w:p>
    <w:p w14:paraId="0F05980A" w14:textId="77777777" w:rsidR="004E7F00" w:rsidRDefault="004E7F00" w:rsidP="009C2ADD">
      <w:pPr>
        <w:adjustRightInd w:val="0"/>
        <w:snapToGrid w:val="0"/>
        <w:spacing w:after="0"/>
        <w:rPr>
          <w:rFonts w:ascii="Times New Roman" w:hAnsi="Times New Roman"/>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CE3164" w14:paraId="5A96F956" w14:textId="77777777" w:rsidTr="00CE3164">
        <w:tc>
          <w:tcPr>
            <w:tcW w:w="9468" w:type="dxa"/>
          </w:tcPr>
          <w:p w14:paraId="5515DF1E" w14:textId="6AFCD6A3" w:rsidR="00CE3164" w:rsidRDefault="00CE3164" w:rsidP="00CE3164">
            <w:pPr>
              <w:adjustRightInd w:val="0"/>
              <w:snapToGrid w:val="0"/>
              <w:spacing w:after="0"/>
              <w:jc w:val="center"/>
              <w:rPr>
                <w:rFonts w:ascii="Times New Roman" w:hAnsi="Times New Roman"/>
                <w:lang w:eastAsia="ko-KR"/>
              </w:rPr>
            </w:pPr>
            <w:r>
              <w:rPr>
                <w:noProof/>
                <w:lang w:val="en-US" w:eastAsia="ko-KR"/>
              </w:rPr>
              <w:drawing>
                <wp:inline distT="0" distB="0" distL="0" distR="0" wp14:anchorId="00C31CA9" wp14:editId="3E4E1163">
                  <wp:extent cx="3807912" cy="3807912"/>
                  <wp:effectExtent l="0" t="0" r="254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Majuro_Tempora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3148" cy="3813148"/>
                          </a:xfrm>
                          <a:prstGeom prst="rect">
                            <a:avLst/>
                          </a:prstGeom>
                        </pic:spPr>
                      </pic:pic>
                    </a:graphicData>
                  </a:graphic>
                </wp:inline>
              </w:drawing>
            </w:r>
          </w:p>
        </w:tc>
      </w:tr>
      <w:tr w:rsidR="00CE3164" w14:paraId="719C3DC9" w14:textId="77777777" w:rsidTr="00CE3164">
        <w:tc>
          <w:tcPr>
            <w:tcW w:w="9468" w:type="dxa"/>
          </w:tcPr>
          <w:p w14:paraId="7AF7480B" w14:textId="09D688CC" w:rsidR="00CE3164" w:rsidRDefault="00CE3164" w:rsidP="00CE3164">
            <w:pPr>
              <w:adjustRightInd w:val="0"/>
              <w:snapToGrid w:val="0"/>
              <w:spacing w:after="0"/>
              <w:jc w:val="center"/>
              <w:rPr>
                <w:noProof/>
                <w:lang w:val="en-US" w:eastAsia="zh-CN" w:bidi="mn-Mong-CN"/>
              </w:rPr>
            </w:pPr>
            <w:r>
              <w:rPr>
                <w:noProof/>
                <w:lang w:val="en-US" w:eastAsia="ko-KR"/>
              </w:rPr>
              <w:drawing>
                <wp:inline distT="0" distB="0" distL="0" distR="0" wp14:anchorId="064AAF16" wp14:editId="63569918">
                  <wp:extent cx="3883068" cy="3883068"/>
                  <wp:effectExtent l="0" t="0" r="317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Kobe_Tempora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74999" cy="3874999"/>
                          </a:xfrm>
                          <a:prstGeom prst="rect">
                            <a:avLst/>
                          </a:prstGeom>
                        </pic:spPr>
                      </pic:pic>
                    </a:graphicData>
                  </a:graphic>
                </wp:inline>
              </w:drawing>
            </w:r>
          </w:p>
        </w:tc>
      </w:tr>
    </w:tbl>
    <w:p w14:paraId="64A6700D" w14:textId="5C8578F0" w:rsidR="004E7F00" w:rsidRPr="0070772D" w:rsidRDefault="004E7F00" w:rsidP="009C2ADD">
      <w:pPr>
        <w:adjustRightInd w:val="0"/>
        <w:snapToGrid w:val="0"/>
        <w:spacing w:after="0"/>
        <w:rPr>
          <w:rFonts w:ascii="Times New Roman" w:hAnsi="Times New Roman"/>
          <w:lang w:eastAsia="ko-KR"/>
        </w:rPr>
      </w:pPr>
      <w:r w:rsidRPr="0048229F">
        <w:rPr>
          <w:rFonts w:ascii="Times New Roman" w:eastAsia="MS Mincho" w:hAnsi="Times New Roman"/>
          <w:b/>
        </w:rPr>
        <w:t>Figure BET-</w:t>
      </w:r>
      <w:r w:rsidRPr="0048229F">
        <w:rPr>
          <w:rFonts w:ascii="Times New Roman" w:hAnsi="Times New Roman"/>
          <w:b/>
          <w:lang w:eastAsia="ko-KR"/>
        </w:rPr>
        <w:t>10</w:t>
      </w:r>
      <w:r w:rsidRPr="0048229F">
        <w:rPr>
          <w:rFonts w:ascii="Times New Roman" w:eastAsia="MS Mincho" w:hAnsi="Times New Roman"/>
          <w:b/>
        </w:rPr>
        <w:t>.</w:t>
      </w:r>
      <w:r w:rsidR="0048229F" w:rsidRPr="0048229F">
        <w:rPr>
          <w:rFonts w:ascii="Times New Roman" w:hAnsi="Times New Roman"/>
          <w:b/>
          <w:lang w:eastAsia="ko-KR"/>
        </w:rPr>
        <w:t xml:space="preserve"> </w:t>
      </w:r>
      <w:r w:rsidR="0048229F" w:rsidRPr="0070772D">
        <w:rPr>
          <w:rFonts w:ascii="Times New Roman" w:hAnsi="Times New Roman"/>
        </w:rPr>
        <w:t>Estimated time-series (or “dynamic”) Majuro and Kobe plots from the bigeye ‘diagnostic case’ model run.</w:t>
      </w:r>
    </w:p>
    <w:p w14:paraId="55CE75E3" w14:textId="1DE1054D" w:rsidR="00B65E7C" w:rsidRPr="009C2ADD" w:rsidRDefault="00535BED" w:rsidP="009C2ADD">
      <w:pPr>
        <w:adjustRightInd w:val="0"/>
        <w:snapToGrid w:val="0"/>
        <w:spacing w:after="0"/>
        <w:rPr>
          <w:rFonts w:ascii="Times New Roman" w:eastAsia="MS Mincho" w:hAnsi="Times New Roman"/>
        </w:rPr>
      </w:pPr>
      <w:r w:rsidRPr="009C2ADD">
        <w:rPr>
          <w:rFonts w:ascii="Times New Roman" w:hAnsi="Times New Roman"/>
          <w:noProof/>
          <w:lang w:val="en-US" w:eastAsia="ko-KR"/>
        </w:rPr>
        <w:drawing>
          <wp:inline distT="0" distB="0" distL="0" distR="0" wp14:anchorId="10AA390E" wp14:editId="49C54245">
            <wp:extent cx="5949863" cy="5949863"/>
            <wp:effectExtent l="0" t="0" r="0" b="0"/>
            <wp:docPr id="17" name="Picture 16" descr="plot_fishery_impact_BE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ot_fishery_impact_BET-SS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251" cy="5944251"/>
                    </a:xfrm>
                    <a:prstGeom prst="rect">
                      <a:avLst/>
                    </a:prstGeom>
                    <a:noFill/>
                    <a:ln>
                      <a:noFill/>
                    </a:ln>
                  </pic:spPr>
                </pic:pic>
              </a:graphicData>
            </a:graphic>
          </wp:inline>
        </w:drawing>
      </w:r>
    </w:p>
    <w:p w14:paraId="6C8D5E8E" w14:textId="162E0503" w:rsidR="00B65E7C" w:rsidRPr="009C2ADD" w:rsidRDefault="00B65E7C" w:rsidP="009C2ADD">
      <w:pPr>
        <w:adjustRightInd w:val="0"/>
        <w:snapToGrid w:val="0"/>
        <w:spacing w:after="0"/>
        <w:rPr>
          <w:rFonts w:ascii="Times New Roman" w:eastAsia="MS Mincho" w:hAnsi="Times New Roman"/>
        </w:rPr>
      </w:pPr>
      <w:bookmarkStart w:id="103" w:name="_Hlk491521870"/>
      <w:r w:rsidRPr="009C2ADD">
        <w:rPr>
          <w:rFonts w:ascii="Times New Roman" w:eastAsia="MS Mincho" w:hAnsi="Times New Roman"/>
          <w:b/>
        </w:rPr>
        <w:t>Figure BET-1</w:t>
      </w:r>
      <w:r w:rsidR="004E7F00">
        <w:rPr>
          <w:rFonts w:ascii="Times New Roman" w:hAnsi="Times New Roman" w:hint="eastAsia"/>
          <w:b/>
          <w:lang w:eastAsia="ko-KR"/>
        </w:rPr>
        <w:t>1</w:t>
      </w:r>
      <w:r w:rsidRPr="009C2ADD">
        <w:rPr>
          <w:rFonts w:ascii="Times New Roman" w:eastAsia="MS Mincho" w:hAnsi="Times New Roman"/>
          <w:b/>
        </w:rPr>
        <w:t xml:space="preserve">. </w:t>
      </w:r>
      <w:proofErr w:type="gramStart"/>
      <w:r w:rsidRPr="009C2ADD">
        <w:rPr>
          <w:rFonts w:ascii="Times New Roman" w:eastAsia="MS Mincho" w:hAnsi="Times New Roman"/>
        </w:rPr>
        <w:t>Estimates of reduction in spawning potential due to fishing by region, and over all regions (lower right panel), attributed to various fishery groups (gear-types) for the diagnostic case model.</w:t>
      </w:r>
      <w:proofErr w:type="gramEnd"/>
    </w:p>
    <w:bookmarkEnd w:id="103"/>
    <w:p w14:paraId="06715D4F" w14:textId="5E9E9AF0" w:rsidR="003123E3" w:rsidRPr="009C2ADD" w:rsidRDefault="003123E3" w:rsidP="009C2ADD">
      <w:pPr>
        <w:adjustRightInd w:val="0"/>
        <w:snapToGrid w:val="0"/>
        <w:spacing w:after="0"/>
        <w:jc w:val="left"/>
        <w:rPr>
          <w:rFonts w:ascii="Times New Roman" w:eastAsia="MS Mincho" w:hAnsi="Times New Roman"/>
        </w:rPr>
      </w:pPr>
      <w:r w:rsidRPr="009C2ADD">
        <w:rPr>
          <w:rFonts w:ascii="Times New Roman" w:eastAsia="MS Mincho" w:hAnsi="Times New Roman"/>
        </w:rPr>
        <w:br w:type="page"/>
      </w:r>
    </w:p>
    <w:p w14:paraId="268957ED" w14:textId="7E82F6D0" w:rsidR="003123E3" w:rsidRPr="009C2ADD" w:rsidRDefault="003123E3" w:rsidP="009C2ADD">
      <w:pPr>
        <w:adjustRightInd w:val="0"/>
        <w:snapToGrid w:val="0"/>
        <w:spacing w:after="0"/>
        <w:rPr>
          <w:rFonts w:ascii="Times New Roman" w:hAnsi="Times New Roman"/>
        </w:rPr>
      </w:pPr>
      <w:bookmarkStart w:id="104" w:name="_Hlk491523881"/>
      <w:proofErr w:type="gramStart"/>
      <w:r w:rsidRPr="009C2ADD">
        <w:rPr>
          <w:rFonts w:ascii="Times New Roman" w:hAnsi="Times New Roman"/>
          <w:b/>
        </w:rPr>
        <w:t>Table BET-2.</w:t>
      </w:r>
      <w:proofErr w:type="gramEnd"/>
      <w:r w:rsidRPr="009C2ADD">
        <w:rPr>
          <w:rFonts w:ascii="Times New Roman" w:hAnsi="Times New Roman"/>
          <w:b/>
        </w:rPr>
        <w:t xml:space="preserve"> </w:t>
      </w:r>
      <w:r w:rsidRPr="009C2ADD">
        <w:rPr>
          <w:rFonts w:ascii="Times New Roman" w:hAnsi="Times New Roman"/>
        </w:rPr>
        <w:t xml:space="preserve">Summary of reference points over the 72 models in the structural uncertainty grid </w:t>
      </w:r>
      <w:bookmarkEnd w:id="104"/>
      <w:r w:rsidRPr="009C2ADD">
        <w:rPr>
          <w:rFonts w:ascii="Times New Roman" w:hAnsi="Times New Roman"/>
        </w:rPr>
        <w:t xml:space="preserve">where the models using the new growth function are given three times the weighting of the models using the old growth function. Note that </w:t>
      </w:r>
      <w:r w:rsidRPr="009C2ADD">
        <w:rPr>
          <w:rFonts w:ascii="Times New Roman" w:hAnsi="Times New Roman"/>
          <w:i/>
        </w:rPr>
        <w:t>SB</w:t>
      </w:r>
      <w:r w:rsidRPr="0070772D">
        <w:rPr>
          <w:rFonts w:ascii="Times New Roman" w:hAnsi="Times New Roman"/>
          <w:i/>
          <w:vertAlign w:val="subscript"/>
        </w:rPr>
        <w:t>recent</w:t>
      </w:r>
      <w:r w:rsidRPr="009C2ADD">
        <w:rPr>
          <w:rFonts w:ascii="Times New Roman" w:hAnsi="Times New Roman"/>
          <w:i/>
        </w:rPr>
        <w:t>/</w:t>
      </w:r>
      <w:r w:rsidR="00300F08" w:rsidRPr="0070772D">
        <w:rPr>
          <w:rFonts w:ascii="Times New Roman" w:hAnsi="Times New Roman"/>
          <w:i/>
        </w:rPr>
        <w:t>SB</w:t>
      </w:r>
      <w:r w:rsidR="00300F08" w:rsidRPr="0070772D">
        <w:rPr>
          <w:rFonts w:ascii="Times New Roman" w:hAnsi="Times New Roman"/>
          <w:i/>
          <w:vertAlign w:val="subscript"/>
        </w:rPr>
        <w:t>F=0</w:t>
      </w:r>
      <w:r w:rsidRPr="009C2ADD">
        <w:rPr>
          <w:rFonts w:ascii="Times New Roman" w:hAnsi="Times New Roman"/>
        </w:rPr>
        <w:t xml:space="preserve"> is calculated where </w:t>
      </w:r>
      <w:r w:rsidRPr="009C2ADD">
        <w:rPr>
          <w:rFonts w:ascii="Times New Roman" w:hAnsi="Times New Roman"/>
          <w:i/>
        </w:rPr>
        <w:t>SB</w:t>
      </w:r>
      <w:r w:rsidRPr="0070772D">
        <w:rPr>
          <w:rFonts w:ascii="Times New Roman" w:hAnsi="Times New Roman"/>
          <w:i/>
          <w:vertAlign w:val="subscript"/>
        </w:rPr>
        <w:t>recent</w:t>
      </w:r>
      <w:r w:rsidRPr="009C2ADD">
        <w:rPr>
          <w:rFonts w:ascii="Times New Roman" w:hAnsi="Times New Roman"/>
        </w:rPr>
        <w:t xml:space="preserve"> is the mean</w:t>
      </w:r>
      <w:r w:rsidRPr="009C2ADD">
        <w:rPr>
          <w:rFonts w:ascii="Times New Roman" w:hAnsi="Times New Roman"/>
          <w:b/>
          <w:i/>
        </w:rPr>
        <w:t xml:space="preserve"> </w:t>
      </w:r>
      <w:r w:rsidRPr="009C2ADD">
        <w:rPr>
          <w:rFonts w:ascii="Times New Roman" w:hAnsi="Times New Roman"/>
          <w:i/>
        </w:rPr>
        <w:t>SB</w:t>
      </w:r>
      <w:r w:rsidRPr="009C2ADD">
        <w:rPr>
          <w:rFonts w:ascii="Times New Roman" w:hAnsi="Times New Roman"/>
        </w:rPr>
        <w:t xml:space="preserve"> over 2012-2015</w:t>
      </w:r>
      <w:r w:rsidRPr="009C2ADD">
        <w:rPr>
          <w:rFonts w:ascii="Times New Roman" w:hAnsi="Times New Roman"/>
          <w:b/>
        </w:rPr>
        <w:t xml:space="preserve"> </w:t>
      </w:r>
      <w:r w:rsidRPr="009C2ADD">
        <w:rPr>
          <w:rFonts w:ascii="Times New Roman" w:hAnsi="Times New Roman"/>
        </w:rPr>
        <w:t xml:space="preserve">instead of 2011-2014 (used in the stock assessment report), at the request of the Scientific Committee. </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3123E3" w:rsidRPr="009C2ADD" w14:paraId="750A3735" w14:textId="77777777" w:rsidTr="00106A40">
        <w:trPr>
          <w:cantSplit/>
        </w:trPr>
        <w:tc>
          <w:tcPr>
            <w:tcW w:w="1732" w:type="dxa"/>
            <w:tcBorders>
              <w:top w:val="single" w:sz="4" w:space="0" w:color="auto"/>
              <w:left w:val="nil"/>
              <w:bottom w:val="single" w:sz="4" w:space="0" w:color="auto"/>
              <w:right w:val="nil"/>
            </w:tcBorders>
            <w:shd w:val="clear" w:color="auto" w:fill="auto"/>
          </w:tcPr>
          <w:p w14:paraId="329FE676" w14:textId="77777777" w:rsidR="003123E3" w:rsidRPr="009C2ADD" w:rsidRDefault="003123E3" w:rsidP="009C2ADD">
            <w:pPr>
              <w:adjustRightInd w:val="0"/>
              <w:snapToGrid w:val="0"/>
              <w:spacing w:after="0"/>
              <w:rPr>
                <w:rFonts w:ascii="Times New Roman" w:eastAsia="MS Mincho" w:hAnsi="Times New Roman"/>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3B590AB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61FD041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4293D37B"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3C24F4B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70CC106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5F9F158A"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Max</w:t>
            </w:r>
          </w:p>
        </w:tc>
      </w:tr>
      <w:tr w:rsidR="003123E3" w:rsidRPr="009C2ADD" w14:paraId="0B085CF0" w14:textId="77777777" w:rsidTr="00106A40">
        <w:trPr>
          <w:cantSplit/>
        </w:trPr>
        <w:tc>
          <w:tcPr>
            <w:tcW w:w="1732" w:type="dxa"/>
            <w:tcBorders>
              <w:top w:val="single" w:sz="4" w:space="0" w:color="auto"/>
              <w:left w:val="nil"/>
              <w:bottom w:val="nil"/>
              <w:right w:val="nil"/>
            </w:tcBorders>
            <w:shd w:val="clear" w:color="auto" w:fill="auto"/>
            <w:hideMark/>
          </w:tcPr>
          <w:p w14:paraId="23F4D18F"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C</w:t>
            </w:r>
            <w:r w:rsidRPr="0070772D">
              <w:rPr>
                <w:rFonts w:ascii="Times New Roman" w:eastAsia="MS Mincho" w:hAnsi="Times New Roman"/>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0218249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149,178</w:t>
            </w:r>
          </w:p>
        </w:tc>
        <w:tc>
          <w:tcPr>
            <w:tcW w:w="1265" w:type="dxa"/>
            <w:tcBorders>
              <w:top w:val="single" w:sz="4" w:space="0" w:color="auto"/>
              <w:left w:val="nil"/>
              <w:bottom w:val="nil"/>
              <w:right w:val="nil"/>
            </w:tcBorders>
            <w:shd w:val="clear" w:color="auto" w:fill="auto"/>
            <w:vAlign w:val="bottom"/>
            <w:hideMark/>
          </w:tcPr>
          <w:p w14:paraId="734116F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153,137</w:t>
            </w:r>
          </w:p>
        </w:tc>
        <w:tc>
          <w:tcPr>
            <w:tcW w:w="1265" w:type="dxa"/>
            <w:tcBorders>
              <w:top w:val="single" w:sz="4" w:space="0" w:color="auto"/>
              <w:left w:val="nil"/>
              <w:bottom w:val="nil"/>
              <w:right w:val="nil"/>
            </w:tcBorders>
            <w:shd w:val="clear" w:color="auto" w:fill="auto"/>
            <w:vAlign w:val="bottom"/>
            <w:hideMark/>
          </w:tcPr>
          <w:p w14:paraId="231BC91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130,903</w:t>
            </w:r>
          </w:p>
        </w:tc>
        <w:tc>
          <w:tcPr>
            <w:tcW w:w="1265" w:type="dxa"/>
            <w:tcBorders>
              <w:top w:val="single" w:sz="4" w:space="0" w:color="auto"/>
              <w:left w:val="nil"/>
              <w:bottom w:val="nil"/>
              <w:right w:val="nil"/>
            </w:tcBorders>
            <w:shd w:val="clear" w:color="auto" w:fill="auto"/>
            <w:vAlign w:val="bottom"/>
            <w:hideMark/>
          </w:tcPr>
          <w:p w14:paraId="7BFE7EB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131,597</w:t>
            </w:r>
          </w:p>
        </w:tc>
        <w:tc>
          <w:tcPr>
            <w:tcW w:w="1265" w:type="dxa"/>
            <w:tcBorders>
              <w:top w:val="single" w:sz="4" w:space="0" w:color="auto"/>
              <w:left w:val="nil"/>
              <w:bottom w:val="nil"/>
              <w:right w:val="nil"/>
            </w:tcBorders>
            <w:shd w:val="clear" w:color="auto" w:fill="auto"/>
            <w:vAlign w:val="bottom"/>
            <w:hideMark/>
          </w:tcPr>
          <w:p w14:paraId="6D516E34"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156,113</w:t>
            </w:r>
          </w:p>
        </w:tc>
        <w:tc>
          <w:tcPr>
            <w:tcW w:w="1265" w:type="dxa"/>
            <w:tcBorders>
              <w:top w:val="single" w:sz="4" w:space="0" w:color="auto"/>
              <w:left w:val="nil"/>
              <w:bottom w:val="nil"/>
              <w:right w:val="nil"/>
            </w:tcBorders>
            <w:shd w:val="clear" w:color="auto" w:fill="auto"/>
            <w:vAlign w:val="bottom"/>
            <w:hideMark/>
          </w:tcPr>
          <w:p w14:paraId="67FDB4A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157,725</w:t>
            </w:r>
          </w:p>
        </w:tc>
      </w:tr>
      <w:tr w:rsidR="003123E3" w:rsidRPr="009C2ADD" w14:paraId="6D8D0C24" w14:textId="77777777" w:rsidTr="00106A40">
        <w:trPr>
          <w:cantSplit/>
        </w:trPr>
        <w:tc>
          <w:tcPr>
            <w:tcW w:w="1732" w:type="dxa"/>
            <w:tcBorders>
              <w:top w:val="nil"/>
              <w:left w:val="nil"/>
              <w:bottom w:val="nil"/>
              <w:right w:val="nil"/>
            </w:tcBorders>
            <w:shd w:val="clear" w:color="auto" w:fill="auto"/>
            <w:hideMark/>
          </w:tcPr>
          <w:p w14:paraId="5AE216BD"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MSY</w:t>
            </w:r>
          </w:p>
        </w:tc>
        <w:tc>
          <w:tcPr>
            <w:tcW w:w="1264" w:type="dxa"/>
            <w:tcBorders>
              <w:top w:val="nil"/>
              <w:left w:val="nil"/>
              <w:bottom w:val="nil"/>
              <w:right w:val="nil"/>
            </w:tcBorders>
            <w:shd w:val="clear" w:color="auto" w:fill="auto"/>
            <w:vAlign w:val="bottom"/>
            <w:hideMark/>
          </w:tcPr>
          <w:p w14:paraId="2E8F294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156,765</w:t>
            </w:r>
          </w:p>
        </w:tc>
        <w:tc>
          <w:tcPr>
            <w:tcW w:w="1265" w:type="dxa"/>
            <w:tcBorders>
              <w:top w:val="nil"/>
              <w:left w:val="nil"/>
              <w:bottom w:val="nil"/>
              <w:right w:val="nil"/>
            </w:tcBorders>
            <w:shd w:val="clear" w:color="auto" w:fill="auto"/>
            <w:vAlign w:val="bottom"/>
            <w:hideMark/>
          </w:tcPr>
          <w:p w14:paraId="4530443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158,040</w:t>
            </w:r>
          </w:p>
        </w:tc>
        <w:tc>
          <w:tcPr>
            <w:tcW w:w="1265" w:type="dxa"/>
            <w:tcBorders>
              <w:top w:val="nil"/>
              <w:left w:val="nil"/>
              <w:bottom w:val="nil"/>
              <w:right w:val="nil"/>
            </w:tcBorders>
            <w:shd w:val="clear" w:color="auto" w:fill="auto"/>
            <w:vAlign w:val="bottom"/>
            <w:hideMark/>
          </w:tcPr>
          <w:p w14:paraId="67B6CD1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124,120</w:t>
            </w:r>
          </w:p>
        </w:tc>
        <w:tc>
          <w:tcPr>
            <w:tcW w:w="1265" w:type="dxa"/>
            <w:tcBorders>
              <w:top w:val="nil"/>
              <w:left w:val="nil"/>
              <w:bottom w:val="nil"/>
              <w:right w:val="nil"/>
            </w:tcBorders>
            <w:shd w:val="clear" w:color="auto" w:fill="auto"/>
            <w:vAlign w:val="bottom"/>
            <w:hideMark/>
          </w:tcPr>
          <w:p w14:paraId="6AE80CDB"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137,644</w:t>
            </w:r>
          </w:p>
        </w:tc>
        <w:tc>
          <w:tcPr>
            <w:tcW w:w="1265" w:type="dxa"/>
            <w:tcBorders>
              <w:top w:val="nil"/>
              <w:left w:val="nil"/>
              <w:bottom w:val="nil"/>
              <w:right w:val="nil"/>
            </w:tcBorders>
            <w:shd w:val="clear" w:color="auto" w:fill="auto"/>
            <w:vAlign w:val="bottom"/>
            <w:hideMark/>
          </w:tcPr>
          <w:p w14:paraId="63420B4B"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180,656</w:t>
            </w:r>
          </w:p>
        </w:tc>
        <w:tc>
          <w:tcPr>
            <w:tcW w:w="1265" w:type="dxa"/>
            <w:tcBorders>
              <w:top w:val="nil"/>
              <w:left w:val="nil"/>
              <w:bottom w:val="nil"/>
              <w:right w:val="nil"/>
            </w:tcBorders>
            <w:shd w:val="clear" w:color="auto" w:fill="auto"/>
            <w:vAlign w:val="bottom"/>
            <w:hideMark/>
          </w:tcPr>
          <w:p w14:paraId="77B81F13"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204,040</w:t>
            </w:r>
          </w:p>
        </w:tc>
      </w:tr>
      <w:tr w:rsidR="003123E3" w:rsidRPr="009C2ADD" w14:paraId="23ACC6A0" w14:textId="77777777" w:rsidTr="00106A40">
        <w:trPr>
          <w:cantSplit/>
        </w:trPr>
        <w:tc>
          <w:tcPr>
            <w:tcW w:w="1732" w:type="dxa"/>
            <w:tcBorders>
              <w:top w:val="nil"/>
              <w:left w:val="nil"/>
              <w:bottom w:val="nil"/>
              <w:right w:val="nil"/>
            </w:tcBorders>
            <w:shd w:val="clear" w:color="auto" w:fill="auto"/>
            <w:hideMark/>
          </w:tcPr>
          <w:p w14:paraId="5717C507"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Y</w:t>
            </w:r>
            <w:r w:rsidRPr="0070772D">
              <w:rPr>
                <w:rFonts w:ascii="Times New Roman" w:eastAsia="MS Mincho" w:hAnsi="Times New Roman"/>
                <w:i/>
                <w:vertAlign w:val="subscript"/>
                <w:lang w:val="en-AU"/>
              </w:rPr>
              <w:t>Frecent</w:t>
            </w:r>
          </w:p>
        </w:tc>
        <w:tc>
          <w:tcPr>
            <w:tcW w:w="1264" w:type="dxa"/>
            <w:tcBorders>
              <w:top w:val="nil"/>
              <w:left w:val="nil"/>
              <w:bottom w:val="nil"/>
              <w:right w:val="nil"/>
            </w:tcBorders>
            <w:shd w:val="clear" w:color="auto" w:fill="auto"/>
            <w:vAlign w:val="bottom"/>
            <w:hideMark/>
          </w:tcPr>
          <w:p w14:paraId="45EE727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150,382</w:t>
            </w:r>
          </w:p>
        </w:tc>
        <w:tc>
          <w:tcPr>
            <w:tcW w:w="1265" w:type="dxa"/>
            <w:tcBorders>
              <w:top w:val="nil"/>
              <w:left w:val="nil"/>
              <w:bottom w:val="nil"/>
              <w:right w:val="nil"/>
            </w:tcBorders>
            <w:shd w:val="clear" w:color="auto" w:fill="auto"/>
            <w:vAlign w:val="bottom"/>
            <w:hideMark/>
          </w:tcPr>
          <w:p w14:paraId="67A904C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148,920</w:t>
            </w:r>
          </w:p>
        </w:tc>
        <w:tc>
          <w:tcPr>
            <w:tcW w:w="1265" w:type="dxa"/>
            <w:tcBorders>
              <w:top w:val="nil"/>
              <w:left w:val="nil"/>
              <w:bottom w:val="nil"/>
              <w:right w:val="nil"/>
            </w:tcBorders>
            <w:shd w:val="clear" w:color="auto" w:fill="auto"/>
            <w:vAlign w:val="bottom"/>
            <w:hideMark/>
          </w:tcPr>
          <w:p w14:paraId="5A2A560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118,000</w:t>
            </w:r>
          </w:p>
        </w:tc>
        <w:tc>
          <w:tcPr>
            <w:tcW w:w="1265" w:type="dxa"/>
            <w:tcBorders>
              <w:top w:val="nil"/>
              <w:left w:val="nil"/>
              <w:bottom w:val="nil"/>
              <w:right w:val="nil"/>
            </w:tcBorders>
            <w:shd w:val="clear" w:color="auto" w:fill="auto"/>
            <w:vAlign w:val="bottom"/>
            <w:hideMark/>
          </w:tcPr>
          <w:p w14:paraId="25337322"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133,400</w:t>
            </w:r>
          </w:p>
        </w:tc>
        <w:tc>
          <w:tcPr>
            <w:tcW w:w="1265" w:type="dxa"/>
            <w:tcBorders>
              <w:top w:val="nil"/>
              <w:left w:val="nil"/>
              <w:bottom w:val="nil"/>
              <w:right w:val="nil"/>
            </w:tcBorders>
            <w:shd w:val="clear" w:color="auto" w:fill="auto"/>
            <w:vAlign w:val="bottom"/>
            <w:hideMark/>
          </w:tcPr>
          <w:p w14:paraId="41D4AD5A"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168,656</w:t>
            </w:r>
          </w:p>
        </w:tc>
        <w:tc>
          <w:tcPr>
            <w:tcW w:w="1265" w:type="dxa"/>
            <w:tcBorders>
              <w:top w:val="nil"/>
              <w:left w:val="nil"/>
              <w:bottom w:val="nil"/>
              <w:right w:val="nil"/>
            </w:tcBorders>
            <w:shd w:val="clear" w:color="auto" w:fill="auto"/>
            <w:vAlign w:val="bottom"/>
            <w:hideMark/>
          </w:tcPr>
          <w:p w14:paraId="170B32E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187,240</w:t>
            </w:r>
          </w:p>
        </w:tc>
      </w:tr>
      <w:tr w:rsidR="003123E3" w:rsidRPr="009C2ADD" w14:paraId="1313D3F8" w14:textId="77777777" w:rsidTr="00106A40">
        <w:trPr>
          <w:cantSplit/>
        </w:trPr>
        <w:tc>
          <w:tcPr>
            <w:tcW w:w="1732" w:type="dxa"/>
            <w:tcBorders>
              <w:top w:val="nil"/>
              <w:left w:val="nil"/>
              <w:bottom w:val="nil"/>
              <w:right w:val="nil"/>
            </w:tcBorders>
            <w:shd w:val="clear" w:color="auto" w:fill="auto"/>
            <w:hideMark/>
          </w:tcPr>
          <w:p w14:paraId="364CA185"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Pr="0070772D">
              <w:rPr>
                <w:rFonts w:ascii="Times New Roman" w:eastAsia="MS Mincho" w:hAnsi="Times New Roman"/>
                <w:i/>
                <w:vertAlign w:val="subscript"/>
                <w:lang w:val="en-AU"/>
              </w:rPr>
              <w:t>mult</w:t>
            </w:r>
          </w:p>
        </w:tc>
        <w:tc>
          <w:tcPr>
            <w:tcW w:w="1264" w:type="dxa"/>
            <w:tcBorders>
              <w:top w:val="nil"/>
              <w:left w:val="nil"/>
              <w:bottom w:val="nil"/>
              <w:right w:val="nil"/>
            </w:tcBorders>
            <w:shd w:val="clear" w:color="auto" w:fill="auto"/>
            <w:vAlign w:val="bottom"/>
            <w:hideMark/>
          </w:tcPr>
          <w:p w14:paraId="34DD4A6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1.21</w:t>
            </w:r>
          </w:p>
        </w:tc>
        <w:tc>
          <w:tcPr>
            <w:tcW w:w="1265" w:type="dxa"/>
            <w:tcBorders>
              <w:top w:val="nil"/>
              <w:left w:val="nil"/>
              <w:bottom w:val="nil"/>
              <w:right w:val="nil"/>
            </w:tcBorders>
            <w:shd w:val="clear" w:color="auto" w:fill="auto"/>
            <w:vAlign w:val="bottom"/>
            <w:hideMark/>
          </w:tcPr>
          <w:p w14:paraId="287C182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1.20</w:t>
            </w:r>
          </w:p>
        </w:tc>
        <w:tc>
          <w:tcPr>
            <w:tcW w:w="1265" w:type="dxa"/>
            <w:tcBorders>
              <w:top w:val="nil"/>
              <w:left w:val="nil"/>
              <w:bottom w:val="nil"/>
              <w:right w:val="nil"/>
            </w:tcBorders>
            <w:shd w:val="clear" w:color="auto" w:fill="auto"/>
            <w:vAlign w:val="bottom"/>
            <w:hideMark/>
          </w:tcPr>
          <w:p w14:paraId="3BB755A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0.57</w:t>
            </w:r>
          </w:p>
        </w:tc>
        <w:tc>
          <w:tcPr>
            <w:tcW w:w="1265" w:type="dxa"/>
            <w:tcBorders>
              <w:top w:val="nil"/>
              <w:left w:val="nil"/>
              <w:bottom w:val="nil"/>
              <w:right w:val="nil"/>
            </w:tcBorders>
            <w:shd w:val="clear" w:color="auto" w:fill="auto"/>
            <w:vAlign w:val="bottom"/>
            <w:hideMark/>
          </w:tcPr>
          <w:p w14:paraId="035CC394"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0.76</w:t>
            </w:r>
          </w:p>
        </w:tc>
        <w:tc>
          <w:tcPr>
            <w:tcW w:w="1265" w:type="dxa"/>
            <w:tcBorders>
              <w:top w:val="nil"/>
              <w:left w:val="nil"/>
              <w:bottom w:val="nil"/>
              <w:right w:val="nil"/>
            </w:tcBorders>
            <w:shd w:val="clear" w:color="auto" w:fill="auto"/>
            <w:vAlign w:val="bottom"/>
            <w:hideMark/>
          </w:tcPr>
          <w:p w14:paraId="18C7C03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1.63</w:t>
            </w:r>
          </w:p>
        </w:tc>
        <w:tc>
          <w:tcPr>
            <w:tcW w:w="1265" w:type="dxa"/>
            <w:tcBorders>
              <w:top w:val="nil"/>
              <w:left w:val="nil"/>
              <w:bottom w:val="nil"/>
              <w:right w:val="nil"/>
            </w:tcBorders>
            <w:shd w:val="clear" w:color="auto" w:fill="auto"/>
            <w:vAlign w:val="bottom"/>
            <w:hideMark/>
          </w:tcPr>
          <w:p w14:paraId="4224A67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1.85</w:t>
            </w:r>
          </w:p>
        </w:tc>
      </w:tr>
      <w:tr w:rsidR="003123E3" w:rsidRPr="009C2ADD" w14:paraId="4D1D6549" w14:textId="77777777" w:rsidTr="00106A40">
        <w:trPr>
          <w:cantSplit/>
        </w:trPr>
        <w:tc>
          <w:tcPr>
            <w:tcW w:w="1732" w:type="dxa"/>
            <w:tcBorders>
              <w:top w:val="nil"/>
              <w:left w:val="nil"/>
              <w:bottom w:val="nil"/>
              <w:right w:val="nil"/>
            </w:tcBorders>
            <w:shd w:val="clear" w:color="auto" w:fill="auto"/>
            <w:hideMark/>
          </w:tcPr>
          <w:p w14:paraId="7AB77A4D" w14:textId="014388A5"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00A265B1"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6BDBD86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6C0AC28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73D6D69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0.04</w:t>
            </w:r>
          </w:p>
        </w:tc>
        <w:tc>
          <w:tcPr>
            <w:tcW w:w="1265" w:type="dxa"/>
            <w:tcBorders>
              <w:top w:val="nil"/>
              <w:left w:val="nil"/>
              <w:bottom w:val="nil"/>
              <w:right w:val="nil"/>
            </w:tcBorders>
            <w:shd w:val="clear" w:color="auto" w:fill="auto"/>
            <w:vAlign w:val="bottom"/>
            <w:hideMark/>
          </w:tcPr>
          <w:p w14:paraId="13F4502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0.04</w:t>
            </w:r>
          </w:p>
        </w:tc>
        <w:tc>
          <w:tcPr>
            <w:tcW w:w="1265" w:type="dxa"/>
            <w:tcBorders>
              <w:top w:val="nil"/>
              <w:left w:val="nil"/>
              <w:bottom w:val="nil"/>
              <w:right w:val="nil"/>
            </w:tcBorders>
            <w:shd w:val="clear" w:color="auto" w:fill="auto"/>
            <w:vAlign w:val="bottom"/>
            <w:hideMark/>
          </w:tcPr>
          <w:p w14:paraId="1EB4B40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0.05</w:t>
            </w:r>
          </w:p>
        </w:tc>
        <w:tc>
          <w:tcPr>
            <w:tcW w:w="1265" w:type="dxa"/>
            <w:tcBorders>
              <w:top w:val="nil"/>
              <w:left w:val="nil"/>
              <w:bottom w:val="nil"/>
              <w:right w:val="nil"/>
            </w:tcBorders>
            <w:shd w:val="clear" w:color="auto" w:fill="auto"/>
            <w:vAlign w:val="bottom"/>
            <w:hideMark/>
          </w:tcPr>
          <w:p w14:paraId="156B36A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0.06</w:t>
            </w:r>
          </w:p>
        </w:tc>
      </w:tr>
      <w:tr w:rsidR="003123E3" w:rsidRPr="009C2ADD" w14:paraId="16F90868" w14:textId="77777777" w:rsidTr="00106A40">
        <w:trPr>
          <w:cantSplit/>
        </w:trPr>
        <w:tc>
          <w:tcPr>
            <w:tcW w:w="1732" w:type="dxa"/>
            <w:tcBorders>
              <w:top w:val="nil"/>
              <w:left w:val="nil"/>
              <w:bottom w:val="nil"/>
              <w:right w:val="nil"/>
            </w:tcBorders>
            <w:shd w:val="clear" w:color="auto" w:fill="auto"/>
            <w:hideMark/>
          </w:tcPr>
          <w:p w14:paraId="7BC38492" w14:textId="16DDD7D1"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F</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/F</w:t>
            </w:r>
            <w:r w:rsidR="00A265B1"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16C1DA3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0.89</w:t>
            </w:r>
          </w:p>
        </w:tc>
        <w:tc>
          <w:tcPr>
            <w:tcW w:w="1265" w:type="dxa"/>
            <w:tcBorders>
              <w:top w:val="nil"/>
              <w:left w:val="nil"/>
              <w:bottom w:val="nil"/>
              <w:right w:val="nil"/>
            </w:tcBorders>
            <w:shd w:val="clear" w:color="auto" w:fill="auto"/>
            <w:vAlign w:val="bottom"/>
            <w:hideMark/>
          </w:tcPr>
          <w:p w14:paraId="25DC34B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0.83</w:t>
            </w:r>
          </w:p>
        </w:tc>
        <w:tc>
          <w:tcPr>
            <w:tcW w:w="1265" w:type="dxa"/>
            <w:tcBorders>
              <w:top w:val="nil"/>
              <w:left w:val="nil"/>
              <w:bottom w:val="nil"/>
              <w:right w:val="nil"/>
            </w:tcBorders>
            <w:shd w:val="clear" w:color="auto" w:fill="auto"/>
            <w:vAlign w:val="bottom"/>
            <w:hideMark/>
          </w:tcPr>
          <w:p w14:paraId="0BDFED36"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0.54</w:t>
            </w:r>
          </w:p>
        </w:tc>
        <w:tc>
          <w:tcPr>
            <w:tcW w:w="1265" w:type="dxa"/>
            <w:tcBorders>
              <w:top w:val="nil"/>
              <w:left w:val="nil"/>
              <w:bottom w:val="nil"/>
              <w:right w:val="nil"/>
            </w:tcBorders>
            <w:shd w:val="clear" w:color="auto" w:fill="auto"/>
            <w:vAlign w:val="bottom"/>
            <w:hideMark/>
          </w:tcPr>
          <w:p w14:paraId="289BED16"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0.61</w:t>
            </w:r>
          </w:p>
        </w:tc>
        <w:tc>
          <w:tcPr>
            <w:tcW w:w="1265" w:type="dxa"/>
            <w:tcBorders>
              <w:top w:val="nil"/>
              <w:left w:val="nil"/>
              <w:bottom w:val="nil"/>
              <w:right w:val="nil"/>
            </w:tcBorders>
            <w:shd w:val="clear" w:color="auto" w:fill="auto"/>
            <w:vAlign w:val="bottom"/>
            <w:hideMark/>
          </w:tcPr>
          <w:p w14:paraId="00E32EE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1.32</w:t>
            </w:r>
          </w:p>
        </w:tc>
        <w:tc>
          <w:tcPr>
            <w:tcW w:w="1265" w:type="dxa"/>
            <w:tcBorders>
              <w:top w:val="nil"/>
              <w:left w:val="nil"/>
              <w:bottom w:val="nil"/>
              <w:right w:val="nil"/>
            </w:tcBorders>
            <w:shd w:val="clear" w:color="auto" w:fill="auto"/>
            <w:vAlign w:val="bottom"/>
            <w:hideMark/>
          </w:tcPr>
          <w:p w14:paraId="2689FE9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1.76</w:t>
            </w:r>
          </w:p>
        </w:tc>
      </w:tr>
      <w:tr w:rsidR="003123E3" w:rsidRPr="009C2ADD" w14:paraId="3CD8B04B" w14:textId="77777777" w:rsidTr="00106A40">
        <w:trPr>
          <w:cantSplit/>
        </w:trPr>
        <w:tc>
          <w:tcPr>
            <w:tcW w:w="1732" w:type="dxa"/>
            <w:tcBorders>
              <w:top w:val="nil"/>
              <w:left w:val="nil"/>
              <w:bottom w:val="nil"/>
              <w:right w:val="nil"/>
            </w:tcBorders>
            <w:shd w:val="clear" w:color="auto" w:fill="auto"/>
            <w:hideMark/>
          </w:tcPr>
          <w:p w14:paraId="6AC42E12" w14:textId="57AD3768"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00A265B1"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03285826"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457,162</w:t>
            </w:r>
          </w:p>
        </w:tc>
        <w:tc>
          <w:tcPr>
            <w:tcW w:w="1265" w:type="dxa"/>
            <w:tcBorders>
              <w:top w:val="nil"/>
              <w:left w:val="nil"/>
              <w:bottom w:val="nil"/>
              <w:right w:val="nil"/>
            </w:tcBorders>
            <w:shd w:val="clear" w:color="auto" w:fill="auto"/>
            <w:vAlign w:val="bottom"/>
            <w:hideMark/>
          </w:tcPr>
          <w:p w14:paraId="3DCA5F6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454,100</w:t>
            </w:r>
          </w:p>
        </w:tc>
        <w:tc>
          <w:tcPr>
            <w:tcW w:w="1265" w:type="dxa"/>
            <w:tcBorders>
              <w:top w:val="nil"/>
              <w:left w:val="nil"/>
              <w:bottom w:val="nil"/>
              <w:right w:val="nil"/>
            </w:tcBorders>
            <w:shd w:val="clear" w:color="auto" w:fill="auto"/>
            <w:vAlign w:val="bottom"/>
            <w:hideMark/>
          </w:tcPr>
          <w:p w14:paraId="17B9E136"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219,500</w:t>
            </w:r>
          </w:p>
        </w:tc>
        <w:tc>
          <w:tcPr>
            <w:tcW w:w="1265" w:type="dxa"/>
            <w:tcBorders>
              <w:top w:val="nil"/>
              <w:left w:val="nil"/>
              <w:bottom w:val="nil"/>
              <w:right w:val="nil"/>
            </w:tcBorders>
            <w:shd w:val="clear" w:color="auto" w:fill="auto"/>
            <w:vAlign w:val="bottom"/>
            <w:hideMark/>
          </w:tcPr>
          <w:p w14:paraId="51019E5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285,530</w:t>
            </w:r>
          </w:p>
        </w:tc>
        <w:tc>
          <w:tcPr>
            <w:tcW w:w="1265" w:type="dxa"/>
            <w:tcBorders>
              <w:top w:val="nil"/>
              <w:left w:val="nil"/>
              <w:bottom w:val="nil"/>
              <w:right w:val="nil"/>
            </w:tcBorders>
            <w:shd w:val="clear" w:color="auto" w:fill="auto"/>
            <w:vAlign w:val="bottom"/>
            <w:hideMark/>
          </w:tcPr>
          <w:p w14:paraId="46248BFB"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598,210</w:t>
            </w:r>
          </w:p>
        </w:tc>
        <w:tc>
          <w:tcPr>
            <w:tcW w:w="1265" w:type="dxa"/>
            <w:tcBorders>
              <w:top w:val="nil"/>
              <w:left w:val="nil"/>
              <w:bottom w:val="nil"/>
              <w:right w:val="nil"/>
            </w:tcBorders>
            <w:shd w:val="clear" w:color="auto" w:fill="auto"/>
            <w:vAlign w:val="bottom"/>
            <w:hideMark/>
          </w:tcPr>
          <w:p w14:paraId="031AF94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710,000</w:t>
            </w:r>
          </w:p>
        </w:tc>
      </w:tr>
      <w:tr w:rsidR="003123E3" w:rsidRPr="009C2ADD" w14:paraId="40EBCD8B" w14:textId="77777777" w:rsidTr="00106A40">
        <w:trPr>
          <w:cantSplit/>
        </w:trPr>
        <w:tc>
          <w:tcPr>
            <w:tcW w:w="1732" w:type="dxa"/>
            <w:tcBorders>
              <w:top w:val="nil"/>
              <w:left w:val="nil"/>
              <w:bottom w:val="nil"/>
              <w:right w:val="nil"/>
            </w:tcBorders>
            <w:shd w:val="clear" w:color="auto" w:fill="auto"/>
            <w:hideMark/>
          </w:tcPr>
          <w:p w14:paraId="5FEFEEE2"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12AC497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1,730,410</w:t>
            </w:r>
          </w:p>
        </w:tc>
        <w:tc>
          <w:tcPr>
            <w:tcW w:w="1265" w:type="dxa"/>
            <w:tcBorders>
              <w:top w:val="nil"/>
              <w:left w:val="nil"/>
              <w:bottom w:val="nil"/>
              <w:right w:val="nil"/>
            </w:tcBorders>
            <w:shd w:val="clear" w:color="auto" w:fill="auto"/>
            <w:vAlign w:val="bottom"/>
            <w:hideMark/>
          </w:tcPr>
          <w:p w14:paraId="768A38C2"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1,763,000</w:t>
            </w:r>
          </w:p>
        </w:tc>
        <w:tc>
          <w:tcPr>
            <w:tcW w:w="1265" w:type="dxa"/>
            <w:tcBorders>
              <w:top w:val="nil"/>
              <w:left w:val="nil"/>
              <w:bottom w:val="nil"/>
              <w:right w:val="nil"/>
            </w:tcBorders>
            <w:shd w:val="clear" w:color="auto" w:fill="auto"/>
            <w:vAlign w:val="bottom"/>
            <w:hideMark/>
          </w:tcPr>
          <w:p w14:paraId="2FB059F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1,009,000</w:t>
            </w:r>
          </w:p>
        </w:tc>
        <w:tc>
          <w:tcPr>
            <w:tcW w:w="1265" w:type="dxa"/>
            <w:tcBorders>
              <w:top w:val="nil"/>
              <w:left w:val="nil"/>
              <w:bottom w:val="nil"/>
              <w:right w:val="nil"/>
            </w:tcBorders>
            <w:shd w:val="clear" w:color="auto" w:fill="auto"/>
            <w:vAlign w:val="bottom"/>
            <w:hideMark/>
          </w:tcPr>
          <w:p w14:paraId="1B7863BA"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1,279,300</w:t>
            </w:r>
          </w:p>
        </w:tc>
        <w:tc>
          <w:tcPr>
            <w:tcW w:w="1265" w:type="dxa"/>
            <w:tcBorders>
              <w:top w:val="nil"/>
              <w:left w:val="nil"/>
              <w:bottom w:val="nil"/>
              <w:right w:val="nil"/>
            </w:tcBorders>
            <w:shd w:val="clear" w:color="auto" w:fill="auto"/>
            <w:vAlign w:val="bottom"/>
            <w:hideMark/>
          </w:tcPr>
          <w:p w14:paraId="749687D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2,148,200</w:t>
            </w:r>
          </w:p>
        </w:tc>
        <w:tc>
          <w:tcPr>
            <w:tcW w:w="1265" w:type="dxa"/>
            <w:tcBorders>
              <w:top w:val="nil"/>
              <w:left w:val="nil"/>
              <w:bottom w:val="nil"/>
              <w:right w:val="nil"/>
            </w:tcBorders>
            <w:shd w:val="clear" w:color="auto" w:fill="auto"/>
            <w:vAlign w:val="bottom"/>
            <w:hideMark/>
          </w:tcPr>
          <w:p w14:paraId="4DE763C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2,509,000</w:t>
            </w:r>
          </w:p>
        </w:tc>
      </w:tr>
      <w:tr w:rsidR="003123E3" w:rsidRPr="009C2ADD" w14:paraId="46171E61" w14:textId="77777777" w:rsidTr="00106A40">
        <w:trPr>
          <w:cantSplit/>
        </w:trPr>
        <w:tc>
          <w:tcPr>
            <w:tcW w:w="1732" w:type="dxa"/>
            <w:tcBorders>
              <w:top w:val="nil"/>
              <w:left w:val="nil"/>
              <w:bottom w:val="nil"/>
              <w:right w:val="nil"/>
            </w:tcBorders>
            <w:shd w:val="clear" w:color="auto" w:fill="auto"/>
            <w:hideMark/>
          </w:tcPr>
          <w:p w14:paraId="313917D4" w14:textId="2B3364E4"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00A265B1" w:rsidRPr="00104C78">
              <w:rPr>
                <w:rFonts w:ascii="Times New Roman" w:hAnsi="Times New Roman"/>
                <w:vertAlign w:val="subscript"/>
                <w:lang w:val="en-AU"/>
              </w:rPr>
              <w:t>MSY</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7653DAA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0.26</w:t>
            </w:r>
          </w:p>
        </w:tc>
        <w:tc>
          <w:tcPr>
            <w:tcW w:w="1265" w:type="dxa"/>
            <w:tcBorders>
              <w:top w:val="nil"/>
              <w:left w:val="nil"/>
              <w:bottom w:val="nil"/>
              <w:right w:val="nil"/>
            </w:tcBorders>
            <w:shd w:val="clear" w:color="auto" w:fill="auto"/>
            <w:vAlign w:val="bottom"/>
            <w:hideMark/>
          </w:tcPr>
          <w:p w14:paraId="09F94E0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0.26</w:t>
            </w:r>
          </w:p>
        </w:tc>
        <w:tc>
          <w:tcPr>
            <w:tcW w:w="1265" w:type="dxa"/>
            <w:tcBorders>
              <w:top w:val="nil"/>
              <w:left w:val="nil"/>
              <w:bottom w:val="nil"/>
              <w:right w:val="nil"/>
            </w:tcBorders>
            <w:shd w:val="clear" w:color="auto" w:fill="auto"/>
            <w:vAlign w:val="bottom"/>
            <w:hideMark/>
          </w:tcPr>
          <w:p w14:paraId="3C33564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0.22</w:t>
            </w:r>
          </w:p>
        </w:tc>
        <w:tc>
          <w:tcPr>
            <w:tcW w:w="1265" w:type="dxa"/>
            <w:tcBorders>
              <w:top w:val="nil"/>
              <w:left w:val="nil"/>
              <w:bottom w:val="nil"/>
              <w:right w:val="nil"/>
            </w:tcBorders>
            <w:shd w:val="clear" w:color="auto" w:fill="auto"/>
            <w:vAlign w:val="bottom"/>
            <w:hideMark/>
          </w:tcPr>
          <w:p w14:paraId="1882E08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6FEC6DF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c>
          <w:tcPr>
            <w:tcW w:w="1265" w:type="dxa"/>
            <w:tcBorders>
              <w:top w:val="nil"/>
              <w:left w:val="nil"/>
              <w:bottom w:val="nil"/>
              <w:right w:val="nil"/>
            </w:tcBorders>
            <w:shd w:val="clear" w:color="auto" w:fill="auto"/>
            <w:vAlign w:val="bottom"/>
            <w:hideMark/>
          </w:tcPr>
          <w:p w14:paraId="5C445FA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r>
      <w:tr w:rsidR="003123E3" w:rsidRPr="009C2ADD" w14:paraId="67A12F71" w14:textId="77777777" w:rsidTr="00106A40">
        <w:trPr>
          <w:cantSplit/>
        </w:trPr>
        <w:tc>
          <w:tcPr>
            <w:tcW w:w="1732" w:type="dxa"/>
            <w:tcBorders>
              <w:top w:val="nil"/>
              <w:left w:val="nil"/>
              <w:bottom w:val="nil"/>
              <w:right w:val="nil"/>
            </w:tcBorders>
            <w:shd w:val="clear" w:color="auto" w:fill="auto"/>
            <w:hideMark/>
          </w:tcPr>
          <w:p w14:paraId="7FF5415B" w14:textId="6DB2415D" w:rsidR="003123E3" w:rsidRPr="009C2ADD" w:rsidRDefault="00300F08" w:rsidP="009C2ADD">
            <w:pPr>
              <w:adjustRightInd w:val="0"/>
              <w:snapToGrid w:val="0"/>
              <w:spacing w:after="0"/>
              <w:rPr>
                <w:rFonts w:ascii="Times New Roman" w:eastAsia="MS Mincho" w:hAnsi="Times New Roman"/>
                <w:i/>
                <w:lang w:val="en-AU"/>
              </w:rPr>
            </w:pPr>
            <w:r w:rsidRPr="0070772D">
              <w:rPr>
                <w:rFonts w:ascii="Times New Roman" w:hAnsi="Times New Roman"/>
                <w:i/>
              </w:rPr>
              <w:t>SB</w:t>
            </w:r>
            <w:r w:rsidRPr="00104C78">
              <w:rPr>
                <w:rFonts w:ascii="Times New Roman" w:hAnsi="Times New Roman"/>
                <w:vertAlign w:val="subscript"/>
              </w:rPr>
              <w:t>F=0</w:t>
            </w:r>
          </w:p>
        </w:tc>
        <w:tc>
          <w:tcPr>
            <w:tcW w:w="1264" w:type="dxa"/>
            <w:tcBorders>
              <w:top w:val="nil"/>
              <w:left w:val="nil"/>
              <w:bottom w:val="nil"/>
              <w:right w:val="nil"/>
            </w:tcBorders>
            <w:shd w:val="clear" w:color="auto" w:fill="auto"/>
            <w:vAlign w:val="bottom"/>
            <w:hideMark/>
          </w:tcPr>
          <w:p w14:paraId="7ED9434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1,915,184</w:t>
            </w:r>
          </w:p>
        </w:tc>
        <w:tc>
          <w:tcPr>
            <w:tcW w:w="1265" w:type="dxa"/>
            <w:tcBorders>
              <w:top w:val="nil"/>
              <w:left w:val="nil"/>
              <w:bottom w:val="nil"/>
              <w:right w:val="nil"/>
            </w:tcBorders>
            <w:shd w:val="clear" w:color="auto" w:fill="auto"/>
            <w:vAlign w:val="bottom"/>
            <w:hideMark/>
          </w:tcPr>
          <w:p w14:paraId="6FF616E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1,953,841</w:t>
            </w:r>
          </w:p>
        </w:tc>
        <w:tc>
          <w:tcPr>
            <w:tcW w:w="1265" w:type="dxa"/>
            <w:tcBorders>
              <w:top w:val="nil"/>
              <w:left w:val="nil"/>
              <w:bottom w:val="nil"/>
              <w:right w:val="nil"/>
            </w:tcBorders>
            <w:shd w:val="clear" w:color="auto" w:fill="auto"/>
            <w:vAlign w:val="bottom"/>
            <w:hideMark/>
          </w:tcPr>
          <w:p w14:paraId="4ED9E40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1,317,336</w:t>
            </w:r>
          </w:p>
        </w:tc>
        <w:tc>
          <w:tcPr>
            <w:tcW w:w="1265" w:type="dxa"/>
            <w:tcBorders>
              <w:top w:val="nil"/>
              <w:left w:val="nil"/>
              <w:bottom w:val="nil"/>
              <w:right w:val="nil"/>
            </w:tcBorders>
            <w:shd w:val="clear" w:color="auto" w:fill="auto"/>
            <w:vAlign w:val="bottom"/>
            <w:hideMark/>
          </w:tcPr>
          <w:p w14:paraId="180EA6D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1,584,593</w:t>
            </w:r>
          </w:p>
        </w:tc>
        <w:tc>
          <w:tcPr>
            <w:tcW w:w="1265" w:type="dxa"/>
            <w:tcBorders>
              <w:top w:val="nil"/>
              <w:left w:val="nil"/>
              <w:bottom w:val="nil"/>
              <w:right w:val="nil"/>
            </w:tcBorders>
            <w:shd w:val="clear" w:color="auto" w:fill="auto"/>
            <w:vAlign w:val="bottom"/>
            <w:hideMark/>
          </w:tcPr>
          <w:p w14:paraId="0523FB2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2,170,899</w:t>
            </w:r>
          </w:p>
        </w:tc>
        <w:tc>
          <w:tcPr>
            <w:tcW w:w="1265" w:type="dxa"/>
            <w:tcBorders>
              <w:top w:val="nil"/>
              <w:left w:val="nil"/>
              <w:bottom w:val="nil"/>
              <w:right w:val="nil"/>
            </w:tcBorders>
            <w:shd w:val="clear" w:color="auto" w:fill="auto"/>
            <w:vAlign w:val="bottom"/>
            <w:hideMark/>
          </w:tcPr>
          <w:p w14:paraId="5065ACC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2,460,411</w:t>
            </w:r>
          </w:p>
        </w:tc>
      </w:tr>
      <w:tr w:rsidR="003123E3" w:rsidRPr="009C2ADD" w14:paraId="224D66D1" w14:textId="77777777" w:rsidTr="00106A40">
        <w:trPr>
          <w:cantSplit/>
        </w:trPr>
        <w:tc>
          <w:tcPr>
            <w:tcW w:w="1732" w:type="dxa"/>
            <w:tcBorders>
              <w:top w:val="nil"/>
              <w:left w:val="nil"/>
              <w:bottom w:val="nil"/>
              <w:right w:val="nil"/>
            </w:tcBorders>
            <w:shd w:val="clear" w:color="auto" w:fill="auto"/>
            <w:hideMark/>
          </w:tcPr>
          <w:p w14:paraId="2DA5FF42" w14:textId="6A827203"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00A265B1" w:rsidRPr="00104C78">
              <w:rPr>
                <w:rFonts w:ascii="Times New Roman" w:hAnsi="Times New Roman"/>
                <w:vertAlign w:val="subscript"/>
                <w:lang w:val="en-AU"/>
              </w:rPr>
              <w:t>MSY</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543E4E75"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7554C34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0.24</w:t>
            </w:r>
          </w:p>
        </w:tc>
        <w:tc>
          <w:tcPr>
            <w:tcW w:w="1265" w:type="dxa"/>
            <w:tcBorders>
              <w:top w:val="nil"/>
              <w:left w:val="nil"/>
              <w:bottom w:val="nil"/>
              <w:right w:val="nil"/>
            </w:tcBorders>
            <w:shd w:val="clear" w:color="auto" w:fill="auto"/>
            <w:vAlign w:val="bottom"/>
            <w:hideMark/>
          </w:tcPr>
          <w:p w14:paraId="4FD486C2"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0.17</w:t>
            </w:r>
          </w:p>
        </w:tc>
        <w:tc>
          <w:tcPr>
            <w:tcW w:w="1265" w:type="dxa"/>
            <w:tcBorders>
              <w:top w:val="nil"/>
              <w:left w:val="nil"/>
              <w:bottom w:val="nil"/>
              <w:right w:val="nil"/>
            </w:tcBorders>
            <w:shd w:val="clear" w:color="auto" w:fill="auto"/>
            <w:vAlign w:val="bottom"/>
            <w:hideMark/>
          </w:tcPr>
          <w:p w14:paraId="2742A602"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0.18</w:t>
            </w:r>
          </w:p>
        </w:tc>
        <w:tc>
          <w:tcPr>
            <w:tcW w:w="1265" w:type="dxa"/>
            <w:tcBorders>
              <w:top w:val="nil"/>
              <w:left w:val="nil"/>
              <w:bottom w:val="nil"/>
              <w:right w:val="nil"/>
            </w:tcBorders>
            <w:shd w:val="clear" w:color="auto" w:fill="auto"/>
            <w:vAlign w:val="bottom"/>
            <w:hideMark/>
          </w:tcPr>
          <w:p w14:paraId="42E752E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0.27</w:t>
            </w:r>
          </w:p>
        </w:tc>
        <w:tc>
          <w:tcPr>
            <w:tcW w:w="1265" w:type="dxa"/>
            <w:tcBorders>
              <w:top w:val="nil"/>
              <w:left w:val="nil"/>
              <w:bottom w:val="nil"/>
              <w:right w:val="nil"/>
            </w:tcBorders>
            <w:shd w:val="clear" w:color="auto" w:fill="auto"/>
            <w:vAlign w:val="bottom"/>
            <w:hideMark/>
          </w:tcPr>
          <w:p w14:paraId="3F650A6A"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0.29</w:t>
            </w:r>
          </w:p>
        </w:tc>
      </w:tr>
      <w:tr w:rsidR="003123E3" w:rsidRPr="009C2ADD" w14:paraId="0B870B72" w14:textId="77777777" w:rsidTr="00106A40">
        <w:trPr>
          <w:cantSplit/>
        </w:trPr>
        <w:tc>
          <w:tcPr>
            <w:tcW w:w="1732" w:type="dxa"/>
            <w:tcBorders>
              <w:top w:val="nil"/>
              <w:left w:val="nil"/>
              <w:bottom w:val="nil"/>
              <w:right w:val="nil"/>
            </w:tcBorders>
            <w:shd w:val="clear" w:color="auto" w:fill="auto"/>
            <w:hideMark/>
          </w:tcPr>
          <w:p w14:paraId="0E6E1F65" w14:textId="295CC637" w:rsidR="003123E3" w:rsidRPr="009C2ADD" w:rsidRDefault="00300F08"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003123E3" w:rsidRPr="009C2ADD">
              <w:rPr>
                <w:rFonts w:ascii="Times New Roman" w:eastAsia="MS Mincho" w:hAnsi="Times New Roman"/>
                <w:i/>
                <w:lang w:val="en-AU"/>
              </w:rPr>
              <w:t>/SB</w:t>
            </w:r>
            <w:r w:rsidR="003123E3" w:rsidRPr="0070772D">
              <w:rPr>
                <w:rFonts w:ascii="Times New Roman" w:eastAsia="MS Mincho"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31B71366"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0.37</w:t>
            </w:r>
          </w:p>
        </w:tc>
        <w:tc>
          <w:tcPr>
            <w:tcW w:w="1265" w:type="dxa"/>
            <w:tcBorders>
              <w:top w:val="nil"/>
              <w:left w:val="nil"/>
              <w:bottom w:val="nil"/>
              <w:right w:val="nil"/>
            </w:tcBorders>
            <w:shd w:val="clear" w:color="auto" w:fill="auto"/>
            <w:vAlign w:val="bottom"/>
            <w:hideMark/>
          </w:tcPr>
          <w:p w14:paraId="5770024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0.40</w:t>
            </w:r>
          </w:p>
        </w:tc>
        <w:tc>
          <w:tcPr>
            <w:tcW w:w="1265" w:type="dxa"/>
            <w:tcBorders>
              <w:top w:val="nil"/>
              <w:left w:val="nil"/>
              <w:bottom w:val="nil"/>
              <w:right w:val="nil"/>
            </w:tcBorders>
            <w:shd w:val="clear" w:color="auto" w:fill="auto"/>
            <w:vAlign w:val="bottom"/>
            <w:hideMark/>
          </w:tcPr>
          <w:p w14:paraId="7F13350D"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0.11</w:t>
            </w:r>
          </w:p>
        </w:tc>
        <w:tc>
          <w:tcPr>
            <w:tcW w:w="1265" w:type="dxa"/>
            <w:tcBorders>
              <w:top w:val="nil"/>
              <w:left w:val="nil"/>
              <w:bottom w:val="nil"/>
              <w:right w:val="nil"/>
            </w:tcBorders>
            <w:shd w:val="clear" w:color="auto" w:fill="auto"/>
            <w:vAlign w:val="bottom"/>
            <w:hideMark/>
          </w:tcPr>
          <w:p w14:paraId="1EE731D4"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0.19</w:t>
            </w:r>
          </w:p>
        </w:tc>
        <w:tc>
          <w:tcPr>
            <w:tcW w:w="1265" w:type="dxa"/>
            <w:tcBorders>
              <w:top w:val="nil"/>
              <w:left w:val="nil"/>
              <w:bottom w:val="nil"/>
              <w:right w:val="nil"/>
            </w:tcBorders>
            <w:shd w:val="clear" w:color="auto" w:fill="auto"/>
            <w:vAlign w:val="bottom"/>
            <w:hideMark/>
          </w:tcPr>
          <w:p w14:paraId="266F607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0.49</w:t>
            </w:r>
          </w:p>
        </w:tc>
        <w:tc>
          <w:tcPr>
            <w:tcW w:w="1265" w:type="dxa"/>
            <w:tcBorders>
              <w:top w:val="nil"/>
              <w:left w:val="nil"/>
              <w:bottom w:val="nil"/>
              <w:right w:val="nil"/>
            </w:tcBorders>
            <w:shd w:val="clear" w:color="auto" w:fill="auto"/>
            <w:vAlign w:val="bottom"/>
            <w:hideMark/>
          </w:tcPr>
          <w:p w14:paraId="19D495E4"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0.53</w:t>
            </w:r>
          </w:p>
        </w:tc>
      </w:tr>
      <w:tr w:rsidR="003123E3" w:rsidRPr="009C2ADD" w14:paraId="34428FBA" w14:textId="77777777" w:rsidTr="00106A40">
        <w:trPr>
          <w:cantSplit/>
        </w:trPr>
        <w:tc>
          <w:tcPr>
            <w:tcW w:w="1732" w:type="dxa"/>
            <w:tcBorders>
              <w:top w:val="nil"/>
              <w:left w:val="nil"/>
              <w:bottom w:val="nil"/>
              <w:right w:val="nil"/>
            </w:tcBorders>
            <w:shd w:val="clear" w:color="auto" w:fill="auto"/>
            <w:hideMark/>
          </w:tcPr>
          <w:p w14:paraId="56CED00E" w14:textId="672CFFC0" w:rsidR="003123E3" w:rsidRPr="009C2ADD" w:rsidRDefault="00300F08"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003123E3" w:rsidRPr="009C2ADD">
              <w:rPr>
                <w:rFonts w:ascii="Times New Roman" w:eastAsia="MS Mincho" w:hAnsi="Times New Roman"/>
                <w:i/>
                <w:lang w:val="en-AU"/>
              </w:rPr>
              <w:t>/SB</w:t>
            </w:r>
            <w:r w:rsidR="003123E3"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5710996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0.34</w:t>
            </w:r>
          </w:p>
        </w:tc>
        <w:tc>
          <w:tcPr>
            <w:tcW w:w="1265" w:type="dxa"/>
            <w:tcBorders>
              <w:top w:val="nil"/>
              <w:left w:val="nil"/>
              <w:bottom w:val="nil"/>
              <w:right w:val="nil"/>
            </w:tcBorders>
            <w:shd w:val="clear" w:color="auto" w:fill="auto"/>
            <w:vAlign w:val="bottom"/>
            <w:hideMark/>
          </w:tcPr>
          <w:p w14:paraId="32D9E8F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0.37</w:t>
            </w:r>
          </w:p>
        </w:tc>
        <w:tc>
          <w:tcPr>
            <w:tcW w:w="1265" w:type="dxa"/>
            <w:tcBorders>
              <w:top w:val="nil"/>
              <w:left w:val="nil"/>
              <w:bottom w:val="nil"/>
              <w:right w:val="nil"/>
            </w:tcBorders>
            <w:shd w:val="clear" w:color="auto" w:fill="auto"/>
            <w:vAlign w:val="bottom"/>
            <w:hideMark/>
          </w:tcPr>
          <w:p w14:paraId="6CCB692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0.08</w:t>
            </w:r>
          </w:p>
        </w:tc>
        <w:tc>
          <w:tcPr>
            <w:tcW w:w="1265" w:type="dxa"/>
            <w:tcBorders>
              <w:top w:val="nil"/>
              <w:left w:val="nil"/>
              <w:bottom w:val="nil"/>
              <w:right w:val="nil"/>
            </w:tcBorders>
            <w:shd w:val="clear" w:color="auto" w:fill="auto"/>
            <w:vAlign w:val="bottom"/>
            <w:hideMark/>
          </w:tcPr>
          <w:p w14:paraId="528DEF0F"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0.15</w:t>
            </w:r>
          </w:p>
        </w:tc>
        <w:tc>
          <w:tcPr>
            <w:tcW w:w="1265" w:type="dxa"/>
            <w:tcBorders>
              <w:top w:val="nil"/>
              <w:left w:val="nil"/>
              <w:bottom w:val="nil"/>
              <w:right w:val="nil"/>
            </w:tcBorders>
            <w:shd w:val="clear" w:color="auto" w:fill="auto"/>
            <w:vAlign w:val="bottom"/>
            <w:hideMark/>
          </w:tcPr>
          <w:p w14:paraId="2A18EFE3"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0.46</w:t>
            </w:r>
          </w:p>
        </w:tc>
        <w:tc>
          <w:tcPr>
            <w:tcW w:w="1265" w:type="dxa"/>
            <w:tcBorders>
              <w:top w:val="nil"/>
              <w:left w:val="nil"/>
              <w:bottom w:val="nil"/>
              <w:right w:val="nil"/>
            </w:tcBorders>
            <w:shd w:val="clear" w:color="auto" w:fill="auto"/>
            <w:vAlign w:val="bottom"/>
            <w:hideMark/>
          </w:tcPr>
          <w:p w14:paraId="19B79E5A"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0.49</w:t>
            </w:r>
          </w:p>
        </w:tc>
      </w:tr>
      <w:tr w:rsidR="003123E3" w:rsidRPr="009C2ADD" w14:paraId="1D1D6664" w14:textId="77777777" w:rsidTr="00106A40">
        <w:trPr>
          <w:cantSplit/>
        </w:trPr>
        <w:tc>
          <w:tcPr>
            <w:tcW w:w="1732" w:type="dxa"/>
            <w:tcBorders>
              <w:top w:val="nil"/>
              <w:left w:val="nil"/>
              <w:bottom w:val="nil"/>
              <w:right w:val="nil"/>
            </w:tcBorders>
            <w:shd w:val="clear" w:color="auto" w:fill="auto"/>
            <w:hideMark/>
          </w:tcPr>
          <w:p w14:paraId="7890B2C6" w14:textId="22E0A79D" w:rsidR="003123E3" w:rsidRPr="009C2ADD" w:rsidRDefault="00300F08"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MS Mincho" w:hAnsi="Times New Roman"/>
                <w:i/>
                <w:lang w:val="en-AU"/>
              </w:rPr>
              <w:t xml:space="preserve"> </w:t>
            </w:r>
            <w:r w:rsidR="003123E3" w:rsidRPr="009C2ADD">
              <w:rPr>
                <w:rFonts w:ascii="Times New Roman" w:eastAsia="MS Mincho" w:hAnsi="Times New Roman"/>
                <w:i/>
                <w:lang w:val="en-AU"/>
              </w:rPr>
              <w:t>/SB</w:t>
            </w:r>
            <w:r w:rsidR="00A265B1"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62275ED2"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1.42</w:t>
            </w:r>
          </w:p>
        </w:tc>
        <w:tc>
          <w:tcPr>
            <w:tcW w:w="1265" w:type="dxa"/>
            <w:tcBorders>
              <w:top w:val="nil"/>
              <w:left w:val="nil"/>
              <w:bottom w:val="nil"/>
              <w:right w:val="nil"/>
            </w:tcBorders>
            <w:shd w:val="clear" w:color="auto" w:fill="auto"/>
            <w:vAlign w:val="bottom"/>
            <w:hideMark/>
          </w:tcPr>
          <w:p w14:paraId="1B6D991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1.45</w:t>
            </w:r>
          </w:p>
        </w:tc>
        <w:tc>
          <w:tcPr>
            <w:tcW w:w="1265" w:type="dxa"/>
            <w:tcBorders>
              <w:top w:val="nil"/>
              <w:left w:val="nil"/>
              <w:bottom w:val="nil"/>
              <w:right w:val="nil"/>
            </w:tcBorders>
            <w:shd w:val="clear" w:color="auto" w:fill="auto"/>
            <w:vAlign w:val="bottom"/>
            <w:hideMark/>
          </w:tcPr>
          <w:p w14:paraId="569722C1"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0.42</w:t>
            </w:r>
          </w:p>
        </w:tc>
        <w:tc>
          <w:tcPr>
            <w:tcW w:w="1265" w:type="dxa"/>
            <w:tcBorders>
              <w:top w:val="nil"/>
              <w:left w:val="nil"/>
              <w:bottom w:val="nil"/>
              <w:right w:val="nil"/>
            </w:tcBorders>
            <w:shd w:val="clear" w:color="auto" w:fill="auto"/>
            <w:vAlign w:val="bottom"/>
            <w:hideMark/>
          </w:tcPr>
          <w:p w14:paraId="7F1D3BAC"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0.86</w:t>
            </w:r>
          </w:p>
        </w:tc>
        <w:tc>
          <w:tcPr>
            <w:tcW w:w="1265" w:type="dxa"/>
            <w:tcBorders>
              <w:top w:val="nil"/>
              <w:left w:val="nil"/>
              <w:bottom w:val="nil"/>
              <w:right w:val="nil"/>
            </w:tcBorders>
            <w:shd w:val="clear" w:color="auto" w:fill="auto"/>
            <w:vAlign w:val="bottom"/>
            <w:hideMark/>
          </w:tcPr>
          <w:p w14:paraId="1F87357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1.97</w:t>
            </w:r>
          </w:p>
        </w:tc>
        <w:tc>
          <w:tcPr>
            <w:tcW w:w="1265" w:type="dxa"/>
            <w:tcBorders>
              <w:top w:val="nil"/>
              <w:left w:val="nil"/>
              <w:bottom w:val="nil"/>
              <w:right w:val="nil"/>
            </w:tcBorders>
            <w:shd w:val="clear" w:color="auto" w:fill="auto"/>
            <w:vAlign w:val="bottom"/>
            <w:hideMark/>
          </w:tcPr>
          <w:p w14:paraId="211AD30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2.12</w:t>
            </w:r>
          </w:p>
        </w:tc>
      </w:tr>
      <w:tr w:rsidR="003123E3" w:rsidRPr="009C2ADD" w14:paraId="5DF45501" w14:textId="77777777" w:rsidTr="00106A40">
        <w:trPr>
          <w:cantSplit/>
        </w:trPr>
        <w:tc>
          <w:tcPr>
            <w:tcW w:w="1732" w:type="dxa"/>
            <w:tcBorders>
              <w:top w:val="nil"/>
              <w:left w:val="nil"/>
              <w:bottom w:val="nil"/>
              <w:right w:val="nil"/>
            </w:tcBorders>
            <w:shd w:val="clear" w:color="auto" w:fill="auto"/>
            <w:hideMark/>
          </w:tcPr>
          <w:p w14:paraId="0BEDD76F" w14:textId="77777777"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/SB</w:t>
            </w:r>
            <w:r w:rsidRPr="0070772D">
              <w:rPr>
                <w:rFonts w:ascii="Times New Roman" w:eastAsia="MS Mincho"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3E6E6D47"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0.30</w:t>
            </w:r>
          </w:p>
        </w:tc>
        <w:tc>
          <w:tcPr>
            <w:tcW w:w="1265" w:type="dxa"/>
            <w:tcBorders>
              <w:top w:val="nil"/>
              <w:left w:val="nil"/>
              <w:bottom w:val="nil"/>
              <w:right w:val="nil"/>
            </w:tcBorders>
            <w:shd w:val="clear" w:color="auto" w:fill="auto"/>
            <w:vAlign w:val="bottom"/>
            <w:hideMark/>
          </w:tcPr>
          <w:p w14:paraId="2D63203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0.32</w:t>
            </w:r>
          </w:p>
        </w:tc>
        <w:tc>
          <w:tcPr>
            <w:tcW w:w="1265" w:type="dxa"/>
            <w:tcBorders>
              <w:top w:val="nil"/>
              <w:left w:val="nil"/>
              <w:bottom w:val="nil"/>
              <w:right w:val="nil"/>
            </w:tcBorders>
            <w:shd w:val="clear" w:color="auto" w:fill="auto"/>
            <w:vAlign w:val="bottom"/>
            <w:hideMark/>
          </w:tcPr>
          <w:p w14:paraId="4ED805F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0.08</w:t>
            </w:r>
          </w:p>
        </w:tc>
        <w:tc>
          <w:tcPr>
            <w:tcW w:w="1265" w:type="dxa"/>
            <w:tcBorders>
              <w:top w:val="nil"/>
              <w:left w:val="nil"/>
              <w:bottom w:val="nil"/>
              <w:right w:val="nil"/>
            </w:tcBorders>
            <w:shd w:val="clear" w:color="auto" w:fill="auto"/>
            <w:vAlign w:val="bottom"/>
            <w:hideMark/>
          </w:tcPr>
          <w:p w14:paraId="5069DE13"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0.15</w:t>
            </w:r>
          </w:p>
        </w:tc>
        <w:tc>
          <w:tcPr>
            <w:tcW w:w="1265" w:type="dxa"/>
            <w:tcBorders>
              <w:top w:val="nil"/>
              <w:left w:val="nil"/>
              <w:bottom w:val="nil"/>
              <w:right w:val="nil"/>
            </w:tcBorders>
            <w:shd w:val="clear" w:color="auto" w:fill="auto"/>
            <w:vAlign w:val="bottom"/>
            <w:hideMark/>
          </w:tcPr>
          <w:p w14:paraId="087956B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0.41</w:t>
            </w:r>
          </w:p>
        </w:tc>
        <w:tc>
          <w:tcPr>
            <w:tcW w:w="1265" w:type="dxa"/>
            <w:tcBorders>
              <w:top w:val="nil"/>
              <w:left w:val="nil"/>
              <w:bottom w:val="nil"/>
              <w:right w:val="nil"/>
            </w:tcBorders>
            <w:shd w:val="clear" w:color="auto" w:fill="auto"/>
            <w:vAlign w:val="bottom"/>
            <w:hideMark/>
          </w:tcPr>
          <w:p w14:paraId="3200A630"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0.44</w:t>
            </w:r>
          </w:p>
        </w:tc>
      </w:tr>
      <w:tr w:rsidR="003123E3" w:rsidRPr="009C2ADD" w14:paraId="5C2B5F0E" w14:textId="77777777" w:rsidTr="00106A40">
        <w:trPr>
          <w:cantSplit/>
        </w:trPr>
        <w:tc>
          <w:tcPr>
            <w:tcW w:w="1732" w:type="dxa"/>
            <w:tcBorders>
              <w:top w:val="nil"/>
              <w:left w:val="nil"/>
              <w:bottom w:val="single" w:sz="4" w:space="0" w:color="auto"/>
              <w:right w:val="nil"/>
            </w:tcBorders>
            <w:shd w:val="clear" w:color="auto" w:fill="auto"/>
            <w:hideMark/>
          </w:tcPr>
          <w:p w14:paraId="016DF1D7" w14:textId="1F8B0848" w:rsidR="003123E3" w:rsidRPr="009C2ADD" w:rsidRDefault="003123E3" w:rsidP="009C2ADD">
            <w:pPr>
              <w:adjustRightInd w:val="0"/>
              <w:snapToGrid w:val="0"/>
              <w:spacing w:after="0"/>
              <w:rPr>
                <w:rFonts w:ascii="Times New Roman" w:eastAsia="MS Mincho" w:hAnsi="Times New Roman"/>
                <w:i/>
                <w:lang w:val="en-AU"/>
              </w:rPr>
            </w:pPr>
            <w:r w:rsidRPr="009C2ADD">
              <w:rPr>
                <w:rFonts w:ascii="Times New Roman" w:eastAsia="MS Mincho" w:hAnsi="Times New Roman"/>
                <w:i/>
                <w:lang w:val="en-AU"/>
              </w:rPr>
              <w:t>SB</w:t>
            </w:r>
            <w:r w:rsidRPr="0070772D">
              <w:rPr>
                <w:rFonts w:ascii="Times New Roman" w:eastAsia="MS Mincho" w:hAnsi="Times New Roman"/>
                <w:i/>
                <w:vertAlign w:val="subscript"/>
                <w:lang w:val="en-AU"/>
              </w:rPr>
              <w:t>recent</w:t>
            </w:r>
            <w:r w:rsidRPr="009C2ADD">
              <w:rPr>
                <w:rFonts w:ascii="Times New Roman" w:eastAsia="MS Mincho" w:hAnsi="Times New Roman"/>
                <w:i/>
                <w:lang w:val="en-AU"/>
              </w:rPr>
              <w:t>/SB</w:t>
            </w:r>
            <w:r w:rsidR="00A265B1" w:rsidRPr="00104C78">
              <w:rPr>
                <w:rFonts w:ascii="Times New Roman" w:hAnsi="Times New Roman"/>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71E37CD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1.21</w:t>
            </w:r>
          </w:p>
        </w:tc>
        <w:tc>
          <w:tcPr>
            <w:tcW w:w="1265" w:type="dxa"/>
            <w:tcBorders>
              <w:top w:val="nil"/>
              <w:left w:val="nil"/>
              <w:bottom w:val="single" w:sz="4" w:space="0" w:color="auto"/>
              <w:right w:val="nil"/>
            </w:tcBorders>
            <w:shd w:val="clear" w:color="auto" w:fill="auto"/>
            <w:vAlign w:val="bottom"/>
            <w:hideMark/>
          </w:tcPr>
          <w:p w14:paraId="3F39966E"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1.23</w:t>
            </w:r>
          </w:p>
        </w:tc>
        <w:tc>
          <w:tcPr>
            <w:tcW w:w="1265" w:type="dxa"/>
            <w:tcBorders>
              <w:top w:val="nil"/>
              <w:left w:val="nil"/>
              <w:bottom w:val="single" w:sz="4" w:space="0" w:color="auto"/>
              <w:right w:val="nil"/>
            </w:tcBorders>
            <w:shd w:val="clear" w:color="auto" w:fill="auto"/>
            <w:vAlign w:val="bottom"/>
            <w:hideMark/>
          </w:tcPr>
          <w:p w14:paraId="1F4CDA19"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0.32</w:t>
            </w:r>
          </w:p>
        </w:tc>
        <w:tc>
          <w:tcPr>
            <w:tcW w:w="1265" w:type="dxa"/>
            <w:tcBorders>
              <w:top w:val="nil"/>
              <w:left w:val="nil"/>
              <w:bottom w:val="single" w:sz="4" w:space="0" w:color="auto"/>
              <w:right w:val="nil"/>
            </w:tcBorders>
            <w:shd w:val="clear" w:color="auto" w:fill="auto"/>
            <w:vAlign w:val="bottom"/>
            <w:hideMark/>
          </w:tcPr>
          <w:p w14:paraId="6257A648"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0.63</w:t>
            </w:r>
          </w:p>
        </w:tc>
        <w:tc>
          <w:tcPr>
            <w:tcW w:w="1265" w:type="dxa"/>
            <w:tcBorders>
              <w:top w:val="nil"/>
              <w:left w:val="nil"/>
              <w:bottom w:val="single" w:sz="4" w:space="0" w:color="auto"/>
              <w:right w:val="nil"/>
            </w:tcBorders>
            <w:shd w:val="clear" w:color="auto" w:fill="auto"/>
            <w:vAlign w:val="bottom"/>
            <w:hideMark/>
          </w:tcPr>
          <w:p w14:paraId="5792F0A5"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1.66</w:t>
            </w:r>
          </w:p>
        </w:tc>
        <w:tc>
          <w:tcPr>
            <w:tcW w:w="1265" w:type="dxa"/>
            <w:tcBorders>
              <w:top w:val="nil"/>
              <w:left w:val="nil"/>
              <w:bottom w:val="single" w:sz="4" w:space="0" w:color="auto"/>
              <w:right w:val="nil"/>
            </w:tcBorders>
            <w:shd w:val="clear" w:color="auto" w:fill="auto"/>
            <w:vAlign w:val="bottom"/>
            <w:hideMark/>
          </w:tcPr>
          <w:p w14:paraId="3B26D7A3" w14:textId="77777777" w:rsidR="003123E3" w:rsidRPr="009C2ADD" w:rsidRDefault="003123E3" w:rsidP="009C2ADD">
            <w:pPr>
              <w:adjustRightInd w:val="0"/>
              <w:snapToGrid w:val="0"/>
              <w:spacing w:after="0"/>
              <w:rPr>
                <w:rFonts w:ascii="Times New Roman" w:eastAsia="MS Mincho" w:hAnsi="Times New Roman"/>
                <w:lang w:val="en-AU"/>
              </w:rPr>
            </w:pPr>
            <w:r w:rsidRPr="009C2ADD">
              <w:rPr>
                <w:rFonts w:ascii="Times New Roman" w:eastAsia="MS Mincho" w:hAnsi="Times New Roman"/>
                <w:lang w:val="en-AU"/>
              </w:rPr>
              <w:t>1.86</w:t>
            </w:r>
          </w:p>
        </w:tc>
      </w:tr>
    </w:tbl>
    <w:p w14:paraId="1E6BF583" w14:textId="77777777" w:rsidR="00C30B38" w:rsidRPr="009C2ADD" w:rsidRDefault="00C30B38" w:rsidP="009C2ADD">
      <w:pPr>
        <w:adjustRightInd w:val="0"/>
        <w:snapToGrid w:val="0"/>
        <w:spacing w:after="0"/>
        <w:rPr>
          <w:rFonts w:ascii="Times New Roman" w:hAnsi="Times New Roman"/>
          <w:b/>
        </w:rPr>
      </w:pPr>
    </w:p>
    <w:p w14:paraId="2EB675FD" w14:textId="77777777"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spawning biomass under the selected new and old growth curve model weightings was median</w:t>
      </w:r>
      <w:r w:rsidRPr="009C2ADD">
        <w:rPr>
          <w:rFonts w:ascii="Times New Roman" w:hAnsi="Times New Roman"/>
          <w:b/>
          <w:lang w:val="en-AU"/>
        </w:rPr>
        <w:t xml:space="preserve">　</w:t>
      </w:r>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0.32 with a probable range of 0.15 to 0.41 (80% probability interval). This suggested that there was likely a buffer between recent spawning biomass and the LRP but that there was also some probability that recent spawning biomass was below the LRP.</w:t>
      </w:r>
    </w:p>
    <w:p w14:paraId="713496AA" w14:textId="77777777" w:rsidR="00106A40" w:rsidRPr="009C2ADD" w:rsidRDefault="00106A40" w:rsidP="009C2ADD">
      <w:pPr>
        <w:autoSpaceDE w:val="0"/>
        <w:autoSpaceDN w:val="0"/>
        <w:adjustRightInd w:val="0"/>
        <w:snapToGrid w:val="0"/>
        <w:spacing w:after="0"/>
        <w:rPr>
          <w:rFonts w:ascii="Times New Roman" w:hAnsi="Times New Roman"/>
          <w:b/>
          <w:lang w:val="en-AU"/>
        </w:rPr>
      </w:pPr>
    </w:p>
    <w:p w14:paraId="28D924C2" w14:textId="7EC2A532"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there was a roughly 16% probability (23 out of 144 model weight units) that the recent spawning biomass had breached the adopted LRP with </w:t>
      </w:r>
      <w:proofErr w:type="gramStart"/>
      <w:r w:rsidR="00214513">
        <w:rPr>
          <w:rFonts w:ascii="Times New Roman" w:hAnsi="Times New Roman"/>
          <w:b/>
          <w:lang w:val="en-AU"/>
        </w:rPr>
        <w:t>Prob</w:t>
      </w:r>
      <w:r w:rsidRPr="009C2ADD">
        <w:rPr>
          <w:rFonts w:ascii="Times New Roman" w:hAnsi="Times New Roman"/>
          <w:b/>
          <w:lang w:val="en-AU"/>
        </w:rPr>
        <w:t>(</w:t>
      </w:r>
      <w:proofErr w:type="gramEnd"/>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&lt; 0.2) = 0.16. This suggested that there was a high probability (roughly 5 out of 6) that recent bigeye tuna spawning biomass had not breached the adopted spawning biomass limit reference point of 0.2*SB</w:t>
      </w:r>
      <w:r w:rsidRPr="0070772D">
        <w:rPr>
          <w:rFonts w:ascii="Times New Roman" w:hAnsi="Times New Roman"/>
          <w:b/>
          <w:vertAlign w:val="subscript"/>
          <w:lang w:val="en-AU"/>
        </w:rPr>
        <w:t>F=0</w:t>
      </w:r>
      <w:r w:rsidRPr="009C2ADD">
        <w:rPr>
          <w:rFonts w:ascii="Times New Roman" w:hAnsi="Times New Roman"/>
          <w:b/>
          <w:lang w:val="en-AU"/>
        </w:rPr>
        <w:t>.</w:t>
      </w:r>
    </w:p>
    <w:p w14:paraId="4CE46D38"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2D63E2A5" w14:textId="407C6D3E"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under the selected new and old growth curve model weightings was median(F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70772D">
        <w:rPr>
          <w:rFonts w:ascii="Times New Roman" w:hAnsi="Times New Roman"/>
          <w:b/>
          <w:vertAlign w:val="subscript"/>
          <w:lang w:val="en-AU" w:eastAsia="ko-KR"/>
        </w:rPr>
        <w:t>MSY</w:t>
      </w:r>
      <w:r w:rsidRPr="009C2ADD">
        <w:rPr>
          <w:rFonts w:ascii="Times New Roman" w:hAnsi="Times New Roman"/>
          <w:b/>
          <w:lang w:val="en-AU"/>
        </w:rPr>
        <w:t xml:space="preserve">) = 0.83 with an 80% probability interval of 0.61 to 1.31. While this suggested that there was likely a buffer between recent fishing mortality and </w:t>
      </w:r>
      <w:r w:rsidRPr="00300F08">
        <w:rPr>
          <w:rFonts w:ascii="Times New Roman" w:hAnsi="Times New Roman"/>
          <w:b/>
          <w:lang w:val="en-AU"/>
        </w:rPr>
        <w:t>F</w:t>
      </w:r>
      <w:r w:rsidR="00300F08" w:rsidRPr="0070772D">
        <w:rPr>
          <w:rFonts w:ascii="Times New Roman" w:hAnsi="Times New Roman"/>
          <w:b/>
          <w:vertAlign w:val="subscript"/>
          <w:lang w:val="en-AU" w:eastAsia="ko-KR"/>
        </w:rPr>
        <w:t>MSY</w:t>
      </w:r>
      <w:r w:rsidRPr="009C2ADD">
        <w:rPr>
          <w:rFonts w:ascii="Times New Roman" w:hAnsi="Times New Roman"/>
          <w:b/>
          <w:lang w:val="en-AU"/>
        </w:rPr>
        <w:t>, it also showed that there was some probability that recent fishing mortality was above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6E5F286D"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6BFAA84F" w14:textId="6A201699" w:rsidR="006D215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there was a roughly 23% probability (33 out of 144 model weight units as described in para. 6) that the recent fishing mortality was above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r w:rsidR="00214513">
        <w:rPr>
          <w:rFonts w:ascii="Times New Roman" w:hAnsi="Times New Roman"/>
          <w:b/>
          <w:lang w:val="en-AU"/>
        </w:rPr>
        <w:t>Prob(</w:t>
      </w:r>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&gt; 1) = 0.23. While this suggested that recent fishing mortality was likely below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there was also a moderate probability (~ 1 out of 4) that recent fishing mortality has exceeded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0FCF9D4F"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0A17CCC6" w14:textId="030336BE"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best available information on the stock status of WCPO bigeye tuna has changed in two ways from the previous assessment under the selected weighting of the 2017 assessment uncertainty grid. First, the stock status condition is more positive with a higher central tendency for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in the 2017 assessment (</w:t>
      </w:r>
      <w:proofErr w:type="gramStart"/>
      <w:r w:rsidRPr="009C2ADD">
        <w:rPr>
          <w:rFonts w:ascii="Times New Roman" w:hAnsi="Times New Roman"/>
          <w:b/>
          <w:lang w:val="en-AU"/>
        </w:rPr>
        <w:t>median(</w:t>
      </w:r>
      <w:proofErr w:type="gramEnd"/>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0.32) in comparison to the 2014 assessment ( (SB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0.20) and a lower ratio of relative recent F in the 2017 assessment  ( median(F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70772D">
        <w:rPr>
          <w:rFonts w:ascii="Times New Roman" w:hAnsi="Times New Roman"/>
          <w:b/>
          <w:vertAlign w:val="subscript"/>
          <w:lang w:val="en-AU" w:eastAsia="ko-KR"/>
        </w:rPr>
        <w:t>MSY</w:t>
      </w:r>
      <w:r w:rsidRPr="009C2ADD">
        <w:rPr>
          <w:rFonts w:ascii="Times New Roman" w:hAnsi="Times New Roman"/>
          <w:b/>
          <w:lang w:val="en-AU"/>
        </w:rPr>
        <w:t>) = 0.83 ) in comparison to the 2014 assessment  ( F</w:t>
      </w:r>
      <w:r w:rsidRPr="0070772D">
        <w:rPr>
          <w:rFonts w:ascii="Times New Roman" w:hAnsi="Times New Roman"/>
          <w:b/>
          <w:vertAlign w:val="subscript"/>
          <w:lang w:val="en-AU"/>
        </w:rPr>
        <w:t>current</w:t>
      </w:r>
      <w:r w:rsidRPr="009C2ADD">
        <w:rPr>
          <w:rFonts w:ascii="Times New Roman" w:hAnsi="Times New Roman"/>
          <w:b/>
          <w:lang w:val="en-AU"/>
        </w:rPr>
        <w:t>/</w:t>
      </w:r>
      <w:r w:rsidR="00300F08" w:rsidRPr="009C2ADD">
        <w:rPr>
          <w:rFonts w:ascii="Times New Roman" w:hAnsi="Times New Roman"/>
          <w:b/>
          <w:lang w:val="en-AU"/>
        </w:rPr>
        <w:t>F</w:t>
      </w:r>
      <w:r w:rsidR="00300F08">
        <w:rPr>
          <w:rFonts w:ascii="Times New Roman" w:hAnsi="Times New Roman" w:hint="eastAsia"/>
          <w:b/>
          <w:vertAlign w:val="subscript"/>
          <w:lang w:val="en-AU" w:eastAsia="ko-KR"/>
        </w:rPr>
        <w:t>MSY</w:t>
      </w:r>
      <w:r w:rsidR="00300F08" w:rsidRPr="009C2ADD">
        <w:rPr>
          <w:rFonts w:ascii="Times New Roman" w:hAnsi="Times New Roman"/>
          <w:b/>
          <w:lang w:val="en-AU"/>
        </w:rPr>
        <w:t xml:space="preserve"> </w:t>
      </w:r>
      <w:r w:rsidRPr="009C2ADD">
        <w:rPr>
          <w:rFonts w:ascii="Times New Roman" w:hAnsi="Times New Roman"/>
          <w:b/>
          <w:lang w:val="en-AU"/>
        </w:rPr>
        <w:t xml:space="preserve">= 1.57 ). Second, there is much greater uncertainty in the stock status of bigeye tuna in 2017 due to the fuller technical treatment of structural uncertainty through the use of the model uncertainty grid. </w:t>
      </w:r>
    </w:p>
    <w:p w14:paraId="6E8CB2AD"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4E1774F6" w14:textId="2D57D1B2"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positive changes for bigeye tuna stock status in the 2017 assessment are primarily due to three factors: the inclusion of the new growth curve information, the inclusion of the new regional assessment structure, and the estimated increases in recruitment in recent years. In terms of the cause of the recent increases in recruitment, SC13 commented that it was unclear whether the recent improvement was due to positive oceanographic conditions, effective management measures to conserve spawning biomass, some combination of both, or other factors. SC13 also noted the recent recruitment improvements for yellowfin and skipjack tunas.  SC13 also noted recent recruitment improvements for bigeye tuna in the Eastern Pacific Ocean. </w:t>
      </w:r>
    </w:p>
    <w:p w14:paraId="38204C75"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74EEE192" w14:textId="77777777"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regardless of the choice of uncertainty grid, the assessment results show that the stock has been continuously declining for about 60 years since the late 1950’s, except for the recent small increase suggested in the new growth curve model grid.</w:t>
      </w:r>
    </w:p>
    <w:p w14:paraId="1438B261"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5E1FE30B" w14:textId="1A128911" w:rsidR="00106A40"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the continued higher levels of depletion in the equatorial and</w:t>
      </w:r>
      <w:r w:rsidR="0034646F" w:rsidRPr="009C2ADD">
        <w:rPr>
          <w:rFonts w:ascii="Times New Roman" w:hAnsi="Times New Roman"/>
          <w:b/>
          <w:lang w:val="en-AU"/>
        </w:rPr>
        <w:t xml:space="preserve"> western Pacific (specifically R</w:t>
      </w:r>
      <w:r w:rsidRPr="009C2ADD">
        <w:rPr>
          <w:rFonts w:ascii="Times New Roman" w:hAnsi="Times New Roman"/>
          <w:b/>
          <w:lang w:val="en-AU"/>
        </w:rPr>
        <w:t xml:space="preserve">egions 3, 4, </w:t>
      </w:r>
      <w:r w:rsidR="004362E6">
        <w:rPr>
          <w:rFonts w:ascii="Times New Roman" w:hAnsi="Times New Roman" w:hint="eastAsia"/>
          <w:b/>
          <w:lang w:val="en-AU" w:eastAsia="ko-KR"/>
        </w:rPr>
        <w:t xml:space="preserve">7 and </w:t>
      </w:r>
      <w:r w:rsidRPr="009C2ADD">
        <w:rPr>
          <w:rFonts w:ascii="Times New Roman" w:hAnsi="Times New Roman"/>
          <w:b/>
          <w:lang w:val="en-AU"/>
        </w:rPr>
        <w:t>8</w:t>
      </w:r>
      <w:r w:rsidR="004362E6">
        <w:rPr>
          <w:rFonts w:ascii="Times New Roman" w:hAnsi="Times New Roman" w:hint="eastAsia"/>
          <w:b/>
          <w:lang w:val="en-AU" w:eastAsia="ko-KR"/>
        </w:rPr>
        <w:t xml:space="preserve"> </w:t>
      </w:r>
      <w:r w:rsidRPr="009C2ADD">
        <w:rPr>
          <w:rFonts w:ascii="Times New Roman" w:hAnsi="Times New Roman"/>
          <w:b/>
          <w:lang w:val="en-AU"/>
        </w:rPr>
        <w:t xml:space="preserve">of the stock assessment) and the associated higher levels of impact, especially on juvenile </w:t>
      </w:r>
      <w:r w:rsidR="00977B42">
        <w:rPr>
          <w:rFonts w:ascii="Times New Roman" w:hAnsi="Times New Roman"/>
          <w:b/>
          <w:lang w:val="en-AU"/>
        </w:rPr>
        <w:t>bigeye tuna</w:t>
      </w:r>
      <w:r w:rsidRPr="009C2ADD">
        <w:rPr>
          <w:rFonts w:ascii="Times New Roman" w:hAnsi="Times New Roman"/>
          <w:b/>
          <w:lang w:val="en-AU"/>
        </w:rPr>
        <w:t>, in these regions due to the associated purse-seine fisheries and the ‘other’ fisheries within the western Pacific (as shown in Figures 35 and 46 of SC13-SA-WP-05).</w:t>
      </w:r>
    </w:p>
    <w:p w14:paraId="644488EA"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3020F345" w14:textId="77777777"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there has been a long-term increase in fishing mortality for both juvenile and adult bigeye tuna, consistent with previous assessments. </w:t>
      </w:r>
    </w:p>
    <w:p w14:paraId="5A222201"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7B216CBD" w14:textId="77777777" w:rsidR="000A5A75" w:rsidRPr="009C2ADD" w:rsidRDefault="000A5A75"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has been a long-term decrease in spawning biomass from the 1950s to the present for bigeye tuna and that this is consistent with previous assessments.</w:t>
      </w:r>
    </w:p>
    <w:p w14:paraId="37407A30"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07BE5866" w14:textId="72D42400" w:rsidR="00144EEF" w:rsidRPr="009C2ADD" w:rsidRDefault="00144EEF" w:rsidP="00001F31">
      <w:pPr>
        <w:pStyle w:val="ListParagraph"/>
        <w:numPr>
          <w:ilvl w:val="0"/>
          <w:numId w:val="186"/>
        </w:numPr>
        <w:autoSpaceDE w:val="0"/>
        <w:autoSpaceDN w:val="0"/>
        <w:adjustRightInd w:val="0"/>
        <w:snapToGrid w:val="0"/>
        <w:ind w:left="0" w:firstLine="0"/>
        <w:contextualSpacing w:val="0"/>
        <w:rPr>
          <w:rFonts w:ascii="Times New Roman" w:hAnsi="Times New Roman"/>
          <w:b/>
          <w:lang w:val="en-AU"/>
        </w:rPr>
      </w:pPr>
      <w:r w:rsidRPr="009C2ADD">
        <w:rPr>
          <w:rFonts w:ascii="Times New Roman" w:hAnsi="Times New Roman"/>
          <w:b/>
          <w:lang w:val="en-AU"/>
        </w:rPr>
        <w:t xml:space="preserve">Management advice and implications </w:t>
      </w:r>
    </w:p>
    <w:p w14:paraId="7D1E4517" w14:textId="77777777" w:rsidR="00DC0615" w:rsidRPr="009C2ADD" w:rsidRDefault="00DC0615" w:rsidP="009C2ADD">
      <w:pPr>
        <w:pStyle w:val="ListParagraph"/>
        <w:autoSpaceDE w:val="0"/>
        <w:autoSpaceDN w:val="0"/>
        <w:adjustRightInd w:val="0"/>
        <w:snapToGrid w:val="0"/>
        <w:ind w:firstLine="0"/>
        <w:contextualSpacing w:val="0"/>
        <w:rPr>
          <w:rFonts w:ascii="Times New Roman" w:hAnsi="Times New Roman"/>
          <w:b/>
          <w:lang w:val="en-AU"/>
        </w:rPr>
      </w:pPr>
    </w:p>
    <w:p w14:paraId="2C5204CB" w14:textId="12AAE19C"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Based on the uncertainty grid adopted by SC13, the WCPO </w:t>
      </w:r>
      <w:r w:rsidR="00977B42">
        <w:rPr>
          <w:rFonts w:ascii="Times New Roman" w:hAnsi="Times New Roman"/>
          <w:b/>
          <w:lang w:val="en-AU"/>
        </w:rPr>
        <w:t>bigeye tuna</w:t>
      </w:r>
      <w:r w:rsidRPr="009C2ADD">
        <w:rPr>
          <w:rFonts w:ascii="Times New Roman" w:hAnsi="Times New Roman"/>
          <w:b/>
          <w:lang w:val="en-AU"/>
        </w:rPr>
        <w:t xml:space="preserve"> spawning biomass is likely above the biomass LRP and recent F is likely below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and therefore noting the level of uncertainties in the current assessment it appears that the stock is not experiencing overfishing (77% probability) and it appears that the stock is not in an overfished condition (84% probability).  </w:t>
      </w:r>
    </w:p>
    <w:p w14:paraId="3F9C496C" w14:textId="77777777" w:rsidR="00106A40" w:rsidRPr="009C2ADD" w:rsidRDefault="00106A40" w:rsidP="009C2ADD">
      <w:pPr>
        <w:autoSpaceDE w:val="0"/>
        <w:autoSpaceDN w:val="0"/>
        <w:adjustRightInd w:val="0"/>
        <w:snapToGrid w:val="0"/>
        <w:spacing w:after="0"/>
        <w:rPr>
          <w:rFonts w:ascii="Times New Roman" w:hAnsi="Times New Roman"/>
          <w:b/>
          <w:lang w:val="en-AU"/>
        </w:rPr>
      </w:pPr>
    </w:p>
    <w:p w14:paraId="618E9B03" w14:textId="01D7CBB2"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Although SC13 considers that the new assessment is a significant improvement in relation to the previous one, SC13 advises that the amount of uncertainty in the stock status results for the 2017 assessment is higher than for the previous assessment due to the inclusion of new information on </w:t>
      </w:r>
      <w:r w:rsidR="00977B42">
        <w:rPr>
          <w:rFonts w:ascii="Times New Roman" w:hAnsi="Times New Roman"/>
          <w:b/>
          <w:lang w:val="en-AU"/>
        </w:rPr>
        <w:t>bigeye tuna</w:t>
      </w:r>
      <w:r w:rsidRPr="009C2ADD">
        <w:rPr>
          <w:rFonts w:ascii="Times New Roman" w:hAnsi="Times New Roman"/>
          <w:b/>
          <w:lang w:val="en-AU"/>
        </w:rPr>
        <w:t xml:space="preserve"> growth and regional structures. </w:t>
      </w:r>
    </w:p>
    <w:p w14:paraId="0C8C9799"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36DDB5EE" w14:textId="77777777"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levels of fishing mortality and depletion differ between regions, and that fishery impact was higher in the tropical region (Regions 3, 4, 7 and 8 in the stock assessment model), with particularly high fishing mortality on juvenile bigeye tuna in these regions.  SC13 therefore recommends that WCPFC14 could continue to consider measures to reduce fishing mortality from fisheries that take juveniles, with the goal to increase bigeye fishery yields and reduce any further impacts on the spawning potential for this stock in the tropical regions. </w:t>
      </w:r>
    </w:p>
    <w:p w14:paraId="106515E2"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72993E41" w14:textId="77777777"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those results, SC13 recommends as a precautionary approach that the fishing mortality on bigeye tuna stock should not be increased from current level to maintain current or increased spawning biomass until the Commission can agree on an appropriate target reference point (TRP).</w:t>
      </w:r>
    </w:p>
    <w:p w14:paraId="0F49EB40"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2FEDED9C" w14:textId="77777777" w:rsidR="00144EEF" w:rsidRPr="009C2ADD" w:rsidRDefault="00144EEF" w:rsidP="009C2ADD">
      <w:pPr>
        <w:autoSpaceDE w:val="0"/>
        <w:autoSpaceDN w:val="0"/>
        <w:adjustRightInd w:val="0"/>
        <w:snapToGrid w:val="0"/>
        <w:spacing w:after="0"/>
        <w:rPr>
          <w:rFonts w:ascii="Times New Roman" w:hAnsi="Times New Roman"/>
          <w:b/>
          <w:lang w:val="en-AU"/>
        </w:rPr>
      </w:pPr>
      <w:r w:rsidRPr="009C2ADD">
        <w:rPr>
          <w:rFonts w:ascii="Times New Roman" w:hAnsi="Times New Roman"/>
          <w:b/>
          <w:lang w:val="en-AU"/>
        </w:rPr>
        <w:t>Research Recommendations</w:t>
      </w:r>
    </w:p>
    <w:p w14:paraId="21D2BC9C" w14:textId="77777777" w:rsidR="00106A40" w:rsidRPr="009C2ADD" w:rsidRDefault="00106A40" w:rsidP="009C2ADD">
      <w:pPr>
        <w:autoSpaceDE w:val="0"/>
        <w:autoSpaceDN w:val="0"/>
        <w:adjustRightInd w:val="0"/>
        <w:snapToGrid w:val="0"/>
        <w:spacing w:after="0"/>
        <w:rPr>
          <w:rFonts w:ascii="Times New Roman" w:hAnsi="Times New Roman"/>
          <w:b/>
          <w:lang w:val="en-AU"/>
        </w:rPr>
      </w:pPr>
    </w:p>
    <w:p w14:paraId="55C14B1E" w14:textId="77777777"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recognized that future work is required to improve the assessment and to reduce uncertainty. Future research should concentrate on the two axes (e.g. growth, regional structure) of uncertainty which are the most influential. The growth analysis should continue with the emphasis on providing length at age estimates for larger fish between 130 and 180 cm FL. Additional research is also required for the regional structure uncertainty to consider options in addition to the structures used in the 2014 and 2017 assessments, for example, by using statistical approaches (e.g. tree models). </w:t>
      </w:r>
    </w:p>
    <w:p w14:paraId="2C9A75A7" w14:textId="77777777" w:rsidR="00106A40" w:rsidRPr="009C2ADD" w:rsidRDefault="00106A40" w:rsidP="009C2ADD">
      <w:pPr>
        <w:autoSpaceDE w:val="0"/>
        <w:autoSpaceDN w:val="0"/>
        <w:adjustRightInd w:val="0"/>
        <w:snapToGrid w:val="0"/>
        <w:spacing w:after="0"/>
        <w:rPr>
          <w:rFonts w:ascii="Times New Roman" w:hAnsi="Times New Roman"/>
          <w:b/>
          <w:lang w:val="en-AU"/>
        </w:rPr>
      </w:pPr>
    </w:p>
    <w:p w14:paraId="736BA8BE" w14:textId="77777777"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In addition, SC13 considers that the model ensemble or weighting will be increasingly important as SC moves to uncertainty grid approaches in stock assessments and requests the Scientific Services Provider to study those methods further. </w:t>
      </w:r>
    </w:p>
    <w:p w14:paraId="6F50CF54"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043581FB" w14:textId="77777777" w:rsidR="00144EEF" w:rsidRPr="009C2ADD" w:rsidRDefault="00144EEF"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requested that SPC undertake projections of potential changes in spawning biomass in the future under current levels of fishing mortality.  This would be similar to the projections delivered in SC13-SA-IP-22, but would be based on the weighted uncertainty grid as described above.</w:t>
      </w:r>
    </w:p>
    <w:p w14:paraId="13C81E87" w14:textId="77777777" w:rsidR="00FC04FA" w:rsidRPr="009C2ADD" w:rsidRDefault="00FC04FA" w:rsidP="009C2ADD">
      <w:pPr>
        <w:pStyle w:val="WCPFC"/>
        <w:numPr>
          <w:ilvl w:val="0"/>
          <w:numId w:val="0"/>
        </w:numPr>
        <w:adjustRightInd w:val="0"/>
        <w:spacing w:after="0"/>
        <w:ind w:left="567"/>
        <w:rPr>
          <w:b/>
        </w:rPr>
      </w:pPr>
    </w:p>
    <w:p w14:paraId="7F47D830" w14:textId="21E5EA6B" w:rsidR="00B2012F" w:rsidRPr="009C2ADD" w:rsidRDefault="00E15D99"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4.1.2 </w:t>
      </w:r>
      <w:r w:rsidR="00DA7AC9" w:rsidRPr="009C2ADD">
        <w:rPr>
          <w:rFonts w:ascii="Times New Roman" w:hAnsi="Times New Roman" w:cs="Times New Roman"/>
        </w:rPr>
        <w:tab/>
      </w:r>
      <w:r w:rsidR="00B2012F" w:rsidRPr="009C2ADD">
        <w:rPr>
          <w:rFonts w:ascii="Times New Roman" w:hAnsi="Times New Roman" w:cs="Times New Roman"/>
        </w:rPr>
        <w:t>WCPO yellowfin tuna (</w:t>
      </w:r>
      <w:r w:rsidR="00B2012F" w:rsidRPr="00464B7F">
        <w:rPr>
          <w:rFonts w:ascii="Times New Roman" w:hAnsi="Times New Roman" w:cs="Times New Roman"/>
          <w:i/>
        </w:rPr>
        <w:t>Thunnus albacares</w:t>
      </w:r>
      <w:r w:rsidR="00B2012F" w:rsidRPr="009C2ADD">
        <w:rPr>
          <w:rFonts w:ascii="Times New Roman" w:hAnsi="Times New Roman" w:cs="Times New Roman"/>
        </w:rPr>
        <w:t>)</w:t>
      </w:r>
    </w:p>
    <w:p w14:paraId="31A5EA78" w14:textId="77777777" w:rsidR="00E15D99" w:rsidRPr="009C2ADD" w:rsidRDefault="00E15D99" w:rsidP="009C2ADD">
      <w:pPr>
        <w:pStyle w:val="WCPFC"/>
        <w:numPr>
          <w:ilvl w:val="0"/>
          <w:numId w:val="0"/>
        </w:numPr>
        <w:adjustRightInd w:val="0"/>
        <w:spacing w:after="0"/>
        <w:ind w:left="720"/>
        <w:rPr>
          <w:b/>
        </w:rPr>
      </w:pPr>
    </w:p>
    <w:p w14:paraId="023D9DA8" w14:textId="0D4D6F55" w:rsidR="00B2012F" w:rsidRPr="009C2ADD" w:rsidRDefault="00DC0615" w:rsidP="009C2ADD">
      <w:pPr>
        <w:pStyle w:val="WCPFC"/>
        <w:numPr>
          <w:ilvl w:val="0"/>
          <w:numId w:val="0"/>
        </w:numPr>
        <w:adjustRightInd w:val="0"/>
        <w:spacing w:after="0"/>
        <w:ind w:left="567" w:hanging="567"/>
        <w:rPr>
          <w:b/>
        </w:rPr>
      </w:pPr>
      <w:r w:rsidRPr="009C2ADD">
        <w:rPr>
          <w:b/>
          <w:lang w:eastAsia="ko-KR"/>
        </w:rPr>
        <w:t xml:space="preserve">4.1.2.1 </w:t>
      </w:r>
      <w:r w:rsidRPr="009C2ADD">
        <w:rPr>
          <w:b/>
          <w:lang w:eastAsia="ko-KR"/>
        </w:rPr>
        <w:tab/>
      </w:r>
      <w:r w:rsidR="00B2012F" w:rsidRPr="009C2ADD">
        <w:rPr>
          <w:b/>
        </w:rPr>
        <w:t>Review of research and information</w:t>
      </w:r>
    </w:p>
    <w:p w14:paraId="0A2EB68A" w14:textId="77777777" w:rsidR="00106A40" w:rsidRPr="009C2ADD" w:rsidRDefault="00106A40" w:rsidP="009C2ADD">
      <w:pPr>
        <w:pStyle w:val="WCPFC"/>
        <w:numPr>
          <w:ilvl w:val="0"/>
          <w:numId w:val="0"/>
        </w:numPr>
        <w:adjustRightInd w:val="0"/>
        <w:spacing w:after="0"/>
        <w:ind w:left="567" w:hanging="567"/>
        <w:rPr>
          <w:b/>
        </w:rPr>
      </w:pPr>
    </w:p>
    <w:p w14:paraId="10D5DF05" w14:textId="26419C8B" w:rsidR="00144EEF" w:rsidRPr="009C2ADD" w:rsidRDefault="00DC0615" w:rsidP="009C2ADD">
      <w:pPr>
        <w:pStyle w:val="WCPFC"/>
        <w:numPr>
          <w:ilvl w:val="0"/>
          <w:numId w:val="0"/>
        </w:numPr>
        <w:adjustRightInd w:val="0"/>
        <w:spacing w:after="0"/>
        <w:rPr>
          <w:b/>
        </w:rPr>
      </w:pPr>
      <w:r w:rsidRPr="009C2ADD">
        <w:rPr>
          <w:b/>
          <w:lang w:eastAsia="ko-KR"/>
        </w:rPr>
        <w:t xml:space="preserve">a. </w:t>
      </w:r>
      <w:r w:rsidRPr="009C2ADD">
        <w:rPr>
          <w:b/>
          <w:lang w:eastAsia="ko-KR"/>
        </w:rPr>
        <w:tab/>
      </w:r>
      <w:r w:rsidR="00B2012F" w:rsidRPr="009C2ADD">
        <w:rPr>
          <w:b/>
        </w:rPr>
        <w:t>Review of 2017 yellowfin tuna stock assessment</w:t>
      </w:r>
    </w:p>
    <w:p w14:paraId="3D1D8AB3" w14:textId="77777777" w:rsidR="00106A40" w:rsidRPr="009C2ADD" w:rsidRDefault="00106A40" w:rsidP="009C2ADD">
      <w:pPr>
        <w:pStyle w:val="WCPFC"/>
        <w:numPr>
          <w:ilvl w:val="0"/>
          <w:numId w:val="0"/>
        </w:numPr>
        <w:adjustRightInd w:val="0"/>
        <w:spacing w:after="0"/>
        <w:rPr>
          <w:b/>
        </w:rPr>
      </w:pPr>
    </w:p>
    <w:p w14:paraId="77D98401" w14:textId="423BE10E"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CE7ACF">
        <w:rPr>
          <w:rFonts w:ascii="Times New Roman" w:hAnsi="Times New Roman" w:hint="eastAsia"/>
          <w:lang w:val="en-AU" w:eastAsia="ko-KR"/>
        </w:rPr>
        <w:t>.</w:t>
      </w:r>
      <w:r w:rsidRPr="009C2ADD">
        <w:rPr>
          <w:rFonts w:ascii="Times New Roman" w:hAnsi="Times New Roman"/>
          <w:lang w:val="en-AU"/>
        </w:rPr>
        <w:t xml:space="preserve"> Tremblay-Boyer presented </w:t>
      </w:r>
      <w:r w:rsidRPr="0070772D">
        <w:rPr>
          <w:rFonts w:ascii="Times New Roman" w:hAnsi="Times New Roman"/>
          <w:bCs/>
          <w:lang w:val="en-AU"/>
        </w:rPr>
        <w:t>SC13-SA-WP-</w:t>
      </w:r>
      <w:r w:rsidR="00CE7ACF" w:rsidRPr="0070772D">
        <w:rPr>
          <w:rFonts w:ascii="Times New Roman" w:hAnsi="Times New Roman" w:hint="eastAsia"/>
          <w:bCs/>
          <w:lang w:val="en-AU" w:eastAsia="ko-KR"/>
        </w:rPr>
        <w:t>0</w:t>
      </w:r>
      <w:r w:rsidRPr="0070772D">
        <w:rPr>
          <w:rFonts w:ascii="Times New Roman" w:hAnsi="Times New Roman"/>
          <w:bCs/>
          <w:lang w:val="en-AU"/>
        </w:rPr>
        <w:t xml:space="preserve">6 </w:t>
      </w:r>
      <w:r w:rsidRPr="009C2ADD">
        <w:rPr>
          <w:rFonts w:ascii="Times New Roman" w:hAnsi="Times New Roman"/>
          <w:i/>
          <w:lang w:val="en-AU"/>
        </w:rPr>
        <w:t>Stock assessment of yellowfin tuna in the western and central Pacific Ocean</w:t>
      </w:r>
      <w:r w:rsidRPr="009C2ADD">
        <w:rPr>
          <w:rFonts w:ascii="Times New Roman" w:hAnsi="Times New Roman"/>
          <w:lang w:val="en-AU"/>
        </w:rPr>
        <w:t xml:space="preserve">. This assessment and presentation also relied on analyses described in papers </w:t>
      </w:r>
      <w:r w:rsidRPr="0070772D">
        <w:rPr>
          <w:rFonts w:ascii="Times New Roman" w:hAnsi="Times New Roman"/>
          <w:bCs/>
          <w:lang w:val="en-AU"/>
        </w:rPr>
        <w:t xml:space="preserve">SC13-SA-WP-03 </w:t>
      </w:r>
      <w:r w:rsidRPr="009C2ADD">
        <w:rPr>
          <w:rFonts w:ascii="Times New Roman" w:hAnsi="Times New Roman"/>
          <w:i/>
          <w:lang w:val="en-AU"/>
        </w:rPr>
        <w:t>Exploratory geostatistical analyses of Pacific-wide operational longline CPUE data for WCPO tuna assessments</w:t>
      </w:r>
      <w:r w:rsidRPr="009C2ADD">
        <w:rPr>
          <w:rFonts w:ascii="Times New Roman" w:hAnsi="Times New Roman"/>
          <w:lang w:val="en-AU"/>
        </w:rPr>
        <w:t xml:space="preserve"> and </w:t>
      </w:r>
      <w:r w:rsidRPr="0070772D">
        <w:rPr>
          <w:rFonts w:ascii="Times New Roman" w:hAnsi="Times New Roman"/>
          <w:bCs/>
          <w:lang w:val="en-AU"/>
        </w:rPr>
        <w:t>SC13-SA-WP-04</w:t>
      </w:r>
      <w:r w:rsidRPr="009C2ADD">
        <w:rPr>
          <w:rFonts w:ascii="Times New Roman" w:hAnsi="Times New Roman"/>
          <w:lang w:val="en-AU"/>
        </w:rPr>
        <w:t xml:space="preserve"> </w:t>
      </w:r>
      <w:r w:rsidRPr="009C2ADD">
        <w:rPr>
          <w:rFonts w:ascii="Times New Roman" w:hAnsi="Times New Roman"/>
          <w:i/>
          <w:lang w:val="en-AU"/>
        </w:rPr>
        <w:t>Use of operational vessel proxies to account for vessels with missing identifiers in the development of standardised CPUE time series</w:t>
      </w:r>
      <w:r w:rsidRPr="009C2ADD">
        <w:rPr>
          <w:rFonts w:ascii="Times New Roman" w:hAnsi="Times New Roman"/>
          <w:lang w:val="en-AU"/>
        </w:rPr>
        <w:t>.</w:t>
      </w:r>
    </w:p>
    <w:p w14:paraId="1A3DC3AC"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6EAA0C40"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paper described the 2017 stock assessment of yellowfin tuna </w:t>
      </w:r>
      <w:r w:rsidRPr="00464B7F">
        <w:rPr>
          <w:rFonts w:ascii="Times New Roman" w:hAnsi="Times New Roman"/>
          <w:i/>
          <w:lang w:val="en-AU"/>
        </w:rPr>
        <w:t>Thunnus albacares</w:t>
      </w:r>
      <w:r w:rsidRPr="009C2ADD">
        <w:rPr>
          <w:rFonts w:ascii="Times New Roman" w:hAnsi="Times New Roman"/>
          <w:lang w:val="en-AU"/>
        </w:rPr>
        <w:t xml:space="preserve"> in the western and central Pacific Ocean. The model time period now extends to the end of 2015, adding a further three years of data since the last stock assessment was conducted in 2014. New developments to the stock assessment include addressing relevant recommendations of the 2014 yellowfin stock assessment report (Davies et al., 2014), investigation of an alternative regional structure, exploration of uncertainties in the assessment model, particularly in response to the inclusion of additional years of data, and improving diagnostic weaknesses of previous assessments. </w:t>
      </w:r>
    </w:p>
    <w:p w14:paraId="5F713535"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0CA4F70D" w14:textId="1C0CBC20"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assessment was supported by additional analyses of catch-per-unit-effort data for longline fisheries (Tremblay-Boyer and Pilling, 2017</w:t>
      </w:r>
      <w:r w:rsidR="009C18D7" w:rsidRPr="009C2ADD">
        <w:rPr>
          <w:rFonts w:ascii="Times New Roman" w:hAnsi="Times New Roman"/>
          <w:lang w:val="en-AU"/>
        </w:rPr>
        <w:t>a, b</w:t>
      </w:r>
      <w:r w:rsidRPr="009C2ADD">
        <w:rPr>
          <w:rFonts w:ascii="Times New Roman" w:hAnsi="Times New Roman"/>
          <w:lang w:val="en-AU"/>
        </w:rPr>
        <w:t xml:space="preserve">), tagging data (McKechnie et al., 2017b), and the data summaries for fisheries definitions used in the stock assessment (McKechnie et al., 2017b). </w:t>
      </w:r>
    </w:p>
    <w:p w14:paraId="1B80CFD1"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2FA674AE"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Changes made in the progression from the 2014 reference case to 2017 diagnostic case models included: </w:t>
      </w:r>
    </w:p>
    <w:p w14:paraId="1FD71194" w14:textId="7777777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2014 reference case model. </w:t>
      </w:r>
    </w:p>
    <w:p w14:paraId="18CA107E" w14:textId="0E35B2C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2014 reference case model with the new </w:t>
      </w:r>
      <w:r w:rsidR="006233F1">
        <w:rPr>
          <w:rFonts w:ascii="Times New Roman" w:eastAsia="MS Mincho" w:hAnsi="Times New Roman"/>
          <w:lang w:val="en-AU"/>
        </w:rPr>
        <w:t>MULTIFAN-CL</w:t>
      </w:r>
      <w:r w:rsidRPr="009C2ADD">
        <w:rPr>
          <w:rFonts w:ascii="Times New Roman" w:eastAsia="MS Mincho" w:hAnsi="Times New Roman"/>
          <w:lang w:val="en-AU"/>
        </w:rPr>
        <w:t xml:space="preserve"> executable. </w:t>
      </w:r>
    </w:p>
    <w:p w14:paraId="1AE76E51" w14:textId="795CEFC9"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A complete update of the 2014 reference case model - all inputs extended from 2012 to 2015 using identical methodology for CPUE, tagging, size frequencies etc</w:t>
      </w:r>
      <w:r w:rsidR="00214513">
        <w:rPr>
          <w:rFonts w:ascii="Times New Roman" w:eastAsia="MS Mincho" w:hAnsi="Times New Roman"/>
          <w:lang w:val="en-AU"/>
        </w:rPr>
        <w:t>.</w:t>
      </w:r>
      <w:r w:rsidRPr="009C2ADD">
        <w:rPr>
          <w:rFonts w:ascii="Times New Roman" w:eastAsia="MS Mincho" w:hAnsi="Times New Roman"/>
          <w:lang w:val="en-AU"/>
        </w:rPr>
        <w:t xml:space="preserve">, and the same </w:t>
      </w:r>
      <w:r w:rsidR="006233F1">
        <w:rPr>
          <w:rFonts w:ascii="Times New Roman" w:eastAsia="MS Mincho" w:hAnsi="Times New Roman"/>
          <w:lang w:val="en-AU"/>
        </w:rPr>
        <w:t>MULTIFAN-CL</w:t>
      </w:r>
      <w:r w:rsidRPr="009C2ADD">
        <w:rPr>
          <w:rFonts w:ascii="Times New Roman" w:eastAsia="MS Mincho" w:hAnsi="Times New Roman"/>
          <w:lang w:val="en-AU"/>
        </w:rPr>
        <w:t xml:space="preserve"> model settings. </w:t>
      </w:r>
    </w:p>
    <w:p w14:paraId="3B7FEA46" w14:textId="62245ECD"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previous model with the same structure and </w:t>
      </w:r>
      <w:r w:rsidR="006233F1">
        <w:rPr>
          <w:rFonts w:ascii="Times New Roman" w:eastAsia="MS Mincho" w:hAnsi="Times New Roman"/>
          <w:lang w:val="en-AU"/>
        </w:rPr>
        <w:t>MULTIFAN-CL</w:t>
      </w:r>
      <w:r w:rsidRPr="009C2ADD">
        <w:rPr>
          <w:rFonts w:ascii="Times New Roman" w:eastAsia="MS Mincho" w:hAnsi="Times New Roman"/>
          <w:lang w:val="en-AU"/>
        </w:rPr>
        <w:t xml:space="preserve"> settings but CPUE indices using the GLM approaches with the updated Pacific-wide operational LL database (McKechnie </w:t>
      </w:r>
      <w:r w:rsidRPr="009C2ADD">
        <w:rPr>
          <w:rFonts w:ascii="Times New Roman" w:eastAsia="MS Mincho" w:hAnsi="Times New Roman"/>
          <w:i/>
          <w:lang w:val="en-AU"/>
        </w:rPr>
        <w:t>et al</w:t>
      </w:r>
      <w:r w:rsidRPr="009C2ADD">
        <w:rPr>
          <w:rFonts w:ascii="Times New Roman" w:eastAsia="MS Mincho" w:hAnsi="Times New Roman"/>
          <w:lang w:val="en-AU"/>
        </w:rPr>
        <w:t xml:space="preserve">., 2017b). </w:t>
      </w:r>
    </w:p>
    <w:p w14:paraId="354B58E5" w14:textId="2855BAF0"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previous model with the same </w:t>
      </w:r>
      <w:r w:rsidR="006233F1">
        <w:rPr>
          <w:rFonts w:ascii="Times New Roman" w:eastAsia="MS Mincho" w:hAnsi="Times New Roman"/>
          <w:lang w:val="en-AU"/>
        </w:rPr>
        <w:t>MULTIFAN-CL</w:t>
      </w:r>
      <w:r w:rsidRPr="009C2ADD">
        <w:rPr>
          <w:rFonts w:ascii="Times New Roman" w:eastAsia="MS Mincho" w:hAnsi="Times New Roman"/>
          <w:lang w:val="en-AU"/>
        </w:rPr>
        <w:t xml:space="preserve"> settings but with the new regional structure and consequently all fisheries, and input data (including CPUE standardisations), reconfigured based on these new regional definitions. </w:t>
      </w:r>
    </w:p>
    <w:p w14:paraId="269E1E63" w14:textId="7777777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previous model with two modifications to the recruitment estimates; the change from quarterly to annual recruitments when estimating the spawner-recruit relationship, and the fixed terminal six recruits set at the arithmetic rather than geometric mean of recruitments for the remaining period. </w:t>
      </w:r>
    </w:p>
    <w:p w14:paraId="37B15194" w14:textId="77777777" w:rsidR="00106A40" w:rsidRPr="009C2ADD" w:rsidRDefault="00106A40" w:rsidP="009C2ADD">
      <w:pPr>
        <w:adjustRightInd w:val="0"/>
        <w:snapToGrid w:val="0"/>
        <w:spacing w:after="0"/>
        <w:ind w:left="1321"/>
        <w:rPr>
          <w:rFonts w:ascii="Times New Roman" w:eastAsia="MS Mincho" w:hAnsi="Times New Roman"/>
          <w:lang w:val="en-AU"/>
        </w:rPr>
      </w:pPr>
    </w:p>
    <w:p w14:paraId="1B008399"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addition to the dia</w:t>
      </w:r>
      <w:r w:rsidR="007E3AEA" w:rsidRPr="009C2ADD">
        <w:rPr>
          <w:rFonts w:ascii="Times New Roman" w:hAnsi="Times New Roman"/>
          <w:lang w:val="en-AU"/>
        </w:rPr>
        <w:t>gnostic case model, the authors</w:t>
      </w:r>
      <w:r w:rsidRPr="009C2ADD">
        <w:rPr>
          <w:rFonts w:ascii="Times New Roman" w:hAnsi="Times New Roman"/>
          <w:lang w:val="en-AU"/>
        </w:rPr>
        <w:t xml:space="preserve"> reported the results of one-off sensitivity models to explore the relative impacts of key data and model assumptions for the diagnostic case model on the stock assessment results and conclusions.  A structural uncertainty analysis (model grid) was also undertaken for consideration in developing management advice where all possible combinations of the most important axes of uncertainty from the one-off models were included. In comparison to previou</w:t>
      </w:r>
      <w:r w:rsidR="009C216F" w:rsidRPr="009C2ADD">
        <w:rPr>
          <w:rFonts w:ascii="Times New Roman" w:hAnsi="Times New Roman"/>
          <w:lang w:val="en-AU"/>
        </w:rPr>
        <w:t>s assessments, little emphasis wa</w:t>
      </w:r>
      <w:r w:rsidRPr="009C2ADD">
        <w:rPr>
          <w:rFonts w:ascii="Times New Roman" w:hAnsi="Times New Roman"/>
          <w:lang w:val="en-AU"/>
        </w:rPr>
        <w:t>s placed on the dia</w:t>
      </w:r>
      <w:r w:rsidR="009C216F" w:rsidRPr="009C2ADD">
        <w:rPr>
          <w:rFonts w:ascii="Times New Roman" w:hAnsi="Times New Roman"/>
          <w:lang w:val="en-AU"/>
        </w:rPr>
        <w:t>gnostic case model. Instead it wa</w:t>
      </w:r>
      <w:r w:rsidRPr="009C2ADD">
        <w:rPr>
          <w:rFonts w:ascii="Times New Roman" w:hAnsi="Times New Roman"/>
          <w:lang w:val="en-AU"/>
        </w:rPr>
        <w:t>s recommended tha</w:t>
      </w:r>
      <w:r w:rsidR="009C216F" w:rsidRPr="009C2ADD">
        <w:rPr>
          <w:rFonts w:ascii="Times New Roman" w:hAnsi="Times New Roman"/>
          <w:lang w:val="en-AU"/>
        </w:rPr>
        <w:t>t management advice wa</w:t>
      </w:r>
      <w:r w:rsidRPr="009C2ADD">
        <w:rPr>
          <w:rFonts w:ascii="Times New Roman" w:hAnsi="Times New Roman"/>
          <w:lang w:val="en-AU"/>
        </w:rPr>
        <w:t xml:space="preserve">s formulated from the results of the structural uncertainty grid. </w:t>
      </w:r>
    </w:p>
    <w:p w14:paraId="28936DA3"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7DC550EE"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Across the range of model runs in this assessment, the key factor influencing estimates of stock status was the size data weighting value. Downweighing the influence of the size data by a divisor of 50 led to more pessimistic stock status estimates. </w:t>
      </w:r>
    </w:p>
    <w:p w14:paraId="15BEBE30" w14:textId="77777777" w:rsidR="00FC04FA" w:rsidRPr="009C2ADD" w:rsidRDefault="00FC04FA" w:rsidP="009C2ADD">
      <w:pPr>
        <w:autoSpaceDE w:val="0"/>
        <w:autoSpaceDN w:val="0"/>
        <w:adjustRightInd w:val="0"/>
        <w:snapToGrid w:val="0"/>
        <w:spacing w:after="0"/>
        <w:rPr>
          <w:rFonts w:ascii="Times New Roman" w:hAnsi="Times New Roman"/>
          <w:lang w:val="en-AU"/>
        </w:rPr>
      </w:pPr>
      <w:r w:rsidRPr="009C2ADD">
        <w:rPr>
          <w:rFonts w:ascii="Times New Roman" w:hAnsi="Times New Roman"/>
          <w:lang w:val="en-AU"/>
        </w:rPr>
        <w:t xml:space="preserve">Based on the results of the model grid, the general conclusions of this assessment were as follows: </w:t>
      </w:r>
    </w:p>
    <w:p w14:paraId="5192F780" w14:textId="7777777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grid contained a wide range of models with some variation in estimates of stock status, trends in abundance and reference points. However, biomass was estimated to have declined throughout the model period for all models in the grid. Those declines were found across most tropical and temperate regions of the model. </w:t>
      </w:r>
    </w:p>
    <w:p w14:paraId="0E2DCEF5" w14:textId="7777777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Subsequent to the report deadline, an extra level for the size weighting of the grid was completed with an extra level (divisor of 20; the level used in the diagnostic case model) and so the stock assessment report was modified (Rev1) to incorporate summaries that include</w:t>
      </w:r>
      <w:r w:rsidR="009C216F" w:rsidRPr="009C2ADD">
        <w:rPr>
          <w:rFonts w:ascii="Times New Roman" w:eastAsia="MS Mincho" w:hAnsi="Times New Roman"/>
          <w:lang w:val="en-AU"/>
        </w:rPr>
        <w:t>d</w:t>
      </w:r>
      <w:r w:rsidRPr="009C2ADD">
        <w:rPr>
          <w:rFonts w:ascii="Times New Roman" w:eastAsia="MS Mincho" w:hAnsi="Times New Roman"/>
          <w:lang w:val="en-AU"/>
        </w:rPr>
        <w:t xml:space="preserve"> these extra runs. The additional 24 model runs had a small effect on the summaries of the grid as, even though the extra level </w:t>
      </w:r>
      <w:r w:rsidR="009C216F" w:rsidRPr="009C2ADD">
        <w:rPr>
          <w:rFonts w:ascii="Times New Roman" w:eastAsia="MS Mincho" w:hAnsi="Times New Roman"/>
          <w:lang w:val="en-AU"/>
        </w:rPr>
        <w:t>of the size weighting axis fell</w:t>
      </w:r>
      <w:r w:rsidRPr="009C2ADD">
        <w:rPr>
          <w:rFonts w:ascii="Times New Roman" w:eastAsia="MS Mincho" w:hAnsi="Times New Roman"/>
          <w:lang w:val="en-AU"/>
        </w:rPr>
        <w:t xml:space="preserve"> between the more extreme divisors of 10 and 50, the resulting model runs behave</w:t>
      </w:r>
      <w:r w:rsidR="009C216F" w:rsidRPr="009C2ADD">
        <w:rPr>
          <w:rFonts w:ascii="Times New Roman" w:eastAsia="MS Mincho" w:hAnsi="Times New Roman"/>
          <w:lang w:val="en-AU"/>
        </w:rPr>
        <w:t>d</w:t>
      </w:r>
      <w:r w:rsidRPr="009C2ADD">
        <w:rPr>
          <w:rFonts w:ascii="Times New Roman" w:eastAsia="MS Mincho" w:hAnsi="Times New Roman"/>
          <w:lang w:val="en-AU"/>
        </w:rPr>
        <w:t xml:space="preserve"> similarly to that of the divisor of 10, thus making reference points more optimistic by 2-4 points.</w:t>
      </w:r>
    </w:p>
    <w:p w14:paraId="0E693E3C" w14:textId="35374C43"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Across the updated model grid, the terminal depletion estimated for the majority of runs estimated stock status levels to be above the 20%SB F =0. The range of </w:t>
      </w:r>
      <w:r w:rsidR="00300F08" w:rsidRPr="0070772D">
        <w:rPr>
          <w:rFonts w:ascii="Times New Roman" w:eastAsia="MS Mincho" w:hAnsi="Times New Roman"/>
        </w:rPr>
        <w:t>SB</w:t>
      </w:r>
      <w:r w:rsidR="00300F08" w:rsidRPr="0070772D">
        <w:rPr>
          <w:rFonts w:ascii="Times New Roman" w:eastAsia="MS Mincho" w:hAnsi="Times New Roman"/>
          <w:vertAlign w:val="subscript"/>
        </w:rPr>
        <w:t>latest</w:t>
      </w:r>
      <w:r w:rsidR="00300F08" w:rsidRPr="009C2ADD" w:rsidDel="00300F08">
        <w:rPr>
          <w:rFonts w:ascii="Times New Roman" w:eastAsia="MS Mincho" w:hAnsi="Times New Roman"/>
          <w:lang w:val="en-AU"/>
        </w:rPr>
        <w:t xml:space="preserve"> </w:t>
      </w:r>
      <w:r w:rsidRPr="009C2ADD">
        <w:rPr>
          <w:rFonts w:ascii="Times New Roman" w:eastAsia="MS Mincho" w:hAnsi="Times New Roman"/>
          <w:lang w:val="en-AU"/>
        </w:rPr>
        <w:t>=SB</w:t>
      </w:r>
      <w:r w:rsidRPr="0070772D">
        <w:rPr>
          <w:rFonts w:ascii="Times New Roman" w:eastAsia="MS Mincho" w:hAnsi="Times New Roman"/>
          <w:vertAlign w:val="subscript"/>
          <w:lang w:val="en-AU"/>
        </w:rPr>
        <w:t>F =0</w:t>
      </w:r>
      <w:r w:rsidRPr="009C2ADD">
        <w:rPr>
          <w:rFonts w:ascii="Times New Roman" w:eastAsia="MS Mincho" w:hAnsi="Times New Roman"/>
          <w:lang w:val="en-AU"/>
        </w:rPr>
        <w:t> values was 0.16 to 0.5. Only two runs (&lt;5%) fell below the LRP of 20%SB</w:t>
      </w:r>
      <w:r w:rsidRPr="0070772D">
        <w:rPr>
          <w:rFonts w:ascii="Times New Roman" w:eastAsia="MS Mincho" w:hAnsi="Times New Roman"/>
          <w:vertAlign w:val="subscript"/>
          <w:lang w:val="en-AU"/>
        </w:rPr>
        <w:t>F =0</w:t>
      </w:r>
      <w:r w:rsidRPr="009C2ADD">
        <w:rPr>
          <w:rFonts w:ascii="Times New Roman" w:eastAsia="MS Mincho" w:hAnsi="Times New Roman"/>
          <w:lang w:val="en-AU"/>
        </w:rPr>
        <w:t xml:space="preserve">. The median estimate (0.39) was higher than that estimated from the 2014 assessment grid, noting the differences in grid uncertainty axes used in the two assessments. </w:t>
      </w:r>
    </w:p>
    <w:p w14:paraId="7685443B" w14:textId="24705CAA"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Corresponding estimates of F</w:t>
      </w:r>
      <w:r w:rsidRPr="0070772D">
        <w:rPr>
          <w:rFonts w:ascii="Times New Roman" w:eastAsia="MS Mincho" w:hAnsi="Times New Roman"/>
          <w:vertAlign w:val="subscript"/>
          <w:lang w:val="en-AU"/>
        </w:rPr>
        <w:t>recent</w:t>
      </w:r>
      <w:r w:rsidRPr="009C2ADD">
        <w:rPr>
          <w:rFonts w:ascii="Times New Roman" w:eastAsia="MS Mincho" w:hAnsi="Times New Roman"/>
          <w:lang w:val="en-AU"/>
        </w:rPr>
        <w:t>=</w:t>
      </w:r>
      <w:r w:rsidRPr="00300F08">
        <w:rPr>
          <w:rFonts w:ascii="Times New Roman" w:eastAsia="MS Mincho" w:hAnsi="Times New Roman"/>
          <w:lang w:val="en-AU"/>
        </w:rPr>
        <w:t>F</w:t>
      </w:r>
      <w:r w:rsidR="00300F08" w:rsidRPr="0070772D">
        <w:rPr>
          <w:rFonts w:ascii="Times New Roman" w:hAnsi="Times New Roman"/>
          <w:vertAlign w:val="subscript"/>
          <w:lang w:val="en-AU" w:eastAsia="ko-KR"/>
        </w:rPr>
        <w:t>MSY</w:t>
      </w:r>
      <w:r w:rsidRPr="009C2ADD">
        <w:rPr>
          <w:rFonts w:ascii="Times New Roman" w:eastAsia="MS Mincho" w:hAnsi="Times New Roman"/>
          <w:lang w:val="en-AU"/>
        </w:rPr>
        <w:t> ranged from 0.54 to 1.13, with 2 out of the 72 runs (&lt;5%) indicating that F</w:t>
      </w:r>
      <w:r w:rsidRPr="0070772D">
        <w:rPr>
          <w:rFonts w:ascii="Times New Roman" w:eastAsia="MS Mincho" w:hAnsi="Times New Roman"/>
          <w:vertAlign w:val="subscript"/>
          <w:lang w:val="en-AU"/>
        </w:rPr>
        <w:t>recent</w:t>
      </w:r>
      <w:r w:rsidRPr="009C2ADD">
        <w:rPr>
          <w:rFonts w:ascii="Times New Roman" w:eastAsia="MS Mincho" w:hAnsi="Times New Roman"/>
          <w:lang w:val="en-AU"/>
        </w:rPr>
        <w:t>=F</w:t>
      </w:r>
      <w:r w:rsidR="00300F08" w:rsidRPr="0070772D">
        <w:rPr>
          <w:rFonts w:ascii="Times New Roman" w:hAnsi="Times New Roman"/>
          <w:vertAlign w:val="subscript"/>
          <w:lang w:val="en-AU" w:eastAsia="ko-KR"/>
        </w:rPr>
        <w:t>MSY</w:t>
      </w:r>
      <w:r w:rsidRPr="009C2ADD">
        <w:rPr>
          <w:rFonts w:ascii="Times New Roman" w:eastAsia="MS Mincho" w:hAnsi="Times New Roman"/>
          <w:lang w:val="en-AU"/>
        </w:rPr>
        <w:t> &gt; 1. The median estimate (0.73) was comparable to that estimated from the 2014 assessment grid.</w:t>
      </w:r>
    </w:p>
    <w:p w14:paraId="719793BA" w14:textId="77777777"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Fishing mortality for adult and juvenile yellowfin tuna was estimated to have increased continuously since the beginning of industrial tuna fishing (seen in the diagnostic ca</w:t>
      </w:r>
      <w:r w:rsidR="009C216F" w:rsidRPr="009C2ADD">
        <w:rPr>
          <w:rFonts w:ascii="Times New Roman" w:eastAsia="MS Mincho" w:hAnsi="Times New Roman"/>
          <w:lang w:val="en-AU"/>
        </w:rPr>
        <w:t>se model). In general these had</w:t>
      </w:r>
      <w:r w:rsidRPr="009C2ADD">
        <w:rPr>
          <w:rFonts w:ascii="Times New Roman" w:eastAsia="MS Mincho" w:hAnsi="Times New Roman"/>
          <w:lang w:val="en-AU"/>
        </w:rPr>
        <w:t xml:space="preserve"> been on average higher for juveniles, but in recent years adult fishing mortality </w:t>
      </w:r>
      <w:r w:rsidR="009C216F" w:rsidRPr="009C2ADD">
        <w:rPr>
          <w:rFonts w:ascii="Times New Roman" w:eastAsia="MS Mincho" w:hAnsi="Times New Roman"/>
          <w:lang w:val="en-AU"/>
        </w:rPr>
        <w:t xml:space="preserve">had </w:t>
      </w:r>
      <w:r w:rsidRPr="009C2ADD">
        <w:rPr>
          <w:rFonts w:ascii="Times New Roman" w:eastAsia="MS Mincho" w:hAnsi="Times New Roman"/>
          <w:lang w:val="en-AU"/>
        </w:rPr>
        <w:t>also increased. A significant component of the increase in juvenile fishing mortality was attributable to the Philippines, Indonesian and Vietname</w:t>
      </w:r>
      <w:r w:rsidR="009C216F" w:rsidRPr="009C2ADD">
        <w:rPr>
          <w:rFonts w:ascii="Times New Roman" w:eastAsia="MS Mincho" w:hAnsi="Times New Roman"/>
          <w:lang w:val="en-AU"/>
        </w:rPr>
        <w:t>se surface fisheries, which had</w:t>
      </w:r>
      <w:r w:rsidRPr="009C2ADD">
        <w:rPr>
          <w:rFonts w:ascii="Times New Roman" w:eastAsia="MS Mincho" w:hAnsi="Times New Roman"/>
          <w:lang w:val="en-AU"/>
        </w:rPr>
        <w:t xml:space="preserve"> the most uncertain catch, effort and size data. The work of the WPEA project to assist in enhancing the current fishery monitoring programme and improving estimates of historical and current ca</w:t>
      </w:r>
      <w:r w:rsidR="009C216F" w:rsidRPr="009C2ADD">
        <w:rPr>
          <w:rFonts w:ascii="Times New Roman" w:eastAsia="MS Mincho" w:hAnsi="Times New Roman"/>
          <w:lang w:val="en-AU"/>
        </w:rPr>
        <w:t>tch from these fisheries remained</w:t>
      </w:r>
      <w:r w:rsidRPr="009C2ADD">
        <w:rPr>
          <w:rFonts w:ascii="Times New Roman" w:eastAsia="MS Mincho" w:hAnsi="Times New Roman"/>
          <w:lang w:val="en-AU"/>
        </w:rPr>
        <w:t xml:space="preserve"> important given the contribution of these fisheries in the overall fishing impact analyses from this assessment. </w:t>
      </w:r>
    </w:p>
    <w:p w14:paraId="5F0B2FFE" w14:textId="1BC60425" w:rsidR="00FC04FA" w:rsidRPr="009C2ADD" w:rsidRDefault="00FC04FA"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 xml:space="preserve">The significance of the recent increased recruitment events and the progression of these fish to the spawning potential component of the stock </w:t>
      </w:r>
      <w:r w:rsidR="00214513">
        <w:rPr>
          <w:rFonts w:ascii="Times New Roman" w:eastAsia="MS Mincho" w:hAnsi="Times New Roman"/>
          <w:lang w:val="en-AU"/>
        </w:rPr>
        <w:t>were</w:t>
      </w:r>
      <w:r w:rsidRPr="009C2ADD">
        <w:rPr>
          <w:rFonts w:ascii="Times New Roman" w:eastAsia="MS Mincho" w:hAnsi="Times New Roman"/>
          <w:lang w:val="en-AU"/>
        </w:rPr>
        <w:t xml:space="preserve"> encou</w:t>
      </w:r>
      <w:r w:rsidR="009C216F" w:rsidRPr="009C2ADD">
        <w:rPr>
          <w:rFonts w:ascii="Times New Roman" w:eastAsia="MS Mincho" w:hAnsi="Times New Roman"/>
          <w:lang w:val="en-AU"/>
        </w:rPr>
        <w:t>raging, although whether this was</w:t>
      </w:r>
      <w:r w:rsidRPr="009C2ADD">
        <w:rPr>
          <w:rFonts w:ascii="Times New Roman" w:eastAsia="MS Mincho" w:hAnsi="Times New Roman"/>
          <w:lang w:val="en-AU"/>
        </w:rPr>
        <w:t xml:space="preserve"> a result of management measures for the fishery or </w:t>
      </w:r>
      <w:proofErr w:type="gramStart"/>
      <w:r w:rsidRPr="009C2ADD">
        <w:rPr>
          <w:rFonts w:ascii="Times New Roman" w:eastAsia="MS Mincho" w:hAnsi="Times New Roman"/>
          <w:lang w:val="en-AU"/>
        </w:rPr>
        <w:t>beneficial environmental conditions was</w:t>
      </w:r>
      <w:proofErr w:type="gramEnd"/>
      <w:r w:rsidRPr="009C2ADD">
        <w:rPr>
          <w:rFonts w:ascii="Times New Roman" w:eastAsia="MS Mincho" w:hAnsi="Times New Roman"/>
          <w:lang w:val="en-AU"/>
        </w:rPr>
        <w:t xml:space="preserve"> currently unclear. It was noteworthy, however, that recent favourable recruitment events had also been estimated for skipjack (McKechnie et al., 2016a) and bigeye (McKechnie et al., 2017a) in the WCPO, and bigeye in the EPO (Aires-da Silva et al</w:t>
      </w:r>
      <w:r w:rsidR="009C216F" w:rsidRPr="009C2ADD">
        <w:rPr>
          <w:rFonts w:ascii="Times New Roman" w:eastAsia="MS Mincho" w:hAnsi="Times New Roman"/>
          <w:lang w:val="en-AU"/>
        </w:rPr>
        <w:t>., 2017), which might</w:t>
      </w:r>
      <w:r w:rsidRPr="009C2ADD">
        <w:rPr>
          <w:rFonts w:ascii="Times New Roman" w:eastAsia="MS Mincho" w:hAnsi="Times New Roman"/>
          <w:lang w:val="en-AU"/>
        </w:rPr>
        <w:t xml:space="preserve"> give weight to the favourable environmental conditions hy</w:t>
      </w:r>
      <w:r w:rsidR="009C216F" w:rsidRPr="009C2ADD">
        <w:rPr>
          <w:rFonts w:ascii="Times New Roman" w:eastAsia="MS Mincho" w:hAnsi="Times New Roman"/>
          <w:lang w:val="en-AU"/>
        </w:rPr>
        <w:t>pothesis. Whether these trends we</w:t>
      </w:r>
      <w:r w:rsidRPr="009C2ADD">
        <w:rPr>
          <w:rFonts w:ascii="Times New Roman" w:eastAsia="MS Mincho" w:hAnsi="Times New Roman"/>
          <w:lang w:val="en-AU"/>
        </w:rPr>
        <w:t>re</w:t>
      </w:r>
      <w:r w:rsidR="009C216F" w:rsidRPr="009C2ADD">
        <w:rPr>
          <w:rFonts w:ascii="Times New Roman" w:eastAsia="MS Mincho" w:hAnsi="Times New Roman"/>
          <w:lang w:val="en-AU"/>
        </w:rPr>
        <w:t xml:space="preserve"> maintained in coming years would</w:t>
      </w:r>
      <w:r w:rsidRPr="009C2ADD">
        <w:rPr>
          <w:rFonts w:ascii="Times New Roman" w:eastAsia="MS Mincho" w:hAnsi="Times New Roman"/>
          <w:lang w:val="en-AU"/>
        </w:rPr>
        <w:t xml:space="preserve"> hel</w:t>
      </w:r>
      <w:r w:rsidR="009C216F" w:rsidRPr="009C2ADD">
        <w:rPr>
          <w:rFonts w:ascii="Times New Roman" w:eastAsia="MS Mincho" w:hAnsi="Times New Roman"/>
          <w:lang w:val="en-AU"/>
        </w:rPr>
        <w:t>p separate these factors and would</w:t>
      </w:r>
      <w:r w:rsidRPr="009C2ADD">
        <w:rPr>
          <w:rFonts w:ascii="Times New Roman" w:eastAsia="MS Mincho" w:hAnsi="Times New Roman"/>
          <w:lang w:val="en-AU"/>
        </w:rPr>
        <w:t xml:space="preserve"> likely provide more certainty about the future trajectories of the stock. </w:t>
      </w:r>
    </w:p>
    <w:p w14:paraId="4B3D12FE" w14:textId="77777777" w:rsidR="00FC04FA" w:rsidRPr="009C2ADD" w:rsidRDefault="009C216F" w:rsidP="009C2ADD">
      <w:pPr>
        <w:numPr>
          <w:ilvl w:val="0"/>
          <w:numId w:val="5"/>
        </w:numPr>
        <w:adjustRightInd w:val="0"/>
        <w:snapToGrid w:val="0"/>
        <w:spacing w:after="0"/>
        <w:ind w:left="1080" w:hanging="357"/>
        <w:rPr>
          <w:rFonts w:ascii="Times New Roman" w:eastAsia="MS Mincho" w:hAnsi="Times New Roman"/>
          <w:lang w:val="en-AU"/>
        </w:rPr>
      </w:pPr>
      <w:r w:rsidRPr="009C2ADD">
        <w:rPr>
          <w:rFonts w:ascii="Times New Roman" w:eastAsia="MS Mincho" w:hAnsi="Times New Roman"/>
          <w:lang w:val="en-AU"/>
        </w:rPr>
        <w:t>It was noted that t</w:t>
      </w:r>
      <w:r w:rsidR="00FC04FA" w:rsidRPr="009C2ADD">
        <w:rPr>
          <w:rFonts w:ascii="Times New Roman" w:eastAsia="MS Mincho" w:hAnsi="Times New Roman"/>
          <w:lang w:val="en-AU"/>
        </w:rPr>
        <w:t>here remained a range of other model assumptions that should be investigated either internally or through directed research. Briefly, the apparent non-linear impact of the weighing on the size composition data on population estimates, and the conflict between the abundance in</w:t>
      </w:r>
      <w:r w:rsidR="0034646F" w:rsidRPr="009C2ADD">
        <w:rPr>
          <w:rFonts w:ascii="Times New Roman" w:eastAsia="MS Mincho" w:hAnsi="Times New Roman"/>
          <w:lang w:val="en-AU"/>
        </w:rPr>
        <w:t>dices and the tagging data for R</w:t>
      </w:r>
      <w:r w:rsidRPr="009C2ADD">
        <w:rPr>
          <w:rFonts w:ascii="Times New Roman" w:eastAsia="MS Mincho" w:hAnsi="Times New Roman"/>
          <w:lang w:val="en-AU"/>
        </w:rPr>
        <w:t xml:space="preserve">egion 8 were </w:t>
      </w:r>
      <w:r w:rsidR="00FC04FA" w:rsidRPr="009C2ADD">
        <w:rPr>
          <w:rFonts w:ascii="Times New Roman" w:eastAsia="MS Mincho" w:hAnsi="Times New Roman"/>
          <w:lang w:val="en-AU"/>
        </w:rPr>
        <w:t xml:space="preserve">worthy of note. Also, biological studies to improve our estimates of growth of yellowfin within the WCPO, for instance through direct ageing of otoliths as was done in bigeye, </w:t>
      </w:r>
      <w:r w:rsidR="007E3AEA" w:rsidRPr="009C2ADD">
        <w:rPr>
          <w:rFonts w:ascii="Times New Roman" w:eastAsia="MS Mincho" w:hAnsi="Times New Roman"/>
          <w:lang w:val="en-AU"/>
        </w:rPr>
        <w:t>was</w:t>
      </w:r>
      <w:r w:rsidR="00FC04FA" w:rsidRPr="009C2ADD">
        <w:rPr>
          <w:rFonts w:ascii="Times New Roman" w:eastAsia="MS Mincho" w:hAnsi="Times New Roman"/>
          <w:lang w:val="en-AU"/>
        </w:rPr>
        <w:t xml:space="preserve"> considered a high priority.</w:t>
      </w:r>
    </w:p>
    <w:p w14:paraId="3AE1DC02" w14:textId="77777777" w:rsidR="00106A40" w:rsidRDefault="00106A40" w:rsidP="0070772D">
      <w:pPr>
        <w:adjustRightInd w:val="0"/>
        <w:snapToGrid w:val="0"/>
        <w:spacing w:after="0"/>
        <w:rPr>
          <w:rFonts w:ascii="Times New Roman" w:hAnsi="Times New Roman"/>
          <w:lang w:val="en-AU" w:eastAsia="ko-KR"/>
        </w:rPr>
      </w:pPr>
    </w:p>
    <w:p w14:paraId="12003FA1" w14:textId="3F0F251F" w:rsidR="00CE7ACF" w:rsidRPr="0070772D" w:rsidRDefault="00CE7ACF" w:rsidP="0070772D">
      <w:pPr>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2E95ACB3" w14:textId="77777777" w:rsidR="00CE7ACF" w:rsidRPr="0070772D" w:rsidRDefault="00CE7ACF" w:rsidP="0070772D">
      <w:pPr>
        <w:adjustRightInd w:val="0"/>
        <w:snapToGrid w:val="0"/>
        <w:spacing w:after="0"/>
        <w:rPr>
          <w:rFonts w:ascii="Times New Roman" w:hAnsi="Times New Roman"/>
          <w:lang w:val="en-AU" w:eastAsia="ko-KR"/>
        </w:rPr>
      </w:pPr>
    </w:p>
    <w:p w14:paraId="010E6D73" w14:textId="3E9B7108"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commented that there was still a dome-shaped selectivity for yellowfin, seen in past assessments for bigeye tuna. A</w:t>
      </w:r>
      <w:r w:rsidR="009C216F" w:rsidRPr="009C2ADD">
        <w:rPr>
          <w:rFonts w:ascii="Times New Roman" w:hAnsi="Times New Roman"/>
          <w:lang w:val="en-AU"/>
        </w:rPr>
        <w:t>s the new bigeye growth data had</w:t>
      </w:r>
      <w:r w:rsidRPr="009C2ADD">
        <w:rPr>
          <w:rFonts w:ascii="Times New Roman" w:hAnsi="Times New Roman"/>
          <w:lang w:val="en-AU"/>
        </w:rPr>
        <w:t xml:space="preserve"> changed this pattern to a more plausible selectivity, this </w:t>
      </w:r>
      <w:r w:rsidR="004362E6">
        <w:rPr>
          <w:rFonts w:ascii="Times New Roman" w:hAnsi="Times New Roman" w:hint="eastAsia"/>
          <w:lang w:val="en-AU" w:eastAsia="ko-KR"/>
        </w:rPr>
        <w:t>improvement provides</w:t>
      </w:r>
      <w:r w:rsidR="004362E6" w:rsidRPr="009C2ADD">
        <w:rPr>
          <w:rFonts w:ascii="Times New Roman" w:hAnsi="Times New Roman"/>
          <w:lang w:val="en-AU"/>
        </w:rPr>
        <w:t xml:space="preserve"> </w:t>
      </w:r>
      <w:r w:rsidRPr="009C2ADD">
        <w:rPr>
          <w:rFonts w:ascii="Times New Roman" w:hAnsi="Times New Roman"/>
          <w:lang w:val="en-AU"/>
        </w:rPr>
        <w:t xml:space="preserve">support </w:t>
      </w:r>
      <w:r w:rsidR="004362E6">
        <w:rPr>
          <w:rFonts w:ascii="Times New Roman" w:hAnsi="Times New Roman" w:hint="eastAsia"/>
          <w:lang w:val="en-AU" w:eastAsia="ko-KR"/>
        </w:rPr>
        <w:t xml:space="preserve">for </w:t>
      </w:r>
      <w:r w:rsidRPr="009C2ADD">
        <w:rPr>
          <w:rFonts w:ascii="Times New Roman" w:hAnsi="Times New Roman"/>
          <w:lang w:val="en-AU"/>
        </w:rPr>
        <w:t xml:space="preserve">further growth work on yellowfin. The SPC noted that the data sets for growth data were much better for yellowfin than bigeye, although it could be worth conducting further growth studies for yellowfin given much of </w:t>
      </w:r>
      <w:r w:rsidR="004362E6">
        <w:rPr>
          <w:rFonts w:ascii="Times New Roman" w:hAnsi="Times New Roman" w:hint="eastAsia"/>
          <w:lang w:val="en-AU" w:eastAsia="ko-KR"/>
        </w:rPr>
        <w:t>these</w:t>
      </w:r>
      <w:r w:rsidR="004362E6" w:rsidRPr="009C2ADD">
        <w:rPr>
          <w:rFonts w:ascii="Times New Roman" w:hAnsi="Times New Roman"/>
          <w:lang w:val="en-AU"/>
        </w:rPr>
        <w:t xml:space="preserve"> </w:t>
      </w:r>
      <w:r w:rsidRPr="009C2ADD">
        <w:rPr>
          <w:rFonts w:ascii="Times New Roman" w:hAnsi="Times New Roman"/>
          <w:lang w:val="en-AU"/>
        </w:rPr>
        <w:t>data come from studies dating from the 1990s.</w:t>
      </w:r>
    </w:p>
    <w:p w14:paraId="05C211BF"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218979B8" w14:textId="59814CBC"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questioned the potential reason for differences in the impact of changes to regional structure between yellowfin and bigeye.  The SPC suggested that the explanation was likely to be similar to that for bigeye tuna, where changes t</w:t>
      </w:r>
      <w:r w:rsidR="009C216F" w:rsidRPr="009C2ADD">
        <w:rPr>
          <w:rFonts w:ascii="Times New Roman" w:hAnsi="Times New Roman"/>
          <w:lang w:val="en-AU"/>
        </w:rPr>
        <w:t>o the regional structure resulted</w:t>
      </w:r>
      <w:r w:rsidRPr="009C2ADD">
        <w:rPr>
          <w:rFonts w:ascii="Times New Roman" w:hAnsi="Times New Roman"/>
          <w:lang w:val="en-AU"/>
        </w:rPr>
        <w:t xml:space="preserve"> </w:t>
      </w:r>
      <w:r w:rsidR="009C216F" w:rsidRPr="009C2ADD">
        <w:rPr>
          <w:rFonts w:ascii="Times New Roman" w:hAnsi="Times New Roman"/>
          <w:lang w:val="en-AU"/>
        </w:rPr>
        <w:t>in</w:t>
      </w:r>
      <w:r w:rsidRPr="009C2ADD">
        <w:rPr>
          <w:rFonts w:ascii="Times New Roman" w:hAnsi="Times New Roman"/>
          <w:lang w:val="en-AU"/>
        </w:rPr>
        <w:t xml:space="preserve"> a shift o</w:t>
      </w:r>
      <w:r w:rsidR="009C216F" w:rsidRPr="009C2ADD">
        <w:rPr>
          <w:rFonts w:ascii="Times New Roman" w:hAnsi="Times New Roman"/>
          <w:lang w:val="en-AU"/>
        </w:rPr>
        <w:t xml:space="preserve">f the spawning potential toward regions with </w:t>
      </w:r>
      <w:r w:rsidRPr="009C2ADD">
        <w:rPr>
          <w:rFonts w:ascii="Times New Roman" w:hAnsi="Times New Roman"/>
          <w:lang w:val="en-AU"/>
        </w:rPr>
        <w:t xml:space="preserve">a lower depletion </w:t>
      </w:r>
      <w:r w:rsidR="0034646F" w:rsidRPr="009C2ADD">
        <w:rPr>
          <w:rFonts w:ascii="Times New Roman" w:hAnsi="Times New Roman"/>
          <w:lang w:val="en-AU"/>
        </w:rPr>
        <w:t>due to fishing (assessment for R</w:t>
      </w:r>
      <w:r w:rsidRPr="009C2ADD">
        <w:rPr>
          <w:rFonts w:ascii="Times New Roman" w:hAnsi="Times New Roman"/>
          <w:lang w:val="en-AU"/>
        </w:rPr>
        <w:t>egion</w:t>
      </w:r>
      <w:r w:rsidR="009C216F" w:rsidRPr="009C2ADD">
        <w:rPr>
          <w:rFonts w:ascii="Times New Roman" w:hAnsi="Times New Roman"/>
          <w:lang w:val="en-AU"/>
        </w:rPr>
        <w:t>s 1 and 2). The impact of this wa</w:t>
      </w:r>
      <w:r w:rsidRPr="009C2ADD">
        <w:rPr>
          <w:rFonts w:ascii="Times New Roman" w:hAnsi="Times New Roman"/>
          <w:lang w:val="en-AU"/>
        </w:rPr>
        <w:t xml:space="preserve">s likely to be </w:t>
      </w:r>
      <w:r w:rsidR="002C72D6" w:rsidRPr="009C2ADD">
        <w:rPr>
          <w:rFonts w:ascii="Times New Roman" w:hAnsi="Times New Roman"/>
          <w:lang w:val="en-AU"/>
        </w:rPr>
        <w:t xml:space="preserve">lower </w:t>
      </w:r>
      <w:r w:rsidR="002C72D6">
        <w:rPr>
          <w:rFonts w:ascii="Times New Roman" w:hAnsi="Times New Roman"/>
          <w:lang w:val="en-AU"/>
        </w:rPr>
        <w:t xml:space="preserve">for yellowfin </w:t>
      </w:r>
      <w:r w:rsidR="002C72D6" w:rsidRPr="009C2ADD">
        <w:rPr>
          <w:rFonts w:ascii="Times New Roman" w:hAnsi="Times New Roman"/>
          <w:lang w:val="en-AU"/>
        </w:rPr>
        <w:t xml:space="preserve">than for bigeye </w:t>
      </w:r>
      <w:r w:rsidR="002C72D6">
        <w:rPr>
          <w:rFonts w:ascii="Times New Roman" w:hAnsi="Times New Roman"/>
          <w:lang w:val="en-AU"/>
        </w:rPr>
        <w:t>because bigeye was</w:t>
      </w:r>
      <w:r w:rsidR="002C72D6" w:rsidRPr="009C2ADD">
        <w:rPr>
          <w:rFonts w:ascii="Times New Roman" w:hAnsi="Times New Roman"/>
          <w:lang w:val="en-AU"/>
        </w:rPr>
        <w:t xml:space="preserve"> more depleted in tropical regions than yellowfin</w:t>
      </w:r>
      <w:r w:rsidRPr="009C2ADD">
        <w:rPr>
          <w:rFonts w:ascii="Times New Roman" w:hAnsi="Times New Roman"/>
          <w:lang w:val="en-AU"/>
        </w:rPr>
        <w:t>.</w:t>
      </w:r>
    </w:p>
    <w:p w14:paraId="1512A0ED"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320F5060" w14:textId="0CA94E08"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questioned the impact of retrospective analysis on the regional structure. SPC noted that these differences could be due to changes in both catch and CPUE trends </w:t>
      </w:r>
      <w:r w:rsidR="009C216F" w:rsidRPr="009C2ADD">
        <w:rPr>
          <w:rFonts w:ascii="Times New Roman" w:hAnsi="Times New Roman"/>
          <w:lang w:val="en-AU"/>
        </w:rPr>
        <w:t xml:space="preserve">since </w:t>
      </w:r>
      <w:r w:rsidRPr="009C2ADD">
        <w:rPr>
          <w:rFonts w:ascii="Times New Roman" w:hAnsi="Times New Roman"/>
          <w:lang w:val="en-AU"/>
        </w:rPr>
        <w:t xml:space="preserve">2012. Up to 2012, catches declined along with CPUE, but </w:t>
      </w:r>
      <w:r w:rsidR="009C216F" w:rsidRPr="009C2ADD">
        <w:rPr>
          <w:rFonts w:ascii="Times New Roman" w:hAnsi="Times New Roman"/>
          <w:lang w:val="en-AU"/>
        </w:rPr>
        <w:t xml:space="preserve">had </w:t>
      </w:r>
      <w:r w:rsidRPr="009C2ADD">
        <w:rPr>
          <w:rFonts w:ascii="Times New Roman" w:hAnsi="Times New Roman"/>
          <w:lang w:val="en-AU"/>
        </w:rPr>
        <w:t>since then increased. Adding three extra years</w:t>
      </w:r>
      <w:r w:rsidR="009C216F" w:rsidRPr="009C2ADD">
        <w:rPr>
          <w:rFonts w:ascii="Times New Roman" w:hAnsi="Times New Roman"/>
          <w:lang w:val="en-AU"/>
        </w:rPr>
        <w:t xml:space="preserve"> of higher catch and CPUE w</w:t>
      </w:r>
      <w:r w:rsidRPr="009C2ADD">
        <w:rPr>
          <w:rFonts w:ascii="Times New Roman" w:hAnsi="Times New Roman"/>
          <w:lang w:val="en-AU"/>
        </w:rPr>
        <w:t>ould thus account for these patterns in the retrospective analysis. China acknowledged that the scale of this poten</w:t>
      </w:r>
      <w:r w:rsidR="009C216F" w:rsidRPr="009C2ADD">
        <w:rPr>
          <w:rFonts w:ascii="Times New Roman" w:hAnsi="Times New Roman"/>
          <w:lang w:val="en-AU"/>
        </w:rPr>
        <w:t>tial error wa</w:t>
      </w:r>
      <w:r w:rsidRPr="009C2ADD">
        <w:rPr>
          <w:rFonts w:ascii="Times New Roman" w:hAnsi="Times New Roman"/>
          <w:lang w:val="en-AU"/>
        </w:rPr>
        <w:t xml:space="preserve">s smaller in </w:t>
      </w:r>
      <w:r w:rsidR="00977B42">
        <w:rPr>
          <w:rFonts w:ascii="Times New Roman" w:hAnsi="Times New Roman"/>
          <w:lang w:val="en-AU"/>
        </w:rPr>
        <w:t>yellowfin tuna</w:t>
      </w:r>
      <w:r w:rsidRPr="009C2ADD">
        <w:rPr>
          <w:rFonts w:ascii="Times New Roman" w:hAnsi="Times New Roman"/>
          <w:lang w:val="en-AU"/>
        </w:rPr>
        <w:t xml:space="preserve"> compared to other tuna species. </w:t>
      </w:r>
    </w:p>
    <w:p w14:paraId="52F49885"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108B51A0"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asked whether recruitment could have been underestimated given the fit of the stock recruitment relationship. SPC noted</w:t>
      </w:r>
      <w:r w:rsidR="009C216F" w:rsidRPr="009C2ADD">
        <w:rPr>
          <w:rFonts w:ascii="Times New Roman" w:hAnsi="Times New Roman"/>
          <w:lang w:val="en-AU"/>
        </w:rPr>
        <w:t xml:space="preserve"> there was high confidence (as wa</w:t>
      </w:r>
      <w:r w:rsidRPr="009C2ADD">
        <w:rPr>
          <w:rFonts w:ascii="Times New Roman" w:hAnsi="Times New Roman"/>
          <w:lang w:val="en-AU"/>
        </w:rPr>
        <w:t>s reasonably possible</w:t>
      </w:r>
      <w:r w:rsidR="009C216F" w:rsidRPr="009C2ADD">
        <w:rPr>
          <w:rFonts w:ascii="Times New Roman" w:hAnsi="Times New Roman"/>
          <w:lang w:val="en-AU"/>
        </w:rPr>
        <w:t>)</w:t>
      </w:r>
      <w:r w:rsidRPr="009C2ADD">
        <w:rPr>
          <w:rFonts w:ascii="Times New Roman" w:hAnsi="Times New Roman"/>
          <w:lang w:val="en-AU"/>
        </w:rPr>
        <w:t xml:space="preserve"> in supporting the proposed stock recruitment relationship in the model. China expressed concern that this potentially conservative relationship could impact future projections. SPC not</w:t>
      </w:r>
      <w:r w:rsidR="009C216F" w:rsidRPr="009C2ADD">
        <w:rPr>
          <w:rFonts w:ascii="Times New Roman" w:hAnsi="Times New Roman"/>
          <w:lang w:val="en-AU"/>
        </w:rPr>
        <w:t xml:space="preserve">ed </w:t>
      </w:r>
      <w:r w:rsidR="007E3AEA" w:rsidRPr="009C2ADD">
        <w:rPr>
          <w:rFonts w:ascii="Times New Roman" w:hAnsi="Times New Roman"/>
          <w:lang w:val="en-AU"/>
        </w:rPr>
        <w:t>that future projections did not</w:t>
      </w:r>
      <w:r w:rsidRPr="009C2ADD">
        <w:rPr>
          <w:rFonts w:ascii="Times New Roman" w:hAnsi="Times New Roman"/>
          <w:lang w:val="en-AU"/>
        </w:rPr>
        <w:t xml:space="preserve"> draw on early historical recruitment for stochastic proj</w:t>
      </w:r>
      <w:r w:rsidR="009C216F" w:rsidRPr="009C2ADD">
        <w:rPr>
          <w:rFonts w:ascii="Times New Roman" w:hAnsi="Times New Roman"/>
          <w:lang w:val="en-AU"/>
        </w:rPr>
        <w:t>ections as they we</w:t>
      </w:r>
      <w:r w:rsidRPr="009C2ADD">
        <w:rPr>
          <w:rFonts w:ascii="Times New Roman" w:hAnsi="Times New Roman"/>
          <w:lang w:val="en-AU"/>
        </w:rPr>
        <w:t>re considered to be highly uncertain.</w:t>
      </w:r>
    </w:p>
    <w:p w14:paraId="7185E4F5"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4BC721AE"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commented that there was no inclusion of CPUE as an axis in the structural uncertainty grid, and suggested that CPUE could be included as an axis of uncertainty in the future given it is </w:t>
      </w:r>
      <w:r w:rsidR="009C216F" w:rsidRPr="009C2ADD">
        <w:rPr>
          <w:rFonts w:ascii="Times New Roman" w:hAnsi="Times New Roman"/>
          <w:lang w:val="en-AU"/>
        </w:rPr>
        <w:t xml:space="preserve">a </w:t>
      </w:r>
      <w:r w:rsidRPr="009C2ADD">
        <w:rPr>
          <w:rFonts w:ascii="Times New Roman" w:hAnsi="Times New Roman"/>
          <w:lang w:val="en-AU"/>
        </w:rPr>
        <w:t xml:space="preserve">critical factor in the assessment. SPC acknowledged that this would be beneficial but that one axis may </w:t>
      </w:r>
      <w:r w:rsidR="009C216F" w:rsidRPr="009C2ADD">
        <w:rPr>
          <w:rFonts w:ascii="Times New Roman" w:hAnsi="Times New Roman"/>
          <w:lang w:val="en-AU"/>
        </w:rPr>
        <w:t xml:space="preserve">then </w:t>
      </w:r>
      <w:r w:rsidRPr="009C2ADD">
        <w:rPr>
          <w:rFonts w:ascii="Times New Roman" w:hAnsi="Times New Roman"/>
          <w:lang w:val="en-AU"/>
        </w:rPr>
        <w:t xml:space="preserve">need to be removed to enable the inclusion of CPUE. Australia suggested that </w:t>
      </w:r>
      <w:r w:rsidR="009C216F" w:rsidRPr="009C2ADD">
        <w:rPr>
          <w:rFonts w:ascii="Times New Roman" w:hAnsi="Times New Roman"/>
          <w:lang w:val="en-AU"/>
        </w:rPr>
        <w:t xml:space="preserve">the </w:t>
      </w:r>
      <w:r w:rsidRPr="009C2ADD">
        <w:rPr>
          <w:rFonts w:ascii="Times New Roman" w:hAnsi="Times New Roman"/>
          <w:lang w:val="en-AU"/>
        </w:rPr>
        <w:t xml:space="preserve">region structure axis could be removed, if the SC13 accepted the proposal to use the 2017 region structure in the assessment. </w:t>
      </w:r>
    </w:p>
    <w:p w14:paraId="74C241FF"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3163FB66"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reiterated its concern around the efficacy of estimation of range of recruitment given that the earlier estimates were not included, and asked how spawning potential was calculated. SPC noted that recruitment relationship included in the model was based on quarterly estimates, which included greater variability. There were also estimates of auto-correlation included in the time-series for stochastic projections. </w:t>
      </w:r>
    </w:p>
    <w:p w14:paraId="2D47C587"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63B0387E" w14:textId="77777777"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noted that using the structural uncertainty grid to generate reference points and management advice was a new approach, and that it required further deliberation by the SC.</w:t>
      </w:r>
    </w:p>
    <w:p w14:paraId="61E79870"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7A741BB4" w14:textId="2462D129" w:rsidR="00FC04FA" w:rsidRPr="009C2ADD" w:rsidRDefault="00FC04F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 </w:t>
      </w:r>
      <w:r w:rsidR="00702F5B" w:rsidRPr="009C2ADD">
        <w:rPr>
          <w:rFonts w:ascii="Times New Roman" w:hAnsi="Times New Roman"/>
          <w:lang w:val="en-AU"/>
        </w:rPr>
        <w:t xml:space="preserve">Australia </w:t>
      </w:r>
      <w:r w:rsidR="00702F5B">
        <w:rPr>
          <w:rFonts w:ascii="Times New Roman" w:hAnsi="Times New Roman"/>
          <w:lang w:val="en-AU"/>
        </w:rPr>
        <w:t xml:space="preserve">made a series of proposals for the framing of advice from the stock assessment using the uncertainty grid, with applicability to fully integrated assessments such as for yellowfin, bigeye and swordfish. First, that </w:t>
      </w:r>
      <w:r w:rsidR="00702F5B" w:rsidRPr="009C2ADD">
        <w:rPr>
          <w:rFonts w:ascii="Times New Roman" w:hAnsi="Times New Roman"/>
          <w:lang w:val="en-AU"/>
        </w:rPr>
        <w:t>the</w:t>
      </w:r>
      <w:r w:rsidR="00702F5B">
        <w:rPr>
          <w:rFonts w:ascii="Times New Roman" w:hAnsi="Times New Roman"/>
          <w:lang w:val="en-AU"/>
        </w:rPr>
        <w:t xml:space="preserve"> grid should</w:t>
      </w:r>
      <w:r w:rsidR="00702F5B" w:rsidRPr="009C2ADD">
        <w:rPr>
          <w:rFonts w:ascii="Times New Roman" w:hAnsi="Times New Roman"/>
          <w:lang w:val="en-AU"/>
        </w:rPr>
        <w:t xml:space="preserve"> </w:t>
      </w:r>
      <w:r w:rsidR="00702F5B">
        <w:rPr>
          <w:rFonts w:ascii="Times New Roman" w:hAnsi="Times New Roman"/>
          <w:lang w:val="en-AU"/>
        </w:rPr>
        <w:t>comprise model</w:t>
      </w:r>
      <w:r w:rsidR="00702F5B" w:rsidRPr="009C2ADD">
        <w:rPr>
          <w:rFonts w:ascii="Times New Roman" w:hAnsi="Times New Roman"/>
          <w:lang w:val="en-AU"/>
        </w:rPr>
        <w:t xml:space="preserve"> runs</w:t>
      </w:r>
      <w:r w:rsidR="00702F5B">
        <w:rPr>
          <w:rFonts w:ascii="Times New Roman" w:hAnsi="Times New Roman"/>
          <w:lang w:val="en-AU"/>
        </w:rPr>
        <w:t xml:space="preserve"> that are reasonably of equally plausibility. Where some sets of runs are less plausible then the grid should be weighted (noting the precedent for this with the SC agreeing weighting for projections). </w:t>
      </w:r>
      <w:r w:rsidR="00702F5B" w:rsidRPr="009C2ADD">
        <w:rPr>
          <w:rFonts w:ascii="Times New Roman" w:hAnsi="Times New Roman"/>
          <w:lang w:val="en-AU"/>
        </w:rPr>
        <w:t>.  Australia</w:t>
      </w:r>
      <w:r w:rsidR="00702F5B" w:rsidRPr="006A05E3">
        <w:rPr>
          <w:rFonts w:ascii="Times New Roman" w:hAnsi="Times New Roman"/>
          <w:lang w:val="en-AU"/>
        </w:rPr>
        <w:t xml:space="preserve"> </w:t>
      </w:r>
      <w:r w:rsidR="00702F5B">
        <w:rPr>
          <w:rFonts w:ascii="Times New Roman" w:hAnsi="Times New Roman"/>
          <w:lang w:val="en-AU"/>
        </w:rPr>
        <w:t xml:space="preserve">proposed using the median of the </w:t>
      </w:r>
      <w:r w:rsidR="00702F5B" w:rsidRPr="009C2ADD">
        <w:rPr>
          <w:rFonts w:ascii="Times New Roman" w:hAnsi="Times New Roman"/>
          <w:lang w:val="en-AU"/>
        </w:rPr>
        <w:t>median of the grid to represent stock status</w:t>
      </w:r>
      <w:r w:rsidR="00702F5B">
        <w:rPr>
          <w:rFonts w:ascii="Times New Roman" w:hAnsi="Times New Roman"/>
          <w:lang w:val="en-AU"/>
        </w:rPr>
        <w:t xml:space="preserve"> and </w:t>
      </w:r>
      <w:r w:rsidR="00702F5B" w:rsidRPr="009C2ADD">
        <w:rPr>
          <w:rFonts w:ascii="Times New Roman" w:hAnsi="Times New Roman"/>
          <w:lang w:val="en-AU"/>
        </w:rPr>
        <w:t>suggested characterizing uncertainty in two ways</w:t>
      </w:r>
      <w:r w:rsidRPr="009C2ADD">
        <w:rPr>
          <w:rFonts w:ascii="Times New Roman" w:hAnsi="Times New Roman"/>
          <w:lang w:val="en-AU"/>
        </w:rPr>
        <w:t>:</w:t>
      </w:r>
    </w:p>
    <w:p w14:paraId="5357B1BD" w14:textId="5ADE263D" w:rsidR="00FC04FA" w:rsidRPr="009C2ADD" w:rsidRDefault="00FC04FA" w:rsidP="009C2ADD">
      <w:pPr>
        <w:pStyle w:val="WCPFC"/>
        <w:numPr>
          <w:ilvl w:val="0"/>
          <w:numId w:val="50"/>
        </w:numPr>
        <w:adjustRightInd w:val="0"/>
        <w:spacing w:after="0"/>
        <w:rPr>
          <w:lang w:val="en-AU"/>
        </w:rPr>
      </w:pPr>
      <w:r w:rsidRPr="009C2ADD">
        <w:rPr>
          <w:lang w:val="en-AU"/>
        </w:rPr>
        <w:t>Through the structural uncertainty grid, including the 5</w:t>
      </w:r>
      <w:r w:rsidRPr="009C2ADD">
        <w:rPr>
          <w:vertAlign w:val="superscript"/>
          <w:lang w:val="en-AU"/>
        </w:rPr>
        <w:t>th</w:t>
      </w:r>
      <w:r w:rsidRPr="009C2ADD">
        <w:rPr>
          <w:lang w:val="en-AU"/>
        </w:rPr>
        <w:t xml:space="preserve"> and 95</w:t>
      </w:r>
      <w:r w:rsidRPr="009C2ADD">
        <w:rPr>
          <w:vertAlign w:val="superscript"/>
          <w:lang w:val="en-AU"/>
        </w:rPr>
        <w:t>th</w:t>
      </w:r>
      <w:r w:rsidRPr="009C2ADD">
        <w:rPr>
          <w:lang w:val="en-AU"/>
        </w:rPr>
        <w:t xml:space="preserve"> percentiles, and </w:t>
      </w:r>
    </w:p>
    <w:p w14:paraId="664A887C" w14:textId="090198DA" w:rsidR="00FC04FA" w:rsidRPr="009C2ADD" w:rsidRDefault="00FC04FA" w:rsidP="009C2ADD">
      <w:pPr>
        <w:pStyle w:val="WCPFC"/>
        <w:numPr>
          <w:ilvl w:val="0"/>
          <w:numId w:val="50"/>
        </w:numPr>
        <w:adjustRightInd w:val="0"/>
        <w:spacing w:after="0"/>
        <w:rPr>
          <w:lang w:val="en-AU"/>
        </w:rPr>
      </w:pPr>
      <w:r w:rsidRPr="009C2ADD">
        <w:rPr>
          <w:lang w:val="en-AU"/>
        </w:rPr>
        <w:t>If necessary, refer</w:t>
      </w:r>
      <w:r w:rsidR="007E3AEA" w:rsidRPr="009C2ADD">
        <w:rPr>
          <w:lang w:val="en-AU"/>
        </w:rPr>
        <w:t>ence</w:t>
      </w:r>
      <w:r w:rsidRPr="009C2ADD">
        <w:rPr>
          <w:lang w:val="en-AU"/>
        </w:rPr>
        <w:t xml:space="preserve"> to one-off sensit</w:t>
      </w:r>
      <w:r w:rsidR="009C216F" w:rsidRPr="009C2ADD">
        <w:rPr>
          <w:lang w:val="en-AU"/>
        </w:rPr>
        <w:t xml:space="preserve">ivity runs outside of the grid, including </w:t>
      </w:r>
      <w:r w:rsidRPr="009C2ADD">
        <w:rPr>
          <w:lang w:val="en-AU"/>
        </w:rPr>
        <w:t xml:space="preserve">very influential changes to the model (such as for </w:t>
      </w:r>
      <w:r w:rsidR="00977B42">
        <w:rPr>
          <w:lang w:val="en-AU"/>
        </w:rPr>
        <w:t>bigeye tuna</w:t>
      </w:r>
      <w:r w:rsidR="009C216F" w:rsidRPr="009C2ADD">
        <w:rPr>
          <w:lang w:val="en-AU"/>
        </w:rPr>
        <w:t xml:space="preserve"> growth), or where the model wa</w:t>
      </w:r>
      <w:r w:rsidRPr="009C2ADD">
        <w:rPr>
          <w:lang w:val="en-AU"/>
        </w:rPr>
        <w:t>s highly sensitive.</w:t>
      </w:r>
    </w:p>
    <w:p w14:paraId="6D7F47E8" w14:textId="77777777" w:rsidR="00106A40" w:rsidRPr="009C2ADD" w:rsidRDefault="00106A40" w:rsidP="009C2ADD">
      <w:pPr>
        <w:pStyle w:val="WCPFC"/>
        <w:numPr>
          <w:ilvl w:val="0"/>
          <w:numId w:val="0"/>
        </w:numPr>
        <w:adjustRightInd w:val="0"/>
        <w:spacing w:after="0"/>
        <w:ind w:left="1080"/>
        <w:rPr>
          <w:lang w:val="en-AU"/>
        </w:rPr>
      </w:pPr>
    </w:p>
    <w:p w14:paraId="5462DB4E" w14:textId="77777777" w:rsidR="00921857" w:rsidRPr="009C2ADD" w:rsidRDefault="00921857" w:rsidP="009C2ADD">
      <w:pPr>
        <w:pStyle w:val="WCPFC"/>
        <w:adjustRightInd w:val="0"/>
        <w:spacing w:after="0"/>
      </w:pPr>
      <w:r w:rsidRPr="009C2ADD">
        <w:t>Australia also noted the need to choose the key biomass depletion and fishing mortality management quantities, and suggested that it would be preferable to have just one of each to avoid confusion. Australia proposed the following key measures for fisheries status:</w:t>
      </w:r>
    </w:p>
    <w:p w14:paraId="6F842C81" w14:textId="24578153" w:rsidR="00921857" w:rsidRPr="009C2ADD" w:rsidRDefault="00FF6DFD" w:rsidP="009C2ADD">
      <w:pPr>
        <w:pStyle w:val="WCPFC"/>
        <w:numPr>
          <w:ilvl w:val="0"/>
          <w:numId w:val="51"/>
        </w:numPr>
        <w:adjustRightInd w:val="0"/>
        <w:spacing w:after="0"/>
        <w:rPr>
          <w:lang w:val="en-AU"/>
        </w:rPr>
      </w:pPr>
      <w:r w:rsidRPr="009C2ADD">
        <w:rPr>
          <w:lang w:val="en-AU"/>
        </w:rPr>
        <w:t>Biomass</w:t>
      </w:r>
      <w:r w:rsidR="00AE7FF7" w:rsidRPr="009C2ADD">
        <w:rPr>
          <w:lang w:val="en-AU" w:eastAsia="ko-KR"/>
        </w:rPr>
        <w:t>:</w:t>
      </w:r>
      <w:r w:rsidRPr="009C2ADD">
        <w:rPr>
          <w:lang w:val="en-AU"/>
        </w:rPr>
        <w:t xml:space="preserve"> </w:t>
      </w:r>
      <w:r w:rsidR="00921857" w:rsidRPr="009C2ADD">
        <w:rPr>
          <w:lang w:val="en-AU"/>
        </w:rPr>
        <w:t>SB</w:t>
      </w:r>
      <w:r w:rsidR="00921857" w:rsidRPr="0070772D">
        <w:rPr>
          <w:vertAlign w:val="subscript"/>
          <w:lang w:val="en-AU"/>
        </w:rPr>
        <w:t>recent</w:t>
      </w:r>
      <w:r w:rsidR="00921857" w:rsidRPr="009C2ADD">
        <w:rPr>
          <w:lang w:val="en-AU"/>
        </w:rPr>
        <w:t>/SB</w:t>
      </w:r>
      <w:r w:rsidR="00921857" w:rsidRPr="0070772D">
        <w:rPr>
          <w:vertAlign w:val="subscript"/>
          <w:lang w:val="en-AU"/>
        </w:rPr>
        <w:t>F=0</w:t>
      </w:r>
      <w:r w:rsidR="00702F5B">
        <w:rPr>
          <w:rFonts w:hint="eastAsia"/>
          <w:lang w:val="en-AU" w:eastAsia="ko-KR"/>
        </w:rPr>
        <w:t xml:space="preserve"> </w:t>
      </w:r>
      <w:r w:rsidR="00702F5B">
        <w:rPr>
          <w:lang w:val="en-AU"/>
        </w:rPr>
        <w:t xml:space="preserve">(a change from the previous practice of using </w:t>
      </w:r>
      <w:r w:rsidR="00702F5B" w:rsidRPr="009C2ADD">
        <w:rPr>
          <w:lang w:val="en-AU"/>
        </w:rPr>
        <w:t>SB</w:t>
      </w:r>
      <w:r w:rsidR="00702F5B" w:rsidRPr="0070772D">
        <w:rPr>
          <w:vertAlign w:val="subscript"/>
          <w:lang w:val="en-AU"/>
        </w:rPr>
        <w:t>latest</w:t>
      </w:r>
      <w:r w:rsidR="00702F5B" w:rsidRPr="009C2ADD">
        <w:rPr>
          <w:lang w:val="en-AU"/>
        </w:rPr>
        <w:t>/SB</w:t>
      </w:r>
      <w:r w:rsidR="00702F5B" w:rsidRPr="0070772D">
        <w:rPr>
          <w:vertAlign w:val="subscript"/>
          <w:lang w:val="en-AU"/>
        </w:rPr>
        <w:t>F=0</w:t>
      </w:r>
      <w:r w:rsidR="00702F5B">
        <w:rPr>
          <w:lang w:val="en-AU"/>
        </w:rPr>
        <w:t>)</w:t>
      </w:r>
      <w:r w:rsidR="00702F5B">
        <w:rPr>
          <w:rFonts w:hint="eastAsia"/>
          <w:lang w:val="en-AU" w:eastAsia="ko-KR"/>
        </w:rPr>
        <w:t>.</w:t>
      </w:r>
    </w:p>
    <w:p w14:paraId="3CAC43A7" w14:textId="330ABE71" w:rsidR="00921857" w:rsidRPr="009C2ADD" w:rsidRDefault="00FF6DFD" w:rsidP="009C2ADD">
      <w:pPr>
        <w:pStyle w:val="WCPFC"/>
        <w:numPr>
          <w:ilvl w:val="0"/>
          <w:numId w:val="51"/>
        </w:numPr>
        <w:adjustRightInd w:val="0"/>
        <w:spacing w:after="0"/>
        <w:rPr>
          <w:lang w:val="en-AU"/>
        </w:rPr>
      </w:pPr>
      <w:r w:rsidRPr="009C2ADD">
        <w:rPr>
          <w:lang w:val="en-AU"/>
        </w:rPr>
        <w:t>Fishing mortality</w:t>
      </w:r>
      <w:r w:rsidR="00AE7FF7" w:rsidRPr="009C2ADD">
        <w:rPr>
          <w:lang w:val="en-AU" w:eastAsia="ko-KR"/>
        </w:rPr>
        <w:t>:</w:t>
      </w:r>
      <w:r w:rsidRPr="009C2ADD">
        <w:rPr>
          <w:lang w:val="en-AU"/>
        </w:rPr>
        <w:t xml:space="preserve"> </w:t>
      </w:r>
      <w:r w:rsidR="00D55481">
        <w:rPr>
          <w:rFonts w:hint="eastAsia"/>
          <w:lang w:val="en-AU" w:eastAsia="ko-KR"/>
        </w:rPr>
        <w:t>F</w:t>
      </w:r>
      <w:r w:rsidR="00D55481" w:rsidRPr="0070772D">
        <w:rPr>
          <w:vertAlign w:val="subscript"/>
          <w:lang w:val="en-AU"/>
        </w:rPr>
        <w:t>recent</w:t>
      </w:r>
      <w:r w:rsidR="00921857" w:rsidRPr="009C2ADD">
        <w:rPr>
          <w:lang w:val="en-AU"/>
        </w:rPr>
        <w:t>/F</w:t>
      </w:r>
      <w:r w:rsidR="00921857" w:rsidRPr="0070772D">
        <w:rPr>
          <w:vertAlign w:val="subscript"/>
          <w:lang w:val="en-AU"/>
        </w:rPr>
        <w:t>MSY</w:t>
      </w:r>
      <w:r w:rsidRPr="009C2ADD">
        <w:rPr>
          <w:lang w:val="en-AU"/>
        </w:rPr>
        <w:t xml:space="preserve"> </w:t>
      </w:r>
      <w:r w:rsidR="00921857" w:rsidRPr="009C2ADD">
        <w:rPr>
          <w:lang w:val="en-AU"/>
        </w:rPr>
        <w:t>(same us usual)</w:t>
      </w:r>
    </w:p>
    <w:p w14:paraId="3ADADA30" w14:textId="77777777" w:rsidR="00106A40" w:rsidRPr="009C2ADD" w:rsidRDefault="00106A40" w:rsidP="009C2ADD">
      <w:pPr>
        <w:pStyle w:val="WCPFC"/>
        <w:numPr>
          <w:ilvl w:val="0"/>
          <w:numId w:val="0"/>
        </w:numPr>
        <w:adjustRightInd w:val="0"/>
        <w:spacing w:after="0"/>
        <w:ind w:left="1080"/>
        <w:rPr>
          <w:lang w:val="en-AU"/>
        </w:rPr>
      </w:pPr>
    </w:p>
    <w:p w14:paraId="37AC41FF" w14:textId="7DFEE5BC" w:rsidR="00921857" w:rsidRPr="009C2ADD" w:rsidRDefault="003A0E0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acknowledged that </w:t>
      </w:r>
      <w:r>
        <w:rPr>
          <w:rFonts w:ascii="Times New Roman" w:hAnsi="Times New Roman"/>
          <w:lang w:val="en-AU"/>
        </w:rPr>
        <w:t>framing of advice from the stock assessment using the uncertainty grid</w:t>
      </w:r>
      <w:r w:rsidRPr="009C2ADD">
        <w:rPr>
          <w:rFonts w:ascii="Times New Roman" w:hAnsi="Times New Roman"/>
          <w:lang w:val="en-AU"/>
        </w:rPr>
        <w:t xml:space="preserve"> was a significant change, and that it had implications for the construction of Majuro plots and the definitions of the agreed LRPs and TRPs.</w:t>
      </w:r>
    </w:p>
    <w:p w14:paraId="599200EC"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666CB5CA" w14:textId="77777777" w:rsidR="00921857" w:rsidRPr="009C2ADD" w:rsidRDefault="00921857"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noted that the terminal year may have been left out due to greater uncertainty, and questioned the need to average dynamic biomass. </w:t>
      </w:r>
    </w:p>
    <w:p w14:paraId="78F13BDA"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738704A2" w14:textId="3E310336"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SPC noted that as there were no issues with uncertainty in the estimates of spawning biomass in the terminal year it could be included in the calculation of SB</w:t>
      </w:r>
      <w:r w:rsidRPr="0070772D">
        <w:rPr>
          <w:rFonts w:ascii="Times New Roman" w:hAnsi="Times New Roman"/>
          <w:vertAlign w:val="subscript"/>
          <w:lang w:val="en-AU"/>
        </w:rPr>
        <w:t>recent</w:t>
      </w:r>
      <w:r w:rsidRPr="009C2ADD">
        <w:rPr>
          <w:rFonts w:ascii="Times New Roman" w:hAnsi="Times New Roman"/>
          <w:lang w:val="en-AU"/>
        </w:rPr>
        <w:t xml:space="preserve">. </w:t>
      </w:r>
      <w:r w:rsidR="009C216F" w:rsidRPr="009C2ADD">
        <w:rPr>
          <w:rFonts w:ascii="Times New Roman" w:hAnsi="Times New Roman"/>
          <w:lang w:val="en-AU"/>
        </w:rPr>
        <w:t xml:space="preserve">They further noted that the </w:t>
      </w:r>
      <w:r w:rsidR="004362E6">
        <w:rPr>
          <w:rFonts w:ascii="Times New Roman" w:hAnsi="Times New Roman" w:hint="eastAsia"/>
          <w:lang w:val="en-AU" w:eastAsia="ko-KR"/>
        </w:rPr>
        <w:t xml:space="preserve">recent </w:t>
      </w:r>
      <w:r w:rsidR="009C216F" w:rsidRPr="009C2ADD">
        <w:rPr>
          <w:rFonts w:ascii="Times New Roman" w:hAnsi="Times New Roman"/>
          <w:lang w:val="en-AU"/>
        </w:rPr>
        <w:t>ten-</w:t>
      </w:r>
      <w:r w:rsidRPr="009C2ADD">
        <w:rPr>
          <w:rFonts w:ascii="Times New Roman" w:hAnsi="Times New Roman"/>
          <w:lang w:val="en-AU"/>
        </w:rPr>
        <w:t>year average for SB</w:t>
      </w:r>
      <w:r w:rsidRPr="0070772D">
        <w:rPr>
          <w:rFonts w:ascii="Times New Roman" w:hAnsi="Times New Roman"/>
          <w:vertAlign w:val="subscript"/>
          <w:lang w:val="en-AU"/>
        </w:rPr>
        <w:t>F=0</w:t>
      </w:r>
      <w:r w:rsidRPr="009C2ADD">
        <w:rPr>
          <w:rFonts w:ascii="Times New Roman" w:hAnsi="Times New Roman"/>
          <w:lang w:val="en-AU"/>
        </w:rPr>
        <w:t xml:space="preserve"> </w:t>
      </w:r>
      <w:r w:rsidR="004362E6">
        <w:rPr>
          <w:rFonts w:ascii="Times New Roman" w:hAnsi="Times New Roman"/>
          <w:lang w:val="en-AU"/>
        </w:rPr>
        <w:t>smoothed</w:t>
      </w:r>
      <w:r w:rsidR="004362E6" w:rsidRPr="009C2ADD">
        <w:rPr>
          <w:rFonts w:ascii="Times New Roman" w:hAnsi="Times New Roman"/>
          <w:lang w:val="en-AU"/>
        </w:rPr>
        <w:t xml:space="preserve"> out </w:t>
      </w:r>
      <w:r w:rsidR="004362E6">
        <w:rPr>
          <w:rFonts w:ascii="Times New Roman" w:hAnsi="Times New Roman"/>
          <w:lang w:val="en-AU"/>
        </w:rPr>
        <w:t>some of the impacts of</w:t>
      </w:r>
      <w:r w:rsidR="004362E6" w:rsidRPr="009C2ADD" w:rsidDel="004362E6">
        <w:rPr>
          <w:rFonts w:ascii="Times New Roman" w:hAnsi="Times New Roman"/>
          <w:lang w:val="en-AU"/>
        </w:rPr>
        <w:t xml:space="preserve"> </w:t>
      </w:r>
      <w:r w:rsidRPr="009C2ADD">
        <w:rPr>
          <w:rFonts w:ascii="Times New Roman" w:hAnsi="Times New Roman"/>
          <w:lang w:val="en-AU"/>
        </w:rPr>
        <w:t>environmental variation. However, this had unintended consequences in cases with hig</w:t>
      </w:r>
      <w:r w:rsidR="009C216F" w:rsidRPr="009C2ADD">
        <w:rPr>
          <w:rFonts w:ascii="Times New Roman" w:hAnsi="Times New Roman"/>
          <w:lang w:val="en-AU"/>
        </w:rPr>
        <w:t xml:space="preserve">h recruitment variability and </w:t>
      </w:r>
      <w:r w:rsidR="004362E6">
        <w:rPr>
          <w:rFonts w:ascii="Times New Roman" w:hAnsi="Times New Roman"/>
          <w:lang w:val="en-AU"/>
        </w:rPr>
        <w:t xml:space="preserve">the time period </w:t>
      </w:r>
      <w:r w:rsidRPr="009C2ADD">
        <w:rPr>
          <w:rFonts w:ascii="Times New Roman" w:hAnsi="Times New Roman"/>
          <w:lang w:val="en-AU"/>
        </w:rPr>
        <w:t>might be worth reconsidering.</w:t>
      </w:r>
    </w:p>
    <w:p w14:paraId="41A0D201"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1DC9BD87" w14:textId="0158350D"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PNG supported Australia's statement and made some further comments on behalf of all FFA members. </w:t>
      </w:r>
      <w:r w:rsidR="009C216F" w:rsidRPr="009C2ADD">
        <w:rPr>
          <w:rFonts w:ascii="Times New Roman" w:hAnsi="Times New Roman"/>
          <w:lang w:val="en-AU"/>
        </w:rPr>
        <w:t xml:space="preserve">They </w:t>
      </w:r>
      <w:r w:rsidRPr="009C2ADD">
        <w:rPr>
          <w:rFonts w:ascii="Times New Roman" w:hAnsi="Times New Roman"/>
          <w:lang w:val="en-AU"/>
        </w:rPr>
        <w:t>noted the m</w:t>
      </w:r>
      <w:r w:rsidR="009C216F" w:rsidRPr="009C2ADD">
        <w:rPr>
          <w:rFonts w:ascii="Times New Roman" w:hAnsi="Times New Roman"/>
          <w:lang w:val="en-AU"/>
        </w:rPr>
        <w:t>anagement advice for this year wa</w:t>
      </w:r>
      <w:r w:rsidRPr="009C2ADD">
        <w:rPr>
          <w:rFonts w:ascii="Times New Roman" w:hAnsi="Times New Roman"/>
          <w:lang w:val="en-AU"/>
        </w:rPr>
        <w:t>s formulated from the results of the structural uncertainty grid and prop</w:t>
      </w:r>
      <w:r w:rsidR="009C216F" w:rsidRPr="009C2ADD">
        <w:rPr>
          <w:rFonts w:ascii="Times New Roman" w:hAnsi="Times New Roman"/>
          <w:lang w:val="en-AU"/>
        </w:rPr>
        <w:t xml:space="preserve">osed that the SC advice should </w:t>
      </w:r>
      <w:r w:rsidRPr="009C2ADD">
        <w:rPr>
          <w:rFonts w:ascii="Times New Roman" w:hAnsi="Times New Roman"/>
          <w:lang w:val="en-AU"/>
        </w:rPr>
        <w:t xml:space="preserve">take into account the entire range of 72 models in the grid. FFA members suggested that the management advice be based on the median of the grid, using the recent spawning biomass as the statistic to identify the yellowfin stock status for comparison against the </w:t>
      </w:r>
      <w:r w:rsidR="002C72D6">
        <w:rPr>
          <w:rFonts w:ascii="Times New Roman" w:hAnsi="Times New Roman"/>
          <w:lang w:val="en-AU"/>
        </w:rPr>
        <w:t>limit reference point</w:t>
      </w:r>
      <w:r w:rsidR="009C216F" w:rsidRPr="009C2ADD">
        <w:rPr>
          <w:rFonts w:ascii="Times New Roman" w:hAnsi="Times New Roman"/>
          <w:lang w:val="en-AU"/>
        </w:rPr>
        <w:t>. The reasons we</w:t>
      </w:r>
      <w:r w:rsidRPr="009C2ADD">
        <w:rPr>
          <w:rFonts w:ascii="Times New Roman" w:hAnsi="Times New Roman"/>
          <w:lang w:val="en-AU"/>
        </w:rPr>
        <w:t>re similar to that provided for bigeye. FFA supported using the 5th and 95th quantiles of the grid in framing the SC advice. Noting the improvements in estimation of growth an</w:t>
      </w:r>
      <w:r w:rsidR="007E3AEA" w:rsidRPr="009C2ADD">
        <w:rPr>
          <w:rFonts w:ascii="Times New Roman" w:hAnsi="Times New Roman"/>
          <w:lang w:val="en-AU"/>
        </w:rPr>
        <w:t xml:space="preserve">d selectivity for bigeye tuna, </w:t>
      </w:r>
      <w:r w:rsidR="009C216F" w:rsidRPr="009C2ADD">
        <w:rPr>
          <w:rFonts w:ascii="Times New Roman" w:hAnsi="Times New Roman"/>
          <w:lang w:val="en-AU"/>
        </w:rPr>
        <w:t xml:space="preserve">they also </w:t>
      </w:r>
      <w:r w:rsidRPr="009C2ADD">
        <w:rPr>
          <w:rFonts w:ascii="Times New Roman" w:hAnsi="Times New Roman"/>
          <w:lang w:val="en-AU"/>
        </w:rPr>
        <w:t xml:space="preserve">suggested reviewing yellowfin growth rates through a study of yellowfin otoliths collected from the WCPO and incorporating this into future assessments. </w:t>
      </w:r>
    </w:p>
    <w:p w14:paraId="4EA92CB7"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5F78B57D" w14:textId="77777777"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Indonesia requested further explanation of the distribution of total biomass and recruitment by region. SPC noted that the model suggested incr</w:t>
      </w:r>
      <w:r w:rsidR="009C216F" w:rsidRPr="009C2ADD">
        <w:rPr>
          <w:rFonts w:ascii="Times New Roman" w:hAnsi="Times New Roman"/>
          <w:lang w:val="en-AU"/>
        </w:rPr>
        <w:t xml:space="preserve">eased residency in some regions, while </w:t>
      </w:r>
      <w:r w:rsidRPr="009C2ADD">
        <w:rPr>
          <w:rFonts w:ascii="Times New Roman" w:hAnsi="Times New Roman"/>
          <w:lang w:val="en-AU"/>
        </w:rPr>
        <w:t>it was predicted that there was more between-region movement in the tropics. However, SPC expressed caution in interpret</w:t>
      </w:r>
      <w:r w:rsidR="009C216F" w:rsidRPr="009C2ADD">
        <w:rPr>
          <w:rFonts w:ascii="Times New Roman" w:hAnsi="Times New Roman"/>
          <w:lang w:val="en-AU"/>
        </w:rPr>
        <w:t>ing these results as the model wa</w:t>
      </w:r>
      <w:r w:rsidRPr="009C2ADD">
        <w:rPr>
          <w:rFonts w:ascii="Times New Roman" w:hAnsi="Times New Roman"/>
          <w:lang w:val="en-AU"/>
        </w:rPr>
        <w:t xml:space="preserve">s not optimized to precisely evaluate movement between regions.  </w:t>
      </w:r>
    </w:p>
    <w:p w14:paraId="705F8A98"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34D76742" w14:textId="4C831593"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questioned the logic behind replacing SB</w:t>
      </w:r>
      <w:r w:rsidRPr="0070772D">
        <w:rPr>
          <w:rFonts w:ascii="Times New Roman" w:hAnsi="Times New Roman"/>
          <w:vertAlign w:val="subscript"/>
          <w:lang w:val="en-AU"/>
        </w:rPr>
        <w:t>current</w:t>
      </w:r>
      <w:r w:rsidRPr="009C2ADD">
        <w:rPr>
          <w:rFonts w:ascii="Times New Roman" w:hAnsi="Times New Roman"/>
          <w:lang w:val="en-AU"/>
        </w:rPr>
        <w:t xml:space="preserve"> with </w:t>
      </w:r>
      <w:r w:rsidR="00300F08" w:rsidRPr="0070772D">
        <w:rPr>
          <w:rFonts w:ascii="Times New Roman" w:eastAsia="MS Mincho" w:hAnsi="Times New Roman"/>
        </w:rPr>
        <w:t>SB</w:t>
      </w:r>
      <w:r w:rsidR="00300F08" w:rsidRPr="0070772D">
        <w:rPr>
          <w:rFonts w:ascii="Times New Roman" w:eastAsia="MS Mincho" w:hAnsi="Times New Roman"/>
          <w:vertAlign w:val="subscript"/>
        </w:rPr>
        <w:t>latest</w:t>
      </w:r>
      <w:r w:rsidRPr="009C2ADD">
        <w:rPr>
          <w:rFonts w:ascii="Times New Roman" w:hAnsi="Times New Roman"/>
          <w:lang w:val="en-AU"/>
        </w:rPr>
        <w:t xml:space="preserve"> and asked why F</w:t>
      </w:r>
      <w:r w:rsidRPr="00214513">
        <w:rPr>
          <w:rFonts w:ascii="Times New Roman" w:hAnsi="Times New Roman"/>
          <w:vertAlign w:val="subscript"/>
          <w:lang w:val="en-AU"/>
        </w:rPr>
        <w:t>latest</w:t>
      </w:r>
      <w:r w:rsidRPr="009C2ADD">
        <w:rPr>
          <w:rFonts w:ascii="Times New Roman" w:hAnsi="Times New Roman"/>
          <w:lang w:val="en-AU"/>
        </w:rPr>
        <w:t xml:space="preserve"> was not included. SPC noted that the terminal year </w:t>
      </w:r>
      <w:r w:rsidR="004362E6">
        <w:rPr>
          <w:rFonts w:ascii="Times New Roman" w:hAnsi="Times New Roman" w:hint="eastAsia"/>
          <w:lang w:val="en-AU" w:eastAsia="ko-KR"/>
        </w:rPr>
        <w:t>estimate</w:t>
      </w:r>
      <w:r w:rsidR="004362E6" w:rsidRPr="009C2ADD">
        <w:rPr>
          <w:rFonts w:ascii="Times New Roman" w:hAnsi="Times New Roman"/>
          <w:lang w:val="en-AU"/>
        </w:rPr>
        <w:t xml:space="preserve"> </w:t>
      </w:r>
      <w:r w:rsidR="004362E6">
        <w:rPr>
          <w:rFonts w:ascii="Times New Roman" w:hAnsi="Times New Roman" w:hint="eastAsia"/>
          <w:lang w:val="en-AU" w:eastAsia="ko-KR"/>
        </w:rPr>
        <w:t>(</w:t>
      </w:r>
      <w:r w:rsidRPr="009C2ADD">
        <w:rPr>
          <w:rFonts w:ascii="Times New Roman" w:hAnsi="Times New Roman"/>
          <w:lang w:val="en-AU"/>
        </w:rPr>
        <w:t>F</w:t>
      </w:r>
      <w:r w:rsidRPr="0070772D">
        <w:rPr>
          <w:rFonts w:ascii="Times New Roman" w:hAnsi="Times New Roman"/>
          <w:vertAlign w:val="subscript"/>
          <w:lang w:val="en-AU"/>
        </w:rPr>
        <w:t>latest</w:t>
      </w:r>
      <w:r w:rsidR="004362E6">
        <w:rPr>
          <w:rFonts w:ascii="Times New Roman" w:hAnsi="Times New Roman" w:hint="eastAsia"/>
          <w:lang w:val="en-AU" w:eastAsia="ko-KR"/>
        </w:rPr>
        <w:t>)</w:t>
      </w:r>
      <w:r w:rsidRPr="009C2ADD">
        <w:rPr>
          <w:rFonts w:ascii="Times New Roman" w:hAnsi="Times New Roman"/>
          <w:lang w:val="en-AU"/>
        </w:rPr>
        <w:t xml:space="preserve"> was not considered reliable, and theref</w:t>
      </w:r>
      <w:r w:rsidR="007E3AEA" w:rsidRPr="009C2ADD">
        <w:rPr>
          <w:rFonts w:ascii="Times New Roman" w:hAnsi="Times New Roman"/>
          <w:lang w:val="en-AU"/>
        </w:rPr>
        <w:t>ore an average of the preceding</w:t>
      </w:r>
      <w:r w:rsidRPr="009C2ADD">
        <w:rPr>
          <w:rFonts w:ascii="Times New Roman" w:hAnsi="Times New Roman"/>
          <w:lang w:val="en-AU"/>
        </w:rPr>
        <w:t xml:space="preserve"> four years</w:t>
      </w:r>
      <w:r w:rsidR="009C216F" w:rsidRPr="009C2ADD">
        <w:rPr>
          <w:rFonts w:ascii="Times New Roman" w:hAnsi="Times New Roman"/>
          <w:lang w:val="en-AU"/>
        </w:rPr>
        <w:t xml:space="preserve"> was used</w:t>
      </w:r>
      <w:r w:rsidRPr="009C2ADD">
        <w:rPr>
          <w:rFonts w:ascii="Times New Roman" w:hAnsi="Times New Roman"/>
          <w:lang w:val="en-AU"/>
        </w:rPr>
        <w:t>.</w:t>
      </w:r>
    </w:p>
    <w:p w14:paraId="0057E850"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46A12991" w14:textId="77777777"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RMI delivered a statement on behalf of PNA members suggesting that SPC undertake a systematic analysis of reasonable alternative regional structures for both the northern and southern regions for yellowfin as well a</w:t>
      </w:r>
      <w:r w:rsidR="009C216F" w:rsidRPr="009C2ADD">
        <w:rPr>
          <w:rFonts w:ascii="Times New Roman" w:hAnsi="Times New Roman"/>
          <w:lang w:val="en-AU"/>
        </w:rPr>
        <w:t>s bigeye and skipjack.  The aim</w:t>
      </w:r>
      <w:r w:rsidRPr="009C2ADD">
        <w:rPr>
          <w:rFonts w:ascii="Times New Roman" w:hAnsi="Times New Roman"/>
          <w:lang w:val="en-AU"/>
        </w:rPr>
        <w:t xml:space="preserve"> would be to unders</w:t>
      </w:r>
      <w:r w:rsidR="009C216F" w:rsidRPr="009C2ADD">
        <w:rPr>
          <w:rFonts w:ascii="Times New Roman" w:hAnsi="Times New Roman"/>
          <w:lang w:val="en-AU"/>
        </w:rPr>
        <w:t>tand how assessment outcomes were</w:t>
      </w:r>
      <w:r w:rsidRPr="009C2ADD">
        <w:rPr>
          <w:rFonts w:ascii="Times New Roman" w:hAnsi="Times New Roman"/>
          <w:lang w:val="en-AU"/>
        </w:rPr>
        <w:t xml:space="preserve"> affected by assumptions about regional structure; and to ensure that regional structures </w:t>
      </w:r>
      <w:r w:rsidR="009C216F" w:rsidRPr="009C2ADD">
        <w:rPr>
          <w:rFonts w:ascii="Times New Roman" w:hAnsi="Times New Roman"/>
          <w:lang w:val="en-AU"/>
        </w:rPr>
        <w:t xml:space="preserve">that </w:t>
      </w:r>
      <w:r w:rsidRPr="009C2ADD">
        <w:rPr>
          <w:rFonts w:ascii="Times New Roman" w:hAnsi="Times New Roman"/>
          <w:lang w:val="en-AU"/>
        </w:rPr>
        <w:t>happen</w:t>
      </w:r>
      <w:r w:rsidR="009C216F" w:rsidRPr="009C2ADD">
        <w:rPr>
          <w:rFonts w:ascii="Times New Roman" w:hAnsi="Times New Roman"/>
          <w:lang w:val="en-AU"/>
        </w:rPr>
        <w:t>ed</w:t>
      </w:r>
      <w:r w:rsidRPr="009C2ADD">
        <w:rPr>
          <w:rFonts w:ascii="Times New Roman" w:hAnsi="Times New Roman"/>
          <w:lang w:val="en-AU"/>
        </w:rPr>
        <w:t xml:space="preserve"> to provide extreme outcomes in t</w:t>
      </w:r>
      <w:r w:rsidR="009C216F" w:rsidRPr="009C2ADD">
        <w:rPr>
          <w:rFonts w:ascii="Times New Roman" w:hAnsi="Times New Roman"/>
          <w:lang w:val="en-AU"/>
        </w:rPr>
        <w:t>erms of the assessment results were not used.</w:t>
      </w:r>
    </w:p>
    <w:p w14:paraId="611EF0F3"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2FC46A4E" w14:textId="2929CF79" w:rsidR="00511E36" w:rsidRPr="009C2ADD" w:rsidRDefault="00511E36"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Indonesia asked if it was possible to have stock status presented by </w:t>
      </w:r>
      <w:r w:rsidR="009C216F" w:rsidRPr="009C2ADD">
        <w:rPr>
          <w:rFonts w:ascii="Times New Roman" w:hAnsi="Times New Roman"/>
          <w:lang w:val="en-AU"/>
        </w:rPr>
        <w:t xml:space="preserve">region. SPC noted that </w:t>
      </w:r>
      <w:r w:rsidR="006233F1">
        <w:rPr>
          <w:rFonts w:ascii="Times New Roman" w:hAnsi="Times New Roman"/>
          <w:lang w:val="en-AU"/>
        </w:rPr>
        <w:t>MULTIFAN-CL</w:t>
      </w:r>
      <w:r w:rsidR="009C216F" w:rsidRPr="009C2ADD">
        <w:rPr>
          <w:rFonts w:ascii="Times New Roman" w:hAnsi="Times New Roman"/>
          <w:lang w:val="en-AU"/>
        </w:rPr>
        <w:t xml:space="preserve"> wa</w:t>
      </w:r>
      <w:r w:rsidRPr="009C2ADD">
        <w:rPr>
          <w:rFonts w:ascii="Times New Roman" w:hAnsi="Times New Roman"/>
          <w:lang w:val="en-AU"/>
        </w:rPr>
        <w:t>s weighted a</w:t>
      </w:r>
      <w:r w:rsidR="009C216F" w:rsidRPr="009C2ADD">
        <w:rPr>
          <w:rFonts w:ascii="Times New Roman" w:hAnsi="Times New Roman"/>
          <w:lang w:val="en-AU"/>
        </w:rPr>
        <w:t xml:space="preserve">nd fitted in a way that provided </w:t>
      </w:r>
      <w:r w:rsidRPr="009C2ADD">
        <w:rPr>
          <w:rFonts w:ascii="Times New Roman" w:hAnsi="Times New Roman"/>
          <w:lang w:val="en-AU"/>
        </w:rPr>
        <w:t>reliable ov</w:t>
      </w:r>
      <w:r w:rsidR="009C216F" w:rsidRPr="009C2ADD">
        <w:rPr>
          <w:rFonts w:ascii="Times New Roman" w:hAnsi="Times New Roman"/>
          <w:lang w:val="en-AU"/>
        </w:rPr>
        <w:t>erall estimates, and had</w:t>
      </w:r>
      <w:r w:rsidRPr="009C2ADD">
        <w:rPr>
          <w:rFonts w:ascii="Times New Roman" w:hAnsi="Times New Roman"/>
          <w:lang w:val="en-AU"/>
        </w:rPr>
        <w:t xml:space="preserve"> not been developed to provide reliable regional estimates for all quan</w:t>
      </w:r>
      <w:r w:rsidR="009C216F" w:rsidRPr="009C2ADD">
        <w:rPr>
          <w:rFonts w:ascii="Times New Roman" w:hAnsi="Times New Roman"/>
          <w:lang w:val="en-AU"/>
        </w:rPr>
        <w:t xml:space="preserve">tities. SPC further noted that </w:t>
      </w:r>
      <w:r w:rsidR="004362E6">
        <w:rPr>
          <w:rFonts w:ascii="Times New Roman" w:hAnsi="Times New Roman" w:hint="eastAsia"/>
          <w:lang w:val="en-AU" w:eastAsia="ko-KR"/>
        </w:rPr>
        <w:t>Figure</w:t>
      </w:r>
      <w:r w:rsidR="004362E6" w:rsidRPr="009C2ADD">
        <w:rPr>
          <w:rFonts w:ascii="Times New Roman" w:hAnsi="Times New Roman"/>
          <w:lang w:val="en-AU"/>
        </w:rPr>
        <w:t xml:space="preserve"> </w:t>
      </w:r>
      <w:r w:rsidR="009C216F" w:rsidRPr="009C2ADD">
        <w:rPr>
          <w:rFonts w:ascii="Times New Roman" w:hAnsi="Times New Roman"/>
          <w:lang w:val="en-AU"/>
        </w:rPr>
        <w:t>42</w:t>
      </w:r>
      <w:r w:rsidR="004362E6">
        <w:rPr>
          <w:rFonts w:ascii="Times New Roman" w:hAnsi="Times New Roman" w:hint="eastAsia"/>
          <w:lang w:val="en-AU" w:eastAsia="ko-KR"/>
        </w:rPr>
        <w:t xml:space="preserve"> in SC13-SA-WP-06</w:t>
      </w:r>
      <w:r w:rsidR="009C216F" w:rsidRPr="009C2ADD">
        <w:rPr>
          <w:rFonts w:ascii="Times New Roman" w:hAnsi="Times New Roman"/>
          <w:lang w:val="en-AU"/>
        </w:rPr>
        <w:t xml:space="preserve"> gave</w:t>
      </w:r>
      <w:r w:rsidRPr="009C2ADD">
        <w:rPr>
          <w:rFonts w:ascii="Times New Roman" w:hAnsi="Times New Roman"/>
          <w:lang w:val="en-AU"/>
        </w:rPr>
        <w:t xml:space="preserve"> information of the depletion by region but suggested that it is not possible at this stage to provide full Maju</w:t>
      </w:r>
      <w:r w:rsidR="009C216F" w:rsidRPr="009C2ADD">
        <w:rPr>
          <w:rFonts w:ascii="Times New Roman" w:hAnsi="Times New Roman"/>
          <w:lang w:val="en-AU"/>
        </w:rPr>
        <w:t xml:space="preserve">ro plots per region, but that they </w:t>
      </w:r>
      <w:r w:rsidRPr="009C2ADD">
        <w:rPr>
          <w:rFonts w:ascii="Times New Roman" w:hAnsi="Times New Roman"/>
          <w:lang w:val="en-AU"/>
        </w:rPr>
        <w:t xml:space="preserve">could provide clearer measures </w:t>
      </w:r>
      <w:r w:rsidR="009C216F" w:rsidRPr="009C2ADD">
        <w:rPr>
          <w:rFonts w:ascii="Times New Roman" w:hAnsi="Times New Roman"/>
          <w:lang w:val="en-AU"/>
        </w:rPr>
        <w:t>of depletion by region if that wa</w:t>
      </w:r>
      <w:r w:rsidRPr="009C2ADD">
        <w:rPr>
          <w:rFonts w:ascii="Times New Roman" w:hAnsi="Times New Roman"/>
          <w:lang w:val="en-AU"/>
        </w:rPr>
        <w:t xml:space="preserve">s useful. </w:t>
      </w:r>
    </w:p>
    <w:p w14:paraId="78636835" w14:textId="77777777" w:rsidR="00106A40" w:rsidRPr="009C2ADD" w:rsidRDefault="00106A40" w:rsidP="009C2ADD">
      <w:pPr>
        <w:pStyle w:val="ListParagraph"/>
        <w:adjustRightInd w:val="0"/>
        <w:snapToGrid w:val="0"/>
        <w:contextualSpacing w:val="0"/>
        <w:rPr>
          <w:rFonts w:ascii="Times New Roman" w:hAnsi="Times New Roman"/>
          <w:lang w:val="en-AU"/>
        </w:rPr>
      </w:pPr>
    </w:p>
    <w:p w14:paraId="307471B6" w14:textId="599778DE" w:rsidR="000E1B2D" w:rsidRPr="009C2ADD" w:rsidRDefault="00DC0615" w:rsidP="009C2ADD">
      <w:pPr>
        <w:pStyle w:val="WCPFC"/>
        <w:numPr>
          <w:ilvl w:val="0"/>
          <w:numId w:val="0"/>
        </w:numPr>
        <w:adjustRightInd w:val="0"/>
        <w:spacing w:after="0"/>
        <w:ind w:left="567" w:hanging="567"/>
        <w:rPr>
          <w:b/>
        </w:rPr>
      </w:pPr>
      <w:r w:rsidRPr="009C2ADD">
        <w:rPr>
          <w:b/>
          <w:lang w:eastAsia="ko-KR"/>
        </w:rPr>
        <w:t xml:space="preserve">4.1.2.2 </w:t>
      </w:r>
      <w:r w:rsidRPr="009C2ADD">
        <w:rPr>
          <w:b/>
          <w:lang w:eastAsia="ko-KR"/>
        </w:rPr>
        <w:tab/>
      </w:r>
      <w:r w:rsidR="000E1B2D" w:rsidRPr="009C2ADD">
        <w:rPr>
          <w:b/>
        </w:rPr>
        <w:t>Provision of scientific information</w:t>
      </w:r>
    </w:p>
    <w:p w14:paraId="18A1BF01" w14:textId="77777777" w:rsidR="00106A40" w:rsidRPr="009C2ADD" w:rsidRDefault="00106A40" w:rsidP="009C2ADD">
      <w:pPr>
        <w:pStyle w:val="WCPFC"/>
        <w:numPr>
          <w:ilvl w:val="0"/>
          <w:numId w:val="0"/>
        </w:numPr>
        <w:adjustRightInd w:val="0"/>
        <w:spacing w:after="0"/>
        <w:ind w:left="567" w:hanging="567"/>
        <w:rPr>
          <w:b/>
        </w:rPr>
      </w:pPr>
    </w:p>
    <w:p w14:paraId="7E3B2203" w14:textId="15FE13AB" w:rsidR="000E1B2D" w:rsidRPr="009C2ADD" w:rsidRDefault="000E1B2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noted that preliminary total yellowfin tuna catch in 2016 (651,575</w:t>
      </w:r>
      <w:r w:rsidR="009C216F" w:rsidRPr="009C2ADD">
        <w:rPr>
          <w:rFonts w:ascii="Times New Roman" w:hAnsi="Times New Roman"/>
          <w:lang w:val="en-AU"/>
        </w:rPr>
        <w:t xml:space="preserve"> m</w:t>
      </w:r>
      <w:r w:rsidRPr="009C2ADD">
        <w:rPr>
          <w:rFonts w:ascii="Times New Roman" w:hAnsi="Times New Roman"/>
          <w:lang w:val="en-AU"/>
        </w:rPr>
        <w:t>t) was a 12% increase over 2015 and a 14% increase over 2011-</w:t>
      </w:r>
      <w:r w:rsidR="00E2628C">
        <w:rPr>
          <w:rFonts w:ascii="Times New Roman" w:hAnsi="Times New Roman" w:hint="eastAsia"/>
          <w:lang w:val="en-AU" w:eastAsia="ko-KR"/>
        </w:rPr>
        <w:t>20</w:t>
      </w:r>
      <w:r w:rsidRPr="009C2ADD">
        <w:rPr>
          <w:rFonts w:ascii="Times New Roman" w:hAnsi="Times New Roman"/>
          <w:lang w:val="en-AU"/>
        </w:rPr>
        <w:t>15. Longline catch (91,635</w:t>
      </w:r>
      <w:r w:rsidR="009C216F" w:rsidRPr="009C2ADD">
        <w:rPr>
          <w:rFonts w:ascii="Times New Roman" w:hAnsi="Times New Roman"/>
          <w:lang w:val="en-AU"/>
        </w:rPr>
        <w:t xml:space="preserve"> m</w:t>
      </w:r>
      <w:r w:rsidRPr="009C2ADD">
        <w:rPr>
          <w:rFonts w:ascii="Times New Roman" w:hAnsi="Times New Roman"/>
          <w:lang w:val="en-AU"/>
        </w:rPr>
        <w:t>t) was 10% lower than in 2015 and 1% lower than the 2011-</w:t>
      </w:r>
      <w:r w:rsidR="00E2628C">
        <w:rPr>
          <w:rFonts w:ascii="Times New Roman" w:hAnsi="Times New Roman" w:hint="eastAsia"/>
          <w:lang w:val="en-AU" w:eastAsia="ko-KR"/>
        </w:rPr>
        <w:t>20</w:t>
      </w:r>
      <w:r w:rsidRPr="009C2ADD">
        <w:rPr>
          <w:rFonts w:ascii="Times New Roman" w:hAnsi="Times New Roman"/>
          <w:lang w:val="en-AU"/>
        </w:rPr>
        <w:t>15 average. Pole and line catch (23,074</w:t>
      </w:r>
      <w:r w:rsidR="009C216F" w:rsidRPr="009C2ADD">
        <w:rPr>
          <w:rFonts w:ascii="Times New Roman" w:hAnsi="Times New Roman"/>
          <w:lang w:val="en-AU"/>
        </w:rPr>
        <w:t xml:space="preserve"> m</w:t>
      </w:r>
      <w:r w:rsidRPr="009C2ADD">
        <w:rPr>
          <w:rFonts w:ascii="Times New Roman" w:hAnsi="Times New Roman"/>
          <w:lang w:val="en-AU"/>
        </w:rPr>
        <w:t>t) was 36% lower than in 2015 and 25% lower than 2011-</w:t>
      </w:r>
      <w:r w:rsidR="00E2628C">
        <w:rPr>
          <w:rFonts w:ascii="Times New Roman" w:hAnsi="Times New Roman" w:hint="eastAsia"/>
          <w:lang w:val="en-AU" w:eastAsia="ko-KR"/>
        </w:rPr>
        <w:t>20</w:t>
      </w:r>
      <w:r w:rsidRPr="009C2ADD">
        <w:rPr>
          <w:rFonts w:ascii="Times New Roman" w:hAnsi="Times New Roman"/>
          <w:lang w:val="en-AU"/>
        </w:rPr>
        <w:t>15</w:t>
      </w:r>
      <w:r w:rsidR="009C216F" w:rsidRPr="009C2ADD">
        <w:rPr>
          <w:rFonts w:ascii="Times New Roman" w:hAnsi="Times New Roman"/>
          <w:lang w:val="en-AU"/>
        </w:rPr>
        <w:t xml:space="preserve"> </w:t>
      </w:r>
      <w:r w:rsidRPr="009C2ADD">
        <w:rPr>
          <w:rFonts w:ascii="Times New Roman" w:hAnsi="Times New Roman"/>
          <w:lang w:val="en-AU"/>
        </w:rPr>
        <w:t>average. Purse seine catch (394,756</w:t>
      </w:r>
      <w:r w:rsidR="009C216F" w:rsidRPr="009C2ADD">
        <w:rPr>
          <w:rFonts w:ascii="Times New Roman" w:hAnsi="Times New Roman"/>
          <w:lang w:val="en-AU"/>
        </w:rPr>
        <w:t xml:space="preserve"> m</w:t>
      </w:r>
      <w:r w:rsidRPr="009C2ADD">
        <w:rPr>
          <w:rFonts w:ascii="Times New Roman" w:hAnsi="Times New Roman"/>
          <w:lang w:val="en-AU"/>
        </w:rPr>
        <w:t>t) was 29% higher than in 2015, and 17% higher than 2011-</w:t>
      </w:r>
      <w:r w:rsidR="00E2628C">
        <w:rPr>
          <w:rFonts w:ascii="Times New Roman" w:hAnsi="Times New Roman" w:hint="eastAsia"/>
          <w:lang w:val="en-AU" w:eastAsia="ko-KR"/>
        </w:rPr>
        <w:t>20</w:t>
      </w:r>
      <w:r w:rsidRPr="009C2ADD">
        <w:rPr>
          <w:rFonts w:ascii="Times New Roman" w:hAnsi="Times New Roman"/>
          <w:lang w:val="en-AU"/>
        </w:rPr>
        <w:t>15</w:t>
      </w:r>
      <w:r w:rsidR="009C216F" w:rsidRPr="009C2ADD">
        <w:rPr>
          <w:rFonts w:ascii="Times New Roman" w:hAnsi="Times New Roman"/>
          <w:lang w:val="en-AU"/>
        </w:rPr>
        <w:t xml:space="preserve"> </w:t>
      </w:r>
      <w:r w:rsidRPr="009C2ADD">
        <w:rPr>
          <w:rFonts w:ascii="Times New Roman" w:hAnsi="Times New Roman"/>
          <w:lang w:val="en-AU"/>
        </w:rPr>
        <w:t>average. Catches from other gears (142,110</w:t>
      </w:r>
      <w:r w:rsidR="009C216F" w:rsidRPr="009C2ADD">
        <w:rPr>
          <w:rFonts w:ascii="Times New Roman" w:hAnsi="Times New Roman"/>
          <w:lang w:val="en-AU"/>
        </w:rPr>
        <w:t xml:space="preserve"> m</w:t>
      </w:r>
      <w:r w:rsidRPr="009C2ADD">
        <w:rPr>
          <w:rFonts w:ascii="Times New Roman" w:hAnsi="Times New Roman"/>
          <w:lang w:val="en-AU"/>
        </w:rPr>
        <w:t>t) were 2% higher than in 2015 and 26% higher than the 2011-</w:t>
      </w:r>
      <w:r w:rsidR="00E2628C">
        <w:rPr>
          <w:rFonts w:ascii="Times New Roman" w:hAnsi="Times New Roman" w:hint="eastAsia"/>
          <w:lang w:val="en-AU" w:eastAsia="ko-KR"/>
        </w:rPr>
        <w:t>20</w:t>
      </w:r>
      <w:r w:rsidRPr="009C2ADD">
        <w:rPr>
          <w:rFonts w:ascii="Times New Roman" w:hAnsi="Times New Roman"/>
          <w:lang w:val="en-AU"/>
        </w:rPr>
        <w:t>15 average. (</w:t>
      </w:r>
      <w:proofErr w:type="gramStart"/>
      <w:r w:rsidRPr="009C2ADD">
        <w:rPr>
          <w:rFonts w:ascii="Times New Roman" w:hAnsi="Times New Roman"/>
          <w:lang w:val="en-AU"/>
        </w:rPr>
        <w:t>see</w:t>
      </w:r>
      <w:proofErr w:type="gramEnd"/>
      <w:r w:rsidRPr="009C2ADD">
        <w:rPr>
          <w:rFonts w:ascii="Times New Roman" w:hAnsi="Times New Roman"/>
          <w:lang w:val="en-AU"/>
        </w:rPr>
        <w:t xml:space="preserve"> SC13-SA-WP-02)</w:t>
      </w:r>
      <w:r w:rsidR="00E2628C">
        <w:rPr>
          <w:rFonts w:ascii="Times New Roman" w:hAnsi="Times New Roman" w:hint="eastAsia"/>
          <w:lang w:val="en-AU" w:eastAsia="ko-KR"/>
        </w:rPr>
        <w:t>.</w:t>
      </w:r>
      <w:r w:rsidRPr="009C2ADD">
        <w:rPr>
          <w:rFonts w:ascii="Times New Roman" w:hAnsi="Times New Roman"/>
          <w:lang w:val="en-AU"/>
        </w:rPr>
        <w:t xml:space="preserve"> </w:t>
      </w:r>
    </w:p>
    <w:p w14:paraId="102945AF" w14:textId="77777777" w:rsidR="00106A40" w:rsidRPr="009C2ADD" w:rsidRDefault="00106A40" w:rsidP="009C2ADD">
      <w:pPr>
        <w:autoSpaceDE w:val="0"/>
        <w:autoSpaceDN w:val="0"/>
        <w:adjustRightInd w:val="0"/>
        <w:snapToGrid w:val="0"/>
        <w:spacing w:after="0"/>
        <w:rPr>
          <w:rFonts w:ascii="Times New Roman" w:hAnsi="Times New Roman"/>
          <w:lang w:val="en-AU"/>
        </w:rPr>
      </w:pPr>
    </w:p>
    <w:p w14:paraId="121E5634" w14:textId="77777777" w:rsidR="000E1B2D" w:rsidRPr="009C2ADD" w:rsidRDefault="000E1B2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endorsed the 2017 WCPO yellowfin tuna stock assessment as the most advanced and comprehensive assessment yet conducted for this species. </w:t>
      </w:r>
    </w:p>
    <w:p w14:paraId="25FCC0C5"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30DDC6C8" w14:textId="77777777" w:rsidR="000E1B2D" w:rsidRPr="009C2ADD" w:rsidRDefault="000E1B2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endorsed the use of the assessment model uncertainty grid to characterize stock status and management advice and implications. </w:t>
      </w:r>
    </w:p>
    <w:p w14:paraId="6C8C3B77"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471FC1D8" w14:textId="65DC73BA" w:rsidR="000E1B2D" w:rsidRPr="009C2ADD" w:rsidRDefault="000E1B2D"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reached consensus on the weighting of assessment models in the uncertainty grid for yellowfin tuna. The consensus weighting considered all options within five axes of uncertainty for steepness, tagging dispersion, tag mixing, size frequency (with two levels), and regional structure to be equally likely. The resulting uncertainty grid was used to characterize stock status, to summarize reference points as provided in the assessment document SC13-SA-WP-06, and to calculate the probability of breaching the adopted spawning biomass limit reference point (0.2*SB</w:t>
      </w:r>
      <w:r w:rsidRPr="0070772D">
        <w:rPr>
          <w:rFonts w:ascii="Times New Roman" w:hAnsi="Times New Roman"/>
          <w:b/>
          <w:vertAlign w:val="subscript"/>
          <w:lang w:val="en-AU"/>
        </w:rPr>
        <w:t>F=0</w:t>
      </w:r>
      <w:r w:rsidRPr="009C2ADD">
        <w:rPr>
          <w:rFonts w:ascii="Times New Roman" w:hAnsi="Times New Roman"/>
          <w:b/>
          <w:lang w:val="en-AU"/>
        </w:rPr>
        <w:t>) and the probability of F</w:t>
      </w:r>
      <w:r w:rsidRPr="0070772D">
        <w:rPr>
          <w:rFonts w:ascii="Times New Roman" w:hAnsi="Times New Roman"/>
          <w:b/>
          <w:vertAlign w:val="subscript"/>
          <w:lang w:val="en-AU"/>
        </w:rPr>
        <w:t>recent</w:t>
      </w:r>
      <w:r w:rsidRPr="009C2ADD">
        <w:rPr>
          <w:rFonts w:ascii="Times New Roman" w:hAnsi="Times New Roman"/>
          <w:b/>
          <w:lang w:val="en-AU"/>
        </w:rPr>
        <w:t xml:space="preserve"> being greater than F</w:t>
      </w:r>
      <w:r w:rsidR="00300F08" w:rsidRPr="0070772D">
        <w:rPr>
          <w:rFonts w:ascii="Times New Roman" w:hAnsi="Times New Roman"/>
          <w:b/>
          <w:vertAlign w:val="subscript"/>
          <w:lang w:val="en-AU" w:eastAsia="ko-KR"/>
        </w:rPr>
        <w:t>MSY</w:t>
      </w:r>
      <w:r w:rsidRPr="009C2ADD">
        <w:rPr>
          <w:rFonts w:ascii="Times New Roman" w:hAnsi="Times New Roman"/>
          <w:b/>
          <w:lang w:val="en-AU"/>
        </w:rPr>
        <w:t>.</w:t>
      </w:r>
    </w:p>
    <w:p w14:paraId="4DE33BBA" w14:textId="77777777" w:rsidR="00106A40" w:rsidRPr="009C2ADD" w:rsidRDefault="00106A40" w:rsidP="009C2ADD">
      <w:pPr>
        <w:pStyle w:val="ListParagraph"/>
        <w:adjustRightInd w:val="0"/>
        <w:snapToGrid w:val="0"/>
        <w:contextualSpacing w:val="0"/>
        <w:rPr>
          <w:rFonts w:ascii="Times New Roman" w:hAnsi="Times New Roman"/>
          <w:b/>
          <w:lang w:val="en-AU"/>
        </w:rPr>
      </w:pPr>
    </w:p>
    <w:p w14:paraId="7994E59E" w14:textId="612A7A39" w:rsidR="00B64C4B" w:rsidRPr="009C2ADD" w:rsidRDefault="00B64C4B" w:rsidP="00001F31">
      <w:pPr>
        <w:pStyle w:val="WCPFC"/>
        <w:numPr>
          <w:ilvl w:val="0"/>
          <w:numId w:val="187"/>
        </w:numPr>
        <w:adjustRightInd w:val="0"/>
        <w:spacing w:after="0"/>
        <w:ind w:left="0" w:firstLine="0"/>
        <w:rPr>
          <w:b/>
        </w:rPr>
      </w:pPr>
      <w:r w:rsidRPr="009C2ADD">
        <w:rPr>
          <w:b/>
        </w:rPr>
        <w:t>S</w:t>
      </w:r>
      <w:r w:rsidR="00001F31">
        <w:rPr>
          <w:rFonts w:hint="eastAsia"/>
          <w:b/>
          <w:lang w:eastAsia="ko-KR"/>
        </w:rPr>
        <w:t>tock s</w:t>
      </w:r>
      <w:r w:rsidRPr="009C2ADD">
        <w:rPr>
          <w:b/>
        </w:rPr>
        <w:t xml:space="preserve">tatus and trends </w:t>
      </w:r>
    </w:p>
    <w:p w14:paraId="21773B85" w14:textId="77777777" w:rsidR="00106A40" w:rsidRPr="009C2ADD" w:rsidRDefault="00106A40" w:rsidP="009C2ADD">
      <w:pPr>
        <w:pStyle w:val="WCPFC"/>
        <w:numPr>
          <w:ilvl w:val="0"/>
          <w:numId w:val="0"/>
        </w:numPr>
        <w:adjustRightInd w:val="0"/>
        <w:spacing w:after="0"/>
        <w:ind w:left="720"/>
        <w:rPr>
          <w:b/>
        </w:rPr>
      </w:pPr>
    </w:p>
    <w:p w14:paraId="6039D9BB" w14:textId="5550A4C0" w:rsidR="00B64C4B" w:rsidRPr="009C2ADD" w:rsidRDefault="00B64C4B"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spawning biomass (2012-2015)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w:t>
      </w:r>
    </w:p>
    <w:p w14:paraId="3D5C8945" w14:textId="77777777" w:rsidR="009859D6" w:rsidRPr="009C2ADD" w:rsidRDefault="009859D6" w:rsidP="009C2ADD">
      <w:pPr>
        <w:autoSpaceDE w:val="0"/>
        <w:autoSpaceDN w:val="0"/>
        <w:adjustRightInd w:val="0"/>
        <w:snapToGrid w:val="0"/>
        <w:spacing w:after="0"/>
        <w:rPr>
          <w:rFonts w:ascii="Times New Roman" w:hAnsi="Times New Roman"/>
          <w:b/>
          <w:lang w:val="en-AU"/>
        </w:rPr>
      </w:pPr>
    </w:p>
    <w:p w14:paraId="2662B42D" w14:textId="5FB27DFA" w:rsidR="00FC04FA" w:rsidRPr="009C2ADD" w:rsidRDefault="00B64C4B"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Descriptions of the updated structural sensitivity grid used to characterize uncertainty in the assessment are provided in Table YFT-1. Catch </w:t>
      </w:r>
      <w:r w:rsidR="00D55481">
        <w:rPr>
          <w:rFonts w:ascii="Times New Roman" w:hAnsi="Times New Roman" w:hint="eastAsia"/>
          <w:b/>
          <w:lang w:val="en-AU" w:eastAsia="ko-KR"/>
        </w:rPr>
        <w:t>t</w:t>
      </w:r>
      <w:r w:rsidRPr="009C2ADD">
        <w:rPr>
          <w:rFonts w:ascii="Times New Roman" w:hAnsi="Times New Roman"/>
          <w:b/>
          <w:lang w:val="en-AU"/>
        </w:rPr>
        <w:t xml:space="preserve">rend data is presented in Figure YFT-1.  Estimated annual average recruitment, biomass, fishing mortality and depletion are shown in Figures YFT-2 – YFT-5. Majuro plots summarizing the results for each of the models in the structural uncertainty grid retained for management advice are represented in Figures YFT-6 and YFT-7. Figure YFT-8 and YFT-9 present Kobe plots summarizing the results for each of the models in the structural uncertainty grid. </w:t>
      </w:r>
      <w:r w:rsidR="0048229F" w:rsidRPr="0048229F">
        <w:rPr>
          <w:rFonts w:ascii="Times New Roman" w:hAnsi="Times New Roman"/>
          <w:b/>
          <w:lang w:val="en-AU" w:eastAsia="ko-KR"/>
        </w:rPr>
        <w:t xml:space="preserve">Figure YFT-10 </w:t>
      </w:r>
      <w:r w:rsidR="0048229F">
        <w:rPr>
          <w:rFonts w:ascii="Times New Roman" w:hAnsi="Times New Roman" w:hint="eastAsia"/>
          <w:b/>
          <w:lang w:val="en-AU" w:eastAsia="ko-KR"/>
        </w:rPr>
        <w:t xml:space="preserve">provides </w:t>
      </w:r>
      <w:r w:rsidR="00214513">
        <w:rPr>
          <w:rFonts w:ascii="Times New Roman" w:hAnsi="Times New Roman"/>
          <w:b/>
          <w:lang w:val="en-AU" w:eastAsia="ko-KR"/>
        </w:rPr>
        <w:t>estimated</w:t>
      </w:r>
      <w:r w:rsidR="0048229F" w:rsidRPr="0070772D">
        <w:rPr>
          <w:rFonts w:ascii="Times New Roman" w:hAnsi="Times New Roman"/>
          <w:b/>
        </w:rPr>
        <w:t xml:space="preserve"> time-series (or “dynamic”) Majuro and Kobe plots from the yellowfin ‘diagnostic case’ model run.</w:t>
      </w:r>
      <w:r w:rsidR="0048229F">
        <w:rPr>
          <w:rFonts w:hint="eastAsia"/>
          <w:lang w:eastAsia="ko-KR"/>
        </w:rPr>
        <w:t xml:space="preserve"> </w:t>
      </w:r>
      <w:r w:rsidRPr="009C2ADD">
        <w:rPr>
          <w:rFonts w:ascii="Times New Roman" w:hAnsi="Times New Roman"/>
          <w:b/>
          <w:lang w:val="en-AU"/>
        </w:rPr>
        <w:t>Figure YFT-1</w:t>
      </w:r>
      <w:r w:rsidR="0048229F">
        <w:rPr>
          <w:rFonts w:ascii="Times New Roman" w:hAnsi="Times New Roman" w:hint="eastAsia"/>
          <w:b/>
          <w:lang w:val="en-AU" w:eastAsia="ko-KR"/>
        </w:rPr>
        <w:t>1</w:t>
      </w:r>
      <w:r w:rsidR="00D55481">
        <w:rPr>
          <w:rFonts w:ascii="Times New Roman" w:hAnsi="Times New Roman" w:hint="eastAsia"/>
          <w:b/>
          <w:lang w:val="en-AU" w:eastAsia="ko-KR"/>
        </w:rPr>
        <w:t xml:space="preserve"> show</w:t>
      </w:r>
      <w:r w:rsidR="0048229F">
        <w:rPr>
          <w:rFonts w:ascii="Times New Roman" w:hAnsi="Times New Roman" w:hint="eastAsia"/>
          <w:b/>
          <w:lang w:val="en-AU" w:eastAsia="ko-KR"/>
        </w:rPr>
        <w:t>s</w:t>
      </w:r>
      <w:r w:rsidRPr="009C2ADD">
        <w:rPr>
          <w:rFonts w:ascii="Times New Roman" w:hAnsi="Times New Roman"/>
          <w:b/>
          <w:lang w:val="en-AU"/>
        </w:rPr>
        <w:t xml:space="preserve"> </w:t>
      </w:r>
      <w:r w:rsidR="00D55481">
        <w:rPr>
          <w:rFonts w:ascii="Times New Roman" w:hAnsi="Times New Roman" w:hint="eastAsia"/>
          <w:b/>
          <w:lang w:val="en-AU" w:eastAsia="ko-KR"/>
        </w:rPr>
        <w:t>e</w:t>
      </w:r>
      <w:r w:rsidRPr="009C2ADD">
        <w:rPr>
          <w:rFonts w:ascii="Times New Roman" w:hAnsi="Times New Roman"/>
          <w:b/>
          <w:lang w:val="en-AU"/>
        </w:rPr>
        <w:t xml:space="preserve">stimates of reduction in spawning potential due to fishing by region, and over all regions attributed to various fishery groups (gear-types) for the diagnostic case model.  Table YFT-2 </w:t>
      </w:r>
      <w:r w:rsidR="00D55481">
        <w:rPr>
          <w:rFonts w:ascii="Times New Roman" w:hAnsi="Times New Roman" w:hint="eastAsia"/>
          <w:b/>
          <w:lang w:val="en-AU" w:eastAsia="ko-KR"/>
        </w:rPr>
        <w:t>p</w:t>
      </w:r>
      <w:r w:rsidRPr="009C2ADD">
        <w:rPr>
          <w:rFonts w:ascii="Times New Roman" w:hAnsi="Times New Roman"/>
          <w:b/>
          <w:lang w:val="en-AU"/>
        </w:rPr>
        <w:t>rovides a summary of reference points over the 48 models in the structural uncertainty grid</w:t>
      </w:r>
      <w:r w:rsidR="00F35A4C">
        <w:rPr>
          <w:rFonts w:ascii="Times New Roman" w:hAnsi="Times New Roman" w:hint="eastAsia"/>
          <w:b/>
          <w:lang w:val="en-AU" w:eastAsia="ko-KR"/>
        </w:rPr>
        <w:t xml:space="preserve"> </w:t>
      </w:r>
      <w:r w:rsidR="00F35A4C">
        <w:rPr>
          <w:rFonts w:ascii="Times New Roman" w:hAnsi="Times New Roman"/>
          <w:b/>
          <w:lang w:val="en-AU"/>
        </w:rPr>
        <w:t>(based on the SC decision to include size frequency weighting levels 20 and 50 only)</w:t>
      </w:r>
      <w:r w:rsidRPr="009C2ADD">
        <w:rPr>
          <w:rFonts w:ascii="Times New Roman" w:hAnsi="Times New Roman"/>
          <w:b/>
          <w:lang w:val="en-AU"/>
        </w:rPr>
        <w:t>.</w:t>
      </w:r>
    </w:p>
    <w:p w14:paraId="33A6E2A3" w14:textId="77777777" w:rsidR="00325D7D" w:rsidRPr="009C2ADD" w:rsidRDefault="00325D7D" w:rsidP="009C2ADD">
      <w:pPr>
        <w:autoSpaceDE w:val="0"/>
        <w:autoSpaceDN w:val="0"/>
        <w:adjustRightInd w:val="0"/>
        <w:snapToGrid w:val="0"/>
        <w:spacing w:after="0"/>
        <w:rPr>
          <w:rFonts w:ascii="Times New Roman" w:hAnsi="Times New Roman"/>
          <w:b/>
          <w:lang w:val="en-AU"/>
        </w:rPr>
      </w:pPr>
    </w:p>
    <w:p w14:paraId="44E0A10F" w14:textId="3E6EFD21" w:rsidR="007B1E3B" w:rsidRPr="009C2ADD" w:rsidRDefault="00234279" w:rsidP="009C2ADD">
      <w:pPr>
        <w:pStyle w:val="WCPFC"/>
        <w:numPr>
          <w:ilvl w:val="0"/>
          <w:numId w:val="0"/>
        </w:numPr>
        <w:adjustRightInd w:val="0"/>
        <w:spacing w:after="0"/>
        <w:jc w:val="left"/>
      </w:pPr>
      <w:r w:rsidRPr="009C2ADD">
        <w:rPr>
          <w:b/>
        </w:rPr>
        <w:t>Table YFT</w:t>
      </w:r>
      <w:r w:rsidR="00977B42">
        <w:rPr>
          <w:b/>
        </w:rPr>
        <w:t>-</w:t>
      </w:r>
      <w:r w:rsidRPr="009C2ADD">
        <w:rPr>
          <w:b/>
        </w:rPr>
        <w:t xml:space="preserve">1: </w:t>
      </w:r>
      <w:r w:rsidRPr="009C2ADD">
        <w:t>Description of the updated structural sensitivity grid used to characterize uncertainty in the assessment</w:t>
      </w:r>
    </w:p>
    <w:tbl>
      <w:tblPr>
        <w:tblW w:w="5000" w:type="pct"/>
        <w:tblLook w:val="04A0" w:firstRow="1" w:lastRow="0" w:firstColumn="1" w:lastColumn="0" w:noHBand="0" w:noVBand="1"/>
      </w:tblPr>
      <w:tblGrid>
        <w:gridCol w:w="3238"/>
        <w:gridCol w:w="1408"/>
        <w:gridCol w:w="4930"/>
      </w:tblGrid>
      <w:tr w:rsidR="00D352AD" w:rsidRPr="009C2ADD" w14:paraId="57C9C58D" w14:textId="77777777" w:rsidTr="009859D6">
        <w:tc>
          <w:tcPr>
            <w:tcW w:w="1691" w:type="pct"/>
            <w:tcBorders>
              <w:top w:val="single" w:sz="12" w:space="0" w:color="auto"/>
              <w:left w:val="nil"/>
              <w:bottom w:val="single" w:sz="12" w:space="0" w:color="auto"/>
              <w:right w:val="nil"/>
            </w:tcBorders>
            <w:shd w:val="clear" w:color="auto" w:fill="auto"/>
            <w:vAlign w:val="center"/>
            <w:hideMark/>
          </w:tcPr>
          <w:p w14:paraId="788F8E58" w14:textId="77777777" w:rsidR="001912D9" w:rsidRPr="009C2ADD" w:rsidRDefault="001912D9" w:rsidP="009C2ADD">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Axis</w:t>
            </w:r>
          </w:p>
        </w:tc>
        <w:tc>
          <w:tcPr>
            <w:tcW w:w="735" w:type="pct"/>
            <w:tcBorders>
              <w:top w:val="single" w:sz="12" w:space="0" w:color="auto"/>
              <w:left w:val="nil"/>
              <w:bottom w:val="single" w:sz="12" w:space="0" w:color="auto"/>
              <w:right w:val="nil"/>
            </w:tcBorders>
            <w:shd w:val="clear" w:color="auto" w:fill="auto"/>
            <w:vAlign w:val="center"/>
            <w:hideMark/>
          </w:tcPr>
          <w:p w14:paraId="3654B444" w14:textId="77777777" w:rsidR="001912D9" w:rsidRPr="009C2ADD" w:rsidRDefault="001912D9" w:rsidP="009C2ADD">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Levels</w:t>
            </w:r>
          </w:p>
        </w:tc>
        <w:tc>
          <w:tcPr>
            <w:tcW w:w="2573" w:type="pct"/>
            <w:tcBorders>
              <w:top w:val="single" w:sz="12" w:space="0" w:color="auto"/>
              <w:left w:val="nil"/>
              <w:bottom w:val="single" w:sz="12" w:space="0" w:color="auto"/>
              <w:right w:val="nil"/>
            </w:tcBorders>
            <w:shd w:val="clear" w:color="auto" w:fill="auto"/>
            <w:vAlign w:val="center"/>
            <w:hideMark/>
          </w:tcPr>
          <w:p w14:paraId="6A945690" w14:textId="77777777" w:rsidR="001912D9" w:rsidRPr="009C2ADD" w:rsidRDefault="001912D9" w:rsidP="009C2ADD">
            <w:pPr>
              <w:adjustRightInd w:val="0"/>
              <w:snapToGrid w:val="0"/>
              <w:spacing w:after="0"/>
              <w:rPr>
                <w:rFonts w:ascii="Times New Roman" w:eastAsia="PMingLiU" w:hAnsi="Times New Roman"/>
                <w:b/>
                <w:lang w:val="en-AU" w:eastAsia="en-AU"/>
              </w:rPr>
            </w:pPr>
            <w:r w:rsidRPr="009C2ADD">
              <w:rPr>
                <w:rFonts w:ascii="Times New Roman" w:eastAsia="PMingLiU" w:hAnsi="Times New Roman"/>
                <w:b/>
                <w:lang w:val="en-AU" w:eastAsia="en-AU"/>
              </w:rPr>
              <w:t>Option</w:t>
            </w:r>
          </w:p>
        </w:tc>
      </w:tr>
      <w:tr w:rsidR="00D352AD" w:rsidRPr="009C2ADD" w14:paraId="779ABDA0" w14:textId="77777777" w:rsidTr="009859D6">
        <w:tc>
          <w:tcPr>
            <w:tcW w:w="1691" w:type="pct"/>
            <w:tcBorders>
              <w:top w:val="single" w:sz="12" w:space="0" w:color="auto"/>
              <w:left w:val="nil"/>
              <w:bottom w:val="nil"/>
              <w:right w:val="nil"/>
            </w:tcBorders>
            <w:shd w:val="clear" w:color="auto" w:fill="auto"/>
            <w:vAlign w:val="center"/>
            <w:hideMark/>
          </w:tcPr>
          <w:p w14:paraId="72AC99FF"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Steepness</w:t>
            </w:r>
          </w:p>
        </w:tc>
        <w:tc>
          <w:tcPr>
            <w:tcW w:w="735" w:type="pct"/>
            <w:tcBorders>
              <w:top w:val="single" w:sz="12" w:space="0" w:color="auto"/>
              <w:left w:val="nil"/>
              <w:bottom w:val="nil"/>
              <w:right w:val="nil"/>
            </w:tcBorders>
            <w:shd w:val="clear" w:color="auto" w:fill="auto"/>
            <w:vAlign w:val="center"/>
            <w:hideMark/>
          </w:tcPr>
          <w:p w14:paraId="629CBB6E" w14:textId="77777777" w:rsidR="001912D9" w:rsidRPr="009C2ADD" w:rsidRDefault="001912D9" w:rsidP="009C2ADD">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3</w:t>
            </w:r>
          </w:p>
        </w:tc>
        <w:tc>
          <w:tcPr>
            <w:tcW w:w="2573" w:type="pct"/>
            <w:tcBorders>
              <w:top w:val="single" w:sz="12" w:space="0" w:color="auto"/>
              <w:left w:val="nil"/>
              <w:bottom w:val="nil"/>
              <w:right w:val="nil"/>
            </w:tcBorders>
            <w:shd w:val="clear" w:color="auto" w:fill="auto"/>
            <w:vAlign w:val="center"/>
            <w:hideMark/>
          </w:tcPr>
          <w:p w14:paraId="31CF451A"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0.65, 0.80, 0.95</w:t>
            </w:r>
          </w:p>
        </w:tc>
      </w:tr>
      <w:tr w:rsidR="00D352AD" w:rsidRPr="009C2ADD" w14:paraId="10FAA84F" w14:textId="77777777" w:rsidTr="009859D6">
        <w:tc>
          <w:tcPr>
            <w:tcW w:w="1691" w:type="pct"/>
            <w:shd w:val="clear" w:color="auto" w:fill="auto"/>
            <w:vAlign w:val="center"/>
            <w:hideMark/>
          </w:tcPr>
          <w:p w14:paraId="06699266"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Tagging overdispersion</w:t>
            </w:r>
          </w:p>
        </w:tc>
        <w:tc>
          <w:tcPr>
            <w:tcW w:w="735" w:type="pct"/>
            <w:shd w:val="clear" w:color="auto" w:fill="auto"/>
            <w:vAlign w:val="center"/>
            <w:hideMark/>
          </w:tcPr>
          <w:p w14:paraId="1B21FC7E" w14:textId="77777777" w:rsidR="001912D9" w:rsidRPr="009C2ADD" w:rsidRDefault="001912D9" w:rsidP="009C2ADD">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shd w:val="clear" w:color="auto" w:fill="auto"/>
            <w:vAlign w:val="center"/>
            <w:hideMark/>
          </w:tcPr>
          <w:p w14:paraId="01E03269"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Default level (1), fixed (moderate) level</w:t>
            </w:r>
          </w:p>
        </w:tc>
      </w:tr>
      <w:tr w:rsidR="00D352AD" w:rsidRPr="009C2ADD" w14:paraId="0DB09344" w14:textId="77777777" w:rsidTr="009859D6">
        <w:tc>
          <w:tcPr>
            <w:tcW w:w="1691" w:type="pct"/>
            <w:shd w:val="clear" w:color="auto" w:fill="auto"/>
            <w:vAlign w:val="center"/>
            <w:hideMark/>
          </w:tcPr>
          <w:p w14:paraId="7B17A116"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Tag mixing</w:t>
            </w:r>
          </w:p>
        </w:tc>
        <w:tc>
          <w:tcPr>
            <w:tcW w:w="735" w:type="pct"/>
            <w:shd w:val="clear" w:color="auto" w:fill="auto"/>
            <w:vAlign w:val="center"/>
            <w:hideMark/>
          </w:tcPr>
          <w:p w14:paraId="548BB749" w14:textId="77777777" w:rsidR="001912D9" w:rsidRPr="009C2ADD" w:rsidRDefault="001912D9" w:rsidP="009C2ADD">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shd w:val="clear" w:color="auto" w:fill="auto"/>
            <w:vAlign w:val="center"/>
            <w:hideMark/>
          </w:tcPr>
          <w:p w14:paraId="0F0353C0"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1 or 2 quarters</w:t>
            </w:r>
          </w:p>
        </w:tc>
      </w:tr>
      <w:tr w:rsidR="00D352AD" w:rsidRPr="009C2ADD" w14:paraId="778CE936" w14:textId="77777777" w:rsidTr="009859D6">
        <w:tc>
          <w:tcPr>
            <w:tcW w:w="1691" w:type="pct"/>
            <w:shd w:val="clear" w:color="auto" w:fill="auto"/>
            <w:vAlign w:val="center"/>
            <w:hideMark/>
          </w:tcPr>
          <w:p w14:paraId="4A0E591E"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Size frequency weighting</w:t>
            </w:r>
          </w:p>
        </w:tc>
        <w:tc>
          <w:tcPr>
            <w:tcW w:w="735" w:type="pct"/>
            <w:shd w:val="clear" w:color="auto" w:fill="auto"/>
            <w:vAlign w:val="center"/>
            <w:hideMark/>
          </w:tcPr>
          <w:p w14:paraId="237D9D55" w14:textId="77777777" w:rsidR="001912D9" w:rsidRPr="009C2ADD" w:rsidRDefault="001912D9" w:rsidP="009C2ADD">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3</w:t>
            </w:r>
          </w:p>
        </w:tc>
        <w:tc>
          <w:tcPr>
            <w:tcW w:w="2573" w:type="pct"/>
            <w:shd w:val="clear" w:color="auto" w:fill="auto"/>
            <w:vAlign w:val="center"/>
            <w:hideMark/>
          </w:tcPr>
          <w:p w14:paraId="250979A8"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Sample sizes divided by 10, 20, 50</w:t>
            </w:r>
          </w:p>
        </w:tc>
      </w:tr>
      <w:tr w:rsidR="001912D9" w:rsidRPr="009C2ADD" w14:paraId="42FC77A3" w14:textId="77777777" w:rsidTr="009859D6">
        <w:tc>
          <w:tcPr>
            <w:tcW w:w="1691" w:type="pct"/>
            <w:tcBorders>
              <w:top w:val="nil"/>
              <w:left w:val="nil"/>
              <w:bottom w:val="single" w:sz="12" w:space="0" w:color="auto"/>
              <w:right w:val="nil"/>
            </w:tcBorders>
            <w:shd w:val="clear" w:color="auto" w:fill="auto"/>
            <w:vAlign w:val="center"/>
            <w:hideMark/>
          </w:tcPr>
          <w:p w14:paraId="73DBABE2"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Regional structure</w:t>
            </w:r>
          </w:p>
        </w:tc>
        <w:tc>
          <w:tcPr>
            <w:tcW w:w="735" w:type="pct"/>
            <w:tcBorders>
              <w:top w:val="nil"/>
              <w:left w:val="nil"/>
              <w:bottom w:val="single" w:sz="12" w:space="0" w:color="auto"/>
              <w:right w:val="nil"/>
            </w:tcBorders>
            <w:shd w:val="clear" w:color="auto" w:fill="auto"/>
            <w:vAlign w:val="center"/>
            <w:hideMark/>
          </w:tcPr>
          <w:p w14:paraId="4D5DF343" w14:textId="77777777" w:rsidR="001912D9" w:rsidRPr="009C2ADD" w:rsidRDefault="001912D9" w:rsidP="009C2ADD">
            <w:pPr>
              <w:adjustRightInd w:val="0"/>
              <w:snapToGrid w:val="0"/>
              <w:spacing w:after="0"/>
              <w:jc w:val="center"/>
              <w:rPr>
                <w:rFonts w:ascii="Times New Roman" w:eastAsia="PMingLiU" w:hAnsi="Times New Roman"/>
                <w:lang w:val="en-AU" w:eastAsia="en-AU"/>
              </w:rPr>
            </w:pPr>
            <w:r w:rsidRPr="009C2ADD">
              <w:rPr>
                <w:rFonts w:ascii="Times New Roman" w:eastAsia="PMingLiU" w:hAnsi="Times New Roman"/>
                <w:lang w:val="en-AU" w:eastAsia="en-AU"/>
              </w:rPr>
              <w:t>2</w:t>
            </w:r>
          </w:p>
        </w:tc>
        <w:tc>
          <w:tcPr>
            <w:tcW w:w="2573" w:type="pct"/>
            <w:tcBorders>
              <w:top w:val="nil"/>
              <w:left w:val="nil"/>
              <w:bottom w:val="single" w:sz="12" w:space="0" w:color="auto"/>
              <w:right w:val="nil"/>
            </w:tcBorders>
            <w:shd w:val="clear" w:color="auto" w:fill="auto"/>
            <w:vAlign w:val="center"/>
            <w:hideMark/>
          </w:tcPr>
          <w:p w14:paraId="284A3C6A" w14:textId="77777777" w:rsidR="001912D9" w:rsidRPr="009C2ADD" w:rsidRDefault="001912D9" w:rsidP="009C2ADD">
            <w:pPr>
              <w:adjustRightInd w:val="0"/>
              <w:snapToGrid w:val="0"/>
              <w:spacing w:after="0"/>
              <w:rPr>
                <w:rFonts w:ascii="Times New Roman" w:eastAsia="PMingLiU" w:hAnsi="Times New Roman"/>
                <w:lang w:val="en-AU" w:eastAsia="en-AU"/>
              </w:rPr>
            </w:pPr>
            <w:r w:rsidRPr="009C2ADD">
              <w:rPr>
                <w:rFonts w:ascii="Times New Roman" w:eastAsia="PMingLiU" w:hAnsi="Times New Roman"/>
                <w:lang w:val="en-AU" w:eastAsia="en-AU"/>
              </w:rPr>
              <w:t>2017 regions, 2014 regions</w:t>
            </w:r>
          </w:p>
        </w:tc>
      </w:tr>
    </w:tbl>
    <w:p w14:paraId="6A868CD7" w14:textId="77777777" w:rsidR="007B1E3B" w:rsidRPr="009C2ADD" w:rsidRDefault="007B1E3B" w:rsidP="009C2ADD">
      <w:pPr>
        <w:pStyle w:val="WCPFC"/>
        <w:numPr>
          <w:ilvl w:val="0"/>
          <w:numId w:val="0"/>
        </w:numPr>
        <w:adjustRightInd w:val="0"/>
        <w:spacing w:after="0"/>
        <w:ind w:left="567"/>
        <w:rPr>
          <w:b/>
        </w:rPr>
      </w:pPr>
    </w:p>
    <w:p w14:paraId="46D61222" w14:textId="77777777" w:rsidR="00325D7D" w:rsidRPr="009C2ADD" w:rsidRDefault="00325D7D" w:rsidP="009C2ADD">
      <w:pPr>
        <w:pStyle w:val="WCPFC"/>
        <w:numPr>
          <w:ilvl w:val="0"/>
          <w:numId w:val="0"/>
        </w:numPr>
        <w:adjustRightInd w:val="0"/>
        <w:spacing w:after="0"/>
        <w:ind w:left="567"/>
        <w:rPr>
          <w:b/>
        </w:rPr>
      </w:pPr>
    </w:p>
    <w:p w14:paraId="1D829020" w14:textId="77777777" w:rsidR="00325D7D" w:rsidRPr="009C2ADD" w:rsidRDefault="00325D7D" w:rsidP="009C2ADD">
      <w:pPr>
        <w:pStyle w:val="WCPFC"/>
        <w:numPr>
          <w:ilvl w:val="0"/>
          <w:numId w:val="0"/>
        </w:numPr>
        <w:adjustRightInd w:val="0"/>
        <w:spacing w:after="0"/>
        <w:ind w:left="567"/>
        <w:rPr>
          <w:b/>
        </w:rPr>
      </w:pPr>
    </w:p>
    <w:p w14:paraId="34DFD313" w14:textId="0984819D" w:rsidR="002B7B8E" w:rsidRPr="009C2ADD" w:rsidRDefault="00535BED" w:rsidP="009C2ADD">
      <w:pPr>
        <w:pStyle w:val="WCPFC"/>
        <w:numPr>
          <w:ilvl w:val="0"/>
          <w:numId w:val="0"/>
        </w:numPr>
        <w:adjustRightInd w:val="0"/>
        <w:spacing w:after="0"/>
        <w:ind w:left="567"/>
        <w:rPr>
          <w:b/>
        </w:rPr>
      </w:pPr>
      <w:r w:rsidRPr="009C2ADD">
        <w:rPr>
          <w:b/>
          <w:noProof/>
          <w:lang w:val="en-US" w:eastAsia="ko-KR"/>
        </w:rPr>
        <w:drawing>
          <wp:inline distT="0" distB="0" distL="0" distR="0" wp14:anchorId="6D5B7D4A" wp14:editId="02C98F20">
            <wp:extent cx="5415915" cy="4114800"/>
            <wp:effectExtent l="0" t="0" r="0" b="0"/>
            <wp:docPr id="18" name="Picture 17" descr="YFT-CES-catch-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FT-CES-catch-overal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5915" cy="4114800"/>
                    </a:xfrm>
                    <a:prstGeom prst="rect">
                      <a:avLst/>
                    </a:prstGeom>
                    <a:noFill/>
                    <a:ln>
                      <a:noFill/>
                    </a:ln>
                  </pic:spPr>
                </pic:pic>
              </a:graphicData>
            </a:graphic>
          </wp:inline>
        </w:drawing>
      </w:r>
    </w:p>
    <w:p w14:paraId="09B14344" w14:textId="05847A7C" w:rsidR="0020302A" w:rsidRPr="009C2ADD" w:rsidRDefault="0020302A" w:rsidP="009C2ADD">
      <w:pPr>
        <w:pStyle w:val="NormalWeb"/>
        <w:adjustRightInd w:val="0"/>
        <w:snapToGrid w:val="0"/>
        <w:jc w:val="left"/>
        <w:rPr>
          <w:rFonts w:ascii="Times New Roman" w:hAnsi="Times New Roman" w:cs="Times New Roman"/>
        </w:rPr>
      </w:pPr>
      <w:r w:rsidRPr="009C2ADD">
        <w:rPr>
          <w:rFonts w:ascii="Times New Roman" w:hAnsi="Times New Roman" w:cs="Times New Roman"/>
          <w:b/>
          <w:bCs/>
        </w:rPr>
        <w:t>Figure</w:t>
      </w:r>
      <w:r w:rsidRPr="009C2ADD">
        <w:rPr>
          <w:rFonts w:ascii="Times New Roman" w:eastAsia="MS PMincho" w:hAnsi="Times New Roman" w:cs="Times New Roman"/>
          <w:b/>
          <w:bCs/>
        </w:rPr>
        <w:t xml:space="preserve">　</w:t>
      </w:r>
      <w:r w:rsidRPr="009C2ADD">
        <w:rPr>
          <w:rFonts w:ascii="Times New Roman" w:hAnsi="Times New Roman" w:cs="Times New Roman"/>
          <w:b/>
          <w:bCs/>
        </w:rPr>
        <w:t xml:space="preserve">YFT-1. </w:t>
      </w:r>
      <w:r w:rsidR="009C1A5E" w:rsidRPr="009C2ADD">
        <w:rPr>
          <w:rFonts w:ascii="Times New Roman" w:hAnsi="Times New Roman"/>
        </w:rPr>
        <w:t>Time series of total annual catch (1000's mt) by fishing gear for the diagnostic case model over the full assessment period.</w:t>
      </w:r>
    </w:p>
    <w:p w14:paraId="220AFC20" w14:textId="77777777" w:rsidR="009859D6" w:rsidRPr="009C2ADD" w:rsidRDefault="009859D6" w:rsidP="009C2ADD">
      <w:pPr>
        <w:pStyle w:val="NormalWeb"/>
        <w:adjustRightInd w:val="0"/>
        <w:snapToGrid w:val="0"/>
        <w:ind w:left="578"/>
        <w:jc w:val="left"/>
        <w:rPr>
          <w:rFonts w:ascii="Times New Roman" w:hAnsi="Times New Roman" w:cs="Times New Roman"/>
          <w:lang w:eastAsia="zh-TW"/>
        </w:rPr>
      </w:pPr>
    </w:p>
    <w:p w14:paraId="706E467E" w14:textId="43DE0AD5" w:rsidR="0020302A" w:rsidRPr="009C2ADD" w:rsidRDefault="00535BED" w:rsidP="00CE3164">
      <w:pPr>
        <w:pStyle w:val="WCPFC"/>
        <w:numPr>
          <w:ilvl w:val="0"/>
          <w:numId w:val="0"/>
        </w:numPr>
        <w:adjustRightInd w:val="0"/>
        <w:spacing w:after="0"/>
        <w:jc w:val="center"/>
        <w:rPr>
          <w:b/>
        </w:rPr>
      </w:pPr>
      <w:r w:rsidRPr="009C2ADD">
        <w:rPr>
          <w:noProof/>
          <w:lang w:val="en-US" w:eastAsia="ko-KR"/>
        </w:rPr>
        <w:drawing>
          <wp:inline distT="0" distB="0" distL="0" distR="0" wp14:anchorId="69E26A5B" wp14:editId="17B6CD22">
            <wp:extent cx="5173249" cy="2879195"/>
            <wp:effectExtent l="0" t="0" r="8890" b="0"/>
            <wp:docPr id="19" name="Picture 18" descr="plot_biomass_stacked_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ot_biomass_stacked_Recruitmen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76955" cy="2881257"/>
                    </a:xfrm>
                    <a:prstGeom prst="rect">
                      <a:avLst/>
                    </a:prstGeom>
                    <a:noFill/>
                    <a:ln>
                      <a:noFill/>
                    </a:ln>
                  </pic:spPr>
                </pic:pic>
              </a:graphicData>
            </a:graphic>
          </wp:inline>
        </w:drawing>
      </w:r>
    </w:p>
    <w:p w14:paraId="16EC6F8F" w14:textId="1A772C39" w:rsidR="0020302A" w:rsidRPr="009C2ADD" w:rsidRDefault="0020302A" w:rsidP="009C2ADD">
      <w:pPr>
        <w:pStyle w:val="NormalWeb"/>
        <w:adjustRightInd w:val="0"/>
        <w:snapToGrid w:val="0"/>
        <w:jc w:val="left"/>
        <w:rPr>
          <w:rFonts w:ascii="Times New Roman" w:hAnsi="Times New Roman" w:cs="Times New Roman"/>
        </w:rPr>
      </w:pPr>
      <w:r w:rsidRPr="009C2ADD">
        <w:rPr>
          <w:rFonts w:ascii="Times New Roman" w:hAnsi="Times New Roman" w:cs="Times New Roman"/>
          <w:b/>
          <w:bCs/>
        </w:rPr>
        <w:t>Figure</w:t>
      </w:r>
      <w:r w:rsidRPr="009C2ADD">
        <w:rPr>
          <w:rFonts w:ascii="Times New Roman" w:eastAsia="MS PMincho" w:hAnsi="Times New Roman" w:cs="Times New Roman"/>
          <w:b/>
          <w:bCs/>
        </w:rPr>
        <w:t xml:space="preserve">　</w:t>
      </w:r>
      <w:r w:rsidRPr="009C2ADD">
        <w:rPr>
          <w:rFonts w:ascii="Times New Roman" w:hAnsi="Times New Roman" w:cs="Times New Roman"/>
          <w:b/>
          <w:bCs/>
        </w:rPr>
        <w:t xml:space="preserve">YFT-2. </w:t>
      </w:r>
      <w:proofErr w:type="gramStart"/>
      <w:r w:rsidRPr="009C2ADD">
        <w:rPr>
          <w:rFonts w:ascii="Times New Roman" w:hAnsi="Times New Roman" w:cs="Times New Roman"/>
        </w:rPr>
        <w:t>Estimated annual average recruitment by model region for the diagnostic case model, showing the relative sizes among regions.</w:t>
      </w:r>
      <w:proofErr w:type="gramEnd"/>
    </w:p>
    <w:p w14:paraId="68E83CF4" w14:textId="77777777" w:rsidR="009859D6" w:rsidRPr="009C2ADD" w:rsidRDefault="009859D6" w:rsidP="009C2ADD">
      <w:pPr>
        <w:pStyle w:val="NormalWeb"/>
        <w:adjustRightInd w:val="0"/>
        <w:snapToGrid w:val="0"/>
        <w:ind w:left="578"/>
        <w:jc w:val="left"/>
        <w:rPr>
          <w:rFonts w:ascii="Times New Roman" w:hAnsi="Times New Roman" w:cs="Times New Roman"/>
        </w:rPr>
      </w:pPr>
    </w:p>
    <w:p w14:paraId="078081FE" w14:textId="77777777" w:rsidR="0020302A" w:rsidRPr="009C2ADD" w:rsidRDefault="0020302A" w:rsidP="009C2ADD">
      <w:pPr>
        <w:pStyle w:val="NormalWeb"/>
        <w:adjustRightInd w:val="0"/>
        <w:snapToGrid w:val="0"/>
        <w:ind w:left="578"/>
        <w:jc w:val="center"/>
        <w:rPr>
          <w:rFonts w:ascii="Times New Roman" w:hAnsi="Times New Roman" w:cs="Times New Roman"/>
          <w:b/>
          <w:bCs/>
        </w:rPr>
      </w:pPr>
    </w:p>
    <w:p w14:paraId="680793DC" w14:textId="5AADA73F" w:rsidR="0020302A" w:rsidRPr="009C2ADD" w:rsidRDefault="00535BED" w:rsidP="009C2ADD">
      <w:pPr>
        <w:pStyle w:val="WCPFC"/>
        <w:numPr>
          <w:ilvl w:val="0"/>
          <w:numId w:val="0"/>
        </w:numPr>
        <w:adjustRightInd w:val="0"/>
        <w:spacing w:after="0"/>
        <w:rPr>
          <w:b/>
        </w:rPr>
      </w:pPr>
      <w:r w:rsidRPr="009C2ADD">
        <w:rPr>
          <w:noProof/>
          <w:lang w:val="en-US" w:eastAsia="ko-KR"/>
        </w:rPr>
        <w:drawing>
          <wp:inline distT="0" distB="0" distL="0" distR="0" wp14:anchorId="2E17033F" wp14:editId="6160D3E3">
            <wp:extent cx="5720715" cy="3183890"/>
            <wp:effectExtent l="0" t="0" r="0" b="0"/>
            <wp:docPr id="20" name="Picture 19" descr="plot_biomass_stacked_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ot_biomass_stacked_SSB"/>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0715" cy="3183890"/>
                    </a:xfrm>
                    <a:prstGeom prst="rect">
                      <a:avLst/>
                    </a:prstGeom>
                    <a:noFill/>
                    <a:ln>
                      <a:noFill/>
                    </a:ln>
                  </pic:spPr>
                </pic:pic>
              </a:graphicData>
            </a:graphic>
          </wp:inline>
        </w:drawing>
      </w:r>
    </w:p>
    <w:p w14:paraId="05C04DAB" w14:textId="77777777" w:rsidR="0020302A" w:rsidRPr="009C2ADD" w:rsidRDefault="0020302A" w:rsidP="009C2ADD">
      <w:pPr>
        <w:pStyle w:val="NormalWeb"/>
        <w:adjustRightInd w:val="0"/>
        <w:snapToGrid w:val="0"/>
        <w:jc w:val="left"/>
        <w:rPr>
          <w:rFonts w:ascii="Times New Roman" w:hAnsi="Times New Roman" w:cs="Times New Roman"/>
        </w:rPr>
      </w:pPr>
      <w:r w:rsidRPr="009C2ADD">
        <w:rPr>
          <w:rFonts w:ascii="Times New Roman" w:hAnsi="Times New Roman" w:cs="Times New Roman"/>
          <w:b/>
          <w:bCs/>
        </w:rPr>
        <w:t>Figure</w:t>
      </w:r>
      <w:r w:rsidRPr="009C2ADD">
        <w:rPr>
          <w:rFonts w:ascii="Times New Roman" w:eastAsia="MS PMincho" w:hAnsi="Times New Roman" w:cs="Times New Roman"/>
          <w:b/>
          <w:bCs/>
        </w:rPr>
        <w:t xml:space="preserve">　</w:t>
      </w:r>
      <w:r w:rsidRPr="009C2ADD">
        <w:rPr>
          <w:rFonts w:ascii="Times New Roman" w:hAnsi="Times New Roman" w:cs="Times New Roman"/>
          <w:b/>
          <w:bCs/>
        </w:rPr>
        <w:t>YFT-3</w:t>
      </w:r>
      <w:r w:rsidRPr="009C2ADD">
        <w:rPr>
          <w:rFonts w:ascii="Times New Roman" w:eastAsia="MS PMincho" w:hAnsi="Times New Roman" w:cs="Times New Roman"/>
          <w:b/>
        </w:rPr>
        <w:t xml:space="preserve">. </w:t>
      </w:r>
      <w:proofErr w:type="gramStart"/>
      <w:r w:rsidRPr="009C2ADD">
        <w:rPr>
          <w:rFonts w:ascii="Times New Roman" w:hAnsi="Times New Roman" w:cs="Times New Roman"/>
        </w:rPr>
        <w:t>Estimated annual average spawning potential by model region for the diagnostic case model, showing the relative sizes among regions.</w:t>
      </w:r>
      <w:proofErr w:type="gramEnd"/>
    </w:p>
    <w:p w14:paraId="3D705E6E" w14:textId="6E32DF6C" w:rsidR="0020302A" w:rsidRPr="009C2ADD" w:rsidRDefault="00535BED" w:rsidP="009C2ADD">
      <w:pPr>
        <w:pStyle w:val="WCPFC"/>
        <w:numPr>
          <w:ilvl w:val="0"/>
          <w:numId w:val="0"/>
        </w:numPr>
        <w:adjustRightInd w:val="0"/>
        <w:spacing w:after="0"/>
        <w:ind w:left="578"/>
        <w:rPr>
          <w:b/>
        </w:rPr>
      </w:pPr>
      <w:r w:rsidRPr="009C2ADD">
        <w:rPr>
          <w:b/>
          <w:noProof/>
          <w:lang w:val="en-US" w:eastAsia="ko-KR"/>
        </w:rPr>
        <w:drawing>
          <wp:inline distT="0" distB="0" distL="0" distR="0" wp14:anchorId="43E447BA" wp14:editId="6F997BE4">
            <wp:extent cx="5143500" cy="3581400"/>
            <wp:effectExtent l="0" t="0" r="0" b="0"/>
            <wp:docPr id="21" name="Picture 20"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ot_temporal_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43500" cy="3581400"/>
                    </a:xfrm>
                    <a:prstGeom prst="rect">
                      <a:avLst/>
                    </a:prstGeom>
                    <a:noFill/>
                    <a:ln>
                      <a:noFill/>
                    </a:ln>
                  </pic:spPr>
                </pic:pic>
              </a:graphicData>
            </a:graphic>
          </wp:inline>
        </w:drawing>
      </w:r>
    </w:p>
    <w:p w14:paraId="242B17FC" w14:textId="084B0C75" w:rsidR="007C2554" w:rsidRPr="009C2ADD" w:rsidRDefault="007C2554" w:rsidP="00CE3164">
      <w:pPr>
        <w:adjustRightInd w:val="0"/>
        <w:snapToGrid w:val="0"/>
        <w:spacing w:after="0"/>
        <w:jc w:val="left"/>
        <w:rPr>
          <w:rFonts w:ascii="Times New Roman" w:eastAsia="MS Mincho" w:hAnsi="Times New Roman"/>
          <w:lang w:val="en-AU"/>
        </w:rPr>
      </w:pPr>
      <w:r w:rsidRPr="009C2ADD">
        <w:rPr>
          <w:rFonts w:ascii="Times New Roman" w:eastAsia="MS Mincho" w:hAnsi="Times New Roman"/>
          <w:b/>
          <w:bCs/>
          <w:lang w:val="en-AU"/>
        </w:rPr>
        <w:t>Figure YFT-4</w:t>
      </w:r>
      <w:r w:rsidRPr="009C2ADD">
        <w:rPr>
          <w:rFonts w:ascii="Times New Roman" w:eastAsia="MS PMincho" w:hAnsi="Times New Roman"/>
          <w:b/>
          <w:lang w:val="en-US"/>
        </w:rPr>
        <w:t xml:space="preserve">. </w:t>
      </w:r>
      <w:proofErr w:type="gramStart"/>
      <w:r w:rsidRPr="009C2ADD">
        <w:rPr>
          <w:rFonts w:ascii="Times New Roman" w:eastAsia="MS Mincho" w:hAnsi="Times New Roman"/>
          <w:lang w:val="en-AU"/>
        </w:rPr>
        <w:t>Estimated annual average juvenile and adult fishing mortality</w:t>
      </w:r>
      <w:r w:rsidR="009859D6" w:rsidRPr="009C2ADD">
        <w:rPr>
          <w:rFonts w:ascii="Times New Roman" w:eastAsia="MS Mincho" w:hAnsi="Times New Roman"/>
          <w:lang w:val="en-AU"/>
        </w:rPr>
        <w:t xml:space="preserve"> </w:t>
      </w:r>
      <w:r w:rsidRPr="009C2ADD">
        <w:rPr>
          <w:rFonts w:ascii="Times New Roman" w:eastAsia="MS Mincho" w:hAnsi="Times New Roman"/>
          <w:lang w:val="en-AU"/>
        </w:rPr>
        <w:t>for the diagnostic case model.</w:t>
      </w:r>
      <w:proofErr w:type="gramEnd"/>
    </w:p>
    <w:p w14:paraId="2443D2D9" w14:textId="77777777" w:rsidR="007C2554" w:rsidRPr="009C2ADD" w:rsidRDefault="007C2554" w:rsidP="009C2ADD">
      <w:pPr>
        <w:pStyle w:val="WCPFC"/>
        <w:numPr>
          <w:ilvl w:val="0"/>
          <w:numId w:val="0"/>
        </w:numPr>
        <w:adjustRightInd w:val="0"/>
        <w:spacing w:after="0"/>
        <w:ind w:left="567"/>
        <w:rPr>
          <w:b/>
        </w:rPr>
      </w:pPr>
    </w:p>
    <w:p w14:paraId="58FCA06E" w14:textId="3622A2D3" w:rsidR="007C2554" w:rsidRPr="009C2ADD" w:rsidRDefault="00535BED" w:rsidP="00CE3164">
      <w:pPr>
        <w:pStyle w:val="WCPFC"/>
        <w:numPr>
          <w:ilvl w:val="0"/>
          <w:numId w:val="0"/>
        </w:numPr>
        <w:adjustRightInd w:val="0"/>
        <w:spacing w:after="0"/>
        <w:jc w:val="center"/>
        <w:rPr>
          <w:b/>
        </w:rPr>
      </w:pPr>
      <w:r w:rsidRPr="009C2ADD">
        <w:rPr>
          <w:noProof/>
          <w:lang w:val="en-US" w:eastAsia="ko-KR"/>
        </w:rPr>
        <w:drawing>
          <wp:inline distT="0" distB="0" distL="0" distR="0" wp14:anchorId="27A07B1F" wp14:editId="6E18DF88">
            <wp:extent cx="5974268" cy="4409162"/>
            <wp:effectExtent l="0" t="0" r="7620" b="0"/>
            <wp:docPr id="22" name="Picture 21" descr="grid-depletion-size-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id-depletion-size-20-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87499" cy="4418927"/>
                    </a:xfrm>
                    <a:prstGeom prst="rect">
                      <a:avLst/>
                    </a:prstGeom>
                    <a:noFill/>
                    <a:ln>
                      <a:noFill/>
                    </a:ln>
                  </pic:spPr>
                </pic:pic>
              </a:graphicData>
            </a:graphic>
          </wp:inline>
        </w:drawing>
      </w:r>
    </w:p>
    <w:p w14:paraId="6EA36E61" w14:textId="562352C9" w:rsidR="007C2554" w:rsidRPr="009C2ADD" w:rsidRDefault="007C2554" w:rsidP="009C2ADD">
      <w:pPr>
        <w:pStyle w:val="WCPFC"/>
        <w:numPr>
          <w:ilvl w:val="0"/>
          <w:numId w:val="0"/>
        </w:numPr>
        <w:adjustRightInd w:val="0"/>
        <w:spacing w:after="0"/>
        <w:rPr>
          <w:rFonts w:eastAsia="MS PMincho"/>
        </w:rPr>
      </w:pPr>
      <w:r w:rsidRPr="009C2ADD">
        <w:rPr>
          <w:b/>
          <w:bCs/>
        </w:rPr>
        <w:t>Figure YFT</w:t>
      </w:r>
      <w:r w:rsidR="00977B42">
        <w:rPr>
          <w:b/>
          <w:bCs/>
        </w:rPr>
        <w:t>-</w:t>
      </w:r>
      <w:r w:rsidRPr="009C2ADD">
        <w:rPr>
          <w:b/>
          <w:bCs/>
        </w:rPr>
        <w:t>5</w:t>
      </w:r>
      <w:r w:rsidRPr="009C2ADD">
        <w:rPr>
          <w:rFonts w:eastAsia="MS PMincho"/>
          <w:lang w:val="en-US"/>
        </w:rPr>
        <w:t>：</w:t>
      </w:r>
      <w:r w:rsidRPr="009C2ADD">
        <w:rPr>
          <w:rFonts w:eastAsia="MS PMincho"/>
        </w:rPr>
        <w:t>Plot showing the trajectories of fishing depletion (of spawning potential) for the 48 model runs retained for the structural uncertainty grid used for management advice. The colours depict the models in the grid with the size composition weighting using divisors of 20 and 50.</w:t>
      </w:r>
    </w:p>
    <w:p w14:paraId="0ECE77F3" w14:textId="7F0209B6" w:rsidR="007F201F" w:rsidRPr="009C2ADD" w:rsidRDefault="00535BED" w:rsidP="00CE3164">
      <w:pPr>
        <w:pStyle w:val="WCPFC"/>
        <w:numPr>
          <w:ilvl w:val="0"/>
          <w:numId w:val="0"/>
        </w:numPr>
        <w:adjustRightInd w:val="0"/>
        <w:spacing w:after="0"/>
        <w:jc w:val="center"/>
        <w:rPr>
          <w:rFonts w:eastAsia="MS PMincho"/>
        </w:rPr>
      </w:pPr>
      <w:r w:rsidRPr="009C2ADD">
        <w:rPr>
          <w:noProof/>
          <w:lang w:val="en-US" w:eastAsia="ko-KR"/>
        </w:rPr>
        <w:drawing>
          <wp:inline distT="0" distB="0" distL="0" distR="0" wp14:anchorId="52A011DA" wp14:editId="249B4C5D">
            <wp:extent cx="5949863" cy="4551203"/>
            <wp:effectExtent l="0" t="0" r="0" b="190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63747" cy="4561823"/>
                    </a:xfrm>
                    <a:prstGeom prst="rect">
                      <a:avLst/>
                    </a:prstGeom>
                    <a:noFill/>
                    <a:ln>
                      <a:noFill/>
                    </a:ln>
                  </pic:spPr>
                </pic:pic>
              </a:graphicData>
            </a:graphic>
          </wp:inline>
        </w:drawing>
      </w:r>
    </w:p>
    <w:p w14:paraId="21DC70BB" w14:textId="465BA277" w:rsidR="007F201F" w:rsidRPr="009C2ADD" w:rsidRDefault="007F201F" w:rsidP="009C2ADD">
      <w:pPr>
        <w:pStyle w:val="NormalWeb"/>
        <w:adjustRightInd w:val="0"/>
        <w:snapToGrid w:val="0"/>
        <w:rPr>
          <w:rFonts w:ascii="Times New Roman" w:eastAsia="MS PMincho" w:hAnsi="Times New Roman" w:cs="Times New Roman"/>
        </w:rPr>
      </w:pPr>
      <w:r w:rsidRPr="009C2ADD">
        <w:rPr>
          <w:rFonts w:ascii="Times New Roman" w:hAnsi="Times New Roman" w:cs="Times New Roman"/>
          <w:b/>
          <w:bCs/>
        </w:rPr>
        <w:t xml:space="preserve">Figure YFT-6. </w:t>
      </w:r>
      <w:r w:rsidRPr="009C2ADD">
        <w:rPr>
          <w:rFonts w:ascii="Times New Roman" w:hAnsi="Times New Roman" w:cs="Times New Roman"/>
        </w:rPr>
        <w:t xml:space="preserve">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9C2ADD">
        <w:rPr>
          <w:rFonts w:ascii="Times New Roman" w:hAnsi="Times New Roman" w:cs="Times New Roman"/>
          <w:vertAlign w:val="subscript"/>
        </w:rPr>
        <w:t>MSY</w:t>
      </w:r>
      <w:r w:rsidRPr="009C2ADD">
        <w:rPr>
          <w:rFonts w:ascii="Times New Roman" w:hAnsi="Times New Roman" w:cs="Times New Roman"/>
        </w:rPr>
        <w:t xml:space="preserve"> (F</w:t>
      </w:r>
      <w:r w:rsidRPr="009C2ADD">
        <w:rPr>
          <w:rFonts w:ascii="Times New Roman" w:hAnsi="Times New Roman" w:cs="Times New Roman"/>
          <w:vertAlign w:val="subscript"/>
        </w:rPr>
        <w:t>MSY</w:t>
      </w:r>
      <w:r w:rsidRPr="009C2ADD">
        <w:rPr>
          <w:rFonts w:ascii="Times New Roman" w:hAnsi="Times New Roman" w:cs="Times New Roman"/>
        </w:rPr>
        <w:t xml:space="preserve"> is marked with the black </w:t>
      </w:r>
      <w:r w:rsidR="00BE4927">
        <w:rPr>
          <w:rFonts w:ascii="Times New Roman" w:eastAsiaTheme="minorEastAsia" w:hAnsi="Times New Roman" w:cs="Times New Roman" w:hint="eastAsia"/>
          <w:lang w:eastAsia="ko-KR"/>
        </w:rPr>
        <w:t>horizontal</w:t>
      </w:r>
      <w:r w:rsidR="00BE4927" w:rsidRPr="009C2ADD">
        <w:rPr>
          <w:rFonts w:ascii="Times New Roman" w:hAnsi="Times New Roman" w:cs="Times New Roman"/>
        </w:rPr>
        <w:t xml:space="preserve"> </w:t>
      </w:r>
      <w:r w:rsidRPr="009C2ADD">
        <w:rPr>
          <w:rFonts w:ascii="Times New Roman" w:hAnsi="Times New Roman" w:cs="Times New Roman"/>
        </w:rPr>
        <w:t xml:space="preserve">line). The points represent </w:t>
      </w:r>
      <w:r w:rsidRPr="009C2ADD">
        <w:rPr>
          <w:rFonts w:ascii="Times New Roman" w:hAnsi="Times New Roman" w:cs="Times New Roman"/>
          <w:u w:val="single"/>
        </w:rPr>
        <w:t>SB</w:t>
      </w:r>
      <w:r w:rsidRPr="009C2ADD">
        <w:rPr>
          <w:rFonts w:ascii="Times New Roman" w:hAnsi="Times New Roman" w:cs="Times New Roman"/>
          <w:u w:val="single"/>
          <w:vertAlign w:val="subscript"/>
        </w:rPr>
        <w:t>latest</w:t>
      </w:r>
      <w:r w:rsidRPr="009C2ADD">
        <w:rPr>
          <w:rFonts w:ascii="Times New Roman" w:hAnsi="Times New Roman" w:cs="Times New Roman"/>
          <w:u w:val="single"/>
        </w:rPr>
        <w:t>/SB</w:t>
      </w:r>
      <w:r w:rsidRPr="009C2ADD">
        <w:rPr>
          <w:rFonts w:ascii="Times New Roman" w:hAnsi="Times New Roman" w:cs="Times New Roman"/>
          <w:u w:val="single"/>
          <w:vertAlign w:val="subscript"/>
        </w:rPr>
        <w:t>F=</w:t>
      </w:r>
      <w:proofErr w:type="gramStart"/>
      <w:r w:rsidRPr="009C2ADD">
        <w:rPr>
          <w:rFonts w:ascii="Times New Roman" w:hAnsi="Times New Roman" w:cs="Times New Roman"/>
          <w:u w:val="single"/>
          <w:vertAlign w:val="subscript"/>
        </w:rPr>
        <w:t>0</w:t>
      </w:r>
      <w:r w:rsidRPr="009C2ADD">
        <w:rPr>
          <w:rFonts w:ascii="Times New Roman" w:hAnsi="Times New Roman" w:cs="Times New Roman"/>
        </w:rPr>
        <w:t>,</w:t>
      </w:r>
      <w:proofErr w:type="gramEnd"/>
      <w:r w:rsidRPr="009C2ADD">
        <w:rPr>
          <w:rFonts w:ascii="Times New Roman" w:hAnsi="Times New Roman" w:cs="Times New Roman"/>
        </w:rPr>
        <w:t xml:space="preserve"> and the colours depict the models in the grid </w:t>
      </w:r>
      <w:r w:rsidRPr="009C2ADD">
        <w:rPr>
          <w:rFonts w:ascii="Times New Roman" w:eastAsia="MS PMincho" w:hAnsi="Times New Roman" w:cs="Times New Roman"/>
        </w:rPr>
        <w:t>with the size composition weighting using divisors of 20 and 50.</w:t>
      </w:r>
    </w:p>
    <w:p w14:paraId="20DD8C67" w14:textId="5D444370" w:rsidR="007F201F" w:rsidRPr="009C2ADD" w:rsidRDefault="00535BED" w:rsidP="009C2ADD">
      <w:pPr>
        <w:pStyle w:val="WCPFC"/>
        <w:numPr>
          <w:ilvl w:val="0"/>
          <w:numId w:val="0"/>
        </w:numPr>
        <w:adjustRightInd w:val="0"/>
        <w:spacing w:after="0"/>
        <w:jc w:val="center"/>
        <w:rPr>
          <w:rFonts w:eastAsia="MS PMincho"/>
        </w:rPr>
      </w:pPr>
      <w:r w:rsidRPr="009C2ADD">
        <w:rPr>
          <w:b/>
          <w:noProof/>
          <w:lang w:val="en-US" w:eastAsia="ko-KR"/>
        </w:rPr>
        <w:drawing>
          <wp:inline distT="0" distB="0" distL="0" distR="0" wp14:anchorId="61D9BDDF" wp14:editId="0644E25D">
            <wp:extent cx="5925635" cy="4534422"/>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27084" cy="4535531"/>
                    </a:xfrm>
                    <a:prstGeom prst="rect">
                      <a:avLst/>
                    </a:prstGeom>
                    <a:noFill/>
                    <a:ln>
                      <a:noFill/>
                    </a:ln>
                  </pic:spPr>
                </pic:pic>
              </a:graphicData>
            </a:graphic>
          </wp:inline>
        </w:drawing>
      </w:r>
    </w:p>
    <w:p w14:paraId="6E60166B" w14:textId="242BC69B" w:rsidR="00D81D18" w:rsidRPr="009C2ADD" w:rsidRDefault="00D81D18" w:rsidP="009C2ADD">
      <w:pPr>
        <w:pStyle w:val="NormalWeb"/>
        <w:adjustRightInd w:val="0"/>
        <w:snapToGrid w:val="0"/>
        <w:rPr>
          <w:rFonts w:ascii="Times New Roman" w:hAnsi="Times New Roman" w:cs="Times New Roman"/>
          <w:b/>
          <w:bCs/>
        </w:rPr>
      </w:pPr>
      <w:r w:rsidRPr="009C2ADD">
        <w:rPr>
          <w:rFonts w:ascii="Times New Roman" w:hAnsi="Times New Roman" w:cs="Times New Roman"/>
          <w:b/>
          <w:bCs/>
        </w:rPr>
        <w:t>Figure YFT</w:t>
      </w:r>
      <w:r w:rsidR="00977B42">
        <w:rPr>
          <w:rFonts w:ascii="Times New Roman" w:hAnsi="Times New Roman" w:cs="Times New Roman"/>
          <w:b/>
          <w:bCs/>
        </w:rPr>
        <w:t>-</w:t>
      </w:r>
      <w:r w:rsidRPr="009C2ADD">
        <w:rPr>
          <w:rFonts w:ascii="Times New Roman" w:hAnsi="Times New Roman" w:cs="Times New Roman"/>
          <w:b/>
          <w:bCs/>
        </w:rPr>
        <w:t>7</w:t>
      </w:r>
      <w:r w:rsidRPr="009C2ADD">
        <w:rPr>
          <w:rFonts w:ascii="Times New Roman" w:hAnsi="Times New Roman" w:cs="Times New Roman"/>
          <w:b/>
        </w:rPr>
        <w:t xml:space="preserve">: </w:t>
      </w:r>
      <w:r w:rsidRPr="009C2ADD">
        <w:rPr>
          <w:rFonts w:ascii="Times New Roman" w:hAnsi="Times New Roman" w:cs="Times New Roman"/>
        </w:rPr>
        <w:t>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70772D">
        <w:rPr>
          <w:rFonts w:ascii="Times New Roman" w:hAnsi="Times New Roman" w:cs="Times New Roman"/>
          <w:vertAlign w:val="subscript"/>
        </w:rPr>
        <w:t>MSY</w:t>
      </w:r>
      <w:r w:rsidRPr="009C2ADD">
        <w:rPr>
          <w:rFonts w:ascii="Times New Roman" w:hAnsi="Times New Roman" w:cs="Times New Roman"/>
        </w:rPr>
        <w:t xml:space="preserve"> (F</w:t>
      </w:r>
      <w:r w:rsidRPr="0070772D">
        <w:rPr>
          <w:rFonts w:ascii="Times New Roman" w:hAnsi="Times New Roman" w:cs="Times New Roman"/>
          <w:u w:val="single"/>
          <w:vertAlign w:val="subscript"/>
        </w:rPr>
        <w:t>MSY</w:t>
      </w:r>
      <w:r w:rsidRPr="009C2ADD">
        <w:rPr>
          <w:rFonts w:ascii="Times New Roman" w:hAnsi="Times New Roman" w:cs="Times New Roman"/>
        </w:rPr>
        <w:t xml:space="preserve"> is marked with the black </w:t>
      </w:r>
      <w:r w:rsidR="00BE4927">
        <w:rPr>
          <w:rFonts w:ascii="Times New Roman" w:eastAsiaTheme="minorEastAsia" w:hAnsi="Times New Roman" w:cs="Times New Roman" w:hint="eastAsia"/>
          <w:lang w:eastAsia="ko-KR"/>
        </w:rPr>
        <w:t>horizontal</w:t>
      </w:r>
      <w:r w:rsidR="00BE4927" w:rsidRPr="009C2ADD">
        <w:rPr>
          <w:rFonts w:ascii="Times New Roman" w:hAnsi="Times New Roman" w:cs="Times New Roman"/>
        </w:rPr>
        <w:t xml:space="preserve"> </w:t>
      </w:r>
      <w:r w:rsidRPr="009C2ADD">
        <w:rPr>
          <w:rFonts w:ascii="Times New Roman" w:hAnsi="Times New Roman" w:cs="Times New Roman"/>
        </w:rPr>
        <w:t>line). The points represent SB</w:t>
      </w:r>
      <w:r w:rsidRPr="009C2ADD">
        <w:rPr>
          <w:rFonts w:ascii="Times New Roman" w:hAnsi="Times New Roman" w:cs="Times New Roman"/>
          <w:i/>
          <w:vertAlign w:val="subscript"/>
        </w:rPr>
        <w:t>recent</w:t>
      </w:r>
      <w:r w:rsidRPr="009C2ADD">
        <w:rPr>
          <w:rFonts w:ascii="Times New Roman" w:hAnsi="Times New Roman" w:cs="Times New Roman"/>
        </w:rPr>
        <w:t>/SB</w:t>
      </w:r>
      <w:r w:rsidRPr="0070772D">
        <w:rPr>
          <w:rFonts w:ascii="Times New Roman" w:hAnsi="Times New Roman" w:cs="Times New Roman"/>
          <w:i/>
          <w:vertAlign w:val="subscript"/>
        </w:rPr>
        <w:t>F=</w:t>
      </w:r>
      <w:proofErr w:type="gramStart"/>
      <w:r w:rsidRPr="0070772D">
        <w:rPr>
          <w:rFonts w:ascii="Times New Roman" w:hAnsi="Times New Roman" w:cs="Times New Roman"/>
          <w:i/>
          <w:vertAlign w:val="subscript"/>
        </w:rPr>
        <w:t>0</w:t>
      </w:r>
      <w:r w:rsidRPr="009C2ADD">
        <w:rPr>
          <w:rFonts w:ascii="Times New Roman" w:hAnsi="Times New Roman" w:cs="Times New Roman"/>
        </w:rPr>
        <w:t>,</w:t>
      </w:r>
      <w:proofErr w:type="gramEnd"/>
      <w:r w:rsidRPr="009C2ADD">
        <w:rPr>
          <w:rFonts w:ascii="Times New Roman" w:hAnsi="Times New Roman" w:cs="Times New Roman"/>
        </w:rPr>
        <w:t xml:space="preserve"> and the colours depict the models in the grid </w:t>
      </w:r>
      <w:r w:rsidRPr="009C2ADD">
        <w:rPr>
          <w:rFonts w:ascii="Times New Roman" w:eastAsia="MS PMincho" w:hAnsi="Times New Roman" w:cs="Times New Roman"/>
        </w:rPr>
        <w:t>with the size composition weighting using divisors of 20 and 50.</w:t>
      </w:r>
    </w:p>
    <w:p w14:paraId="77490040" w14:textId="77777777" w:rsidR="00D81D18" w:rsidRPr="009C2ADD" w:rsidRDefault="00D81D18" w:rsidP="009C2ADD">
      <w:pPr>
        <w:pStyle w:val="WCPFC"/>
        <w:numPr>
          <w:ilvl w:val="0"/>
          <w:numId w:val="0"/>
        </w:numPr>
        <w:adjustRightInd w:val="0"/>
        <w:spacing w:after="0"/>
        <w:ind w:left="567"/>
        <w:jc w:val="center"/>
        <w:rPr>
          <w:rFonts w:eastAsia="MS PMincho"/>
        </w:rPr>
      </w:pPr>
    </w:p>
    <w:p w14:paraId="469BA158" w14:textId="6E164901" w:rsidR="007C2554" w:rsidRPr="009C2ADD" w:rsidRDefault="00535BED" w:rsidP="00CE3164">
      <w:pPr>
        <w:pStyle w:val="WCPFC"/>
        <w:numPr>
          <w:ilvl w:val="0"/>
          <w:numId w:val="0"/>
        </w:numPr>
        <w:adjustRightInd w:val="0"/>
        <w:spacing w:after="0"/>
        <w:rPr>
          <w:b/>
        </w:rPr>
      </w:pPr>
      <w:r w:rsidRPr="009C2ADD">
        <w:rPr>
          <w:noProof/>
          <w:lang w:val="en-US" w:eastAsia="ko-KR"/>
        </w:rPr>
        <w:drawing>
          <wp:inline distT="0" distB="0" distL="0" distR="0" wp14:anchorId="79560081" wp14:editId="6DEA1ABE">
            <wp:extent cx="5949863" cy="455520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5270" cy="4551684"/>
                    </a:xfrm>
                    <a:prstGeom prst="rect">
                      <a:avLst/>
                    </a:prstGeom>
                    <a:noFill/>
                    <a:ln>
                      <a:noFill/>
                    </a:ln>
                  </pic:spPr>
                </pic:pic>
              </a:graphicData>
            </a:graphic>
          </wp:inline>
        </w:drawing>
      </w:r>
    </w:p>
    <w:p w14:paraId="5B897DD1" w14:textId="77777777" w:rsidR="00D81D18" w:rsidRPr="009C2ADD" w:rsidRDefault="00D81D18" w:rsidP="009C2ADD">
      <w:pPr>
        <w:pStyle w:val="NormalWeb"/>
        <w:adjustRightInd w:val="0"/>
        <w:snapToGrid w:val="0"/>
        <w:rPr>
          <w:rFonts w:ascii="Times New Roman" w:eastAsia="MS PMincho" w:hAnsi="Times New Roman" w:cs="Times New Roman"/>
        </w:rPr>
      </w:pPr>
      <w:r w:rsidRPr="009C2ADD">
        <w:rPr>
          <w:rFonts w:ascii="Times New Roman" w:hAnsi="Times New Roman" w:cs="Times New Roman"/>
          <w:b/>
          <w:bCs/>
        </w:rPr>
        <w:t xml:space="preserve">Figure YFT-8. </w:t>
      </w:r>
      <w:proofErr w:type="gramStart"/>
      <w:r w:rsidRPr="009C2ADD">
        <w:rPr>
          <w:rFonts w:ascii="Times New Roman" w:hAnsi="Times New Roman" w:cs="Times New Roman"/>
        </w:rPr>
        <w:t>Kobe plot summarising the results for each of the models in the structural uncertainty grid.</w:t>
      </w:r>
      <w:proofErr w:type="gramEnd"/>
      <w:r w:rsidRPr="009C2ADD">
        <w:rPr>
          <w:rFonts w:ascii="Times New Roman" w:hAnsi="Times New Roman" w:cs="Times New Roman"/>
        </w:rPr>
        <w:t xml:space="preserve"> The points represent </w:t>
      </w:r>
      <w:r w:rsidRPr="009C2ADD">
        <w:rPr>
          <w:rFonts w:ascii="Times New Roman" w:hAnsi="Times New Roman" w:cs="Times New Roman"/>
          <w:u w:val="single"/>
        </w:rPr>
        <w:t>SB</w:t>
      </w:r>
      <w:r w:rsidRPr="009C2ADD">
        <w:rPr>
          <w:rFonts w:ascii="Times New Roman" w:hAnsi="Times New Roman" w:cs="Times New Roman"/>
          <w:u w:val="single"/>
          <w:vertAlign w:val="subscript"/>
        </w:rPr>
        <w:t>latest</w:t>
      </w:r>
      <w:r w:rsidRPr="009C2ADD">
        <w:rPr>
          <w:rFonts w:ascii="Times New Roman" w:hAnsi="Times New Roman" w:cs="Times New Roman"/>
          <w:u w:val="single"/>
        </w:rPr>
        <w:t>/</w:t>
      </w:r>
      <w:proofErr w:type="gramStart"/>
      <w:r w:rsidRPr="009C2ADD">
        <w:rPr>
          <w:rFonts w:ascii="Times New Roman" w:hAnsi="Times New Roman" w:cs="Times New Roman"/>
          <w:u w:val="single"/>
        </w:rPr>
        <w:t>SB</w:t>
      </w:r>
      <w:r w:rsidRPr="009C2ADD">
        <w:rPr>
          <w:rFonts w:ascii="Times New Roman" w:hAnsi="Times New Roman" w:cs="Times New Roman"/>
          <w:u w:val="single"/>
          <w:vertAlign w:val="subscript"/>
        </w:rPr>
        <w:t>MSY</w:t>
      </w:r>
      <w:r w:rsidRPr="009C2ADD">
        <w:rPr>
          <w:rFonts w:ascii="Times New Roman" w:hAnsi="Times New Roman" w:cs="Times New Roman"/>
        </w:rPr>
        <w:t>,</w:t>
      </w:r>
      <w:proofErr w:type="gramEnd"/>
      <w:r w:rsidRPr="009C2ADD">
        <w:rPr>
          <w:rFonts w:ascii="Times New Roman" w:hAnsi="Times New Roman" w:cs="Times New Roman"/>
        </w:rPr>
        <w:t xml:space="preserve"> the colours depict the models in the grid </w:t>
      </w:r>
      <w:r w:rsidRPr="009C2ADD">
        <w:rPr>
          <w:rFonts w:ascii="Times New Roman" w:eastAsia="MS PMincho" w:hAnsi="Times New Roman" w:cs="Times New Roman"/>
        </w:rPr>
        <w:t xml:space="preserve">with the size composition weighting using divisors of 20 and 50. </w:t>
      </w:r>
    </w:p>
    <w:p w14:paraId="44AC9464" w14:textId="524D1A4C" w:rsidR="00D81D18" w:rsidRPr="009C2ADD" w:rsidRDefault="00535BED" w:rsidP="00CE3164">
      <w:pPr>
        <w:pStyle w:val="WCPFC"/>
        <w:numPr>
          <w:ilvl w:val="0"/>
          <w:numId w:val="0"/>
        </w:numPr>
        <w:adjustRightInd w:val="0"/>
        <w:spacing w:after="0"/>
        <w:rPr>
          <w:b/>
        </w:rPr>
      </w:pPr>
      <w:r w:rsidRPr="009C2ADD">
        <w:rPr>
          <w:noProof/>
          <w:lang w:val="en-US" w:eastAsia="ko-KR"/>
        </w:rPr>
        <w:drawing>
          <wp:inline distT="0" distB="0" distL="0" distR="0" wp14:anchorId="735E55AA" wp14:editId="49CA26D2">
            <wp:extent cx="5962389" cy="4566129"/>
            <wp:effectExtent l="0" t="0" r="635" b="635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67932" cy="4570374"/>
                    </a:xfrm>
                    <a:prstGeom prst="rect">
                      <a:avLst/>
                    </a:prstGeom>
                    <a:noFill/>
                    <a:ln>
                      <a:noFill/>
                    </a:ln>
                  </pic:spPr>
                </pic:pic>
              </a:graphicData>
            </a:graphic>
          </wp:inline>
        </w:drawing>
      </w:r>
    </w:p>
    <w:p w14:paraId="2BC59586" w14:textId="45F7A67F" w:rsidR="00212F83" w:rsidRDefault="00212F83" w:rsidP="009C2ADD">
      <w:pPr>
        <w:pStyle w:val="NormalWeb"/>
        <w:adjustRightInd w:val="0"/>
        <w:snapToGrid w:val="0"/>
        <w:rPr>
          <w:rFonts w:ascii="Times New Roman" w:eastAsiaTheme="minorEastAsia" w:hAnsi="Times New Roman" w:cs="Times New Roman"/>
          <w:lang w:eastAsia="ko-KR"/>
        </w:rPr>
      </w:pPr>
      <w:r w:rsidRPr="009C2ADD">
        <w:rPr>
          <w:rFonts w:ascii="Times New Roman" w:hAnsi="Times New Roman" w:cs="Times New Roman"/>
          <w:b/>
          <w:bCs/>
        </w:rPr>
        <w:t xml:space="preserve">Figure YFT-9. </w:t>
      </w:r>
      <w:proofErr w:type="gramStart"/>
      <w:r w:rsidRPr="009C2ADD">
        <w:rPr>
          <w:rFonts w:ascii="Times New Roman" w:hAnsi="Times New Roman" w:cs="Times New Roman"/>
        </w:rPr>
        <w:t>Kobe plot summarising the results for each of the models in the structural uncertainty grid.</w:t>
      </w:r>
      <w:proofErr w:type="gramEnd"/>
      <w:r w:rsidRPr="009C2ADD">
        <w:rPr>
          <w:rFonts w:ascii="Times New Roman" w:hAnsi="Times New Roman" w:cs="Times New Roman"/>
        </w:rPr>
        <w:t xml:space="preserve"> The points represent SB</w:t>
      </w:r>
      <w:r w:rsidRPr="0070772D">
        <w:rPr>
          <w:rFonts w:ascii="Times New Roman" w:hAnsi="Times New Roman" w:cs="Times New Roman"/>
          <w:i/>
          <w:vertAlign w:val="subscript"/>
        </w:rPr>
        <w:t>recent</w:t>
      </w:r>
      <w:r w:rsidRPr="009C2ADD">
        <w:rPr>
          <w:rFonts w:ascii="Times New Roman" w:hAnsi="Times New Roman" w:cs="Times New Roman"/>
        </w:rPr>
        <w:t>/</w:t>
      </w:r>
      <w:proofErr w:type="gramStart"/>
      <w:r w:rsidRPr="009C2ADD">
        <w:rPr>
          <w:rFonts w:ascii="Times New Roman" w:hAnsi="Times New Roman" w:cs="Times New Roman"/>
        </w:rPr>
        <w:t>SB</w:t>
      </w:r>
      <w:r w:rsidR="00300F08" w:rsidRPr="00104C78">
        <w:rPr>
          <w:rFonts w:ascii="Times New Roman" w:hAnsi="Times New Roman"/>
          <w:vertAlign w:val="subscript"/>
        </w:rPr>
        <w:t>MSY</w:t>
      </w:r>
      <w:r w:rsidRPr="009C2ADD">
        <w:rPr>
          <w:rFonts w:ascii="Times New Roman" w:hAnsi="Times New Roman" w:cs="Times New Roman"/>
        </w:rPr>
        <w:t>,</w:t>
      </w:r>
      <w:proofErr w:type="gramEnd"/>
      <w:r w:rsidRPr="009C2ADD">
        <w:rPr>
          <w:rFonts w:ascii="Times New Roman" w:hAnsi="Times New Roman" w:cs="Times New Roman"/>
        </w:rPr>
        <w:t xml:space="preserve"> the colours depict the models in the grid </w:t>
      </w:r>
      <w:r w:rsidRPr="009C2ADD">
        <w:rPr>
          <w:rFonts w:ascii="Times New Roman" w:eastAsia="MS PMincho" w:hAnsi="Times New Roman" w:cs="Times New Roman"/>
        </w:rPr>
        <w:t>with the size composition weighting using divisors of 20 and 50</w:t>
      </w:r>
      <w:r w:rsidRPr="009C2ADD">
        <w:rPr>
          <w:rFonts w:ascii="Times New Roman" w:hAnsi="Times New Roman" w:cs="Times New Roman"/>
        </w:rPr>
        <w:t>.</w:t>
      </w:r>
    </w:p>
    <w:p w14:paraId="5D5DB5FF" w14:textId="77777777" w:rsidR="0048229F" w:rsidRDefault="0048229F" w:rsidP="009C2ADD">
      <w:pPr>
        <w:pStyle w:val="NormalWeb"/>
        <w:adjustRightInd w:val="0"/>
        <w:snapToGrid w:val="0"/>
        <w:rPr>
          <w:rFonts w:ascii="Times New Roman" w:eastAsiaTheme="minorEastAsia" w:hAnsi="Times New Roman" w:cs="Times New Roman"/>
          <w:lang w:eastAsia="ko-K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E3164" w14:paraId="5D67B0BC" w14:textId="77777777" w:rsidTr="00ED2B85">
        <w:tc>
          <w:tcPr>
            <w:tcW w:w="5000" w:type="pct"/>
            <w:vAlign w:val="center"/>
          </w:tcPr>
          <w:p w14:paraId="33801DD9" w14:textId="24C201B8" w:rsidR="00CE3164" w:rsidRDefault="00CE3164" w:rsidP="0070772D">
            <w:pPr>
              <w:pStyle w:val="NormalWeb"/>
              <w:adjustRightInd w:val="0"/>
              <w:snapToGrid w:val="0"/>
              <w:jc w:val="center"/>
              <w:rPr>
                <w:rFonts w:ascii="Times New Roman" w:eastAsiaTheme="minorEastAsia" w:hAnsi="Times New Roman" w:cs="Times New Roman"/>
                <w:lang w:eastAsia="ko-KR"/>
              </w:rPr>
            </w:pPr>
            <w:r>
              <w:rPr>
                <w:noProof/>
                <w:lang w:val="en-US" w:eastAsia="ko-KR"/>
              </w:rPr>
              <w:drawing>
                <wp:inline distT="0" distB="0" distL="0" distR="0" wp14:anchorId="41C8A5CB" wp14:editId="227DB259">
                  <wp:extent cx="3820438" cy="3820438"/>
                  <wp:effectExtent l="0" t="0" r="889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Majuro_Temporal.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12501" cy="3812501"/>
                          </a:xfrm>
                          <a:prstGeom prst="rect">
                            <a:avLst/>
                          </a:prstGeom>
                        </pic:spPr>
                      </pic:pic>
                    </a:graphicData>
                  </a:graphic>
                </wp:inline>
              </w:drawing>
            </w:r>
          </w:p>
        </w:tc>
      </w:tr>
      <w:tr w:rsidR="00CE3164" w14:paraId="0176C46E" w14:textId="77777777" w:rsidTr="00ED2B85">
        <w:tc>
          <w:tcPr>
            <w:tcW w:w="5000" w:type="pct"/>
            <w:vAlign w:val="center"/>
          </w:tcPr>
          <w:p w14:paraId="6ADEA870" w14:textId="3CF11AF5" w:rsidR="00CE3164" w:rsidRDefault="00CE3164" w:rsidP="0070772D">
            <w:pPr>
              <w:pStyle w:val="NormalWeb"/>
              <w:adjustRightInd w:val="0"/>
              <w:snapToGrid w:val="0"/>
              <w:jc w:val="center"/>
              <w:rPr>
                <w:noProof/>
                <w:lang w:val="en-US" w:eastAsia="zh-CN" w:bidi="mn-Mong-CN"/>
              </w:rPr>
            </w:pPr>
            <w:r>
              <w:rPr>
                <w:noProof/>
                <w:lang w:val="en-US" w:eastAsia="ko-KR"/>
              </w:rPr>
              <w:drawing>
                <wp:inline distT="0" distB="0" distL="0" distR="0" wp14:anchorId="08A3F2BD" wp14:editId="5D3EB534">
                  <wp:extent cx="3720230" cy="37202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Kobe_Temporal.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12502" cy="3712502"/>
                          </a:xfrm>
                          <a:prstGeom prst="rect">
                            <a:avLst/>
                          </a:prstGeom>
                        </pic:spPr>
                      </pic:pic>
                    </a:graphicData>
                  </a:graphic>
                </wp:inline>
              </w:drawing>
            </w:r>
          </w:p>
        </w:tc>
      </w:tr>
    </w:tbl>
    <w:p w14:paraId="6F1BDBF7" w14:textId="1E2B4A60" w:rsidR="0048229F" w:rsidRPr="0070772D" w:rsidRDefault="0048229F" w:rsidP="009C2ADD">
      <w:pPr>
        <w:pStyle w:val="NormalWeb"/>
        <w:adjustRightInd w:val="0"/>
        <w:snapToGrid w:val="0"/>
        <w:rPr>
          <w:rFonts w:ascii="Times New Roman" w:eastAsiaTheme="minorEastAsia" w:hAnsi="Times New Roman" w:cs="Times New Roman"/>
          <w:lang w:eastAsia="ko-KR"/>
        </w:rPr>
      </w:pPr>
      <w:r w:rsidRPr="0070772D">
        <w:rPr>
          <w:rFonts w:ascii="Times New Roman" w:eastAsiaTheme="minorEastAsia" w:hAnsi="Times New Roman" w:cs="Times New Roman"/>
          <w:b/>
          <w:bCs/>
          <w:lang w:eastAsia="ko-KR"/>
        </w:rPr>
        <w:t>Figure YFT-10.</w:t>
      </w:r>
      <w:r w:rsidRPr="0070772D">
        <w:rPr>
          <w:rFonts w:ascii="Times New Roman" w:eastAsiaTheme="minorEastAsia" w:hAnsi="Times New Roman" w:cs="Times New Roman"/>
          <w:lang w:eastAsia="ko-KR"/>
        </w:rPr>
        <w:t xml:space="preserve"> </w:t>
      </w:r>
      <w:r w:rsidRPr="0070772D">
        <w:rPr>
          <w:rFonts w:ascii="Times New Roman" w:hAnsi="Times New Roman" w:cs="Times New Roman"/>
        </w:rPr>
        <w:t>Estimated time-series (or “dynamic”) Majuro and Kobe plots from the yellowfin ‘diagnostic case’ model run.</w:t>
      </w:r>
    </w:p>
    <w:p w14:paraId="5605FD4F" w14:textId="77777777" w:rsidR="00212F83" w:rsidRPr="009C2ADD" w:rsidRDefault="00212F83" w:rsidP="009C2ADD">
      <w:pPr>
        <w:pStyle w:val="NormalWeb"/>
        <w:adjustRightInd w:val="0"/>
        <w:snapToGrid w:val="0"/>
        <w:ind w:left="578"/>
        <w:rPr>
          <w:rFonts w:ascii="Times New Roman" w:hAnsi="Times New Roman" w:cs="Times New Roman"/>
          <w:b/>
          <w:bCs/>
        </w:rPr>
      </w:pPr>
    </w:p>
    <w:p w14:paraId="3ED3B26A" w14:textId="459C70DE" w:rsidR="00212F83" w:rsidRPr="009C2ADD" w:rsidRDefault="00535BED" w:rsidP="00ED2B85">
      <w:pPr>
        <w:pStyle w:val="NormalWeb"/>
        <w:adjustRightInd w:val="0"/>
        <w:snapToGrid w:val="0"/>
        <w:rPr>
          <w:rFonts w:ascii="Times New Roman" w:hAnsi="Times New Roman" w:cs="Times New Roman"/>
          <w:b/>
          <w:bCs/>
        </w:rPr>
      </w:pPr>
      <w:r w:rsidRPr="009C2ADD">
        <w:rPr>
          <w:rFonts w:ascii="Times New Roman" w:hAnsi="Times New Roman" w:cs="Times New Roman"/>
          <w:b/>
          <w:noProof/>
          <w:lang w:val="en-US" w:eastAsia="ko-KR"/>
        </w:rPr>
        <w:drawing>
          <wp:inline distT="0" distB="0" distL="0" distR="0" wp14:anchorId="05093DE4" wp14:editId="028481AF">
            <wp:extent cx="5949863" cy="5949863"/>
            <wp:effectExtent l="0" t="0" r="0" b="0"/>
            <wp:docPr id="27" name="Picture 26" descr="plot_fishery_impact_YFT-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ot_fishery_impact_YFT-SSB"/>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6038" cy="5946038"/>
                    </a:xfrm>
                    <a:prstGeom prst="rect">
                      <a:avLst/>
                    </a:prstGeom>
                    <a:noFill/>
                    <a:ln>
                      <a:noFill/>
                    </a:ln>
                  </pic:spPr>
                </pic:pic>
              </a:graphicData>
            </a:graphic>
          </wp:inline>
        </w:drawing>
      </w:r>
    </w:p>
    <w:p w14:paraId="5A7069DE" w14:textId="48BB25B6" w:rsidR="008443B2" w:rsidRPr="009C2ADD" w:rsidRDefault="008443B2" w:rsidP="009C2ADD">
      <w:pPr>
        <w:pStyle w:val="NormalWeb"/>
        <w:adjustRightInd w:val="0"/>
        <w:snapToGrid w:val="0"/>
        <w:jc w:val="left"/>
        <w:rPr>
          <w:rFonts w:ascii="Times New Roman" w:hAnsi="Times New Roman" w:cs="Times New Roman"/>
          <w:bCs/>
          <w:noProof/>
        </w:rPr>
      </w:pPr>
      <w:r w:rsidRPr="009C2ADD">
        <w:rPr>
          <w:rFonts w:ascii="Times New Roman" w:hAnsi="Times New Roman" w:cs="Times New Roman"/>
          <w:b/>
          <w:bCs/>
        </w:rPr>
        <w:t>Figure YFT-1</w:t>
      </w:r>
      <w:r w:rsidR="0048229F">
        <w:rPr>
          <w:rFonts w:ascii="Times New Roman" w:eastAsiaTheme="minorEastAsia" w:hAnsi="Times New Roman" w:cs="Times New Roman" w:hint="eastAsia"/>
          <w:b/>
          <w:bCs/>
          <w:lang w:eastAsia="ko-KR"/>
        </w:rPr>
        <w:t>1</w:t>
      </w:r>
      <w:r w:rsidRPr="009C2ADD">
        <w:rPr>
          <w:rFonts w:ascii="Times New Roman" w:hAnsi="Times New Roman" w:cs="Times New Roman"/>
        </w:rPr>
        <w:t xml:space="preserve">. </w:t>
      </w:r>
      <w:proofErr w:type="gramStart"/>
      <w:r w:rsidRPr="009C2ADD">
        <w:rPr>
          <w:rFonts w:ascii="Times New Roman" w:hAnsi="Times New Roman" w:cs="Times New Roman"/>
        </w:rPr>
        <w:t>Estimates of reduction in spawning potential due to fishing by region, and over all regions (lower right panel), attributed to various fishery groups (gear-types) for the diagnostic case model.</w:t>
      </w:r>
      <w:proofErr w:type="gramEnd"/>
    </w:p>
    <w:p w14:paraId="259A4FED" w14:textId="77777777" w:rsidR="008443B2" w:rsidRPr="009C2ADD" w:rsidRDefault="008443B2" w:rsidP="009C2ADD">
      <w:pPr>
        <w:pStyle w:val="NormalWeb"/>
        <w:adjustRightInd w:val="0"/>
        <w:snapToGrid w:val="0"/>
        <w:ind w:left="578"/>
        <w:rPr>
          <w:rFonts w:ascii="Times New Roman" w:hAnsi="Times New Roman" w:cs="Times New Roman"/>
          <w:b/>
          <w:bCs/>
        </w:rPr>
      </w:pPr>
    </w:p>
    <w:p w14:paraId="624ECBD8" w14:textId="77777777" w:rsidR="009608F1" w:rsidRDefault="009608F1">
      <w:pPr>
        <w:spacing w:after="0"/>
        <w:jc w:val="left"/>
        <w:rPr>
          <w:rFonts w:ascii="Times New Roman" w:eastAsia="MS Mincho" w:hAnsi="Times New Roman"/>
          <w:b/>
          <w:bCs/>
          <w:lang w:val="en-AU" w:eastAsia="en-AU"/>
        </w:rPr>
      </w:pPr>
      <w:r>
        <w:rPr>
          <w:rFonts w:ascii="Times New Roman" w:hAnsi="Times New Roman"/>
          <w:b/>
          <w:bCs/>
        </w:rPr>
        <w:br w:type="page"/>
      </w:r>
    </w:p>
    <w:p w14:paraId="2BF90E9E" w14:textId="148C380B" w:rsidR="008443B2" w:rsidRPr="009C2ADD" w:rsidRDefault="008443B2" w:rsidP="009C2ADD">
      <w:pPr>
        <w:pStyle w:val="NormalWeb"/>
        <w:adjustRightInd w:val="0"/>
        <w:snapToGrid w:val="0"/>
        <w:rPr>
          <w:rFonts w:ascii="Times New Roman" w:hAnsi="Times New Roman" w:cs="Times New Roman"/>
          <w:lang w:eastAsia="zh-TW"/>
        </w:rPr>
      </w:pPr>
      <w:proofErr w:type="gramStart"/>
      <w:r w:rsidRPr="009C2ADD">
        <w:rPr>
          <w:rFonts w:ascii="Times New Roman" w:hAnsi="Times New Roman" w:cs="Times New Roman"/>
          <w:b/>
          <w:bCs/>
        </w:rPr>
        <w:t>Table YFT-2</w:t>
      </w:r>
      <w:r w:rsidRPr="009C2ADD">
        <w:rPr>
          <w:rFonts w:ascii="Times New Roman" w:hAnsi="Times New Roman" w:cs="Times New Roman"/>
        </w:rPr>
        <w:t>.</w:t>
      </w:r>
      <w:proofErr w:type="gramEnd"/>
      <w:r w:rsidRPr="009C2ADD">
        <w:rPr>
          <w:rFonts w:ascii="Times New Roman" w:hAnsi="Times New Roman" w:cs="Times New Roman"/>
        </w:rPr>
        <w:t xml:space="preserve">  Summary of reference points over the 48 models in the structural uncertainty grid retained for management advice using divisors of 20 and 50 for the weighting on the size composition data. Note that SB</w:t>
      </w:r>
      <w:r w:rsidRPr="009C2ADD">
        <w:rPr>
          <w:rFonts w:ascii="Times New Roman" w:hAnsi="Times New Roman" w:cs="Times New Roman"/>
          <w:i/>
          <w:vertAlign w:val="subscript"/>
        </w:rPr>
        <w:t>recent</w:t>
      </w:r>
      <w:r w:rsidRPr="009C2ADD">
        <w:rPr>
          <w:rFonts w:ascii="Times New Roman" w:hAnsi="Times New Roman" w:cs="Times New Roman"/>
        </w:rPr>
        <w:t>/SB</w:t>
      </w:r>
      <w:r w:rsidRPr="009C2ADD">
        <w:rPr>
          <w:rFonts w:ascii="Times New Roman" w:hAnsi="Times New Roman" w:cs="Times New Roman"/>
          <w:i/>
          <w:vertAlign w:val="subscript"/>
        </w:rPr>
        <w:t>F=0</w:t>
      </w:r>
      <w:r w:rsidRPr="009C2ADD">
        <w:rPr>
          <w:rFonts w:ascii="Times New Roman" w:hAnsi="Times New Roman" w:cs="Times New Roman"/>
          <w:i/>
        </w:rPr>
        <w:t xml:space="preserve"> </w:t>
      </w:r>
      <w:r w:rsidRPr="009C2ADD">
        <w:rPr>
          <w:rFonts w:ascii="Times New Roman" w:hAnsi="Times New Roman" w:cs="Times New Roman"/>
        </w:rPr>
        <w:t>is calculated where SB</w:t>
      </w:r>
      <w:r w:rsidRPr="009C2ADD">
        <w:rPr>
          <w:rFonts w:ascii="Times New Roman" w:hAnsi="Times New Roman" w:cs="Times New Roman"/>
          <w:i/>
          <w:vertAlign w:val="subscript"/>
        </w:rPr>
        <w:t>recent</w:t>
      </w:r>
      <w:r w:rsidRPr="009C2ADD">
        <w:rPr>
          <w:rFonts w:ascii="Times New Roman" w:hAnsi="Times New Roman" w:cs="Times New Roman"/>
        </w:rPr>
        <w:t xml:space="preserve"> is the mean SB over 2012-2015 instead of 2011-2014 (used in the stock assessment report), at the request of the Scientific Committee.</w:t>
      </w:r>
    </w:p>
    <w:tbl>
      <w:tblPr>
        <w:tblW w:w="0" w:type="auto"/>
        <w:tblBorders>
          <w:top w:val="single" w:sz="4" w:space="0" w:color="auto"/>
          <w:bottom w:val="single" w:sz="4" w:space="0" w:color="auto"/>
        </w:tblBorders>
        <w:tblLook w:val="04A0" w:firstRow="1" w:lastRow="0" w:firstColumn="1" w:lastColumn="0" w:noHBand="0" w:noVBand="1"/>
      </w:tblPr>
      <w:tblGrid>
        <w:gridCol w:w="1437"/>
        <w:gridCol w:w="1264"/>
        <w:gridCol w:w="1265"/>
        <w:gridCol w:w="1265"/>
        <w:gridCol w:w="1265"/>
        <w:gridCol w:w="1265"/>
        <w:gridCol w:w="1265"/>
      </w:tblGrid>
      <w:tr w:rsidR="00D352AD" w:rsidRPr="009C2ADD" w14:paraId="3C2917B4" w14:textId="77777777" w:rsidTr="0088417D">
        <w:tc>
          <w:tcPr>
            <w:tcW w:w="1437" w:type="dxa"/>
            <w:tcBorders>
              <w:top w:val="single" w:sz="4" w:space="0" w:color="auto"/>
              <w:left w:val="nil"/>
              <w:bottom w:val="single" w:sz="4" w:space="0" w:color="auto"/>
              <w:right w:val="nil"/>
            </w:tcBorders>
            <w:shd w:val="clear" w:color="auto" w:fill="auto"/>
          </w:tcPr>
          <w:p w14:paraId="0CB27CDF" w14:textId="77777777" w:rsidR="008443B2" w:rsidRPr="009C2ADD" w:rsidRDefault="008443B2" w:rsidP="009C2ADD">
            <w:pPr>
              <w:adjustRightInd w:val="0"/>
              <w:snapToGrid w:val="0"/>
              <w:spacing w:after="0"/>
              <w:rPr>
                <w:rFonts w:ascii="Times New Roman" w:eastAsia="PMingLiU" w:hAnsi="Times New Roman"/>
                <w:b/>
                <w:lang w:val="en-AU"/>
              </w:rPr>
            </w:pPr>
          </w:p>
        </w:tc>
        <w:tc>
          <w:tcPr>
            <w:tcW w:w="1264" w:type="dxa"/>
            <w:tcBorders>
              <w:top w:val="single" w:sz="4" w:space="0" w:color="auto"/>
              <w:left w:val="nil"/>
              <w:bottom w:val="single" w:sz="4" w:space="0" w:color="auto"/>
              <w:right w:val="nil"/>
            </w:tcBorders>
            <w:shd w:val="clear" w:color="auto" w:fill="auto"/>
            <w:vAlign w:val="bottom"/>
            <w:hideMark/>
          </w:tcPr>
          <w:p w14:paraId="366D36B4"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Mean</w:t>
            </w:r>
          </w:p>
        </w:tc>
        <w:tc>
          <w:tcPr>
            <w:tcW w:w="1265" w:type="dxa"/>
            <w:tcBorders>
              <w:top w:val="single" w:sz="4" w:space="0" w:color="auto"/>
              <w:left w:val="nil"/>
              <w:bottom w:val="single" w:sz="4" w:space="0" w:color="auto"/>
              <w:right w:val="nil"/>
            </w:tcBorders>
            <w:shd w:val="clear" w:color="auto" w:fill="auto"/>
            <w:vAlign w:val="bottom"/>
            <w:hideMark/>
          </w:tcPr>
          <w:p w14:paraId="16D85A01"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Median</w:t>
            </w:r>
          </w:p>
        </w:tc>
        <w:tc>
          <w:tcPr>
            <w:tcW w:w="1265" w:type="dxa"/>
            <w:tcBorders>
              <w:top w:val="single" w:sz="4" w:space="0" w:color="auto"/>
              <w:left w:val="nil"/>
              <w:bottom w:val="single" w:sz="4" w:space="0" w:color="auto"/>
              <w:right w:val="nil"/>
            </w:tcBorders>
            <w:shd w:val="clear" w:color="auto" w:fill="auto"/>
            <w:vAlign w:val="bottom"/>
            <w:hideMark/>
          </w:tcPr>
          <w:p w14:paraId="05019E33"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Min</w:t>
            </w:r>
          </w:p>
        </w:tc>
        <w:tc>
          <w:tcPr>
            <w:tcW w:w="1265" w:type="dxa"/>
            <w:tcBorders>
              <w:top w:val="single" w:sz="4" w:space="0" w:color="auto"/>
              <w:left w:val="nil"/>
              <w:bottom w:val="single" w:sz="4" w:space="0" w:color="auto"/>
              <w:right w:val="nil"/>
            </w:tcBorders>
            <w:shd w:val="clear" w:color="auto" w:fill="auto"/>
            <w:vAlign w:val="bottom"/>
            <w:hideMark/>
          </w:tcPr>
          <w:p w14:paraId="2A1EC918"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10%</w:t>
            </w:r>
          </w:p>
        </w:tc>
        <w:tc>
          <w:tcPr>
            <w:tcW w:w="1265" w:type="dxa"/>
            <w:tcBorders>
              <w:top w:val="single" w:sz="4" w:space="0" w:color="auto"/>
              <w:left w:val="nil"/>
              <w:bottom w:val="single" w:sz="4" w:space="0" w:color="auto"/>
              <w:right w:val="nil"/>
            </w:tcBorders>
            <w:shd w:val="clear" w:color="auto" w:fill="auto"/>
            <w:vAlign w:val="bottom"/>
            <w:hideMark/>
          </w:tcPr>
          <w:p w14:paraId="7A156AE4"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90%</w:t>
            </w:r>
          </w:p>
        </w:tc>
        <w:tc>
          <w:tcPr>
            <w:tcW w:w="1265" w:type="dxa"/>
            <w:tcBorders>
              <w:top w:val="single" w:sz="4" w:space="0" w:color="auto"/>
              <w:left w:val="nil"/>
              <w:bottom w:val="single" w:sz="4" w:space="0" w:color="auto"/>
              <w:right w:val="nil"/>
            </w:tcBorders>
            <w:shd w:val="clear" w:color="auto" w:fill="auto"/>
            <w:vAlign w:val="bottom"/>
            <w:hideMark/>
          </w:tcPr>
          <w:p w14:paraId="22B2B07B" w14:textId="77777777" w:rsidR="008443B2" w:rsidRPr="009C2ADD" w:rsidRDefault="008443B2" w:rsidP="009C2ADD">
            <w:pPr>
              <w:adjustRightInd w:val="0"/>
              <w:snapToGrid w:val="0"/>
              <w:spacing w:after="0"/>
              <w:jc w:val="center"/>
              <w:rPr>
                <w:rFonts w:ascii="Times New Roman" w:eastAsia="PMingLiU" w:hAnsi="Times New Roman"/>
                <w:b/>
                <w:lang w:val="en-AU"/>
              </w:rPr>
            </w:pPr>
            <w:r w:rsidRPr="009C2ADD">
              <w:rPr>
                <w:rFonts w:ascii="Times New Roman" w:eastAsia="PMingLiU" w:hAnsi="Times New Roman"/>
                <w:b/>
                <w:lang w:val="en-AU"/>
              </w:rPr>
              <w:t>Max</w:t>
            </w:r>
          </w:p>
        </w:tc>
      </w:tr>
      <w:tr w:rsidR="00D352AD" w:rsidRPr="009C2ADD" w14:paraId="40998574" w14:textId="77777777" w:rsidTr="0088417D">
        <w:tc>
          <w:tcPr>
            <w:tcW w:w="1437" w:type="dxa"/>
            <w:tcBorders>
              <w:top w:val="single" w:sz="4" w:space="0" w:color="auto"/>
              <w:left w:val="nil"/>
              <w:bottom w:val="nil"/>
              <w:right w:val="nil"/>
            </w:tcBorders>
            <w:shd w:val="clear" w:color="auto" w:fill="auto"/>
            <w:hideMark/>
          </w:tcPr>
          <w:p w14:paraId="0F7F3700"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C</w:t>
            </w:r>
            <w:r w:rsidRPr="0070772D">
              <w:rPr>
                <w:rFonts w:ascii="Times New Roman" w:eastAsia="PMingLiU" w:hAnsi="Times New Roman"/>
                <w:i/>
                <w:vertAlign w:val="subscript"/>
                <w:lang w:val="en-AU"/>
              </w:rPr>
              <w:t>latest</w:t>
            </w:r>
          </w:p>
        </w:tc>
        <w:tc>
          <w:tcPr>
            <w:tcW w:w="1264" w:type="dxa"/>
            <w:tcBorders>
              <w:top w:val="single" w:sz="4" w:space="0" w:color="auto"/>
              <w:left w:val="nil"/>
              <w:bottom w:val="nil"/>
              <w:right w:val="nil"/>
            </w:tcBorders>
            <w:shd w:val="clear" w:color="auto" w:fill="auto"/>
            <w:vAlign w:val="bottom"/>
            <w:hideMark/>
          </w:tcPr>
          <w:p w14:paraId="1E6DAFFA"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611,982</w:t>
            </w:r>
          </w:p>
        </w:tc>
        <w:tc>
          <w:tcPr>
            <w:tcW w:w="1265" w:type="dxa"/>
            <w:tcBorders>
              <w:top w:val="single" w:sz="4" w:space="0" w:color="auto"/>
              <w:left w:val="nil"/>
              <w:bottom w:val="nil"/>
              <w:right w:val="nil"/>
            </w:tcBorders>
            <w:shd w:val="clear" w:color="auto" w:fill="auto"/>
            <w:vAlign w:val="bottom"/>
            <w:hideMark/>
          </w:tcPr>
          <w:p w14:paraId="7104CD67"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612,592</w:t>
            </w:r>
          </w:p>
        </w:tc>
        <w:tc>
          <w:tcPr>
            <w:tcW w:w="1265" w:type="dxa"/>
            <w:tcBorders>
              <w:top w:val="single" w:sz="4" w:space="0" w:color="auto"/>
              <w:left w:val="nil"/>
              <w:bottom w:val="nil"/>
              <w:right w:val="nil"/>
            </w:tcBorders>
            <w:shd w:val="clear" w:color="auto" w:fill="auto"/>
            <w:vAlign w:val="bottom"/>
            <w:hideMark/>
          </w:tcPr>
          <w:p w14:paraId="6048E279"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606,762</w:t>
            </w:r>
          </w:p>
        </w:tc>
        <w:tc>
          <w:tcPr>
            <w:tcW w:w="1265" w:type="dxa"/>
            <w:tcBorders>
              <w:top w:val="single" w:sz="4" w:space="0" w:color="auto"/>
              <w:left w:val="nil"/>
              <w:bottom w:val="nil"/>
              <w:right w:val="nil"/>
            </w:tcBorders>
            <w:shd w:val="clear" w:color="auto" w:fill="auto"/>
            <w:vAlign w:val="bottom"/>
            <w:hideMark/>
          </w:tcPr>
          <w:p w14:paraId="6725381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607,517</w:t>
            </w:r>
          </w:p>
        </w:tc>
        <w:tc>
          <w:tcPr>
            <w:tcW w:w="1265" w:type="dxa"/>
            <w:tcBorders>
              <w:top w:val="single" w:sz="4" w:space="0" w:color="auto"/>
              <w:left w:val="nil"/>
              <w:bottom w:val="nil"/>
              <w:right w:val="nil"/>
            </w:tcBorders>
            <w:shd w:val="clear" w:color="auto" w:fill="auto"/>
            <w:vAlign w:val="bottom"/>
            <w:hideMark/>
          </w:tcPr>
          <w:p w14:paraId="19E6898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614,237</w:t>
            </w:r>
          </w:p>
        </w:tc>
        <w:tc>
          <w:tcPr>
            <w:tcW w:w="1265" w:type="dxa"/>
            <w:tcBorders>
              <w:top w:val="single" w:sz="4" w:space="0" w:color="auto"/>
              <w:left w:val="nil"/>
              <w:bottom w:val="nil"/>
              <w:right w:val="nil"/>
            </w:tcBorders>
            <w:shd w:val="clear" w:color="auto" w:fill="auto"/>
            <w:vAlign w:val="bottom"/>
            <w:hideMark/>
          </w:tcPr>
          <w:p w14:paraId="3C37B7F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614,801</w:t>
            </w:r>
          </w:p>
        </w:tc>
      </w:tr>
      <w:tr w:rsidR="00D352AD" w:rsidRPr="009C2ADD" w14:paraId="71F4B95D" w14:textId="77777777" w:rsidTr="0088417D">
        <w:tc>
          <w:tcPr>
            <w:tcW w:w="1437" w:type="dxa"/>
            <w:tcBorders>
              <w:top w:val="nil"/>
              <w:left w:val="nil"/>
              <w:bottom w:val="nil"/>
              <w:right w:val="nil"/>
            </w:tcBorders>
            <w:shd w:val="clear" w:color="auto" w:fill="auto"/>
            <w:hideMark/>
          </w:tcPr>
          <w:p w14:paraId="5CA17D3E"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MSY</w:t>
            </w:r>
          </w:p>
        </w:tc>
        <w:tc>
          <w:tcPr>
            <w:tcW w:w="1264" w:type="dxa"/>
            <w:tcBorders>
              <w:top w:val="nil"/>
              <w:left w:val="nil"/>
              <w:bottom w:val="nil"/>
              <w:right w:val="nil"/>
            </w:tcBorders>
            <w:shd w:val="clear" w:color="auto" w:fill="auto"/>
            <w:vAlign w:val="bottom"/>
            <w:hideMark/>
          </w:tcPr>
          <w:p w14:paraId="3A4EA604"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670,658</w:t>
            </w:r>
          </w:p>
        </w:tc>
        <w:tc>
          <w:tcPr>
            <w:tcW w:w="1265" w:type="dxa"/>
            <w:tcBorders>
              <w:top w:val="nil"/>
              <w:left w:val="nil"/>
              <w:bottom w:val="nil"/>
              <w:right w:val="nil"/>
            </w:tcBorders>
            <w:shd w:val="clear" w:color="auto" w:fill="auto"/>
            <w:vAlign w:val="bottom"/>
            <w:hideMark/>
          </w:tcPr>
          <w:p w14:paraId="7643AFE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670,800</w:t>
            </w:r>
          </w:p>
        </w:tc>
        <w:tc>
          <w:tcPr>
            <w:tcW w:w="1265" w:type="dxa"/>
            <w:tcBorders>
              <w:top w:val="nil"/>
              <w:left w:val="nil"/>
              <w:bottom w:val="nil"/>
              <w:right w:val="nil"/>
            </w:tcBorders>
            <w:shd w:val="clear" w:color="auto" w:fill="auto"/>
            <w:vAlign w:val="bottom"/>
            <w:hideMark/>
          </w:tcPr>
          <w:p w14:paraId="1DC049E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539,200</w:t>
            </w:r>
          </w:p>
        </w:tc>
        <w:tc>
          <w:tcPr>
            <w:tcW w:w="1265" w:type="dxa"/>
            <w:tcBorders>
              <w:top w:val="nil"/>
              <w:left w:val="nil"/>
              <w:bottom w:val="nil"/>
              <w:right w:val="nil"/>
            </w:tcBorders>
            <w:shd w:val="clear" w:color="auto" w:fill="auto"/>
            <w:vAlign w:val="bottom"/>
            <w:hideMark/>
          </w:tcPr>
          <w:p w14:paraId="74E0B94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601,480</w:t>
            </w:r>
          </w:p>
        </w:tc>
        <w:tc>
          <w:tcPr>
            <w:tcW w:w="1265" w:type="dxa"/>
            <w:tcBorders>
              <w:top w:val="nil"/>
              <w:left w:val="nil"/>
              <w:bottom w:val="nil"/>
              <w:right w:val="nil"/>
            </w:tcBorders>
            <w:shd w:val="clear" w:color="auto" w:fill="auto"/>
            <w:vAlign w:val="bottom"/>
            <w:hideMark/>
          </w:tcPr>
          <w:p w14:paraId="6C30AAC3"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735,280</w:t>
            </w:r>
          </w:p>
        </w:tc>
        <w:tc>
          <w:tcPr>
            <w:tcW w:w="1265" w:type="dxa"/>
            <w:tcBorders>
              <w:top w:val="nil"/>
              <w:left w:val="nil"/>
              <w:bottom w:val="nil"/>
              <w:right w:val="nil"/>
            </w:tcBorders>
            <w:shd w:val="clear" w:color="auto" w:fill="auto"/>
            <w:vAlign w:val="bottom"/>
            <w:hideMark/>
          </w:tcPr>
          <w:p w14:paraId="2213F041"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795,200</w:t>
            </w:r>
          </w:p>
        </w:tc>
      </w:tr>
      <w:tr w:rsidR="00D352AD" w:rsidRPr="009C2ADD" w14:paraId="168DB291" w14:textId="77777777" w:rsidTr="0088417D">
        <w:tc>
          <w:tcPr>
            <w:tcW w:w="1437" w:type="dxa"/>
            <w:tcBorders>
              <w:top w:val="nil"/>
              <w:left w:val="nil"/>
              <w:bottom w:val="nil"/>
              <w:right w:val="nil"/>
            </w:tcBorders>
            <w:shd w:val="clear" w:color="auto" w:fill="auto"/>
            <w:hideMark/>
          </w:tcPr>
          <w:p w14:paraId="54781720"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Y</w:t>
            </w:r>
            <w:r w:rsidRPr="0070772D">
              <w:rPr>
                <w:rFonts w:ascii="Times New Roman" w:eastAsia="PMingLiU" w:hAnsi="Times New Roman"/>
                <w:i/>
                <w:vertAlign w:val="subscript"/>
                <w:lang w:val="en-AU"/>
              </w:rPr>
              <w:t>Frecent</w:t>
            </w:r>
          </w:p>
        </w:tc>
        <w:tc>
          <w:tcPr>
            <w:tcW w:w="1264" w:type="dxa"/>
            <w:tcBorders>
              <w:top w:val="nil"/>
              <w:left w:val="nil"/>
              <w:bottom w:val="nil"/>
              <w:right w:val="nil"/>
            </w:tcBorders>
            <w:shd w:val="clear" w:color="auto" w:fill="auto"/>
            <w:vAlign w:val="bottom"/>
            <w:hideMark/>
          </w:tcPr>
          <w:p w14:paraId="1E1C07A9"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646,075</w:t>
            </w:r>
          </w:p>
        </w:tc>
        <w:tc>
          <w:tcPr>
            <w:tcW w:w="1265" w:type="dxa"/>
            <w:tcBorders>
              <w:top w:val="nil"/>
              <w:left w:val="nil"/>
              <w:bottom w:val="nil"/>
              <w:right w:val="nil"/>
            </w:tcBorders>
            <w:shd w:val="clear" w:color="auto" w:fill="auto"/>
            <w:vAlign w:val="bottom"/>
            <w:hideMark/>
          </w:tcPr>
          <w:p w14:paraId="345E9A7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643,400</w:t>
            </w:r>
          </w:p>
        </w:tc>
        <w:tc>
          <w:tcPr>
            <w:tcW w:w="1265" w:type="dxa"/>
            <w:tcBorders>
              <w:top w:val="nil"/>
              <w:left w:val="nil"/>
              <w:bottom w:val="nil"/>
              <w:right w:val="nil"/>
            </w:tcBorders>
            <w:shd w:val="clear" w:color="auto" w:fill="auto"/>
            <w:vAlign w:val="bottom"/>
            <w:hideMark/>
          </w:tcPr>
          <w:p w14:paraId="2C597AD0"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534,400</w:t>
            </w:r>
          </w:p>
        </w:tc>
        <w:tc>
          <w:tcPr>
            <w:tcW w:w="1265" w:type="dxa"/>
            <w:tcBorders>
              <w:top w:val="nil"/>
              <w:left w:val="nil"/>
              <w:bottom w:val="nil"/>
              <w:right w:val="nil"/>
            </w:tcBorders>
            <w:shd w:val="clear" w:color="auto" w:fill="auto"/>
            <w:vAlign w:val="bottom"/>
            <w:hideMark/>
          </w:tcPr>
          <w:p w14:paraId="7FC94963"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586,120</w:t>
            </w:r>
          </w:p>
        </w:tc>
        <w:tc>
          <w:tcPr>
            <w:tcW w:w="1265" w:type="dxa"/>
            <w:tcBorders>
              <w:top w:val="nil"/>
              <w:left w:val="nil"/>
              <w:bottom w:val="nil"/>
              <w:right w:val="nil"/>
            </w:tcBorders>
            <w:shd w:val="clear" w:color="auto" w:fill="auto"/>
            <w:vAlign w:val="bottom"/>
            <w:hideMark/>
          </w:tcPr>
          <w:p w14:paraId="6811544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717,880</w:t>
            </w:r>
          </w:p>
        </w:tc>
        <w:tc>
          <w:tcPr>
            <w:tcW w:w="1265" w:type="dxa"/>
            <w:tcBorders>
              <w:top w:val="nil"/>
              <w:left w:val="nil"/>
              <w:bottom w:val="nil"/>
              <w:right w:val="nil"/>
            </w:tcBorders>
            <w:shd w:val="clear" w:color="auto" w:fill="auto"/>
            <w:vAlign w:val="bottom"/>
            <w:hideMark/>
          </w:tcPr>
          <w:p w14:paraId="7BDADE43"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739,600</w:t>
            </w:r>
          </w:p>
        </w:tc>
      </w:tr>
      <w:tr w:rsidR="00D352AD" w:rsidRPr="009C2ADD" w14:paraId="075AAA3C" w14:textId="77777777" w:rsidTr="0088417D">
        <w:tc>
          <w:tcPr>
            <w:tcW w:w="1437" w:type="dxa"/>
            <w:tcBorders>
              <w:top w:val="nil"/>
              <w:left w:val="nil"/>
              <w:bottom w:val="nil"/>
              <w:right w:val="nil"/>
            </w:tcBorders>
            <w:shd w:val="clear" w:color="auto" w:fill="auto"/>
            <w:hideMark/>
          </w:tcPr>
          <w:p w14:paraId="550832D3"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Pr="0070772D">
              <w:rPr>
                <w:rFonts w:ascii="Times New Roman" w:eastAsia="PMingLiU" w:hAnsi="Times New Roman"/>
                <w:i/>
                <w:vertAlign w:val="subscript"/>
                <w:lang w:val="en-AU"/>
              </w:rPr>
              <w:t>mult</w:t>
            </w:r>
          </w:p>
        </w:tc>
        <w:tc>
          <w:tcPr>
            <w:tcW w:w="1264" w:type="dxa"/>
            <w:tcBorders>
              <w:top w:val="nil"/>
              <w:left w:val="nil"/>
              <w:bottom w:val="nil"/>
              <w:right w:val="nil"/>
            </w:tcBorders>
            <w:shd w:val="clear" w:color="auto" w:fill="auto"/>
            <w:vAlign w:val="bottom"/>
            <w:hideMark/>
          </w:tcPr>
          <w:p w14:paraId="3692B3C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1.34</w:t>
            </w:r>
          </w:p>
        </w:tc>
        <w:tc>
          <w:tcPr>
            <w:tcW w:w="1265" w:type="dxa"/>
            <w:tcBorders>
              <w:top w:val="nil"/>
              <w:left w:val="nil"/>
              <w:bottom w:val="nil"/>
              <w:right w:val="nil"/>
            </w:tcBorders>
            <w:shd w:val="clear" w:color="auto" w:fill="auto"/>
            <w:vAlign w:val="bottom"/>
            <w:hideMark/>
          </w:tcPr>
          <w:p w14:paraId="35088F9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1.36</w:t>
            </w:r>
          </w:p>
        </w:tc>
        <w:tc>
          <w:tcPr>
            <w:tcW w:w="1265" w:type="dxa"/>
            <w:tcBorders>
              <w:top w:val="nil"/>
              <w:left w:val="nil"/>
              <w:bottom w:val="nil"/>
              <w:right w:val="nil"/>
            </w:tcBorders>
            <w:shd w:val="clear" w:color="auto" w:fill="auto"/>
            <w:vAlign w:val="bottom"/>
            <w:hideMark/>
          </w:tcPr>
          <w:p w14:paraId="2478B48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0.88</w:t>
            </w:r>
          </w:p>
        </w:tc>
        <w:tc>
          <w:tcPr>
            <w:tcW w:w="1265" w:type="dxa"/>
            <w:tcBorders>
              <w:top w:val="nil"/>
              <w:left w:val="nil"/>
              <w:bottom w:val="nil"/>
              <w:right w:val="nil"/>
            </w:tcBorders>
            <w:shd w:val="clear" w:color="auto" w:fill="auto"/>
            <w:vAlign w:val="bottom"/>
            <w:hideMark/>
          </w:tcPr>
          <w:p w14:paraId="45B336E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1.03</w:t>
            </w:r>
          </w:p>
        </w:tc>
        <w:tc>
          <w:tcPr>
            <w:tcW w:w="1265" w:type="dxa"/>
            <w:tcBorders>
              <w:top w:val="nil"/>
              <w:left w:val="nil"/>
              <w:bottom w:val="nil"/>
              <w:right w:val="nil"/>
            </w:tcBorders>
            <w:shd w:val="clear" w:color="auto" w:fill="auto"/>
            <w:vAlign w:val="bottom"/>
            <w:hideMark/>
          </w:tcPr>
          <w:p w14:paraId="074DFFC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1.61</w:t>
            </w:r>
          </w:p>
        </w:tc>
        <w:tc>
          <w:tcPr>
            <w:tcW w:w="1265" w:type="dxa"/>
            <w:tcBorders>
              <w:top w:val="nil"/>
              <w:left w:val="nil"/>
              <w:bottom w:val="nil"/>
              <w:right w:val="nil"/>
            </w:tcBorders>
            <w:shd w:val="clear" w:color="auto" w:fill="auto"/>
            <w:vAlign w:val="bottom"/>
            <w:hideMark/>
          </w:tcPr>
          <w:p w14:paraId="565B4B0A"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1.86</w:t>
            </w:r>
          </w:p>
        </w:tc>
      </w:tr>
      <w:tr w:rsidR="00D352AD" w:rsidRPr="009C2ADD" w14:paraId="35BC7E9C" w14:textId="77777777" w:rsidTr="0088417D">
        <w:tc>
          <w:tcPr>
            <w:tcW w:w="1437" w:type="dxa"/>
            <w:tcBorders>
              <w:top w:val="nil"/>
              <w:left w:val="nil"/>
              <w:bottom w:val="nil"/>
              <w:right w:val="nil"/>
            </w:tcBorders>
            <w:shd w:val="clear" w:color="auto" w:fill="auto"/>
            <w:hideMark/>
          </w:tcPr>
          <w:p w14:paraId="3C416CFB" w14:textId="4EA28D36"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00300F08"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34FEA0F7"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0.12</w:t>
            </w:r>
          </w:p>
        </w:tc>
        <w:tc>
          <w:tcPr>
            <w:tcW w:w="1265" w:type="dxa"/>
            <w:tcBorders>
              <w:top w:val="nil"/>
              <w:left w:val="nil"/>
              <w:bottom w:val="nil"/>
              <w:right w:val="nil"/>
            </w:tcBorders>
            <w:shd w:val="clear" w:color="auto" w:fill="auto"/>
            <w:vAlign w:val="bottom"/>
            <w:hideMark/>
          </w:tcPr>
          <w:p w14:paraId="2771FE0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0.12</w:t>
            </w:r>
          </w:p>
        </w:tc>
        <w:tc>
          <w:tcPr>
            <w:tcW w:w="1265" w:type="dxa"/>
            <w:tcBorders>
              <w:top w:val="nil"/>
              <w:left w:val="nil"/>
              <w:bottom w:val="nil"/>
              <w:right w:val="nil"/>
            </w:tcBorders>
            <w:shd w:val="clear" w:color="auto" w:fill="auto"/>
            <w:vAlign w:val="bottom"/>
            <w:hideMark/>
          </w:tcPr>
          <w:p w14:paraId="5B2ADAE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0.07</w:t>
            </w:r>
          </w:p>
        </w:tc>
        <w:tc>
          <w:tcPr>
            <w:tcW w:w="1265" w:type="dxa"/>
            <w:tcBorders>
              <w:top w:val="nil"/>
              <w:left w:val="nil"/>
              <w:bottom w:val="nil"/>
              <w:right w:val="nil"/>
            </w:tcBorders>
            <w:shd w:val="clear" w:color="auto" w:fill="auto"/>
            <w:vAlign w:val="bottom"/>
            <w:hideMark/>
          </w:tcPr>
          <w:p w14:paraId="161DE9DA"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0.10</w:t>
            </w:r>
          </w:p>
        </w:tc>
        <w:tc>
          <w:tcPr>
            <w:tcW w:w="1265" w:type="dxa"/>
            <w:tcBorders>
              <w:top w:val="nil"/>
              <w:left w:val="nil"/>
              <w:bottom w:val="nil"/>
              <w:right w:val="nil"/>
            </w:tcBorders>
            <w:shd w:val="clear" w:color="auto" w:fill="auto"/>
            <w:vAlign w:val="bottom"/>
            <w:hideMark/>
          </w:tcPr>
          <w:p w14:paraId="14A120A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0.14</w:t>
            </w:r>
          </w:p>
        </w:tc>
        <w:tc>
          <w:tcPr>
            <w:tcW w:w="1265" w:type="dxa"/>
            <w:tcBorders>
              <w:top w:val="nil"/>
              <w:left w:val="nil"/>
              <w:bottom w:val="nil"/>
              <w:right w:val="nil"/>
            </w:tcBorders>
            <w:shd w:val="clear" w:color="auto" w:fill="auto"/>
            <w:vAlign w:val="bottom"/>
            <w:hideMark/>
          </w:tcPr>
          <w:p w14:paraId="046F1D1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r>
      <w:tr w:rsidR="00D352AD" w:rsidRPr="009C2ADD" w14:paraId="0DE99DC3" w14:textId="77777777" w:rsidTr="0088417D">
        <w:tc>
          <w:tcPr>
            <w:tcW w:w="1437" w:type="dxa"/>
            <w:tcBorders>
              <w:top w:val="nil"/>
              <w:left w:val="nil"/>
              <w:bottom w:val="nil"/>
              <w:right w:val="nil"/>
            </w:tcBorders>
            <w:shd w:val="clear" w:color="auto" w:fill="auto"/>
            <w:hideMark/>
          </w:tcPr>
          <w:p w14:paraId="1B51EC6F" w14:textId="4D101F24"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F</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/F</w:t>
            </w:r>
            <w:r w:rsidR="00300F08"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30E815E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0.77</w:t>
            </w:r>
          </w:p>
        </w:tc>
        <w:tc>
          <w:tcPr>
            <w:tcW w:w="1265" w:type="dxa"/>
            <w:tcBorders>
              <w:top w:val="nil"/>
              <w:left w:val="nil"/>
              <w:bottom w:val="nil"/>
              <w:right w:val="nil"/>
            </w:tcBorders>
            <w:shd w:val="clear" w:color="auto" w:fill="auto"/>
            <w:vAlign w:val="bottom"/>
            <w:hideMark/>
          </w:tcPr>
          <w:p w14:paraId="529DD00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0.74</w:t>
            </w:r>
          </w:p>
        </w:tc>
        <w:tc>
          <w:tcPr>
            <w:tcW w:w="1265" w:type="dxa"/>
            <w:tcBorders>
              <w:top w:val="nil"/>
              <w:left w:val="nil"/>
              <w:bottom w:val="nil"/>
              <w:right w:val="nil"/>
            </w:tcBorders>
            <w:shd w:val="clear" w:color="auto" w:fill="auto"/>
            <w:vAlign w:val="bottom"/>
            <w:hideMark/>
          </w:tcPr>
          <w:p w14:paraId="0B429FD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0.54</w:t>
            </w:r>
          </w:p>
        </w:tc>
        <w:tc>
          <w:tcPr>
            <w:tcW w:w="1265" w:type="dxa"/>
            <w:tcBorders>
              <w:top w:val="nil"/>
              <w:left w:val="nil"/>
              <w:bottom w:val="nil"/>
              <w:right w:val="nil"/>
            </w:tcBorders>
            <w:shd w:val="clear" w:color="auto" w:fill="auto"/>
            <w:vAlign w:val="bottom"/>
            <w:hideMark/>
          </w:tcPr>
          <w:p w14:paraId="15F9F7C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0.62</w:t>
            </w:r>
          </w:p>
        </w:tc>
        <w:tc>
          <w:tcPr>
            <w:tcW w:w="1265" w:type="dxa"/>
            <w:tcBorders>
              <w:top w:val="nil"/>
              <w:left w:val="nil"/>
              <w:bottom w:val="nil"/>
              <w:right w:val="nil"/>
            </w:tcBorders>
            <w:shd w:val="clear" w:color="auto" w:fill="auto"/>
            <w:vAlign w:val="bottom"/>
            <w:hideMark/>
          </w:tcPr>
          <w:p w14:paraId="31A2975B"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0.97</w:t>
            </w:r>
          </w:p>
        </w:tc>
        <w:tc>
          <w:tcPr>
            <w:tcW w:w="1265" w:type="dxa"/>
            <w:tcBorders>
              <w:top w:val="nil"/>
              <w:left w:val="nil"/>
              <w:bottom w:val="nil"/>
              <w:right w:val="nil"/>
            </w:tcBorders>
            <w:shd w:val="clear" w:color="auto" w:fill="auto"/>
            <w:vAlign w:val="bottom"/>
            <w:hideMark/>
          </w:tcPr>
          <w:p w14:paraId="45955BA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1.13</w:t>
            </w:r>
          </w:p>
        </w:tc>
      </w:tr>
      <w:tr w:rsidR="00D352AD" w:rsidRPr="009C2ADD" w14:paraId="3E8ABFC0" w14:textId="77777777" w:rsidTr="0088417D">
        <w:tc>
          <w:tcPr>
            <w:tcW w:w="1437" w:type="dxa"/>
            <w:tcBorders>
              <w:top w:val="nil"/>
              <w:left w:val="nil"/>
              <w:bottom w:val="nil"/>
              <w:right w:val="nil"/>
            </w:tcBorders>
            <w:shd w:val="clear" w:color="auto" w:fill="auto"/>
            <w:hideMark/>
          </w:tcPr>
          <w:p w14:paraId="56560CFE" w14:textId="7E878FB3"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00300F08"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3E3D4D3B"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544,762</w:t>
            </w:r>
          </w:p>
        </w:tc>
        <w:tc>
          <w:tcPr>
            <w:tcW w:w="1265" w:type="dxa"/>
            <w:tcBorders>
              <w:top w:val="nil"/>
              <w:left w:val="nil"/>
              <w:bottom w:val="nil"/>
              <w:right w:val="nil"/>
            </w:tcBorders>
            <w:shd w:val="clear" w:color="auto" w:fill="auto"/>
            <w:vAlign w:val="bottom"/>
            <w:hideMark/>
          </w:tcPr>
          <w:p w14:paraId="50C8ABE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581,400</w:t>
            </w:r>
          </w:p>
        </w:tc>
        <w:tc>
          <w:tcPr>
            <w:tcW w:w="1265" w:type="dxa"/>
            <w:tcBorders>
              <w:top w:val="nil"/>
              <w:left w:val="nil"/>
              <w:bottom w:val="nil"/>
              <w:right w:val="nil"/>
            </w:tcBorders>
            <w:shd w:val="clear" w:color="auto" w:fill="auto"/>
            <w:vAlign w:val="bottom"/>
            <w:hideMark/>
          </w:tcPr>
          <w:p w14:paraId="3D784E4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186,800</w:t>
            </w:r>
          </w:p>
        </w:tc>
        <w:tc>
          <w:tcPr>
            <w:tcW w:w="1265" w:type="dxa"/>
            <w:tcBorders>
              <w:top w:val="nil"/>
              <w:left w:val="nil"/>
              <w:bottom w:val="nil"/>
              <w:right w:val="nil"/>
            </w:tcBorders>
            <w:shd w:val="clear" w:color="auto" w:fill="auto"/>
            <w:vAlign w:val="bottom"/>
            <w:hideMark/>
          </w:tcPr>
          <w:p w14:paraId="4B5F056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253,320</w:t>
            </w:r>
          </w:p>
        </w:tc>
        <w:tc>
          <w:tcPr>
            <w:tcW w:w="1265" w:type="dxa"/>
            <w:tcBorders>
              <w:top w:val="nil"/>
              <w:left w:val="nil"/>
              <w:bottom w:val="nil"/>
              <w:right w:val="nil"/>
            </w:tcBorders>
            <w:shd w:val="clear" w:color="auto" w:fill="auto"/>
            <w:vAlign w:val="bottom"/>
            <w:hideMark/>
          </w:tcPr>
          <w:p w14:paraId="1760236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786,260</w:t>
            </w:r>
          </w:p>
        </w:tc>
        <w:tc>
          <w:tcPr>
            <w:tcW w:w="1265" w:type="dxa"/>
            <w:tcBorders>
              <w:top w:val="nil"/>
              <w:left w:val="nil"/>
              <w:bottom w:val="nil"/>
              <w:right w:val="nil"/>
            </w:tcBorders>
            <w:shd w:val="clear" w:color="auto" w:fill="auto"/>
            <w:vAlign w:val="bottom"/>
            <w:hideMark/>
          </w:tcPr>
          <w:p w14:paraId="5E3BFDF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946,800</w:t>
            </w:r>
          </w:p>
        </w:tc>
      </w:tr>
      <w:tr w:rsidR="00D352AD" w:rsidRPr="009C2ADD" w14:paraId="67AC1658" w14:textId="77777777" w:rsidTr="0088417D">
        <w:tc>
          <w:tcPr>
            <w:tcW w:w="1437" w:type="dxa"/>
            <w:tcBorders>
              <w:top w:val="nil"/>
              <w:left w:val="nil"/>
              <w:bottom w:val="nil"/>
              <w:right w:val="nil"/>
            </w:tcBorders>
            <w:shd w:val="clear" w:color="auto" w:fill="auto"/>
            <w:hideMark/>
          </w:tcPr>
          <w:p w14:paraId="6BEB0C7A"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334A9B7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2,199,750</w:t>
            </w:r>
          </w:p>
        </w:tc>
        <w:tc>
          <w:tcPr>
            <w:tcW w:w="1265" w:type="dxa"/>
            <w:tcBorders>
              <w:top w:val="nil"/>
              <w:left w:val="nil"/>
              <w:bottom w:val="nil"/>
              <w:right w:val="nil"/>
            </w:tcBorders>
            <w:shd w:val="clear" w:color="auto" w:fill="auto"/>
            <w:vAlign w:val="bottom"/>
            <w:hideMark/>
          </w:tcPr>
          <w:p w14:paraId="503AAA2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2,290,000</w:t>
            </w:r>
          </w:p>
        </w:tc>
        <w:tc>
          <w:tcPr>
            <w:tcW w:w="1265" w:type="dxa"/>
            <w:tcBorders>
              <w:top w:val="nil"/>
              <w:left w:val="nil"/>
              <w:bottom w:val="nil"/>
              <w:right w:val="nil"/>
            </w:tcBorders>
            <w:shd w:val="clear" w:color="auto" w:fill="auto"/>
            <w:vAlign w:val="bottom"/>
            <w:hideMark/>
          </w:tcPr>
          <w:p w14:paraId="759E5B0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1,197,000</w:t>
            </w:r>
          </w:p>
        </w:tc>
        <w:tc>
          <w:tcPr>
            <w:tcW w:w="1265" w:type="dxa"/>
            <w:tcBorders>
              <w:top w:val="nil"/>
              <w:left w:val="nil"/>
              <w:bottom w:val="nil"/>
              <w:right w:val="nil"/>
            </w:tcBorders>
            <w:shd w:val="clear" w:color="auto" w:fill="auto"/>
            <w:vAlign w:val="bottom"/>
            <w:hideMark/>
          </w:tcPr>
          <w:p w14:paraId="57180D7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1,366,600</w:t>
            </w:r>
          </w:p>
        </w:tc>
        <w:tc>
          <w:tcPr>
            <w:tcW w:w="1265" w:type="dxa"/>
            <w:tcBorders>
              <w:top w:val="nil"/>
              <w:left w:val="nil"/>
              <w:bottom w:val="nil"/>
              <w:right w:val="nil"/>
            </w:tcBorders>
            <w:shd w:val="clear" w:color="auto" w:fill="auto"/>
            <w:vAlign w:val="bottom"/>
            <w:hideMark/>
          </w:tcPr>
          <w:p w14:paraId="50C95EE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2,784,500</w:t>
            </w:r>
          </w:p>
        </w:tc>
        <w:tc>
          <w:tcPr>
            <w:tcW w:w="1265" w:type="dxa"/>
            <w:tcBorders>
              <w:top w:val="nil"/>
              <w:left w:val="nil"/>
              <w:bottom w:val="nil"/>
              <w:right w:val="nil"/>
            </w:tcBorders>
            <w:shd w:val="clear" w:color="auto" w:fill="auto"/>
            <w:vAlign w:val="bottom"/>
            <w:hideMark/>
          </w:tcPr>
          <w:p w14:paraId="584B9BF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3,256,000</w:t>
            </w:r>
          </w:p>
        </w:tc>
      </w:tr>
      <w:tr w:rsidR="00D352AD" w:rsidRPr="009C2ADD" w14:paraId="03CC7968" w14:textId="77777777" w:rsidTr="0088417D">
        <w:tc>
          <w:tcPr>
            <w:tcW w:w="1437" w:type="dxa"/>
            <w:tcBorders>
              <w:top w:val="nil"/>
              <w:left w:val="nil"/>
              <w:bottom w:val="nil"/>
              <w:right w:val="nil"/>
            </w:tcBorders>
            <w:shd w:val="clear" w:color="auto" w:fill="auto"/>
            <w:hideMark/>
          </w:tcPr>
          <w:p w14:paraId="4FE21B37" w14:textId="31A0CE40"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00300F08" w:rsidRPr="00104C78">
              <w:rPr>
                <w:rFonts w:ascii="Times New Roman" w:hAnsi="Times New Roman"/>
                <w:vertAlign w:val="subscript"/>
                <w:lang w:val="en-AU"/>
              </w:rPr>
              <w:t>MSY</w:t>
            </w:r>
            <w:r w:rsidRPr="009C2ADD">
              <w:rPr>
                <w:rFonts w:ascii="Times New Roman" w:eastAsia="PMingLiU" w:hAnsi="Times New Roman"/>
                <w:i/>
                <w:lang w:val="en-AU"/>
              </w:rPr>
              <w:t>/SB</w:t>
            </w:r>
            <w:r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303AE060"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0.24</w:t>
            </w:r>
          </w:p>
        </w:tc>
        <w:tc>
          <w:tcPr>
            <w:tcW w:w="1265" w:type="dxa"/>
            <w:tcBorders>
              <w:top w:val="nil"/>
              <w:left w:val="nil"/>
              <w:bottom w:val="nil"/>
              <w:right w:val="nil"/>
            </w:tcBorders>
            <w:shd w:val="clear" w:color="auto" w:fill="auto"/>
            <w:vAlign w:val="bottom"/>
            <w:hideMark/>
          </w:tcPr>
          <w:p w14:paraId="5DBEA31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0.24</w:t>
            </w:r>
          </w:p>
        </w:tc>
        <w:tc>
          <w:tcPr>
            <w:tcW w:w="1265" w:type="dxa"/>
            <w:tcBorders>
              <w:top w:val="nil"/>
              <w:left w:val="nil"/>
              <w:bottom w:val="nil"/>
              <w:right w:val="nil"/>
            </w:tcBorders>
            <w:shd w:val="clear" w:color="auto" w:fill="auto"/>
            <w:vAlign w:val="bottom"/>
            <w:hideMark/>
          </w:tcPr>
          <w:p w14:paraId="75833F2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0.15</w:t>
            </w:r>
          </w:p>
        </w:tc>
        <w:tc>
          <w:tcPr>
            <w:tcW w:w="1265" w:type="dxa"/>
            <w:tcBorders>
              <w:top w:val="nil"/>
              <w:left w:val="nil"/>
              <w:bottom w:val="nil"/>
              <w:right w:val="nil"/>
            </w:tcBorders>
            <w:shd w:val="clear" w:color="auto" w:fill="auto"/>
            <w:vAlign w:val="bottom"/>
            <w:hideMark/>
          </w:tcPr>
          <w:p w14:paraId="471ADC44"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0.18</w:t>
            </w:r>
          </w:p>
        </w:tc>
        <w:tc>
          <w:tcPr>
            <w:tcW w:w="1265" w:type="dxa"/>
            <w:tcBorders>
              <w:top w:val="nil"/>
              <w:left w:val="nil"/>
              <w:bottom w:val="nil"/>
              <w:right w:val="nil"/>
            </w:tcBorders>
            <w:shd w:val="clear" w:color="auto" w:fill="auto"/>
            <w:vAlign w:val="bottom"/>
            <w:hideMark/>
          </w:tcPr>
          <w:p w14:paraId="6C80E48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0.28</w:t>
            </w:r>
          </w:p>
        </w:tc>
        <w:tc>
          <w:tcPr>
            <w:tcW w:w="1265" w:type="dxa"/>
            <w:tcBorders>
              <w:top w:val="nil"/>
              <w:left w:val="nil"/>
              <w:bottom w:val="nil"/>
              <w:right w:val="nil"/>
            </w:tcBorders>
            <w:shd w:val="clear" w:color="auto" w:fill="auto"/>
            <w:vAlign w:val="bottom"/>
            <w:hideMark/>
          </w:tcPr>
          <w:p w14:paraId="27CD233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0.34</w:t>
            </w:r>
          </w:p>
        </w:tc>
      </w:tr>
      <w:tr w:rsidR="00D352AD" w:rsidRPr="009C2ADD" w14:paraId="77ACB4F8" w14:textId="77777777" w:rsidTr="0088417D">
        <w:tc>
          <w:tcPr>
            <w:tcW w:w="1437" w:type="dxa"/>
            <w:tcBorders>
              <w:top w:val="nil"/>
              <w:left w:val="nil"/>
              <w:bottom w:val="nil"/>
              <w:right w:val="nil"/>
            </w:tcBorders>
            <w:shd w:val="clear" w:color="auto" w:fill="auto"/>
            <w:hideMark/>
          </w:tcPr>
          <w:p w14:paraId="565A3364"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5D726E6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2,083,477</w:t>
            </w:r>
          </w:p>
        </w:tc>
        <w:tc>
          <w:tcPr>
            <w:tcW w:w="1265" w:type="dxa"/>
            <w:tcBorders>
              <w:top w:val="nil"/>
              <w:left w:val="nil"/>
              <w:bottom w:val="nil"/>
              <w:right w:val="nil"/>
            </w:tcBorders>
            <w:shd w:val="clear" w:color="auto" w:fill="auto"/>
            <w:vAlign w:val="bottom"/>
            <w:hideMark/>
          </w:tcPr>
          <w:p w14:paraId="0A022E8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2,178,220</w:t>
            </w:r>
          </w:p>
        </w:tc>
        <w:tc>
          <w:tcPr>
            <w:tcW w:w="1265" w:type="dxa"/>
            <w:tcBorders>
              <w:top w:val="nil"/>
              <w:left w:val="nil"/>
              <w:bottom w:val="nil"/>
              <w:right w:val="nil"/>
            </w:tcBorders>
            <w:shd w:val="clear" w:color="auto" w:fill="auto"/>
            <w:vAlign w:val="bottom"/>
            <w:hideMark/>
          </w:tcPr>
          <w:p w14:paraId="10C0957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1,193,336</w:t>
            </w:r>
          </w:p>
        </w:tc>
        <w:tc>
          <w:tcPr>
            <w:tcW w:w="1265" w:type="dxa"/>
            <w:tcBorders>
              <w:top w:val="nil"/>
              <w:left w:val="nil"/>
              <w:bottom w:val="nil"/>
              <w:right w:val="nil"/>
            </w:tcBorders>
            <w:shd w:val="clear" w:color="auto" w:fill="auto"/>
            <w:vAlign w:val="bottom"/>
            <w:hideMark/>
          </w:tcPr>
          <w:p w14:paraId="4733B413"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1,351,946</w:t>
            </w:r>
          </w:p>
        </w:tc>
        <w:tc>
          <w:tcPr>
            <w:tcW w:w="1265" w:type="dxa"/>
            <w:tcBorders>
              <w:top w:val="nil"/>
              <w:left w:val="nil"/>
              <w:bottom w:val="nil"/>
              <w:right w:val="nil"/>
            </w:tcBorders>
            <w:shd w:val="clear" w:color="auto" w:fill="auto"/>
            <w:vAlign w:val="bottom"/>
            <w:hideMark/>
          </w:tcPr>
          <w:p w14:paraId="25902AA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2,643,390</w:t>
            </w:r>
          </w:p>
        </w:tc>
        <w:tc>
          <w:tcPr>
            <w:tcW w:w="1265" w:type="dxa"/>
            <w:tcBorders>
              <w:top w:val="nil"/>
              <w:left w:val="nil"/>
              <w:bottom w:val="nil"/>
              <w:right w:val="nil"/>
            </w:tcBorders>
            <w:shd w:val="clear" w:color="auto" w:fill="auto"/>
            <w:vAlign w:val="bottom"/>
            <w:hideMark/>
          </w:tcPr>
          <w:p w14:paraId="26C1E64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2,845,244</w:t>
            </w:r>
          </w:p>
        </w:tc>
      </w:tr>
      <w:tr w:rsidR="00D352AD" w:rsidRPr="009C2ADD" w14:paraId="0EA6F4B6" w14:textId="77777777" w:rsidTr="0088417D">
        <w:tc>
          <w:tcPr>
            <w:tcW w:w="1437" w:type="dxa"/>
            <w:tcBorders>
              <w:top w:val="nil"/>
              <w:left w:val="nil"/>
              <w:bottom w:val="nil"/>
              <w:right w:val="nil"/>
            </w:tcBorders>
            <w:shd w:val="clear" w:color="auto" w:fill="auto"/>
            <w:hideMark/>
          </w:tcPr>
          <w:p w14:paraId="37A7733F" w14:textId="01152946"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00300F08" w:rsidRPr="00104C78">
              <w:rPr>
                <w:rFonts w:ascii="Times New Roman" w:hAnsi="Times New Roman"/>
                <w:vertAlign w:val="subscript"/>
                <w:lang w:val="en-AU"/>
              </w:rPr>
              <w:t>MSY</w:t>
            </w: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2DFD1A1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0.25</w:t>
            </w:r>
          </w:p>
        </w:tc>
        <w:tc>
          <w:tcPr>
            <w:tcW w:w="1265" w:type="dxa"/>
            <w:tcBorders>
              <w:top w:val="nil"/>
              <w:left w:val="nil"/>
              <w:bottom w:val="nil"/>
              <w:right w:val="nil"/>
            </w:tcBorders>
            <w:shd w:val="clear" w:color="auto" w:fill="auto"/>
            <w:vAlign w:val="bottom"/>
            <w:hideMark/>
          </w:tcPr>
          <w:p w14:paraId="61DFCFC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0.26</w:t>
            </w:r>
          </w:p>
        </w:tc>
        <w:tc>
          <w:tcPr>
            <w:tcW w:w="1265" w:type="dxa"/>
            <w:tcBorders>
              <w:top w:val="nil"/>
              <w:left w:val="nil"/>
              <w:bottom w:val="nil"/>
              <w:right w:val="nil"/>
            </w:tcBorders>
            <w:shd w:val="clear" w:color="auto" w:fill="auto"/>
            <w:vAlign w:val="bottom"/>
            <w:hideMark/>
          </w:tcPr>
          <w:p w14:paraId="62321DAA"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c>
          <w:tcPr>
            <w:tcW w:w="1265" w:type="dxa"/>
            <w:tcBorders>
              <w:top w:val="nil"/>
              <w:left w:val="nil"/>
              <w:bottom w:val="nil"/>
              <w:right w:val="nil"/>
            </w:tcBorders>
            <w:shd w:val="clear" w:color="auto" w:fill="auto"/>
            <w:vAlign w:val="bottom"/>
            <w:hideMark/>
          </w:tcPr>
          <w:p w14:paraId="37A8FAF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0.19</w:t>
            </w:r>
          </w:p>
        </w:tc>
        <w:tc>
          <w:tcPr>
            <w:tcW w:w="1265" w:type="dxa"/>
            <w:tcBorders>
              <w:top w:val="nil"/>
              <w:left w:val="nil"/>
              <w:bottom w:val="nil"/>
              <w:right w:val="nil"/>
            </w:tcBorders>
            <w:shd w:val="clear" w:color="auto" w:fill="auto"/>
            <w:vAlign w:val="bottom"/>
            <w:hideMark/>
          </w:tcPr>
          <w:p w14:paraId="68AFD6E0"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0.30</w:t>
            </w:r>
          </w:p>
        </w:tc>
        <w:tc>
          <w:tcPr>
            <w:tcW w:w="1265" w:type="dxa"/>
            <w:tcBorders>
              <w:top w:val="nil"/>
              <w:left w:val="nil"/>
              <w:bottom w:val="nil"/>
              <w:right w:val="nil"/>
            </w:tcBorders>
            <w:shd w:val="clear" w:color="auto" w:fill="auto"/>
            <w:vAlign w:val="bottom"/>
            <w:hideMark/>
          </w:tcPr>
          <w:p w14:paraId="3CD33BB9"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0.35</w:t>
            </w:r>
          </w:p>
        </w:tc>
      </w:tr>
      <w:tr w:rsidR="00D352AD" w:rsidRPr="009C2ADD" w14:paraId="486165F5" w14:textId="77777777" w:rsidTr="0088417D">
        <w:tc>
          <w:tcPr>
            <w:tcW w:w="1437" w:type="dxa"/>
            <w:tcBorders>
              <w:top w:val="nil"/>
              <w:left w:val="nil"/>
              <w:bottom w:val="nil"/>
              <w:right w:val="nil"/>
            </w:tcBorders>
            <w:shd w:val="clear" w:color="auto" w:fill="auto"/>
            <w:hideMark/>
          </w:tcPr>
          <w:p w14:paraId="3606AF0D" w14:textId="23DD0280" w:rsidR="008443B2" w:rsidRPr="009C2ADD" w:rsidRDefault="00300F08" w:rsidP="009C2ADD">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008443B2" w:rsidRPr="009C2ADD">
              <w:rPr>
                <w:rFonts w:ascii="Times New Roman" w:eastAsia="PMingLiU" w:hAnsi="Times New Roman"/>
                <w:i/>
                <w:lang w:val="en-AU"/>
              </w:rPr>
              <w:t>/SB</w:t>
            </w:r>
            <w:r w:rsidR="008443B2" w:rsidRPr="0070772D">
              <w:rPr>
                <w:rFonts w:ascii="Times New Roman" w:eastAsia="PMingLiU" w:hAnsi="Times New Roman"/>
                <w:i/>
                <w:vertAlign w:val="subscript"/>
                <w:lang w:val="en-AU"/>
              </w:rPr>
              <w:t>0</w:t>
            </w:r>
          </w:p>
        </w:tc>
        <w:tc>
          <w:tcPr>
            <w:tcW w:w="1264" w:type="dxa"/>
            <w:tcBorders>
              <w:top w:val="nil"/>
              <w:left w:val="nil"/>
              <w:bottom w:val="nil"/>
              <w:right w:val="nil"/>
            </w:tcBorders>
            <w:shd w:val="clear" w:color="auto" w:fill="auto"/>
            <w:vAlign w:val="bottom"/>
            <w:hideMark/>
          </w:tcPr>
          <w:p w14:paraId="397663C2"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0.33</w:t>
            </w:r>
          </w:p>
        </w:tc>
        <w:tc>
          <w:tcPr>
            <w:tcW w:w="1265" w:type="dxa"/>
            <w:tcBorders>
              <w:top w:val="nil"/>
              <w:left w:val="nil"/>
              <w:bottom w:val="nil"/>
              <w:right w:val="nil"/>
            </w:tcBorders>
            <w:shd w:val="clear" w:color="auto" w:fill="auto"/>
            <w:vAlign w:val="bottom"/>
            <w:hideMark/>
          </w:tcPr>
          <w:p w14:paraId="0DDDE1B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0.34</w:t>
            </w:r>
          </w:p>
        </w:tc>
        <w:tc>
          <w:tcPr>
            <w:tcW w:w="1265" w:type="dxa"/>
            <w:tcBorders>
              <w:top w:val="nil"/>
              <w:left w:val="nil"/>
              <w:bottom w:val="nil"/>
              <w:right w:val="nil"/>
            </w:tcBorders>
            <w:shd w:val="clear" w:color="auto" w:fill="auto"/>
            <w:vAlign w:val="bottom"/>
            <w:hideMark/>
          </w:tcPr>
          <w:p w14:paraId="142A0ED1"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0.18</w:t>
            </w:r>
          </w:p>
        </w:tc>
        <w:tc>
          <w:tcPr>
            <w:tcW w:w="1265" w:type="dxa"/>
            <w:tcBorders>
              <w:top w:val="nil"/>
              <w:left w:val="nil"/>
              <w:bottom w:val="nil"/>
              <w:right w:val="nil"/>
            </w:tcBorders>
            <w:shd w:val="clear" w:color="auto" w:fill="auto"/>
            <w:vAlign w:val="bottom"/>
            <w:hideMark/>
          </w:tcPr>
          <w:p w14:paraId="2C8724C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0.23</w:t>
            </w:r>
          </w:p>
        </w:tc>
        <w:tc>
          <w:tcPr>
            <w:tcW w:w="1265" w:type="dxa"/>
            <w:tcBorders>
              <w:top w:val="nil"/>
              <w:left w:val="nil"/>
              <w:bottom w:val="nil"/>
              <w:right w:val="nil"/>
            </w:tcBorders>
            <w:shd w:val="clear" w:color="auto" w:fill="auto"/>
            <w:vAlign w:val="bottom"/>
            <w:hideMark/>
          </w:tcPr>
          <w:p w14:paraId="579A5FE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0.42</w:t>
            </w:r>
          </w:p>
        </w:tc>
        <w:tc>
          <w:tcPr>
            <w:tcW w:w="1265" w:type="dxa"/>
            <w:tcBorders>
              <w:top w:val="nil"/>
              <w:left w:val="nil"/>
              <w:bottom w:val="nil"/>
              <w:right w:val="nil"/>
            </w:tcBorders>
            <w:shd w:val="clear" w:color="auto" w:fill="auto"/>
            <w:vAlign w:val="bottom"/>
            <w:hideMark/>
          </w:tcPr>
          <w:p w14:paraId="585ED014"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0.45</w:t>
            </w:r>
          </w:p>
        </w:tc>
      </w:tr>
      <w:tr w:rsidR="00D352AD" w:rsidRPr="009C2ADD" w14:paraId="0163A1A3" w14:textId="77777777" w:rsidTr="0088417D">
        <w:tc>
          <w:tcPr>
            <w:tcW w:w="1437" w:type="dxa"/>
            <w:tcBorders>
              <w:top w:val="nil"/>
              <w:left w:val="nil"/>
              <w:bottom w:val="nil"/>
              <w:right w:val="nil"/>
            </w:tcBorders>
            <w:shd w:val="clear" w:color="auto" w:fill="auto"/>
            <w:hideMark/>
          </w:tcPr>
          <w:p w14:paraId="5B9147E9" w14:textId="70B5B872" w:rsidR="008443B2" w:rsidRPr="009C2ADD" w:rsidRDefault="00300F08" w:rsidP="009C2ADD">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008443B2" w:rsidRPr="009C2ADD">
              <w:rPr>
                <w:rFonts w:ascii="Times New Roman" w:eastAsia="PMingLiU" w:hAnsi="Times New Roman"/>
                <w:i/>
                <w:lang w:val="en-AU"/>
              </w:rPr>
              <w:t>/SB</w:t>
            </w:r>
            <w:r w:rsidR="008443B2"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6F80A2AA"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0.35</w:t>
            </w:r>
          </w:p>
        </w:tc>
        <w:tc>
          <w:tcPr>
            <w:tcW w:w="1265" w:type="dxa"/>
            <w:tcBorders>
              <w:top w:val="nil"/>
              <w:left w:val="nil"/>
              <w:bottom w:val="nil"/>
              <w:right w:val="nil"/>
            </w:tcBorders>
            <w:shd w:val="clear" w:color="auto" w:fill="auto"/>
            <w:vAlign w:val="bottom"/>
            <w:hideMark/>
          </w:tcPr>
          <w:p w14:paraId="34ED389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0.37</w:t>
            </w:r>
          </w:p>
        </w:tc>
        <w:tc>
          <w:tcPr>
            <w:tcW w:w="1265" w:type="dxa"/>
            <w:tcBorders>
              <w:top w:val="nil"/>
              <w:left w:val="nil"/>
              <w:bottom w:val="nil"/>
              <w:right w:val="nil"/>
            </w:tcBorders>
            <w:shd w:val="clear" w:color="auto" w:fill="auto"/>
            <w:vAlign w:val="bottom"/>
            <w:hideMark/>
          </w:tcPr>
          <w:p w14:paraId="0BA1A56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0.16</w:t>
            </w:r>
          </w:p>
        </w:tc>
        <w:tc>
          <w:tcPr>
            <w:tcW w:w="1265" w:type="dxa"/>
            <w:tcBorders>
              <w:top w:val="nil"/>
              <w:left w:val="nil"/>
              <w:bottom w:val="nil"/>
              <w:right w:val="nil"/>
            </w:tcBorders>
            <w:shd w:val="clear" w:color="auto" w:fill="auto"/>
            <w:vAlign w:val="bottom"/>
            <w:hideMark/>
          </w:tcPr>
          <w:p w14:paraId="5352DCA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0.22</w:t>
            </w:r>
          </w:p>
        </w:tc>
        <w:tc>
          <w:tcPr>
            <w:tcW w:w="1265" w:type="dxa"/>
            <w:tcBorders>
              <w:top w:val="nil"/>
              <w:left w:val="nil"/>
              <w:bottom w:val="nil"/>
              <w:right w:val="nil"/>
            </w:tcBorders>
            <w:shd w:val="clear" w:color="auto" w:fill="auto"/>
            <w:vAlign w:val="bottom"/>
            <w:hideMark/>
          </w:tcPr>
          <w:p w14:paraId="2CE8892E"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0.46</w:t>
            </w:r>
          </w:p>
        </w:tc>
        <w:tc>
          <w:tcPr>
            <w:tcW w:w="1265" w:type="dxa"/>
            <w:tcBorders>
              <w:top w:val="nil"/>
              <w:left w:val="nil"/>
              <w:bottom w:val="nil"/>
              <w:right w:val="nil"/>
            </w:tcBorders>
            <w:shd w:val="clear" w:color="auto" w:fill="auto"/>
            <w:vAlign w:val="bottom"/>
            <w:hideMark/>
          </w:tcPr>
          <w:p w14:paraId="6FE36341"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0.50</w:t>
            </w:r>
          </w:p>
        </w:tc>
      </w:tr>
      <w:tr w:rsidR="00D352AD" w:rsidRPr="009C2ADD" w14:paraId="4D40B161" w14:textId="77777777" w:rsidTr="0088417D">
        <w:tc>
          <w:tcPr>
            <w:tcW w:w="1437" w:type="dxa"/>
            <w:tcBorders>
              <w:top w:val="nil"/>
              <w:left w:val="nil"/>
              <w:bottom w:val="nil"/>
              <w:right w:val="nil"/>
            </w:tcBorders>
            <w:shd w:val="clear" w:color="auto" w:fill="auto"/>
            <w:hideMark/>
          </w:tcPr>
          <w:p w14:paraId="663CA8C7" w14:textId="5C5800CD" w:rsidR="008443B2" w:rsidRPr="009C2ADD" w:rsidRDefault="00300F08" w:rsidP="009C2ADD">
            <w:pPr>
              <w:adjustRightInd w:val="0"/>
              <w:snapToGrid w:val="0"/>
              <w:spacing w:after="0"/>
              <w:rPr>
                <w:rFonts w:ascii="Times New Roman" w:eastAsia="PMingLiU" w:hAnsi="Times New Roman"/>
                <w:i/>
                <w:lang w:val="en-AU"/>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PMingLiU" w:hAnsi="Times New Roman"/>
                <w:i/>
                <w:lang w:val="en-AU"/>
              </w:rPr>
              <w:t xml:space="preserve"> </w:t>
            </w:r>
            <w:r w:rsidR="008443B2" w:rsidRPr="009C2ADD">
              <w:rPr>
                <w:rFonts w:ascii="Times New Roman" w:eastAsia="PMingLiU" w:hAnsi="Times New Roman"/>
                <w:i/>
                <w:lang w:val="en-AU"/>
              </w:rPr>
              <w:t>/SB</w:t>
            </w:r>
            <w:r w:rsidRPr="00104C78">
              <w:rPr>
                <w:rFonts w:ascii="Times New Roman" w:hAnsi="Times New Roman"/>
                <w:vertAlign w:val="subscript"/>
                <w:lang w:val="en-AU"/>
              </w:rPr>
              <w:t>MSY</w:t>
            </w:r>
          </w:p>
        </w:tc>
        <w:tc>
          <w:tcPr>
            <w:tcW w:w="1264" w:type="dxa"/>
            <w:tcBorders>
              <w:top w:val="nil"/>
              <w:left w:val="nil"/>
              <w:bottom w:val="nil"/>
              <w:right w:val="nil"/>
            </w:tcBorders>
            <w:shd w:val="clear" w:color="auto" w:fill="auto"/>
            <w:vAlign w:val="bottom"/>
            <w:hideMark/>
          </w:tcPr>
          <w:p w14:paraId="4023CDD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1.40</w:t>
            </w:r>
          </w:p>
        </w:tc>
        <w:tc>
          <w:tcPr>
            <w:tcW w:w="1265" w:type="dxa"/>
            <w:tcBorders>
              <w:top w:val="nil"/>
              <w:left w:val="nil"/>
              <w:bottom w:val="nil"/>
              <w:right w:val="nil"/>
            </w:tcBorders>
            <w:shd w:val="clear" w:color="auto" w:fill="auto"/>
            <w:vAlign w:val="bottom"/>
            <w:hideMark/>
          </w:tcPr>
          <w:p w14:paraId="389C4D21"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1.39</w:t>
            </w:r>
          </w:p>
        </w:tc>
        <w:tc>
          <w:tcPr>
            <w:tcW w:w="1265" w:type="dxa"/>
            <w:tcBorders>
              <w:top w:val="nil"/>
              <w:left w:val="nil"/>
              <w:bottom w:val="nil"/>
              <w:right w:val="nil"/>
            </w:tcBorders>
            <w:shd w:val="clear" w:color="auto" w:fill="auto"/>
            <w:vAlign w:val="bottom"/>
            <w:hideMark/>
          </w:tcPr>
          <w:p w14:paraId="5F47C247"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0.80</w:t>
            </w:r>
          </w:p>
        </w:tc>
        <w:tc>
          <w:tcPr>
            <w:tcW w:w="1265" w:type="dxa"/>
            <w:tcBorders>
              <w:top w:val="nil"/>
              <w:left w:val="nil"/>
              <w:bottom w:val="nil"/>
              <w:right w:val="nil"/>
            </w:tcBorders>
            <w:shd w:val="clear" w:color="auto" w:fill="auto"/>
            <w:vAlign w:val="bottom"/>
            <w:hideMark/>
          </w:tcPr>
          <w:p w14:paraId="5EF50F1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1.02</w:t>
            </w:r>
          </w:p>
        </w:tc>
        <w:tc>
          <w:tcPr>
            <w:tcW w:w="1265" w:type="dxa"/>
            <w:tcBorders>
              <w:top w:val="nil"/>
              <w:left w:val="nil"/>
              <w:bottom w:val="nil"/>
              <w:right w:val="nil"/>
            </w:tcBorders>
            <w:shd w:val="clear" w:color="auto" w:fill="auto"/>
            <w:vAlign w:val="bottom"/>
            <w:hideMark/>
          </w:tcPr>
          <w:p w14:paraId="7A508B0B"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1.80</w:t>
            </w:r>
          </w:p>
        </w:tc>
        <w:tc>
          <w:tcPr>
            <w:tcW w:w="1265" w:type="dxa"/>
            <w:tcBorders>
              <w:top w:val="nil"/>
              <w:left w:val="nil"/>
              <w:bottom w:val="nil"/>
              <w:right w:val="nil"/>
            </w:tcBorders>
            <w:shd w:val="clear" w:color="auto" w:fill="auto"/>
            <w:vAlign w:val="bottom"/>
            <w:hideMark/>
          </w:tcPr>
          <w:p w14:paraId="7EF30CD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1.91</w:t>
            </w:r>
          </w:p>
        </w:tc>
      </w:tr>
      <w:tr w:rsidR="00D352AD" w:rsidRPr="009C2ADD" w14:paraId="5FC15FE7" w14:textId="77777777" w:rsidTr="0088417D">
        <w:tc>
          <w:tcPr>
            <w:tcW w:w="1437" w:type="dxa"/>
            <w:tcBorders>
              <w:top w:val="nil"/>
              <w:left w:val="nil"/>
              <w:bottom w:val="nil"/>
              <w:right w:val="nil"/>
            </w:tcBorders>
            <w:shd w:val="clear" w:color="auto" w:fill="auto"/>
            <w:hideMark/>
          </w:tcPr>
          <w:p w14:paraId="45E1BA44" w14:textId="77777777"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/SB</w:t>
            </w:r>
            <w:r w:rsidRPr="0070772D">
              <w:rPr>
                <w:rFonts w:ascii="Times New Roman" w:eastAsia="PMingLiU" w:hAnsi="Times New Roman"/>
                <w:i/>
                <w:vertAlign w:val="subscript"/>
                <w:lang w:val="en-AU"/>
              </w:rPr>
              <w:t>F=0</w:t>
            </w:r>
          </w:p>
        </w:tc>
        <w:tc>
          <w:tcPr>
            <w:tcW w:w="1264" w:type="dxa"/>
            <w:tcBorders>
              <w:top w:val="nil"/>
              <w:left w:val="nil"/>
              <w:bottom w:val="nil"/>
              <w:right w:val="nil"/>
            </w:tcBorders>
            <w:shd w:val="clear" w:color="auto" w:fill="auto"/>
            <w:vAlign w:val="bottom"/>
            <w:hideMark/>
          </w:tcPr>
          <w:p w14:paraId="7FB3AF5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0.32</w:t>
            </w:r>
          </w:p>
        </w:tc>
        <w:tc>
          <w:tcPr>
            <w:tcW w:w="1265" w:type="dxa"/>
            <w:tcBorders>
              <w:top w:val="nil"/>
              <w:left w:val="nil"/>
              <w:bottom w:val="nil"/>
              <w:right w:val="nil"/>
            </w:tcBorders>
            <w:shd w:val="clear" w:color="auto" w:fill="auto"/>
            <w:vAlign w:val="bottom"/>
            <w:hideMark/>
          </w:tcPr>
          <w:p w14:paraId="2B5AD1B5"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0.33</w:t>
            </w:r>
          </w:p>
        </w:tc>
        <w:tc>
          <w:tcPr>
            <w:tcW w:w="1265" w:type="dxa"/>
            <w:tcBorders>
              <w:top w:val="nil"/>
              <w:left w:val="nil"/>
              <w:bottom w:val="nil"/>
              <w:right w:val="nil"/>
            </w:tcBorders>
            <w:shd w:val="clear" w:color="auto" w:fill="auto"/>
            <w:vAlign w:val="bottom"/>
            <w:hideMark/>
          </w:tcPr>
          <w:p w14:paraId="562BE7A4"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0.15</w:t>
            </w:r>
          </w:p>
        </w:tc>
        <w:tc>
          <w:tcPr>
            <w:tcW w:w="1265" w:type="dxa"/>
            <w:tcBorders>
              <w:top w:val="nil"/>
              <w:left w:val="nil"/>
              <w:bottom w:val="nil"/>
              <w:right w:val="nil"/>
            </w:tcBorders>
            <w:shd w:val="clear" w:color="auto" w:fill="auto"/>
            <w:vAlign w:val="bottom"/>
            <w:hideMark/>
          </w:tcPr>
          <w:p w14:paraId="6D626514"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0.20</w:t>
            </w:r>
          </w:p>
        </w:tc>
        <w:tc>
          <w:tcPr>
            <w:tcW w:w="1265" w:type="dxa"/>
            <w:tcBorders>
              <w:top w:val="nil"/>
              <w:left w:val="nil"/>
              <w:bottom w:val="nil"/>
              <w:right w:val="nil"/>
            </w:tcBorders>
            <w:shd w:val="clear" w:color="auto" w:fill="auto"/>
            <w:vAlign w:val="bottom"/>
            <w:hideMark/>
          </w:tcPr>
          <w:p w14:paraId="72CC9CA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0.41</w:t>
            </w:r>
          </w:p>
        </w:tc>
        <w:tc>
          <w:tcPr>
            <w:tcW w:w="1265" w:type="dxa"/>
            <w:tcBorders>
              <w:top w:val="nil"/>
              <w:left w:val="nil"/>
              <w:bottom w:val="nil"/>
              <w:right w:val="nil"/>
            </w:tcBorders>
            <w:shd w:val="clear" w:color="auto" w:fill="auto"/>
            <w:vAlign w:val="bottom"/>
            <w:hideMark/>
          </w:tcPr>
          <w:p w14:paraId="2EA3DF7C"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0.46</w:t>
            </w:r>
          </w:p>
        </w:tc>
      </w:tr>
      <w:tr w:rsidR="00D352AD" w:rsidRPr="009C2ADD" w14:paraId="1C9E7CB6" w14:textId="77777777" w:rsidTr="0088417D">
        <w:tc>
          <w:tcPr>
            <w:tcW w:w="1437" w:type="dxa"/>
            <w:tcBorders>
              <w:top w:val="nil"/>
              <w:left w:val="nil"/>
              <w:bottom w:val="single" w:sz="4" w:space="0" w:color="auto"/>
              <w:right w:val="nil"/>
            </w:tcBorders>
            <w:shd w:val="clear" w:color="auto" w:fill="auto"/>
            <w:hideMark/>
          </w:tcPr>
          <w:p w14:paraId="1889022D" w14:textId="372392B0" w:rsidR="008443B2" w:rsidRPr="009C2ADD" w:rsidRDefault="008443B2" w:rsidP="009C2ADD">
            <w:pPr>
              <w:adjustRightInd w:val="0"/>
              <w:snapToGrid w:val="0"/>
              <w:spacing w:after="0"/>
              <w:rPr>
                <w:rFonts w:ascii="Times New Roman" w:eastAsia="PMingLiU" w:hAnsi="Times New Roman"/>
                <w:i/>
                <w:lang w:val="en-AU"/>
              </w:rPr>
            </w:pPr>
            <w:r w:rsidRPr="009C2ADD">
              <w:rPr>
                <w:rFonts w:ascii="Times New Roman" w:eastAsia="PMingLiU" w:hAnsi="Times New Roman"/>
                <w:i/>
                <w:lang w:val="en-AU"/>
              </w:rPr>
              <w:t>SB</w:t>
            </w:r>
            <w:r w:rsidRPr="0070772D">
              <w:rPr>
                <w:rFonts w:ascii="Times New Roman" w:eastAsia="PMingLiU" w:hAnsi="Times New Roman"/>
                <w:i/>
                <w:vertAlign w:val="subscript"/>
                <w:lang w:val="en-AU"/>
              </w:rPr>
              <w:t>recent</w:t>
            </w:r>
            <w:r w:rsidRPr="009C2ADD">
              <w:rPr>
                <w:rFonts w:ascii="Times New Roman" w:eastAsia="PMingLiU" w:hAnsi="Times New Roman"/>
                <w:i/>
                <w:lang w:val="en-AU"/>
              </w:rPr>
              <w:t>/SB</w:t>
            </w:r>
            <w:r w:rsidR="00300F08" w:rsidRPr="00104C78">
              <w:rPr>
                <w:rFonts w:ascii="Times New Roman" w:hAnsi="Times New Roman"/>
                <w:vertAlign w:val="subscript"/>
                <w:lang w:val="en-AU"/>
              </w:rPr>
              <w:t>MSY</w:t>
            </w:r>
          </w:p>
        </w:tc>
        <w:tc>
          <w:tcPr>
            <w:tcW w:w="1264" w:type="dxa"/>
            <w:tcBorders>
              <w:top w:val="nil"/>
              <w:left w:val="nil"/>
              <w:bottom w:val="single" w:sz="4" w:space="0" w:color="auto"/>
              <w:right w:val="nil"/>
            </w:tcBorders>
            <w:shd w:val="clear" w:color="auto" w:fill="auto"/>
            <w:vAlign w:val="bottom"/>
            <w:hideMark/>
          </w:tcPr>
          <w:p w14:paraId="5B25495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1.40</w:t>
            </w:r>
          </w:p>
        </w:tc>
        <w:tc>
          <w:tcPr>
            <w:tcW w:w="1265" w:type="dxa"/>
            <w:tcBorders>
              <w:top w:val="nil"/>
              <w:left w:val="nil"/>
              <w:bottom w:val="single" w:sz="4" w:space="0" w:color="auto"/>
              <w:right w:val="nil"/>
            </w:tcBorders>
            <w:shd w:val="clear" w:color="auto" w:fill="auto"/>
            <w:vAlign w:val="bottom"/>
            <w:hideMark/>
          </w:tcPr>
          <w:p w14:paraId="407B9C5F"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1.41</w:t>
            </w:r>
          </w:p>
        </w:tc>
        <w:tc>
          <w:tcPr>
            <w:tcW w:w="1265" w:type="dxa"/>
            <w:tcBorders>
              <w:top w:val="nil"/>
              <w:left w:val="nil"/>
              <w:bottom w:val="single" w:sz="4" w:space="0" w:color="auto"/>
              <w:right w:val="nil"/>
            </w:tcBorders>
            <w:shd w:val="clear" w:color="auto" w:fill="auto"/>
            <w:vAlign w:val="bottom"/>
            <w:hideMark/>
          </w:tcPr>
          <w:p w14:paraId="612AB576"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0.81</w:t>
            </w:r>
          </w:p>
        </w:tc>
        <w:tc>
          <w:tcPr>
            <w:tcW w:w="1265" w:type="dxa"/>
            <w:tcBorders>
              <w:top w:val="nil"/>
              <w:left w:val="nil"/>
              <w:bottom w:val="single" w:sz="4" w:space="0" w:color="auto"/>
              <w:right w:val="nil"/>
            </w:tcBorders>
            <w:shd w:val="clear" w:color="auto" w:fill="auto"/>
            <w:vAlign w:val="bottom"/>
            <w:hideMark/>
          </w:tcPr>
          <w:p w14:paraId="3E805E9D"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1.05</w:t>
            </w:r>
          </w:p>
        </w:tc>
        <w:tc>
          <w:tcPr>
            <w:tcW w:w="1265" w:type="dxa"/>
            <w:tcBorders>
              <w:top w:val="nil"/>
              <w:left w:val="nil"/>
              <w:bottom w:val="single" w:sz="4" w:space="0" w:color="auto"/>
              <w:right w:val="nil"/>
            </w:tcBorders>
            <w:shd w:val="clear" w:color="auto" w:fill="auto"/>
            <w:vAlign w:val="bottom"/>
            <w:hideMark/>
          </w:tcPr>
          <w:p w14:paraId="5DBA7258"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1.71</w:t>
            </w:r>
          </w:p>
        </w:tc>
        <w:tc>
          <w:tcPr>
            <w:tcW w:w="1265" w:type="dxa"/>
            <w:tcBorders>
              <w:top w:val="nil"/>
              <w:left w:val="nil"/>
              <w:bottom w:val="single" w:sz="4" w:space="0" w:color="auto"/>
              <w:right w:val="nil"/>
            </w:tcBorders>
            <w:shd w:val="clear" w:color="auto" w:fill="auto"/>
            <w:vAlign w:val="bottom"/>
            <w:hideMark/>
          </w:tcPr>
          <w:p w14:paraId="54C1747B" w14:textId="77777777" w:rsidR="008443B2" w:rsidRPr="009C2ADD" w:rsidRDefault="008443B2" w:rsidP="009C2ADD">
            <w:pPr>
              <w:adjustRightInd w:val="0"/>
              <w:snapToGrid w:val="0"/>
              <w:spacing w:after="0"/>
              <w:jc w:val="center"/>
              <w:rPr>
                <w:rFonts w:ascii="Times New Roman" w:eastAsia="PMingLiU" w:hAnsi="Times New Roman"/>
                <w:lang w:val="en-AU"/>
              </w:rPr>
            </w:pPr>
            <w:r w:rsidRPr="009C2ADD">
              <w:rPr>
                <w:rFonts w:ascii="Times New Roman" w:eastAsia="PMingLiU" w:hAnsi="Times New Roman"/>
                <w:lang w:val="en-AU"/>
              </w:rPr>
              <w:t>1.93</w:t>
            </w:r>
          </w:p>
        </w:tc>
      </w:tr>
    </w:tbl>
    <w:p w14:paraId="0723066C" w14:textId="77777777" w:rsidR="00212F83" w:rsidRPr="009C2ADD" w:rsidRDefault="00212F83" w:rsidP="009C2ADD">
      <w:pPr>
        <w:pStyle w:val="WCPFC"/>
        <w:numPr>
          <w:ilvl w:val="0"/>
          <w:numId w:val="0"/>
        </w:numPr>
        <w:adjustRightInd w:val="0"/>
        <w:spacing w:after="0"/>
        <w:ind w:left="567"/>
        <w:rPr>
          <w:b/>
        </w:rPr>
      </w:pPr>
    </w:p>
    <w:p w14:paraId="65BA0877" w14:textId="02EB5E45" w:rsidR="00102750" w:rsidRPr="009C2ADD" w:rsidRDefault="0010275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spawning biomass was median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 0.33 with a probable range of 0.20 to </w:t>
      </w:r>
      <w:r w:rsidR="002C72D6" w:rsidRPr="009C2ADD">
        <w:rPr>
          <w:rFonts w:ascii="Times New Roman" w:hAnsi="Times New Roman"/>
          <w:b/>
          <w:lang w:val="en-AU"/>
        </w:rPr>
        <w:t>0.41</w:t>
      </w:r>
      <w:r w:rsidR="002C72D6">
        <w:rPr>
          <w:rFonts w:ascii="Times New Roman" w:hAnsi="Times New Roman"/>
          <w:b/>
          <w:lang w:val="en-AU"/>
        </w:rPr>
        <w:t xml:space="preserve"> </w:t>
      </w:r>
      <w:r w:rsidR="002C72D6" w:rsidRPr="009C2ADD">
        <w:rPr>
          <w:rFonts w:ascii="Times New Roman" w:hAnsi="Times New Roman"/>
          <w:b/>
          <w:lang w:val="en-AU"/>
        </w:rPr>
        <w:t>(80% probab</w:t>
      </w:r>
      <w:r w:rsidR="002C72D6">
        <w:rPr>
          <w:rFonts w:ascii="Times New Roman" w:hAnsi="Times New Roman"/>
          <w:b/>
          <w:lang w:val="en-AU"/>
        </w:rPr>
        <w:t>le</w:t>
      </w:r>
      <w:r w:rsidR="002C72D6" w:rsidRPr="009C2ADD">
        <w:rPr>
          <w:rFonts w:ascii="Times New Roman" w:hAnsi="Times New Roman"/>
          <w:b/>
          <w:lang w:val="en-AU"/>
        </w:rPr>
        <w:t xml:space="preserve"> </w:t>
      </w:r>
      <w:r w:rsidR="002C72D6">
        <w:rPr>
          <w:rFonts w:ascii="Times New Roman" w:hAnsi="Times New Roman"/>
          <w:b/>
          <w:lang w:val="en-AU"/>
        </w:rPr>
        <w:t>range</w:t>
      </w:r>
      <w:r w:rsidR="002C72D6" w:rsidRPr="009C2ADD">
        <w:rPr>
          <w:rFonts w:ascii="Times New Roman" w:hAnsi="Times New Roman"/>
          <w:b/>
          <w:lang w:val="en-AU"/>
        </w:rPr>
        <w:t>), and</w:t>
      </w:r>
      <w:r w:rsidRPr="009C2ADD">
        <w:rPr>
          <w:rFonts w:ascii="Times New Roman" w:hAnsi="Times New Roman"/>
          <w:b/>
          <w:lang w:val="en-AU"/>
        </w:rPr>
        <w:t xml:space="preserve"> there was a roughly 8% probability (4 out of 48 models) that the recent spawning biomass had breached the adopted LRP with </w:t>
      </w:r>
      <w:proofErr w:type="gramStart"/>
      <w:r w:rsidRPr="009C2ADD">
        <w:rPr>
          <w:rFonts w:ascii="Times New Roman" w:hAnsi="Times New Roman"/>
          <w:b/>
          <w:lang w:val="en-AU"/>
        </w:rPr>
        <w:t>Prob(</w:t>
      </w:r>
      <w:proofErr w:type="gramEnd"/>
      <w:r w:rsidRPr="009C2ADD">
        <w:rPr>
          <w:rFonts w:ascii="Times New Roman" w:hAnsi="Times New Roman"/>
          <w:b/>
          <w:lang w:val="en-AU"/>
        </w:rPr>
        <w:t>(SB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)&lt;0.2) = 0.08. The median estimate (0.33) is</w:t>
      </w:r>
      <w:r w:rsidRPr="009C2ADD">
        <w:rPr>
          <w:rFonts w:ascii="Times New Roman" w:hAnsi="Times New Roman"/>
          <w:b/>
          <w:lang w:val="en-AU"/>
        </w:rPr>
        <w:t xml:space="preserve">　</w:t>
      </w:r>
      <w:r w:rsidRPr="009C2ADD">
        <w:rPr>
          <w:rFonts w:ascii="Times New Roman" w:hAnsi="Times New Roman"/>
          <w:b/>
          <w:lang w:val="en-AU"/>
        </w:rPr>
        <w:t>below that estimated from the 2014 assessment grid</w:t>
      </w:r>
      <w:r w:rsidR="006233F1">
        <w:rPr>
          <w:rFonts w:ascii="Times New Roman" w:hAnsi="Times New Roman" w:hint="eastAsia"/>
          <w:b/>
          <w:lang w:val="en-AU" w:eastAsia="ko-KR"/>
        </w:rPr>
        <w:t xml:space="preserve"> </w:t>
      </w:r>
      <w:r w:rsidRPr="009C2ADD">
        <w:rPr>
          <w:rFonts w:ascii="Times New Roman" w:hAnsi="Times New Roman"/>
          <w:b/>
          <w:lang w:val="en-AU"/>
        </w:rPr>
        <w:t>((SB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 0.41, see SC10-SA-WP-04), noting the differences in grid uncertainty axes used in that assessment. </w:t>
      </w:r>
    </w:p>
    <w:p w14:paraId="4229ABD6" w14:textId="77777777" w:rsidR="009859D6" w:rsidRPr="009C2ADD" w:rsidRDefault="009859D6" w:rsidP="009C2ADD">
      <w:pPr>
        <w:autoSpaceDE w:val="0"/>
        <w:autoSpaceDN w:val="0"/>
        <w:adjustRightInd w:val="0"/>
        <w:snapToGrid w:val="0"/>
        <w:spacing w:after="0"/>
        <w:rPr>
          <w:rFonts w:ascii="Times New Roman" w:hAnsi="Times New Roman"/>
          <w:b/>
          <w:lang w:val="en-AU"/>
        </w:rPr>
      </w:pPr>
    </w:p>
    <w:p w14:paraId="2CE3B604" w14:textId="076126DC" w:rsidR="00102750" w:rsidRPr="009C2ADD" w:rsidRDefault="0010275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was median (F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 0.74 with an 80% probability interval of 0.62 to 0.97, and there was a roughly 4% probability (2 out of 48 models) that the recent fishing mortality was above 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proofErr w:type="gramStart"/>
      <w:r w:rsidRPr="009C2ADD">
        <w:rPr>
          <w:rFonts w:ascii="Times New Roman" w:hAnsi="Times New Roman"/>
          <w:b/>
          <w:lang w:val="en-AU"/>
        </w:rPr>
        <w:t>Prob(</w:t>
      </w:r>
      <w:proofErr w:type="gramEnd"/>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00300F08" w:rsidRPr="00104C78">
        <w:rPr>
          <w:rFonts w:ascii="Times New Roman" w:hAnsi="Times New Roman" w:hint="eastAsia"/>
          <w:b/>
          <w:vertAlign w:val="subscript"/>
          <w:lang w:val="en-AU" w:eastAsia="ko-KR"/>
        </w:rPr>
        <w:t>MSY</w:t>
      </w:r>
      <w:r w:rsidRPr="009C2ADD">
        <w:rPr>
          <w:rFonts w:ascii="Times New Roman" w:hAnsi="Times New Roman"/>
          <w:b/>
          <w:lang w:val="en-AU"/>
        </w:rPr>
        <w:t>)&gt;1) = 0.04. The median estimate (0.74) is also comparable to that estimated from the 2014 assessment grid (F</w:t>
      </w:r>
      <w:r w:rsidRPr="0070772D">
        <w:rPr>
          <w:rFonts w:ascii="Times New Roman" w:hAnsi="Times New Roman"/>
          <w:b/>
          <w:vertAlign w:val="subscript"/>
          <w:lang w:val="en-AU"/>
        </w:rPr>
        <w:t>current</w:t>
      </w:r>
      <w:r w:rsidRPr="009C2ADD">
        <w:rPr>
          <w:rFonts w:ascii="Times New Roman" w:hAnsi="Times New Roman"/>
          <w:b/>
          <w:lang w:val="en-AU"/>
        </w:rPr>
        <w:t>/F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 0.76</w:t>
      </w:r>
      <w:r w:rsidR="002C72D6">
        <w:rPr>
          <w:rFonts w:ascii="Times New Roman" w:hAnsi="Times New Roman"/>
          <w:b/>
          <w:lang w:val="en-AU"/>
        </w:rPr>
        <w:t>, s</w:t>
      </w:r>
      <w:r w:rsidRPr="009C2ADD">
        <w:rPr>
          <w:rFonts w:ascii="Times New Roman" w:hAnsi="Times New Roman"/>
          <w:b/>
          <w:lang w:val="en-AU"/>
        </w:rPr>
        <w:t xml:space="preserve">ee SC10-SA-WP-04) </w:t>
      </w:r>
    </w:p>
    <w:p w14:paraId="71930928"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36CA89CD" w14:textId="77777777" w:rsidR="00102750" w:rsidRPr="009C2ADD" w:rsidRDefault="0010275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assessment results show that the stock has been continuously declining for about 50 years since the late 1960’s. </w:t>
      </w:r>
    </w:p>
    <w:p w14:paraId="33339C8C"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131548DB" w14:textId="77777777" w:rsidR="008443B2" w:rsidRPr="009C2ADD" w:rsidRDefault="0010275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levels of fishing mortality and depletion differ between regions, and that fishery impact was highest in th</w:t>
      </w:r>
      <w:r w:rsidR="0034646F" w:rsidRPr="009C2ADD">
        <w:rPr>
          <w:rFonts w:ascii="Times New Roman" w:hAnsi="Times New Roman"/>
          <w:b/>
          <w:lang w:val="en-AU"/>
        </w:rPr>
        <w:t>e tropical region (R</w:t>
      </w:r>
      <w:r w:rsidRPr="009C2ADD">
        <w:rPr>
          <w:rFonts w:ascii="Times New Roman" w:hAnsi="Times New Roman"/>
          <w:b/>
          <w:lang w:val="en-AU"/>
        </w:rPr>
        <w:t>egions 3, 4, 7 and 8 in the stock assessment model), mainly due to the purse seine fisheries in the equatorial Pacific and the “other” fisheries within the Western Pacific (as shown in Figure 44 of SC13-SA-WP-06).</w:t>
      </w:r>
    </w:p>
    <w:p w14:paraId="2A28AC67"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24A655CA" w14:textId="750B728F" w:rsidR="006C72CA" w:rsidRPr="009C2ADD" w:rsidRDefault="006C72CA" w:rsidP="00007081">
      <w:pPr>
        <w:pStyle w:val="WCPFC"/>
        <w:numPr>
          <w:ilvl w:val="0"/>
          <w:numId w:val="187"/>
        </w:numPr>
        <w:adjustRightInd w:val="0"/>
        <w:spacing w:after="0"/>
        <w:ind w:left="0" w:firstLine="0"/>
        <w:rPr>
          <w:b/>
        </w:rPr>
      </w:pPr>
      <w:r w:rsidRPr="009C2ADD">
        <w:rPr>
          <w:b/>
        </w:rPr>
        <w:t>Management advice and implications</w:t>
      </w:r>
    </w:p>
    <w:p w14:paraId="756AC3FB" w14:textId="77777777" w:rsidR="009859D6" w:rsidRPr="009C2ADD" w:rsidRDefault="009859D6" w:rsidP="009C2ADD">
      <w:pPr>
        <w:pStyle w:val="WCPFC"/>
        <w:numPr>
          <w:ilvl w:val="0"/>
          <w:numId w:val="0"/>
        </w:numPr>
        <w:adjustRightInd w:val="0"/>
        <w:spacing w:after="0"/>
        <w:ind w:left="720"/>
        <w:rPr>
          <w:b/>
        </w:rPr>
      </w:pPr>
    </w:p>
    <w:p w14:paraId="1C35F908" w14:textId="2595D099" w:rsidR="006C72CA" w:rsidRPr="009C2ADD" w:rsidRDefault="006C72C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uncertainty grid adopted by SC13 the spawning biomass is highly likely above the biomass LRP and recent F is highly likely below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and therefore noting the level of uncertainties in the current assessment </w:t>
      </w:r>
      <w:r w:rsidR="008D4FE9">
        <w:rPr>
          <w:rFonts w:ascii="Times New Roman" w:hAnsi="Times New Roman" w:hint="eastAsia"/>
          <w:b/>
          <w:lang w:val="en-AU" w:eastAsia="ko-KR"/>
        </w:rPr>
        <w:t>it</w:t>
      </w:r>
      <w:r w:rsidR="008D4FE9" w:rsidRPr="009C2ADD">
        <w:rPr>
          <w:rFonts w:ascii="Times New Roman" w:hAnsi="Times New Roman"/>
          <w:b/>
          <w:lang w:val="en-AU"/>
        </w:rPr>
        <w:t xml:space="preserve"> </w:t>
      </w:r>
      <w:r w:rsidRPr="009C2ADD">
        <w:rPr>
          <w:rFonts w:ascii="Times New Roman" w:hAnsi="Times New Roman"/>
          <w:b/>
          <w:lang w:val="en-AU"/>
        </w:rPr>
        <w:t>appears that the stock is not experiencing overfishing 96% probability) and it appears that the stock is not in an overfished condition (92% probability).</w:t>
      </w:r>
    </w:p>
    <w:p w14:paraId="1BED68D9" w14:textId="77777777" w:rsidR="009859D6" w:rsidRPr="009C2ADD" w:rsidRDefault="009859D6" w:rsidP="009C2ADD">
      <w:pPr>
        <w:autoSpaceDE w:val="0"/>
        <w:autoSpaceDN w:val="0"/>
        <w:adjustRightInd w:val="0"/>
        <w:snapToGrid w:val="0"/>
        <w:spacing w:after="0"/>
        <w:rPr>
          <w:rFonts w:ascii="Times New Roman" w:hAnsi="Times New Roman"/>
          <w:b/>
          <w:lang w:val="en-AU"/>
        </w:rPr>
      </w:pPr>
    </w:p>
    <w:p w14:paraId="5D9F68CB" w14:textId="77777777" w:rsidR="006C72CA" w:rsidRPr="009C2ADD" w:rsidRDefault="006C72C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diagnostic case, both juvenile and adult fishing mortality show a steady increase since the 1970s. Adult fishing mortality has increased continuously over most of the time series, while juvenile fishing mortality has stabilized since the late 1990s at a level similar to that now estimated for adult yellowfin.</w:t>
      </w:r>
    </w:p>
    <w:p w14:paraId="00B63251"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47841920" w14:textId="77777777" w:rsidR="006C72CA" w:rsidRPr="009C2ADD" w:rsidRDefault="006C72C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reiterates its previous advice from SC10 that WCPFC could consider measures to reduce fishing mortality from fisheries that take juveniles, with the goal to increase to maximum fishery yields and reduce any further impacts on the spawning potential for this stock in the tropical regions.</w:t>
      </w:r>
    </w:p>
    <w:p w14:paraId="036EE9E8"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31C4B140" w14:textId="77777777" w:rsidR="00102750" w:rsidRPr="009C2ADD" w:rsidRDefault="006C72CA"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reiterates its previous advice from SC10 that measures should be implemented to maintain current spawning biomass levels until the Commission can agree on an appropriate target reference point (TRP).</w:t>
      </w:r>
    </w:p>
    <w:p w14:paraId="6FA54D3E" w14:textId="77777777" w:rsidR="009859D6" w:rsidRPr="009C2ADD" w:rsidRDefault="009859D6" w:rsidP="009C2ADD">
      <w:pPr>
        <w:pStyle w:val="ListParagraph"/>
        <w:adjustRightInd w:val="0"/>
        <w:snapToGrid w:val="0"/>
        <w:contextualSpacing w:val="0"/>
        <w:rPr>
          <w:rFonts w:ascii="Times New Roman" w:hAnsi="Times New Roman"/>
          <w:b/>
          <w:lang w:val="en-AU"/>
        </w:rPr>
      </w:pPr>
    </w:p>
    <w:p w14:paraId="1CE8EEC2" w14:textId="77777777" w:rsidR="00EC1A3C" w:rsidRPr="009C2ADD" w:rsidRDefault="00EC1A3C" w:rsidP="009C2ADD">
      <w:pPr>
        <w:pStyle w:val="WCPFC"/>
        <w:numPr>
          <w:ilvl w:val="0"/>
          <w:numId w:val="0"/>
        </w:numPr>
        <w:adjustRightInd w:val="0"/>
        <w:spacing w:after="0"/>
        <w:rPr>
          <w:b/>
        </w:rPr>
      </w:pPr>
      <w:r w:rsidRPr="009C2ADD">
        <w:rPr>
          <w:b/>
        </w:rPr>
        <w:t>Research Recommendations</w:t>
      </w:r>
    </w:p>
    <w:p w14:paraId="339149CC" w14:textId="77777777" w:rsidR="009859D6" w:rsidRPr="009C2ADD" w:rsidRDefault="009859D6" w:rsidP="009C2ADD">
      <w:pPr>
        <w:pStyle w:val="WCPFC"/>
        <w:numPr>
          <w:ilvl w:val="0"/>
          <w:numId w:val="0"/>
        </w:numPr>
        <w:adjustRightInd w:val="0"/>
        <w:spacing w:after="0"/>
        <w:ind w:left="720"/>
        <w:rPr>
          <w:b/>
        </w:rPr>
      </w:pPr>
    </w:p>
    <w:p w14:paraId="2F1C4EFC" w14:textId="77777777" w:rsidR="00EC1A3C" w:rsidRPr="009C2ADD" w:rsidRDefault="00EC1A3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recognized that reviewing yellowfin growth through a study of yellowfin otoliths collected from the WCPO and incorporating this into future assessments should be encouraged.</w:t>
      </w:r>
    </w:p>
    <w:p w14:paraId="4308CF2E" w14:textId="01B93979" w:rsidR="007B3C93" w:rsidRPr="009C2ADD" w:rsidRDefault="007B3C93" w:rsidP="009C2ADD">
      <w:pPr>
        <w:pStyle w:val="Heading3"/>
        <w:adjustRightInd w:val="0"/>
        <w:snapToGrid w:val="0"/>
        <w:spacing w:before="0"/>
        <w:rPr>
          <w:rFonts w:ascii="Times New Roman" w:hAnsi="Times New Roman" w:cs="Times New Roman"/>
        </w:rPr>
      </w:pPr>
    </w:p>
    <w:p w14:paraId="142BD3AF" w14:textId="0C5ED966" w:rsidR="009E1DA5" w:rsidRPr="009C2ADD" w:rsidRDefault="0088144A"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4.1.3 </w:t>
      </w:r>
      <w:r w:rsidR="00DA7AC9" w:rsidRPr="009C2ADD">
        <w:rPr>
          <w:rFonts w:ascii="Times New Roman" w:hAnsi="Times New Roman" w:cs="Times New Roman"/>
        </w:rPr>
        <w:tab/>
      </w:r>
      <w:r w:rsidRPr="009C2ADD">
        <w:rPr>
          <w:rFonts w:ascii="Times New Roman" w:hAnsi="Times New Roman" w:cs="Times New Roman"/>
        </w:rPr>
        <w:t>WCPO skipjack tuna (</w:t>
      </w:r>
      <w:r w:rsidRPr="009C2ADD">
        <w:rPr>
          <w:rFonts w:ascii="Times New Roman" w:hAnsi="Times New Roman" w:cs="Times New Roman"/>
          <w:i/>
        </w:rPr>
        <w:t>Katsuwonus pelamis</w:t>
      </w:r>
      <w:r w:rsidRPr="009C2ADD">
        <w:rPr>
          <w:rFonts w:ascii="Times New Roman" w:hAnsi="Times New Roman" w:cs="Times New Roman"/>
        </w:rPr>
        <w:t>)</w:t>
      </w:r>
    </w:p>
    <w:p w14:paraId="66324021" w14:textId="77777777" w:rsidR="0088144A" w:rsidRPr="009C2ADD" w:rsidRDefault="0088144A" w:rsidP="009C2ADD">
      <w:pPr>
        <w:adjustRightInd w:val="0"/>
        <w:snapToGrid w:val="0"/>
        <w:spacing w:after="0"/>
        <w:rPr>
          <w:rFonts w:ascii="Times New Roman" w:hAnsi="Times New Roman"/>
        </w:rPr>
      </w:pPr>
    </w:p>
    <w:p w14:paraId="70649AF1" w14:textId="2DC6DF52" w:rsidR="00D24CDF" w:rsidRPr="009C2ADD" w:rsidRDefault="00DC0615" w:rsidP="009C2ADD">
      <w:pPr>
        <w:pStyle w:val="WCPFCSUBHEADING0"/>
        <w:adjustRightInd w:val="0"/>
        <w:snapToGrid w:val="0"/>
        <w:spacing w:after="0"/>
      </w:pPr>
      <w:r w:rsidRPr="009C2ADD">
        <w:rPr>
          <w:lang w:eastAsia="ko-KR"/>
        </w:rPr>
        <w:t xml:space="preserve">4.1.3.1 </w:t>
      </w:r>
      <w:r w:rsidR="00DA7AC9" w:rsidRPr="009C2ADD">
        <w:rPr>
          <w:lang w:eastAsia="ko-KR"/>
        </w:rPr>
        <w:tab/>
      </w:r>
      <w:r w:rsidR="00D24CDF" w:rsidRPr="009C2ADD">
        <w:t>Review of research and information</w:t>
      </w:r>
    </w:p>
    <w:p w14:paraId="67C8DDC4" w14:textId="77777777" w:rsidR="009859D6" w:rsidRPr="009C2ADD" w:rsidRDefault="009859D6" w:rsidP="009C2ADD">
      <w:pPr>
        <w:pStyle w:val="WCPFCSUBHEADING0"/>
        <w:adjustRightInd w:val="0"/>
        <w:snapToGrid w:val="0"/>
        <w:spacing w:after="0"/>
      </w:pPr>
    </w:p>
    <w:p w14:paraId="5E98FC7F" w14:textId="6296913E" w:rsidR="009E1DA5" w:rsidRPr="009C2ADD" w:rsidRDefault="00DC0615" w:rsidP="009C2ADD">
      <w:pPr>
        <w:adjustRightInd w:val="0"/>
        <w:snapToGrid w:val="0"/>
        <w:spacing w:after="0"/>
        <w:rPr>
          <w:rFonts w:ascii="Times New Roman" w:hAnsi="Times New Roman"/>
          <w:b/>
        </w:rPr>
      </w:pPr>
      <w:bookmarkStart w:id="105" w:name="_Hlk490551356"/>
      <w:r w:rsidRPr="009C2ADD">
        <w:rPr>
          <w:rFonts w:ascii="Times New Roman" w:hAnsi="Times New Roman"/>
          <w:b/>
          <w:lang w:eastAsia="ko-KR"/>
        </w:rPr>
        <w:t xml:space="preserve">a. </w:t>
      </w:r>
      <w:r w:rsidRPr="009C2ADD">
        <w:rPr>
          <w:rFonts w:ascii="Times New Roman" w:hAnsi="Times New Roman"/>
          <w:b/>
          <w:lang w:eastAsia="ko-KR"/>
        </w:rPr>
        <w:tab/>
      </w:r>
      <w:r w:rsidR="009E1DA5" w:rsidRPr="009C2ADD">
        <w:rPr>
          <w:rFonts w:ascii="Times New Roman" w:hAnsi="Times New Roman"/>
          <w:b/>
        </w:rPr>
        <w:t xml:space="preserve">Update of skipjack tuna stock assessment information </w:t>
      </w:r>
    </w:p>
    <w:p w14:paraId="6A603EA8" w14:textId="77777777" w:rsidR="009859D6" w:rsidRPr="009C2ADD" w:rsidRDefault="009859D6" w:rsidP="009C2ADD">
      <w:pPr>
        <w:adjustRightInd w:val="0"/>
        <w:snapToGrid w:val="0"/>
        <w:spacing w:after="0"/>
        <w:rPr>
          <w:rFonts w:ascii="Times New Roman" w:hAnsi="Times New Roman"/>
          <w:b/>
        </w:rPr>
      </w:pPr>
    </w:p>
    <w:p w14:paraId="2E1B722C" w14:textId="77777777" w:rsidR="000E769B" w:rsidRPr="009C2ADD" w:rsidRDefault="000E769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opening the discussion, the convenor noted that the last stock assessment was conducted in 2016, and the SC13 would review information on indicators for this species. SC13-SA-IP-09 would be referred to as needed. </w:t>
      </w:r>
    </w:p>
    <w:p w14:paraId="6FCE840A"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6DF7DA3F" w14:textId="49503E95" w:rsidR="000E769B" w:rsidRPr="009C2ADD" w:rsidRDefault="000E769B" w:rsidP="009C2ADD">
      <w:pPr>
        <w:numPr>
          <w:ilvl w:val="0"/>
          <w:numId w:val="1"/>
        </w:numPr>
        <w:autoSpaceDE w:val="0"/>
        <w:autoSpaceDN w:val="0"/>
        <w:adjustRightInd w:val="0"/>
        <w:snapToGrid w:val="0"/>
        <w:spacing w:after="0"/>
        <w:ind w:left="0" w:firstLine="0"/>
        <w:rPr>
          <w:rFonts w:ascii="Times New Roman" w:hAnsi="Times New Roman"/>
          <w:lang w:val="en-AU"/>
        </w:rPr>
      </w:pPr>
      <w:bookmarkStart w:id="106" w:name="_Hlk490551720"/>
      <w:r w:rsidRPr="009C2ADD">
        <w:rPr>
          <w:rFonts w:ascii="Times New Roman" w:hAnsi="Times New Roman"/>
          <w:lang w:val="en-AU"/>
        </w:rPr>
        <w:t>G</w:t>
      </w:r>
      <w:r w:rsidR="00BE4927">
        <w:rPr>
          <w:rFonts w:ascii="Times New Roman" w:hAnsi="Times New Roman" w:hint="eastAsia"/>
          <w:lang w:val="en-AU" w:eastAsia="ko-KR"/>
        </w:rPr>
        <w:t>.</w:t>
      </w:r>
      <w:r w:rsidRPr="009C2ADD">
        <w:rPr>
          <w:rFonts w:ascii="Times New Roman" w:hAnsi="Times New Roman"/>
          <w:lang w:val="en-AU"/>
        </w:rPr>
        <w:t xml:space="preserve"> Pilling (SPC) presented </w:t>
      </w:r>
      <w:r w:rsidRPr="0070772D">
        <w:rPr>
          <w:rFonts w:ascii="Times New Roman" w:hAnsi="Times New Roman"/>
          <w:bCs/>
          <w:lang w:val="en-AU"/>
        </w:rPr>
        <w:t>SC13-SA-WP-02</w:t>
      </w:r>
      <w:r w:rsidRPr="009C2ADD">
        <w:rPr>
          <w:rFonts w:ascii="Times New Roman" w:hAnsi="Times New Roman"/>
          <w:lang w:val="en-AU"/>
        </w:rPr>
        <w:t xml:space="preserve"> </w:t>
      </w:r>
      <w:proofErr w:type="gramStart"/>
      <w:r w:rsidRPr="009C2ADD">
        <w:rPr>
          <w:rFonts w:ascii="Times New Roman" w:hAnsi="Times New Roman"/>
          <w:i/>
          <w:lang w:val="en-AU"/>
        </w:rPr>
        <w:t>A</w:t>
      </w:r>
      <w:proofErr w:type="gramEnd"/>
      <w:r w:rsidRPr="009C2ADD">
        <w:rPr>
          <w:rFonts w:ascii="Times New Roman" w:hAnsi="Times New Roman"/>
          <w:i/>
          <w:lang w:val="en-AU"/>
        </w:rPr>
        <w:t xml:space="preserve"> compendium of fisheries indicators for tuna stocks</w:t>
      </w:r>
      <w:r w:rsidRPr="009C2ADD">
        <w:rPr>
          <w:rFonts w:ascii="Times New Roman" w:hAnsi="Times New Roman"/>
          <w:lang w:val="en-AU"/>
        </w:rPr>
        <w:t>, which provided empirical information on recent patterns in fisheries. While the paper provided indicators for four tuna species (bigeye, skipjack, yellowfin and south Pacific albacore) the presentation concentrated on the indicators for skipjack only. The indicators included: total catch by gear, nominal CPUE trends, spatial distribution of catch and associated trends, size composition of the catch and trends in average size.  Also, skipjack stock projections were performed based upon the actual fishing levels by fleet in 2016, through 2017 to 2018 based upon the assumption that levels of effort or catch would remain constant at 2016 levels. The skipjack stock was initially projected to decline a</w:t>
      </w:r>
      <w:r w:rsidR="00072A81" w:rsidRPr="009C2ADD">
        <w:rPr>
          <w:rFonts w:ascii="Times New Roman" w:hAnsi="Times New Roman"/>
          <w:lang w:val="en-AU"/>
        </w:rPr>
        <w:t xml:space="preserve">s recent estimated recruitments </w:t>
      </w:r>
      <w:r w:rsidRPr="009C2ADD">
        <w:rPr>
          <w:rFonts w:ascii="Times New Roman" w:hAnsi="Times New Roman"/>
          <w:lang w:val="en-AU"/>
        </w:rPr>
        <w:t xml:space="preserve">move through the stock, and then </w:t>
      </w:r>
      <w:r w:rsidR="00BE4927">
        <w:rPr>
          <w:rFonts w:ascii="Times New Roman" w:hAnsi="Times New Roman" w:hint="eastAsia"/>
          <w:lang w:val="en-AU" w:eastAsia="ko-KR"/>
        </w:rPr>
        <w:t xml:space="preserve">to </w:t>
      </w:r>
      <w:r w:rsidRPr="009C2ADD">
        <w:rPr>
          <w:rFonts w:ascii="Times New Roman" w:hAnsi="Times New Roman"/>
          <w:lang w:val="en-AU"/>
        </w:rPr>
        <w:t>recover in the longer term. Median F</w:t>
      </w:r>
      <w:r w:rsidRPr="0070772D">
        <w:rPr>
          <w:rFonts w:ascii="Times New Roman" w:hAnsi="Times New Roman"/>
          <w:vertAlign w:val="subscript"/>
          <w:lang w:val="en-AU"/>
        </w:rPr>
        <w:t>2018</w:t>
      </w:r>
      <w:r w:rsidRPr="009C2ADD">
        <w:rPr>
          <w:rFonts w:ascii="Times New Roman" w:hAnsi="Times New Roman"/>
          <w:lang w:val="en-AU"/>
        </w:rPr>
        <w:t>/F</w:t>
      </w:r>
      <w:r w:rsidR="00300F08" w:rsidRPr="00104C78">
        <w:rPr>
          <w:rFonts w:ascii="Times New Roman" w:hAnsi="Times New Roman"/>
          <w:vertAlign w:val="subscript"/>
          <w:lang w:val="en-AU"/>
        </w:rPr>
        <w:t>MSY</w:t>
      </w:r>
      <w:r w:rsidRPr="009C2ADD">
        <w:rPr>
          <w:rFonts w:ascii="Times New Roman" w:hAnsi="Times New Roman"/>
          <w:lang w:val="en-AU"/>
        </w:rPr>
        <w:t xml:space="preserve"> = 0.37; median SB</w:t>
      </w:r>
      <w:r w:rsidRPr="0070772D">
        <w:rPr>
          <w:rFonts w:ascii="Times New Roman" w:hAnsi="Times New Roman"/>
          <w:vertAlign w:val="subscript"/>
          <w:lang w:val="en-AU"/>
        </w:rPr>
        <w:t>2018</w:t>
      </w:r>
      <w:r w:rsidRPr="009C2ADD">
        <w:rPr>
          <w:rFonts w:ascii="Times New Roman" w:hAnsi="Times New Roman"/>
          <w:lang w:val="en-AU"/>
        </w:rPr>
        <w:t>/SB</w:t>
      </w:r>
      <w:r w:rsidRPr="0070772D">
        <w:rPr>
          <w:rFonts w:ascii="Times New Roman" w:hAnsi="Times New Roman"/>
          <w:vertAlign w:val="subscript"/>
          <w:lang w:val="en-AU"/>
        </w:rPr>
        <w:t>F=0</w:t>
      </w:r>
      <w:r w:rsidRPr="009C2ADD">
        <w:rPr>
          <w:rFonts w:ascii="Times New Roman" w:hAnsi="Times New Roman"/>
          <w:lang w:val="en-AU"/>
        </w:rPr>
        <w:t xml:space="preserve"> = 0.47.</w:t>
      </w:r>
    </w:p>
    <w:p w14:paraId="4FF9630B" w14:textId="77777777" w:rsidR="009859D6" w:rsidRDefault="009859D6" w:rsidP="009C2ADD">
      <w:pPr>
        <w:pStyle w:val="ListParagraph"/>
        <w:adjustRightInd w:val="0"/>
        <w:snapToGrid w:val="0"/>
        <w:contextualSpacing w:val="0"/>
        <w:rPr>
          <w:rFonts w:ascii="Times New Roman" w:hAnsi="Times New Roman"/>
          <w:lang w:val="en-AU" w:eastAsia="ko-KR"/>
        </w:rPr>
      </w:pPr>
    </w:p>
    <w:p w14:paraId="17A9CB20" w14:textId="6FE2212E" w:rsidR="00BE4927" w:rsidRPr="0070772D" w:rsidRDefault="00BE4927" w:rsidP="009C2ADD">
      <w:pPr>
        <w:pStyle w:val="ListParagraph"/>
        <w:adjustRightInd w:val="0"/>
        <w:snapToGrid w:val="0"/>
        <w:contextualSpacing w:val="0"/>
        <w:rPr>
          <w:rFonts w:ascii="Times New Roman" w:hAnsi="Times New Roman"/>
          <w:b/>
          <w:lang w:val="en-AU" w:eastAsia="ko-KR"/>
        </w:rPr>
      </w:pPr>
      <w:r w:rsidRPr="0070772D">
        <w:rPr>
          <w:rFonts w:ascii="Times New Roman" w:hAnsi="Times New Roman"/>
          <w:b/>
          <w:lang w:val="en-AU" w:eastAsia="ko-KR"/>
        </w:rPr>
        <w:t>Discussion</w:t>
      </w:r>
    </w:p>
    <w:p w14:paraId="67E24E48" w14:textId="77777777" w:rsidR="00BE4927" w:rsidRPr="009C2ADD" w:rsidRDefault="00BE4927" w:rsidP="009C2ADD">
      <w:pPr>
        <w:pStyle w:val="ListParagraph"/>
        <w:adjustRightInd w:val="0"/>
        <w:snapToGrid w:val="0"/>
        <w:contextualSpacing w:val="0"/>
        <w:rPr>
          <w:rFonts w:ascii="Times New Roman" w:hAnsi="Times New Roman"/>
          <w:lang w:val="en-AU" w:eastAsia="ko-KR"/>
        </w:rPr>
      </w:pPr>
    </w:p>
    <w:p w14:paraId="587CA20A" w14:textId="267DC5BA" w:rsidR="000E769B" w:rsidRPr="009C2ADD" w:rsidRDefault="000E769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asked what new information was included in the projections and how the fishing mortality was included without a stock assessment</w:t>
      </w:r>
      <w:r w:rsidR="00F76F0F" w:rsidRPr="009C2ADD">
        <w:rPr>
          <w:rFonts w:ascii="Times New Roman" w:hAnsi="Times New Roman"/>
          <w:lang w:val="en-AU"/>
        </w:rPr>
        <w:t xml:space="preserve">. </w:t>
      </w:r>
      <w:r w:rsidR="00BE4927">
        <w:rPr>
          <w:rFonts w:ascii="Times New Roman" w:hAnsi="Times New Roman" w:hint="eastAsia"/>
          <w:lang w:val="en-AU" w:eastAsia="ko-KR"/>
        </w:rPr>
        <w:t xml:space="preserve">G. </w:t>
      </w:r>
      <w:r w:rsidR="00F76F0F" w:rsidRPr="009C2ADD">
        <w:rPr>
          <w:rFonts w:ascii="Times New Roman" w:hAnsi="Times New Roman"/>
          <w:lang w:val="en-AU"/>
        </w:rPr>
        <w:t>Pilling responded that purse-</w:t>
      </w:r>
      <w:r w:rsidR="009C216F" w:rsidRPr="009C2ADD">
        <w:rPr>
          <w:rFonts w:ascii="Times New Roman" w:hAnsi="Times New Roman"/>
          <w:lang w:val="en-AU"/>
        </w:rPr>
        <w:t xml:space="preserve">seine </w:t>
      </w:r>
      <w:r w:rsidRPr="009C2ADD">
        <w:rPr>
          <w:rFonts w:ascii="Times New Roman" w:hAnsi="Times New Roman"/>
          <w:lang w:val="en-AU"/>
        </w:rPr>
        <w:t xml:space="preserve">effort data and </w:t>
      </w:r>
      <w:r w:rsidR="009C216F" w:rsidRPr="009C2ADD">
        <w:rPr>
          <w:rFonts w:ascii="Times New Roman" w:hAnsi="Times New Roman"/>
          <w:lang w:val="en-AU"/>
        </w:rPr>
        <w:t>pole and line</w:t>
      </w:r>
      <w:r w:rsidRPr="009C2ADD">
        <w:rPr>
          <w:rFonts w:ascii="Times New Roman" w:hAnsi="Times New Roman"/>
          <w:lang w:val="en-AU"/>
        </w:rPr>
        <w:t xml:space="preserve"> catch data from 2016</w:t>
      </w:r>
      <w:r w:rsidR="009A5EC2">
        <w:rPr>
          <w:rFonts w:ascii="Times New Roman" w:hAnsi="Times New Roman"/>
          <w:lang w:val="en-AU"/>
        </w:rPr>
        <w:t xml:space="preserve"> were now available</w:t>
      </w:r>
      <w:r w:rsidRPr="009C2ADD">
        <w:rPr>
          <w:rFonts w:ascii="Times New Roman" w:hAnsi="Times New Roman"/>
          <w:lang w:val="en-AU"/>
        </w:rPr>
        <w:t>, and that future conditions (2016 onwards) were projected based upon those levels of effort and catch.</w:t>
      </w:r>
    </w:p>
    <w:p w14:paraId="5A5C367E"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40613CEA" w14:textId="119CFAAF" w:rsidR="000E769B" w:rsidRPr="009C2ADD" w:rsidRDefault="000E769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queried the level of confidence held in the new projection</w:t>
      </w:r>
      <w:r w:rsidR="00072A81" w:rsidRPr="009C2ADD">
        <w:rPr>
          <w:rFonts w:ascii="Times New Roman" w:hAnsi="Times New Roman"/>
          <w:lang w:val="en-AU"/>
        </w:rPr>
        <w:t>.</w:t>
      </w:r>
      <w:r w:rsidR="00F76F0F" w:rsidRPr="009C2ADD">
        <w:rPr>
          <w:rFonts w:ascii="Times New Roman" w:hAnsi="Times New Roman"/>
          <w:lang w:val="en-AU"/>
        </w:rPr>
        <w:t> </w:t>
      </w:r>
      <w:r w:rsidR="009A5EC2">
        <w:rPr>
          <w:rFonts w:ascii="Times New Roman" w:hAnsi="Times New Roman" w:hint="eastAsia"/>
          <w:lang w:val="en-AU" w:eastAsia="ko-KR"/>
        </w:rPr>
        <w:t>G.</w:t>
      </w:r>
      <w:r w:rsidRPr="009C2ADD">
        <w:rPr>
          <w:rFonts w:ascii="Times New Roman" w:hAnsi="Times New Roman"/>
          <w:lang w:val="en-AU"/>
        </w:rPr>
        <w:t xml:space="preserve"> Pilling replied that the project encapsulated </w:t>
      </w:r>
      <w:bookmarkEnd w:id="106"/>
      <w:r w:rsidRPr="009C2ADD">
        <w:rPr>
          <w:rFonts w:ascii="Times New Roman" w:hAnsi="Times New Roman"/>
          <w:lang w:val="en-AU"/>
        </w:rPr>
        <w:t xml:space="preserve">currently feasible modelling of future uncertainty, </w:t>
      </w:r>
      <w:r w:rsidR="009A5EC2">
        <w:rPr>
          <w:rFonts w:ascii="Times New Roman" w:hAnsi="Times New Roman" w:hint="eastAsia"/>
          <w:lang w:val="en-AU" w:eastAsia="ko-KR"/>
        </w:rPr>
        <w:t>and</w:t>
      </w:r>
      <w:r w:rsidR="009A5EC2" w:rsidRPr="009C2ADD">
        <w:rPr>
          <w:rFonts w:ascii="Times New Roman" w:hAnsi="Times New Roman"/>
          <w:lang w:val="en-AU"/>
        </w:rPr>
        <w:t xml:space="preserve"> </w:t>
      </w:r>
      <w:r w:rsidRPr="009C2ADD">
        <w:rPr>
          <w:rFonts w:ascii="Times New Roman" w:hAnsi="Times New Roman"/>
          <w:lang w:val="en-AU"/>
        </w:rPr>
        <w:t>including both model uncertainty (structural uncertainty grid) and future recruitment levels (sampled from the historical period over which the stock recruitment relationship was estimated). </w:t>
      </w:r>
    </w:p>
    <w:p w14:paraId="7E8EACBA"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6D6AAA55" w14:textId="6C73A140" w:rsidR="000E769B"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PNG</w:t>
      </w:r>
      <w:r w:rsidR="000E769B" w:rsidRPr="009C2ADD">
        <w:rPr>
          <w:rFonts w:ascii="Times New Roman" w:hAnsi="Times New Roman"/>
          <w:lang w:val="en-AU"/>
        </w:rPr>
        <w:t xml:space="preserve"> stated that FFA members noted that the indicators analysis </w:t>
      </w:r>
      <w:r w:rsidR="002C72D6" w:rsidRPr="009C2ADD">
        <w:rPr>
          <w:rFonts w:ascii="Times New Roman" w:hAnsi="Times New Roman"/>
          <w:lang w:val="en-AU"/>
        </w:rPr>
        <w:t xml:space="preserve">included </w:t>
      </w:r>
      <w:r w:rsidR="002C72D6">
        <w:rPr>
          <w:rFonts w:ascii="Times New Roman" w:hAnsi="Times New Roman"/>
          <w:lang w:val="en-AU"/>
        </w:rPr>
        <w:t>in</w:t>
      </w:r>
      <w:r w:rsidR="002C72D6" w:rsidRPr="009C2ADD">
        <w:rPr>
          <w:rFonts w:ascii="Times New Roman" w:hAnsi="Times New Roman"/>
          <w:lang w:val="en-AU"/>
        </w:rPr>
        <w:t xml:space="preserve"> </w:t>
      </w:r>
      <w:r w:rsidR="001B0F07">
        <w:rPr>
          <w:rFonts w:ascii="Times New Roman" w:hAnsi="Times New Roman" w:hint="eastAsia"/>
          <w:lang w:val="en-AU" w:eastAsia="ko-KR"/>
        </w:rPr>
        <w:t>SC13-SA-WP-02</w:t>
      </w:r>
      <w:r w:rsidR="002C72D6" w:rsidRPr="009C2ADD">
        <w:rPr>
          <w:rFonts w:ascii="Times New Roman" w:hAnsi="Times New Roman"/>
          <w:lang w:val="en-AU"/>
        </w:rPr>
        <w:t xml:space="preserve"> </w:t>
      </w:r>
      <w:r w:rsidR="002C72D6">
        <w:rPr>
          <w:rFonts w:ascii="Times New Roman" w:hAnsi="Times New Roman"/>
          <w:lang w:val="en-AU"/>
        </w:rPr>
        <w:t>did</w:t>
      </w:r>
      <w:r w:rsidR="002C72D6" w:rsidRPr="009C2ADD">
        <w:rPr>
          <w:rFonts w:ascii="Times New Roman" w:hAnsi="Times New Roman"/>
          <w:lang w:val="en-AU"/>
        </w:rPr>
        <w:t xml:space="preserve"> not identify </w:t>
      </w:r>
      <w:r w:rsidR="000E769B" w:rsidRPr="009C2ADD">
        <w:rPr>
          <w:rFonts w:ascii="Times New Roman" w:hAnsi="Times New Roman"/>
          <w:lang w:val="en-AU"/>
        </w:rPr>
        <w:t>any significant changes in the fishery. However, to support ongoing management, it is vital that we have a reliable index of abundance for the assessment.</w:t>
      </w:r>
      <w:r w:rsidR="009C216F" w:rsidRPr="009C2ADD">
        <w:rPr>
          <w:rFonts w:ascii="Times New Roman" w:hAnsi="Times New Roman"/>
          <w:lang w:val="en-AU"/>
        </w:rPr>
        <w:t xml:space="preserve"> Currently the assessment relied heavily on Japanese pole and </w:t>
      </w:r>
      <w:r w:rsidR="000E769B" w:rsidRPr="009C2ADD">
        <w:rPr>
          <w:rFonts w:ascii="Times New Roman" w:hAnsi="Times New Roman"/>
          <w:lang w:val="en-AU"/>
        </w:rPr>
        <w:t xml:space="preserve">line CPUE as a long-term index of abundance but this </w:t>
      </w:r>
      <w:r w:rsidR="009C216F" w:rsidRPr="009C2ADD">
        <w:rPr>
          <w:rFonts w:ascii="Times New Roman" w:hAnsi="Times New Roman"/>
          <w:lang w:val="en-AU"/>
        </w:rPr>
        <w:t>sector only represented 10% of the catch and had</w:t>
      </w:r>
      <w:r w:rsidR="000E769B" w:rsidRPr="009C2ADD">
        <w:rPr>
          <w:rFonts w:ascii="Times New Roman" w:hAnsi="Times New Roman"/>
          <w:lang w:val="en-AU"/>
        </w:rPr>
        <w:t xml:space="preserve"> been declining. Because of this incre</w:t>
      </w:r>
      <w:r w:rsidR="009C216F" w:rsidRPr="009C2ADD">
        <w:rPr>
          <w:rFonts w:ascii="Times New Roman" w:hAnsi="Times New Roman"/>
          <w:lang w:val="en-AU"/>
        </w:rPr>
        <w:t>asing gap, the tagging project wa</w:t>
      </w:r>
      <w:r w:rsidR="000E769B" w:rsidRPr="009C2ADD">
        <w:rPr>
          <w:rFonts w:ascii="Times New Roman" w:hAnsi="Times New Roman"/>
          <w:lang w:val="en-AU"/>
        </w:rPr>
        <w:t xml:space="preserve">s becoming even more critical to the work of the Commission and </w:t>
      </w:r>
      <w:r w:rsidR="009C216F" w:rsidRPr="009C2ADD">
        <w:rPr>
          <w:rFonts w:ascii="Times New Roman" w:hAnsi="Times New Roman"/>
          <w:lang w:val="en-AU"/>
        </w:rPr>
        <w:t>the authors hoped that SC would</w:t>
      </w:r>
      <w:r w:rsidR="000E769B" w:rsidRPr="009C2ADD">
        <w:rPr>
          <w:rFonts w:ascii="Times New Roman" w:hAnsi="Times New Roman"/>
          <w:lang w:val="en-AU"/>
        </w:rPr>
        <w:t xml:space="preserve"> highlight the importance of continuing the tagging work as planned for 2017, 2018 and 2019, and </w:t>
      </w:r>
      <w:r w:rsidR="002C72D6">
        <w:rPr>
          <w:rFonts w:ascii="Times New Roman" w:hAnsi="Times New Roman"/>
          <w:lang w:val="en-AU"/>
        </w:rPr>
        <w:t>continuing</w:t>
      </w:r>
      <w:r w:rsidR="002C72D6" w:rsidRPr="009C2ADD">
        <w:rPr>
          <w:rFonts w:ascii="Times New Roman" w:hAnsi="Times New Roman"/>
          <w:lang w:val="en-AU"/>
        </w:rPr>
        <w:t xml:space="preserve"> </w:t>
      </w:r>
      <w:r w:rsidR="000E769B" w:rsidRPr="009C2ADD">
        <w:rPr>
          <w:rFonts w:ascii="Times New Roman" w:hAnsi="Times New Roman"/>
          <w:lang w:val="en-AU"/>
        </w:rPr>
        <w:t xml:space="preserve">the work on alternative indices of abundance. </w:t>
      </w:r>
    </w:p>
    <w:p w14:paraId="0ECB8760"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40943E96" w14:textId="213BE8C9" w:rsidR="00A36285" w:rsidRPr="009C2ADD" w:rsidRDefault="00DC0615" w:rsidP="009C2ADD">
      <w:pPr>
        <w:pStyle w:val="WCPFC"/>
        <w:numPr>
          <w:ilvl w:val="0"/>
          <w:numId w:val="0"/>
        </w:numPr>
        <w:adjustRightInd w:val="0"/>
        <w:spacing w:after="0"/>
        <w:ind w:left="567" w:hanging="567"/>
        <w:jc w:val="left"/>
        <w:rPr>
          <w:b/>
        </w:rPr>
      </w:pPr>
      <w:r w:rsidRPr="009C2ADD">
        <w:rPr>
          <w:b/>
          <w:lang w:eastAsia="ko-KR"/>
        </w:rPr>
        <w:t xml:space="preserve">4.1.3.2 </w:t>
      </w:r>
      <w:r w:rsidRPr="009C2ADD">
        <w:rPr>
          <w:b/>
          <w:lang w:eastAsia="ko-KR"/>
        </w:rPr>
        <w:tab/>
      </w:r>
      <w:r w:rsidR="00A36285" w:rsidRPr="009C2ADD">
        <w:rPr>
          <w:b/>
        </w:rPr>
        <w:t>Project 67</w:t>
      </w:r>
      <w:r w:rsidRPr="009C2ADD">
        <w:rPr>
          <w:b/>
          <w:lang w:eastAsia="ko-KR"/>
        </w:rPr>
        <w:t xml:space="preserve"> (</w:t>
      </w:r>
      <w:r w:rsidRPr="009C2ADD">
        <w:rPr>
          <w:rFonts w:eastAsia="바탕"/>
          <w:b/>
          <w:lang w:eastAsia="ko-KR"/>
        </w:rPr>
        <w:t xml:space="preserve">Skipjack fishery impacts on </w:t>
      </w:r>
      <w:r w:rsidRPr="009C2ADD">
        <w:rPr>
          <w:rFonts w:eastAsia="맑은 고딕"/>
          <w:b/>
          <w:lang w:eastAsia="ko-KR"/>
        </w:rPr>
        <w:t>the margins of the Convention Area)</w:t>
      </w:r>
      <w:r w:rsidR="00A36285" w:rsidRPr="009C2ADD">
        <w:rPr>
          <w:b/>
        </w:rPr>
        <w:br/>
      </w:r>
    </w:p>
    <w:p w14:paraId="1231E3DA" w14:textId="2FBDFF4C"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SC reviewed the results of Project 67 (skipjack fishery impacts on the mar</w:t>
      </w:r>
      <w:r w:rsidR="00214513">
        <w:rPr>
          <w:rFonts w:ascii="Times New Roman" w:hAnsi="Times New Roman"/>
          <w:lang w:val="en-AU"/>
        </w:rPr>
        <w:t>g</w:t>
      </w:r>
      <w:r w:rsidRPr="009C2ADD">
        <w:rPr>
          <w:rFonts w:ascii="Times New Roman" w:hAnsi="Times New Roman"/>
          <w:lang w:val="en-AU"/>
        </w:rPr>
        <w:t xml:space="preserve">ins of the Convention Area). The Convenor noted that </w:t>
      </w:r>
      <w:r w:rsidRPr="0070772D">
        <w:rPr>
          <w:rFonts w:ascii="Times New Roman" w:hAnsi="Times New Roman"/>
          <w:bCs/>
          <w:lang w:val="en-AU"/>
        </w:rPr>
        <w:t>SC13-SA-IP-08</w:t>
      </w:r>
      <w:r w:rsidRPr="009C2ADD">
        <w:rPr>
          <w:rFonts w:ascii="Times New Roman" w:hAnsi="Times New Roman"/>
          <w:lang w:val="en-AU"/>
        </w:rPr>
        <w:t xml:space="preserve"> and </w:t>
      </w:r>
      <w:r w:rsidRPr="0070772D">
        <w:rPr>
          <w:rFonts w:ascii="Times New Roman" w:hAnsi="Times New Roman"/>
          <w:bCs/>
          <w:lang w:val="en-AU"/>
        </w:rPr>
        <w:t>SC13-SA-09</w:t>
      </w:r>
      <w:r w:rsidRPr="009C2ADD">
        <w:rPr>
          <w:rFonts w:ascii="Times New Roman" w:hAnsi="Times New Roman"/>
          <w:lang w:val="en-AU"/>
        </w:rPr>
        <w:t xml:space="preserve"> would be referred to if needed.</w:t>
      </w:r>
    </w:p>
    <w:p w14:paraId="311529F8"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1EFED021" w14:textId="6B67314E"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w:t>
      </w:r>
      <w:r w:rsidR="001B0F07">
        <w:rPr>
          <w:rFonts w:ascii="Times New Roman" w:hAnsi="Times New Roman" w:hint="eastAsia"/>
          <w:lang w:val="en-AU" w:eastAsia="ko-KR"/>
        </w:rPr>
        <w:t>.</w:t>
      </w:r>
      <w:r w:rsidRPr="009C2ADD">
        <w:rPr>
          <w:rFonts w:ascii="Times New Roman" w:hAnsi="Times New Roman"/>
          <w:lang w:val="en-AU"/>
        </w:rPr>
        <w:t xml:space="preserve"> Lehodey (CLS) presented </w:t>
      </w:r>
      <w:r w:rsidRPr="0070772D">
        <w:rPr>
          <w:rFonts w:ascii="Times New Roman" w:hAnsi="Times New Roman"/>
          <w:bCs/>
          <w:lang w:val="en-AU"/>
        </w:rPr>
        <w:t>SC13-SA-WP-07</w:t>
      </w:r>
      <w:r w:rsidRPr="009C2ADD">
        <w:rPr>
          <w:rFonts w:ascii="Times New Roman" w:hAnsi="Times New Roman"/>
          <w:lang w:val="en-AU"/>
        </w:rPr>
        <w:t xml:space="preserve"> </w:t>
      </w:r>
      <w:r w:rsidRPr="009C2ADD">
        <w:rPr>
          <w:rFonts w:ascii="Times New Roman" w:hAnsi="Times New Roman"/>
          <w:i/>
          <w:lang w:val="en-AU"/>
        </w:rPr>
        <w:t>Impacts of Recent High Catches of Skipjack on Fisheries on the Margins of the WCPFC Convention Area</w:t>
      </w:r>
      <w:r w:rsidRPr="009C2ADD">
        <w:rPr>
          <w:rFonts w:ascii="Times New Roman" w:hAnsi="Times New Roman"/>
          <w:lang w:val="en-AU"/>
        </w:rPr>
        <w:t>.</w:t>
      </w:r>
      <w:r w:rsidR="001835F9" w:rsidRPr="009C2ADD">
        <w:rPr>
          <w:rFonts w:ascii="Times New Roman" w:hAnsi="Times New Roman"/>
          <w:lang w:val="en-AU"/>
        </w:rPr>
        <w:t xml:space="preserve"> </w:t>
      </w:r>
      <w:r w:rsidR="009C216F" w:rsidRPr="009C2ADD">
        <w:rPr>
          <w:rFonts w:ascii="Times New Roman" w:hAnsi="Times New Roman"/>
          <w:lang w:val="en-AU"/>
        </w:rPr>
        <w:t>Since several years, there had</w:t>
      </w:r>
      <w:r w:rsidRPr="009C2ADD">
        <w:rPr>
          <w:rFonts w:ascii="Times New Roman" w:hAnsi="Times New Roman"/>
          <w:lang w:val="en-AU"/>
        </w:rPr>
        <w:t xml:space="preserve"> been raising concern that high purse seine catc</w:t>
      </w:r>
      <w:r w:rsidR="009C216F" w:rsidRPr="009C2ADD">
        <w:rPr>
          <w:rFonts w:ascii="Times New Roman" w:hAnsi="Times New Roman"/>
          <w:lang w:val="en-AU"/>
        </w:rPr>
        <w:t>hes in the equatorial region might</w:t>
      </w:r>
      <w:r w:rsidRPr="009C2ADD">
        <w:rPr>
          <w:rFonts w:ascii="Times New Roman" w:hAnsi="Times New Roman"/>
          <w:lang w:val="en-AU"/>
        </w:rPr>
        <w:t xml:space="preserve"> be causing a range contraction of WCPO skipjack tuna, thus reducing skipjack tuna availability to fisheries in higher latitudes, e.g., the domestic and off-shore Japanese boats </w:t>
      </w:r>
      <w:r w:rsidR="009C216F" w:rsidRPr="009C2ADD">
        <w:rPr>
          <w:rFonts w:ascii="Times New Roman" w:hAnsi="Times New Roman"/>
          <w:lang w:val="en-AU"/>
        </w:rPr>
        <w:t>who fished</w:t>
      </w:r>
      <w:r w:rsidRPr="009C2ADD">
        <w:rPr>
          <w:rFonts w:ascii="Times New Roman" w:hAnsi="Times New Roman"/>
          <w:lang w:val="en-AU"/>
        </w:rPr>
        <w:t xml:space="preserve"> seasonally in the sub-tropical and temperate home waters. Alternatively, change</w:t>
      </w:r>
      <w:r w:rsidR="009C216F" w:rsidRPr="009C2ADD">
        <w:rPr>
          <w:rFonts w:ascii="Times New Roman" w:hAnsi="Times New Roman"/>
          <w:lang w:val="en-AU"/>
        </w:rPr>
        <w:t xml:space="preserve"> in</w:t>
      </w:r>
      <w:r w:rsidR="00C0454C" w:rsidRPr="009C2ADD">
        <w:rPr>
          <w:rFonts w:ascii="Times New Roman" w:hAnsi="Times New Roman"/>
          <w:lang w:val="en-AU"/>
        </w:rPr>
        <w:t xml:space="preserve"> environmental conditions might</w:t>
      </w:r>
      <w:r w:rsidRPr="009C2ADD">
        <w:rPr>
          <w:rFonts w:ascii="Times New Roman" w:hAnsi="Times New Roman"/>
          <w:lang w:val="en-AU"/>
        </w:rPr>
        <w:t xml:space="preserve"> also generate variability in tuna recruitment, movement and catch. </w:t>
      </w:r>
    </w:p>
    <w:p w14:paraId="26D2BFF7"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08342BA" w14:textId="611A4C2B" w:rsidR="00A36285" w:rsidRPr="009C2ADD" w:rsidRDefault="009C21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northwest Pacific region wa</w:t>
      </w:r>
      <w:r w:rsidR="00A36285" w:rsidRPr="009C2ADD">
        <w:rPr>
          <w:rFonts w:ascii="Times New Roman" w:hAnsi="Times New Roman"/>
          <w:lang w:val="en-AU"/>
        </w:rPr>
        <w:t xml:space="preserve">s strongly influenced by mesoscale activity associated to the warm Kuroshio </w:t>
      </w:r>
      <w:r w:rsidR="00214513" w:rsidRPr="009C2ADD">
        <w:rPr>
          <w:rFonts w:ascii="Times New Roman" w:hAnsi="Times New Roman"/>
          <w:lang w:val="en-AU"/>
        </w:rPr>
        <w:t>Current</w:t>
      </w:r>
      <w:r w:rsidR="00A36285" w:rsidRPr="009C2ADD">
        <w:rPr>
          <w:rFonts w:ascii="Times New Roman" w:hAnsi="Times New Roman"/>
          <w:lang w:val="en-AU"/>
        </w:rPr>
        <w:t xml:space="preserve"> and its extension ea</w:t>
      </w:r>
      <w:r w:rsidRPr="009C2ADD">
        <w:rPr>
          <w:rFonts w:ascii="Times New Roman" w:hAnsi="Times New Roman"/>
          <w:lang w:val="en-AU"/>
        </w:rPr>
        <w:t>st off Japan where it encountered</w:t>
      </w:r>
      <w:r w:rsidR="00A36285" w:rsidRPr="009C2ADD">
        <w:rPr>
          <w:rFonts w:ascii="Times New Roman" w:hAnsi="Times New Roman"/>
          <w:lang w:val="en-AU"/>
        </w:rPr>
        <w:t xml:space="preserve"> the cold Oyashio</w:t>
      </w:r>
      <w:r w:rsidR="00214513">
        <w:rPr>
          <w:rFonts w:ascii="Times New Roman" w:hAnsi="Times New Roman"/>
          <w:lang w:val="en-AU"/>
        </w:rPr>
        <w:t xml:space="preserve"> C</w:t>
      </w:r>
      <w:r w:rsidRPr="009C2ADD">
        <w:rPr>
          <w:rFonts w:ascii="Times New Roman" w:hAnsi="Times New Roman"/>
          <w:lang w:val="en-AU"/>
        </w:rPr>
        <w:t>urrent. Kuroshio extension had</w:t>
      </w:r>
      <w:r w:rsidR="00A36285" w:rsidRPr="009C2ADD">
        <w:rPr>
          <w:rFonts w:ascii="Times New Roman" w:hAnsi="Times New Roman"/>
          <w:lang w:val="en-AU"/>
        </w:rPr>
        <w:t xml:space="preserve"> been shown to shift between extended and contracted regimes at interannual time scale. A change from elongated to contracted regime, characterized with less energetic conditions, was described following a transition period in 2005-2006. The contracted regime changed to an elongated regime in 2010 and then </w:t>
      </w:r>
      <w:r w:rsidR="00C0454C" w:rsidRPr="009C2ADD">
        <w:rPr>
          <w:rFonts w:ascii="Times New Roman" w:hAnsi="Times New Roman"/>
          <w:lang w:val="en-AU"/>
        </w:rPr>
        <w:t>remained in neutral conditions.</w:t>
      </w:r>
      <w:r w:rsidR="00A36285" w:rsidRPr="009C2ADD">
        <w:rPr>
          <w:rFonts w:ascii="Times New Roman" w:hAnsi="Times New Roman"/>
          <w:lang w:val="en-AU"/>
        </w:rPr>
        <w:t xml:space="preserve"> Recent progress in application of SEAPODYM to skipjack included new environmental forcing, revision of fishing data set and parameter optimisation including conventional tagging data in addition to fi</w:t>
      </w:r>
      <w:r w:rsidRPr="009C2ADD">
        <w:rPr>
          <w:rFonts w:ascii="Times New Roman" w:hAnsi="Times New Roman"/>
          <w:lang w:val="en-AU"/>
        </w:rPr>
        <w:t>shing data. This report provided</w:t>
      </w:r>
      <w:r w:rsidR="00A36285" w:rsidRPr="009C2ADD">
        <w:rPr>
          <w:rFonts w:ascii="Times New Roman" w:hAnsi="Times New Roman"/>
          <w:lang w:val="en-AU"/>
        </w:rPr>
        <w:t xml:space="preserve"> the results </w:t>
      </w:r>
      <w:r w:rsidR="001B0F07">
        <w:rPr>
          <w:rFonts w:ascii="Times New Roman" w:hAnsi="Times New Roman" w:hint="eastAsia"/>
          <w:lang w:val="en-AU" w:eastAsia="ko-KR"/>
        </w:rPr>
        <w:t>of</w:t>
      </w:r>
      <w:r w:rsidR="001B0F07" w:rsidRPr="009C2ADD">
        <w:rPr>
          <w:rFonts w:ascii="Times New Roman" w:hAnsi="Times New Roman"/>
          <w:lang w:val="en-AU"/>
        </w:rPr>
        <w:t xml:space="preserve"> </w:t>
      </w:r>
      <w:r w:rsidR="00A36285" w:rsidRPr="009C2ADD">
        <w:rPr>
          <w:rFonts w:ascii="Times New Roman" w:hAnsi="Times New Roman"/>
          <w:lang w:val="en-AU"/>
        </w:rPr>
        <w:t xml:space="preserve">simulations conducted with this new reference configuration at coarse and high resolutions to test the strength of connectivity between adjacent and distant regions, and to measure the impact of equatorial purse seine fisheries on Japanese domestic fisheries. </w:t>
      </w:r>
    </w:p>
    <w:p w14:paraId="75807E9B"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6A3B103" w14:textId="2C998DCC"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new reference run at coarse resolution sho</w:t>
      </w:r>
      <w:r w:rsidR="009C216F" w:rsidRPr="009C2ADD">
        <w:rPr>
          <w:rFonts w:ascii="Times New Roman" w:hAnsi="Times New Roman"/>
          <w:lang w:val="en-AU"/>
        </w:rPr>
        <w:t>wed</w:t>
      </w:r>
      <w:r w:rsidRPr="009C2ADD">
        <w:rPr>
          <w:rFonts w:ascii="Times New Roman" w:hAnsi="Times New Roman"/>
          <w:lang w:val="en-AU"/>
        </w:rPr>
        <w:t xml:space="preserve"> improved fit to data and realistic parameterization of biological parameters (thermal habitat, movement, oxygen tolerance, vertical habitat, </w:t>
      </w:r>
      <w:r w:rsidR="00214513">
        <w:rPr>
          <w:rFonts w:ascii="Times New Roman" w:hAnsi="Times New Roman"/>
          <w:lang w:val="en-AU"/>
        </w:rPr>
        <w:t xml:space="preserve">and </w:t>
      </w:r>
      <w:r w:rsidRPr="009C2ADD">
        <w:rPr>
          <w:rFonts w:ascii="Times New Roman" w:hAnsi="Times New Roman"/>
          <w:lang w:val="en-AU"/>
        </w:rPr>
        <w:t>spawning conditions) in good agreement with current knowled</w:t>
      </w:r>
      <w:r w:rsidR="009C216F" w:rsidRPr="009C2ADD">
        <w:rPr>
          <w:rFonts w:ascii="Times New Roman" w:hAnsi="Times New Roman"/>
          <w:lang w:val="en-AU"/>
        </w:rPr>
        <w:t>ge. Predicted skipjack density wa</w:t>
      </w:r>
      <w:r w:rsidRPr="009C2ADD">
        <w:rPr>
          <w:rFonts w:ascii="Times New Roman" w:hAnsi="Times New Roman"/>
          <w:lang w:val="en-AU"/>
        </w:rPr>
        <w:t>s distributed mostly in the warmpool. Variability in recruitment and adu</w:t>
      </w:r>
      <w:r w:rsidR="009C216F" w:rsidRPr="009C2ADD">
        <w:rPr>
          <w:rFonts w:ascii="Times New Roman" w:hAnsi="Times New Roman"/>
          <w:lang w:val="en-AU"/>
        </w:rPr>
        <w:t xml:space="preserve">lt distribution due to ENSO were </w:t>
      </w:r>
      <w:r w:rsidRPr="009C2ADD">
        <w:rPr>
          <w:rFonts w:ascii="Times New Roman" w:hAnsi="Times New Roman"/>
          <w:lang w:val="en-AU"/>
        </w:rPr>
        <w:t>well predicted. Total stock estimates in WCPO</w:t>
      </w:r>
      <w:r w:rsidR="009C216F" w:rsidRPr="009C2ADD">
        <w:rPr>
          <w:rFonts w:ascii="Times New Roman" w:hAnsi="Times New Roman"/>
          <w:lang w:val="en-AU"/>
        </w:rPr>
        <w:t xml:space="preserve"> we</w:t>
      </w:r>
      <w:r w:rsidRPr="009C2ADD">
        <w:rPr>
          <w:rFonts w:ascii="Times New Roman" w:hAnsi="Times New Roman"/>
          <w:lang w:val="en-AU"/>
        </w:rPr>
        <w:t>re close between SEAPODYM and Multifan-CL, i.e. 3.4</w:t>
      </w:r>
      <w:r w:rsidR="009C216F" w:rsidRPr="009C2ADD">
        <w:rPr>
          <w:rFonts w:ascii="Times New Roman" w:hAnsi="Times New Roman"/>
          <w:lang w:val="en-AU"/>
        </w:rPr>
        <w:t>Mt of adult and about 4M</w:t>
      </w:r>
      <w:r w:rsidRPr="009C2ADD">
        <w:rPr>
          <w:rFonts w:ascii="Times New Roman" w:hAnsi="Times New Roman"/>
          <w:lang w:val="en-AU"/>
        </w:rPr>
        <w:t>t of total biomass in 2010, but with a discrepancy in the northwest Pacific region, where MULTIFA</w:t>
      </w:r>
      <w:r w:rsidR="009C216F" w:rsidRPr="009C2ADD">
        <w:rPr>
          <w:rFonts w:ascii="Times New Roman" w:hAnsi="Times New Roman"/>
          <w:lang w:val="en-AU"/>
        </w:rPr>
        <w:t>N-CL skipjack biomass estimate wa</w:t>
      </w:r>
      <w:r w:rsidRPr="009C2ADD">
        <w:rPr>
          <w:rFonts w:ascii="Times New Roman" w:hAnsi="Times New Roman"/>
          <w:lang w:val="en-AU"/>
        </w:rPr>
        <w:t>s much higher and more variable t</w:t>
      </w:r>
      <w:r w:rsidR="009C216F" w:rsidRPr="009C2ADD">
        <w:rPr>
          <w:rFonts w:ascii="Times New Roman" w:hAnsi="Times New Roman"/>
          <w:lang w:val="en-AU"/>
        </w:rPr>
        <w:t xml:space="preserve">han SEAPODYM estimate. This had </w:t>
      </w:r>
      <w:r w:rsidRPr="009C2ADD">
        <w:rPr>
          <w:rFonts w:ascii="Times New Roman" w:hAnsi="Times New Roman"/>
          <w:lang w:val="en-AU"/>
        </w:rPr>
        <w:t>not prevent</w:t>
      </w:r>
      <w:r w:rsidR="00C0454C" w:rsidRPr="009C2ADD">
        <w:rPr>
          <w:rFonts w:ascii="Times New Roman" w:hAnsi="Times New Roman"/>
          <w:lang w:val="en-AU"/>
        </w:rPr>
        <w:t>ed SEAPODYM from</w:t>
      </w:r>
      <w:r w:rsidRPr="009C2ADD">
        <w:rPr>
          <w:rFonts w:ascii="Times New Roman" w:hAnsi="Times New Roman"/>
          <w:lang w:val="en-AU"/>
        </w:rPr>
        <w:t xml:space="preserve"> correctly predict</w:t>
      </w:r>
      <w:r w:rsidR="009C216F" w:rsidRPr="009C2ADD">
        <w:rPr>
          <w:rFonts w:ascii="Times New Roman" w:hAnsi="Times New Roman"/>
          <w:lang w:val="en-AU"/>
        </w:rPr>
        <w:t>ing</w:t>
      </w:r>
      <w:r w:rsidRPr="009C2ADD">
        <w:rPr>
          <w:rFonts w:ascii="Times New Roman" w:hAnsi="Times New Roman"/>
          <w:lang w:val="en-AU"/>
        </w:rPr>
        <w:t xml:space="preserve"> the catch o</w:t>
      </w:r>
      <w:r w:rsidR="009C216F" w:rsidRPr="009C2ADD">
        <w:rPr>
          <w:rFonts w:ascii="Times New Roman" w:hAnsi="Times New Roman"/>
          <w:lang w:val="en-AU"/>
        </w:rPr>
        <w:t xml:space="preserve">f the subtropical Japanese pole </w:t>
      </w:r>
      <w:r w:rsidRPr="009C2ADD">
        <w:rPr>
          <w:rFonts w:ascii="Times New Roman" w:hAnsi="Times New Roman"/>
          <w:lang w:val="en-AU"/>
        </w:rPr>
        <w:t xml:space="preserve">and line north of 20°N based on the observed effort. On </w:t>
      </w:r>
      <w:r w:rsidR="009C216F" w:rsidRPr="009C2ADD">
        <w:rPr>
          <w:rFonts w:ascii="Times New Roman" w:hAnsi="Times New Roman"/>
          <w:lang w:val="en-AU"/>
        </w:rPr>
        <w:t>the other hand SEAPODYM predicted</w:t>
      </w:r>
      <w:r w:rsidRPr="009C2ADD">
        <w:rPr>
          <w:rFonts w:ascii="Times New Roman" w:hAnsi="Times New Roman"/>
          <w:lang w:val="en-AU"/>
        </w:rPr>
        <w:t xml:space="preserve"> higher biomass in the two core tropical regions known to be the main fishing grounds for skipjack.  </w:t>
      </w:r>
    </w:p>
    <w:p w14:paraId="7810BBDE"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40CA98F4" w14:textId="3B0901CE"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average fishing impact at basin scale reach</w:t>
      </w:r>
      <w:r w:rsidR="009C216F" w:rsidRPr="009C2ADD">
        <w:rPr>
          <w:rFonts w:ascii="Times New Roman" w:hAnsi="Times New Roman"/>
          <w:lang w:val="en-AU"/>
        </w:rPr>
        <w:t>ed</w:t>
      </w:r>
      <w:r w:rsidRPr="009C2ADD">
        <w:rPr>
          <w:rFonts w:ascii="Times New Roman" w:hAnsi="Times New Roman"/>
          <w:lang w:val="en-AU"/>
        </w:rPr>
        <w:t xml:space="preserve"> 20-25% of reduction in spawning biomass by </w:t>
      </w:r>
      <w:r w:rsidR="009C216F" w:rsidRPr="009C2ADD">
        <w:rPr>
          <w:rFonts w:ascii="Times New Roman" w:hAnsi="Times New Roman"/>
          <w:lang w:val="en-AU"/>
        </w:rPr>
        <w:t>the end of 2010, but approached</w:t>
      </w:r>
      <w:r w:rsidRPr="009C2ADD">
        <w:rPr>
          <w:rFonts w:ascii="Times New Roman" w:hAnsi="Times New Roman"/>
          <w:lang w:val="en-AU"/>
        </w:rPr>
        <w:t xml:space="preserve"> 50% in the most intensively exploited region north of </w:t>
      </w:r>
      <w:r w:rsidR="00B177F7">
        <w:rPr>
          <w:rFonts w:ascii="Times New Roman" w:hAnsi="Times New Roman"/>
          <w:lang w:val="en-AU"/>
        </w:rPr>
        <w:t>PNG</w:t>
      </w:r>
      <w:r w:rsidRPr="009C2ADD">
        <w:rPr>
          <w:rFonts w:ascii="Times New Roman" w:hAnsi="Times New Roman"/>
          <w:lang w:val="en-AU"/>
        </w:rPr>
        <w:t>. After downscaling on high resolution configuration, a very</w:t>
      </w:r>
      <w:r w:rsidR="009C216F" w:rsidRPr="009C2ADD">
        <w:rPr>
          <w:rFonts w:ascii="Times New Roman" w:hAnsi="Times New Roman"/>
          <w:lang w:val="en-AU"/>
        </w:rPr>
        <w:t xml:space="preserve"> good match at fine resolution wa</w:t>
      </w:r>
      <w:r w:rsidRPr="009C2ADD">
        <w:rPr>
          <w:rFonts w:ascii="Times New Roman" w:hAnsi="Times New Roman"/>
          <w:lang w:val="en-AU"/>
        </w:rPr>
        <w:t xml:space="preserve">s observed between high catch and high density of (exploitable) skipjack in the equatorial purse seine fishing ground including the Solomon Is. and </w:t>
      </w:r>
      <w:r w:rsidR="00B177F7">
        <w:rPr>
          <w:rFonts w:ascii="Times New Roman" w:hAnsi="Times New Roman"/>
          <w:lang w:val="en-AU"/>
        </w:rPr>
        <w:t>PNG</w:t>
      </w:r>
      <w:r w:rsidR="009C216F" w:rsidRPr="009C2ADD">
        <w:rPr>
          <w:rFonts w:ascii="Times New Roman" w:hAnsi="Times New Roman"/>
          <w:lang w:val="en-AU"/>
        </w:rPr>
        <w:t xml:space="preserve"> regions, and the fit wa</w:t>
      </w:r>
      <w:r w:rsidRPr="009C2ADD">
        <w:rPr>
          <w:rFonts w:ascii="Times New Roman" w:hAnsi="Times New Roman"/>
          <w:lang w:val="en-AU"/>
        </w:rPr>
        <w:t>s high fo</w:t>
      </w:r>
      <w:r w:rsidR="009C216F" w:rsidRPr="009C2ADD">
        <w:rPr>
          <w:rFonts w:ascii="Times New Roman" w:hAnsi="Times New Roman"/>
          <w:lang w:val="en-AU"/>
        </w:rPr>
        <w:t xml:space="preserve">r the Japanese subtropical pole and </w:t>
      </w:r>
      <w:r w:rsidR="00C0454C" w:rsidRPr="009C2ADD">
        <w:rPr>
          <w:rFonts w:ascii="Times New Roman" w:hAnsi="Times New Roman"/>
          <w:lang w:val="en-AU"/>
        </w:rPr>
        <w:t xml:space="preserve">line fishery as well. </w:t>
      </w:r>
      <w:r w:rsidR="009C216F" w:rsidRPr="009C2ADD">
        <w:rPr>
          <w:rFonts w:ascii="Times New Roman" w:hAnsi="Times New Roman"/>
          <w:lang w:val="en-AU"/>
        </w:rPr>
        <w:t>Connectivity study wa</w:t>
      </w:r>
      <w:r w:rsidRPr="009C2ADD">
        <w:rPr>
          <w:rFonts w:ascii="Times New Roman" w:hAnsi="Times New Roman"/>
          <w:lang w:val="en-AU"/>
        </w:rPr>
        <w:t xml:space="preserve">s conducted between regions proposed by </w:t>
      </w:r>
      <w:r w:rsidR="006233F1">
        <w:rPr>
          <w:rFonts w:ascii="Times New Roman" w:hAnsi="Times New Roman" w:hint="eastAsia"/>
          <w:lang w:val="en-AU" w:eastAsia="ko-KR"/>
        </w:rPr>
        <w:t xml:space="preserve">H. </w:t>
      </w:r>
      <w:r w:rsidRPr="009C2ADD">
        <w:rPr>
          <w:rFonts w:ascii="Times New Roman" w:hAnsi="Times New Roman"/>
          <w:lang w:val="en-AU"/>
        </w:rPr>
        <w:t>Kiyofuji (SC12</w:t>
      </w:r>
      <w:r w:rsidR="00322473">
        <w:rPr>
          <w:rFonts w:ascii="Times New Roman" w:hAnsi="Times New Roman" w:hint="eastAsia"/>
          <w:lang w:val="en-AU" w:eastAsia="ko-KR"/>
        </w:rPr>
        <w:t>-SA-WP-05</w:t>
      </w:r>
      <w:r w:rsidRPr="009C2ADD">
        <w:rPr>
          <w:rFonts w:ascii="Times New Roman" w:hAnsi="Times New Roman"/>
          <w:lang w:val="en-AU"/>
        </w:rPr>
        <w:t>) with both coarse and high res</w:t>
      </w:r>
      <w:r w:rsidR="009C216F" w:rsidRPr="009C2ADD">
        <w:rPr>
          <w:rFonts w:ascii="Times New Roman" w:hAnsi="Times New Roman"/>
          <w:lang w:val="en-AU"/>
        </w:rPr>
        <w:t>olution configurations.  There we</w:t>
      </w:r>
      <w:r w:rsidRPr="009C2ADD">
        <w:rPr>
          <w:rFonts w:ascii="Times New Roman" w:hAnsi="Times New Roman"/>
          <w:lang w:val="en-AU"/>
        </w:rPr>
        <w:t>re only small differences between th</w:t>
      </w:r>
      <w:r w:rsidR="00C0454C" w:rsidRPr="009C2ADD">
        <w:rPr>
          <w:rFonts w:ascii="Times New Roman" w:hAnsi="Times New Roman"/>
          <w:lang w:val="en-AU"/>
        </w:rPr>
        <w:t>e two simulations, except</w:t>
      </w:r>
      <w:r w:rsidR="0034646F" w:rsidRPr="009C2ADD">
        <w:rPr>
          <w:rFonts w:ascii="Times New Roman" w:hAnsi="Times New Roman"/>
          <w:lang w:val="en-AU"/>
        </w:rPr>
        <w:t xml:space="preserve"> in R</w:t>
      </w:r>
      <w:r w:rsidR="009C216F" w:rsidRPr="009C2ADD">
        <w:rPr>
          <w:rFonts w:ascii="Times New Roman" w:hAnsi="Times New Roman"/>
          <w:lang w:val="en-AU"/>
        </w:rPr>
        <w:t xml:space="preserve">egion 7 which </w:t>
      </w:r>
      <w:r w:rsidR="00214513" w:rsidRPr="009C2ADD">
        <w:rPr>
          <w:rFonts w:ascii="Times New Roman" w:hAnsi="Times New Roman"/>
          <w:lang w:val="en-AU"/>
        </w:rPr>
        <w:t>suggested</w:t>
      </w:r>
      <w:r w:rsidRPr="009C2ADD">
        <w:rPr>
          <w:rFonts w:ascii="Times New Roman" w:hAnsi="Times New Roman"/>
          <w:lang w:val="en-AU"/>
        </w:rPr>
        <w:t xml:space="preserve"> a strong sensitivity to mesoscale circulation in this region. </w:t>
      </w:r>
    </w:p>
    <w:p w14:paraId="7EC452AA"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75AB2D1" w14:textId="33D45A4B" w:rsidR="00C0454C" w:rsidRPr="009C2ADD" w:rsidRDefault="003464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w:t>
      </w:r>
      <w:r w:rsidR="00A36285" w:rsidRPr="009C2ADD">
        <w:rPr>
          <w:rFonts w:ascii="Times New Roman" w:hAnsi="Times New Roman"/>
          <w:lang w:val="en-AU"/>
        </w:rPr>
        <w:t xml:space="preserve">egion 1 (East off Taiwan, Okinawa Is.) adult biomass would be supported by </w:t>
      </w:r>
      <w:r w:rsidR="002C72D6" w:rsidRPr="009C2ADD">
        <w:rPr>
          <w:rFonts w:ascii="Times New Roman" w:hAnsi="Times New Roman"/>
          <w:lang w:val="en-AU"/>
        </w:rPr>
        <w:t xml:space="preserve">recruitment </w:t>
      </w:r>
      <w:r w:rsidR="002C72D6">
        <w:rPr>
          <w:rFonts w:ascii="Times New Roman" w:hAnsi="Times New Roman"/>
          <w:lang w:val="en-AU"/>
        </w:rPr>
        <w:t xml:space="preserve">produced </w:t>
      </w:r>
      <w:r w:rsidR="002C72D6" w:rsidRPr="009C2ADD">
        <w:rPr>
          <w:rFonts w:ascii="Times New Roman" w:hAnsi="Times New Roman"/>
          <w:lang w:val="en-AU"/>
        </w:rPr>
        <w:t xml:space="preserve">in its own area (~30-35%), then by recruitment </w:t>
      </w:r>
      <w:r w:rsidR="002C72D6">
        <w:rPr>
          <w:rFonts w:ascii="Times New Roman" w:hAnsi="Times New Roman"/>
          <w:lang w:val="en-AU"/>
        </w:rPr>
        <w:t xml:space="preserve">produced </w:t>
      </w:r>
      <w:r w:rsidR="002C72D6" w:rsidRPr="009C2ADD">
        <w:rPr>
          <w:rFonts w:ascii="Times New Roman" w:hAnsi="Times New Roman"/>
          <w:lang w:val="en-AU"/>
        </w:rPr>
        <w:t xml:space="preserve">in Region 3 (~24- 38%), Region 6 (~10-25%), Region 7 (~5-13%) and </w:t>
      </w:r>
      <w:r w:rsidR="002C72D6">
        <w:rPr>
          <w:rFonts w:ascii="Times New Roman" w:hAnsi="Times New Roman"/>
          <w:lang w:val="en-AU"/>
        </w:rPr>
        <w:t xml:space="preserve">Region </w:t>
      </w:r>
      <w:r w:rsidR="002C72D6" w:rsidRPr="009C2ADD">
        <w:rPr>
          <w:rFonts w:ascii="Times New Roman" w:hAnsi="Times New Roman"/>
          <w:lang w:val="en-AU"/>
        </w:rPr>
        <w:t>2 (~5-10%)</w:t>
      </w:r>
      <w:r w:rsidR="00A36285" w:rsidRPr="009C2ADD">
        <w:rPr>
          <w:rFonts w:ascii="Times New Roman" w:hAnsi="Times New Roman"/>
          <w:lang w:val="en-AU"/>
        </w:rPr>
        <w:t>.</w:t>
      </w:r>
      <w:r w:rsidR="009C216F" w:rsidRPr="009C2ADD">
        <w:rPr>
          <w:rFonts w:ascii="Times New Roman" w:hAnsi="Times New Roman"/>
          <w:lang w:val="en-AU"/>
        </w:rPr>
        <w:t xml:space="preserve"> Region 1 wa</w:t>
      </w:r>
      <w:r w:rsidRPr="009C2ADD">
        <w:rPr>
          <w:rFonts w:ascii="Times New Roman" w:hAnsi="Times New Roman"/>
          <w:lang w:val="en-AU"/>
        </w:rPr>
        <w:t>s well connected to R</w:t>
      </w:r>
      <w:r w:rsidR="00A36285" w:rsidRPr="009C2ADD">
        <w:rPr>
          <w:rFonts w:ascii="Times New Roman" w:hAnsi="Times New Roman"/>
          <w:lang w:val="en-AU"/>
        </w:rPr>
        <w:t xml:space="preserve">egions 3 and 6 for adult exchanges (movements). </w:t>
      </w:r>
      <w:r w:rsidRPr="009C2ADD">
        <w:rPr>
          <w:rFonts w:ascii="Times New Roman" w:hAnsi="Times New Roman"/>
          <w:lang w:val="en-AU"/>
        </w:rPr>
        <w:t>In R</w:t>
      </w:r>
      <w:r w:rsidR="00A36285" w:rsidRPr="009C2ADD">
        <w:rPr>
          <w:rFonts w:ascii="Times New Roman" w:hAnsi="Times New Roman"/>
          <w:lang w:val="en-AU"/>
        </w:rPr>
        <w:t>egion 7 (North Central Pacific</w:t>
      </w:r>
      <w:r w:rsidR="009C216F" w:rsidRPr="009C2ADD">
        <w:rPr>
          <w:rFonts w:ascii="Times New Roman" w:hAnsi="Times New Roman"/>
          <w:lang w:val="en-AU"/>
        </w:rPr>
        <w:t>), density of recruited larvae wa</w:t>
      </w:r>
      <w:r w:rsidR="00A36285" w:rsidRPr="009C2ADD">
        <w:rPr>
          <w:rFonts w:ascii="Times New Roman" w:hAnsi="Times New Roman"/>
          <w:lang w:val="en-AU"/>
        </w:rPr>
        <w:t>s predicted to be lower by high resolution simulation. Biomass of im</w:t>
      </w:r>
      <w:r w:rsidR="009C216F" w:rsidRPr="009C2ADD">
        <w:rPr>
          <w:rFonts w:ascii="Times New Roman" w:hAnsi="Times New Roman"/>
          <w:lang w:val="en-AU"/>
        </w:rPr>
        <w:t>mature and adult cohorts followed</w:t>
      </w:r>
      <w:r w:rsidR="00A36285" w:rsidRPr="009C2ADD">
        <w:rPr>
          <w:rFonts w:ascii="Times New Roman" w:hAnsi="Times New Roman"/>
          <w:lang w:val="en-AU"/>
        </w:rPr>
        <w:t xml:space="preserve"> the same trends with delayed effect. When removing equatorial purse seine fishing mortality, the increase</w:t>
      </w:r>
      <w:r w:rsidRPr="009C2ADD">
        <w:rPr>
          <w:rFonts w:ascii="Times New Roman" w:hAnsi="Times New Roman"/>
          <w:lang w:val="en-AU"/>
        </w:rPr>
        <w:t xml:space="preserve"> in adult biomass and catch of R</w:t>
      </w:r>
      <w:r w:rsidR="009C216F" w:rsidRPr="009C2ADD">
        <w:rPr>
          <w:rFonts w:ascii="Times New Roman" w:hAnsi="Times New Roman"/>
          <w:lang w:val="en-AU"/>
        </w:rPr>
        <w:t>egions 1 and 7 we</w:t>
      </w:r>
      <w:r w:rsidR="00C0454C" w:rsidRPr="009C2ADD">
        <w:rPr>
          <w:rFonts w:ascii="Times New Roman" w:hAnsi="Times New Roman"/>
          <w:lang w:val="en-AU"/>
        </w:rPr>
        <w:t>re limited (&lt; 6% in both).</w:t>
      </w:r>
      <w:r w:rsidR="00A36285" w:rsidRPr="009C2ADD">
        <w:rPr>
          <w:rFonts w:ascii="Times New Roman" w:hAnsi="Times New Roman"/>
          <w:lang w:val="en-AU"/>
        </w:rPr>
        <w:t xml:space="preserve"> </w:t>
      </w:r>
      <w:r w:rsidR="009C216F" w:rsidRPr="009C2ADD">
        <w:rPr>
          <w:rFonts w:ascii="Times New Roman" w:hAnsi="Times New Roman"/>
          <w:lang w:val="en-AU"/>
        </w:rPr>
        <w:t xml:space="preserve">Though the study suggested </w:t>
      </w:r>
      <w:r w:rsidR="00A36285" w:rsidRPr="009C2ADD">
        <w:rPr>
          <w:rFonts w:ascii="Times New Roman" w:hAnsi="Times New Roman"/>
          <w:lang w:val="en-AU"/>
        </w:rPr>
        <w:t>a significant connectivity between equatorial and higher latitudes, the high biomass predicted in the equatorial re</w:t>
      </w:r>
      <w:r w:rsidR="009C216F" w:rsidRPr="009C2ADD">
        <w:rPr>
          <w:rFonts w:ascii="Times New Roman" w:hAnsi="Times New Roman"/>
          <w:lang w:val="en-AU"/>
        </w:rPr>
        <w:t>gions limited</w:t>
      </w:r>
      <w:r w:rsidR="00A36285" w:rsidRPr="009C2ADD">
        <w:rPr>
          <w:rFonts w:ascii="Times New Roman" w:hAnsi="Times New Roman"/>
          <w:lang w:val="en-AU"/>
        </w:rPr>
        <w:t xml:space="preserve"> the impact of the equatorial purse seine fishery o</w:t>
      </w:r>
      <w:r w:rsidR="009C216F" w:rsidRPr="009C2ADD">
        <w:rPr>
          <w:rFonts w:ascii="Times New Roman" w:hAnsi="Times New Roman"/>
          <w:lang w:val="en-AU"/>
        </w:rPr>
        <w:t>n the northern stock. It remained</w:t>
      </w:r>
      <w:r w:rsidR="00A36285" w:rsidRPr="009C2ADD">
        <w:rPr>
          <w:rFonts w:ascii="Times New Roman" w:hAnsi="Times New Roman"/>
          <w:lang w:val="en-AU"/>
        </w:rPr>
        <w:t xml:space="preserve"> possible that an improved representation of skipjack distribution in the main equatorial fishing grounds could allow the model to predict the catch correctly with a lower biomass in tropical regions. In that case, the impact of purse seine fishing on the adjacent regions could become stronger. </w:t>
      </w:r>
      <w:r w:rsidR="009C216F" w:rsidRPr="009C2ADD">
        <w:rPr>
          <w:rFonts w:ascii="Times New Roman" w:hAnsi="Times New Roman"/>
          <w:lang w:val="en-AU"/>
        </w:rPr>
        <w:t>There we</w:t>
      </w:r>
      <w:r w:rsidR="00A36285" w:rsidRPr="009C2ADD">
        <w:rPr>
          <w:rFonts w:ascii="Times New Roman" w:hAnsi="Times New Roman"/>
          <w:lang w:val="en-AU"/>
        </w:rPr>
        <w:t>re also some indications that interannual environmental variability could be responsible of a decrease in immature and adult stocks in the recent years while higher recruitment would have occurred very recently in concordance with favorable conditions associated to 2014-15 El Niño event</w:t>
      </w:r>
      <w:r w:rsidR="00214513">
        <w:rPr>
          <w:rFonts w:ascii="Times New Roman" w:hAnsi="Times New Roman"/>
          <w:lang w:val="en-AU"/>
        </w:rPr>
        <w:t>s</w:t>
      </w:r>
      <w:r w:rsidR="00A36285" w:rsidRPr="009C2ADD">
        <w:rPr>
          <w:rFonts w:ascii="Times New Roman" w:hAnsi="Times New Roman"/>
          <w:lang w:val="en-AU"/>
        </w:rPr>
        <w:t>. This should be analyzed when updated physical forcings will become available.</w:t>
      </w:r>
    </w:p>
    <w:p w14:paraId="4CA4387F" w14:textId="77777777" w:rsidR="009859D6" w:rsidRDefault="009859D6" w:rsidP="009C2ADD">
      <w:pPr>
        <w:autoSpaceDE w:val="0"/>
        <w:autoSpaceDN w:val="0"/>
        <w:adjustRightInd w:val="0"/>
        <w:snapToGrid w:val="0"/>
        <w:spacing w:after="0"/>
        <w:rPr>
          <w:rFonts w:ascii="Times New Roman" w:hAnsi="Times New Roman"/>
          <w:lang w:val="en-AU" w:eastAsia="ko-KR"/>
        </w:rPr>
      </w:pPr>
    </w:p>
    <w:p w14:paraId="2FD730B7" w14:textId="2CFCCD95" w:rsidR="004542EC" w:rsidRPr="0070772D" w:rsidRDefault="004542EC"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6D74981F" w14:textId="77777777" w:rsidR="004542EC" w:rsidRPr="009C2ADD" w:rsidRDefault="004542EC" w:rsidP="009C2ADD">
      <w:pPr>
        <w:autoSpaceDE w:val="0"/>
        <w:autoSpaceDN w:val="0"/>
        <w:adjustRightInd w:val="0"/>
        <w:snapToGrid w:val="0"/>
        <w:spacing w:after="0"/>
        <w:rPr>
          <w:rFonts w:ascii="Times New Roman" w:hAnsi="Times New Roman"/>
          <w:lang w:val="en-AU" w:eastAsia="ko-KR"/>
        </w:rPr>
      </w:pPr>
    </w:p>
    <w:p w14:paraId="2D8ABE2A" w14:textId="6648CD6B"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asked if the change in area definition or any other sensitivity such as growth might have had an impact on the results, noting that different sensitivity analyses with a different growth model and maturity at age would also change the results. </w:t>
      </w:r>
      <w:r w:rsidR="00662585">
        <w:rPr>
          <w:rFonts w:ascii="Times New Roman" w:hAnsi="Times New Roman" w:hint="eastAsia"/>
          <w:lang w:val="en-AU" w:eastAsia="ko-KR"/>
        </w:rPr>
        <w:t xml:space="preserve">P. </w:t>
      </w:r>
      <w:r w:rsidRPr="009C2ADD">
        <w:rPr>
          <w:rFonts w:ascii="Times New Roman" w:hAnsi="Times New Roman"/>
          <w:lang w:val="en-AU"/>
        </w:rPr>
        <w:t>Lehodey replied that it was possible to run various sensitivities to check the results.</w:t>
      </w:r>
    </w:p>
    <w:p w14:paraId="636F3DC0"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EAE1A9D" w14:textId="5F05F851" w:rsidR="00A36285" w:rsidRPr="009C2ADD" w:rsidRDefault="009C216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asked if the work had</w:t>
      </w:r>
      <w:r w:rsidR="00A36285" w:rsidRPr="009C2ADD">
        <w:rPr>
          <w:rFonts w:ascii="Times New Roman" w:hAnsi="Times New Roman"/>
          <w:lang w:val="en-AU"/>
        </w:rPr>
        <w:t xml:space="preserve"> been independently reviewed given the complexity of the model and its potentially significant impact on management advice. </w:t>
      </w:r>
      <w:r w:rsidR="00322473">
        <w:rPr>
          <w:rFonts w:ascii="Times New Roman" w:hAnsi="Times New Roman" w:hint="eastAsia"/>
          <w:lang w:val="en-AU" w:eastAsia="ko-KR"/>
        </w:rPr>
        <w:t xml:space="preserve">P. </w:t>
      </w:r>
      <w:r w:rsidR="00A36285" w:rsidRPr="009C2ADD">
        <w:rPr>
          <w:rFonts w:ascii="Times New Roman" w:hAnsi="Times New Roman"/>
          <w:lang w:val="en-AU"/>
        </w:rPr>
        <w:t xml:space="preserve">Lehodey replied that the SEAPODYM model was not significantly more complex than the </w:t>
      </w:r>
      <w:r w:rsidR="006233F1">
        <w:rPr>
          <w:rFonts w:ascii="Times New Roman" w:hAnsi="Times New Roman"/>
          <w:lang w:val="en-AU"/>
        </w:rPr>
        <w:t>MULTIFAN-CL</w:t>
      </w:r>
      <w:r w:rsidR="00A36285" w:rsidRPr="009C2ADD">
        <w:rPr>
          <w:rFonts w:ascii="Times New Roman" w:hAnsi="Times New Roman"/>
          <w:lang w:val="en-AU"/>
        </w:rPr>
        <w:t xml:space="preserve"> model, that work had been regularly presented to SC meetings since 1995 and there had been several associated peer-reviewed publications.  China noted that while some elements of the wor</w:t>
      </w:r>
      <w:r w:rsidRPr="009C2ADD">
        <w:rPr>
          <w:rFonts w:ascii="Times New Roman" w:hAnsi="Times New Roman"/>
          <w:lang w:val="en-AU"/>
        </w:rPr>
        <w:t>k had</w:t>
      </w:r>
      <w:r w:rsidR="00A36285" w:rsidRPr="009C2ADD">
        <w:rPr>
          <w:rFonts w:ascii="Times New Roman" w:hAnsi="Times New Roman"/>
          <w:lang w:val="en-AU"/>
        </w:rPr>
        <w:t xml:space="preserve"> been published an independent analysis of the entire framework would increase their level of confidence in it.</w:t>
      </w:r>
    </w:p>
    <w:p w14:paraId="5D670D13"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83FCC35" w14:textId="59A0AD2B"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SPC questioned whether it was realistic to predict the observed tropical skipjack catch if the stock biomass was lower than assumed in these analyses, given that substantial depletion has been identified in this area.  </w:t>
      </w:r>
      <w:r w:rsidR="00662585">
        <w:rPr>
          <w:rFonts w:ascii="Times New Roman" w:hAnsi="Times New Roman" w:hint="eastAsia"/>
          <w:lang w:val="en-AU" w:eastAsia="ko-KR"/>
        </w:rPr>
        <w:t>P.</w:t>
      </w:r>
      <w:r w:rsidR="00662585" w:rsidRPr="009C2ADD">
        <w:rPr>
          <w:rFonts w:ascii="Times New Roman" w:hAnsi="Times New Roman"/>
          <w:lang w:val="en-AU"/>
        </w:rPr>
        <w:t xml:space="preserve"> </w:t>
      </w:r>
      <w:r w:rsidRPr="009C2ADD">
        <w:rPr>
          <w:rFonts w:ascii="Times New Roman" w:hAnsi="Times New Roman"/>
          <w:lang w:val="en-AU"/>
        </w:rPr>
        <w:t xml:space="preserve">Lehodey noted that biomass estimates in area 3 were still higher than the estimates of </w:t>
      </w:r>
      <w:r w:rsidR="006233F1">
        <w:rPr>
          <w:rFonts w:ascii="Times New Roman" w:hAnsi="Times New Roman"/>
          <w:lang w:val="en-AU"/>
        </w:rPr>
        <w:t>MULTIFAN-CL</w:t>
      </w:r>
      <w:r w:rsidRPr="009C2ADD">
        <w:rPr>
          <w:rFonts w:ascii="Times New Roman" w:hAnsi="Times New Roman"/>
          <w:lang w:val="en-AU"/>
        </w:rPr>
        <w:t xml:space="preserve"> by ~35%, and that more reliable estimates might be possible with a higher spatial resolution.  </w:t>
      </w:r>
      <w:r w:rsidR="00662585">
        <w:rPr>
          <w:rFonts w:ascii="Times New Roman" w:hAnsi="Times New Roman" w:hint="eastAsia"/>
          <w:lang w:val="en-AU" w:eastAsia="ko-KR"/>
        </w:rPr>
        <w:t xml:space="preserve">P. </w:t>
      </w:r>
      <w:r w:rsidRPr="009C2ADD">
        <w:rPr>
          <w:rFonts w:ascii="Times New Roman" w:hAnsi="Times New Roman"/>
          <w:lang w:val="en-AU"/>
        </w:rPr>
        <w:t xml:space="preserve">Lehodey noted that </w:t>
      </w:r>
      <w:r w:rsidR="009C216F" w:rsidRPr="009C2ADD">
        <w:rPr>
          <w:rFonts w:ascii="Times New Roman" w:hAnsi="Times New Roman"/>
          <w:lang w:val="en-AU"/>
        </w:rPr>
        <w:t xml:space="preserve">this </w:t>
      </w:r>
      <w:r w:rsidRPr="009C2ADD">
        <w:rPr>
          <w:rFonts w:ascii="Times New Roman" w:hAnsi="Times New Roman"/>
          <w:lang w:val="en-AU"/>
        </w:rPr>
        <w:t>was more relevant in the central region and that it would be useful to run a sensitivity analysis to check.</w:t>
      </w:r>
    </w:p>
    <w:p w14:paraId="667CB3A3"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0289D890" w14:textId="220ED868"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noted the inclusion of a thermal field predicted by oceanographic models and queried whether </w:t>
      </w:r>
      <w:r w:rsidR="004542EC">
        <w:rPr>
          <w:rFonts w:ascii="Times New Roman" w:hAnsi="Times New Roman" w:hint="eastAsia"/>
          <w:lang w:val="en-AU" w:eastAsia="ko-KR"/>
        </w:rPr>
        <w:t>these</w:t>
      </w:r>
      <w:r w:rsidR="004542EC" w:rsidRPr="009C2ADD">
        <w:rPr>
          <w:rFonts w:ascii="Times New Roman" w:hAnsi="Times New Roman"/>
          <w:lang w:val="en-AU"/>
        </w:rPr>
        <w:t xml:space="preserve"> </w:t>
      </w:r>
      <w:r w:rsidRPr="009C2ADD">
        <w:rPr>
          <w:rFonts w:ascii="Times New Roman" w:hAnsi="Times New Roman"/>
          <w:lang w:val="en-AU"/>
        </w:rPr>
        <w:t xml:space="preserve">data </w:t>
      </w:r>
      <w:r w:rsidR="004542EC">
        <w:rPr>
          <w:rFonts w:ascii="Times New Roman" w:hAnsi="Times New Roman" w:hint="eastAsia"/>
          <w:lang w:val="en-AU" w:eastAsia="ko-KR"/>
        </w:rPr>
        <w:t>have</w:t>
      </w:r>
      <w:r w:rsidR="004542EC" w:rsidRPr="009C2ADD">
        <w:rPr>
          <w:rFonts w:ascii="Times New Roman" w:hAnsi="Times New Roman"/>
          <w:lang w:val="en-AU"/>
        </w:rPr>
        <w:t xml:space="preserve"> </w:t>
      </w:r>
      <w:r w:rsidRPr="009C2ADD">
        <w:rPr>
          <w:rFonts w:ascii="Times New Roman" w:hAnsi="Times New Roman"/>
          <w:lang w:val="en-AU"/>
        </w:rPr>
        <w:t xml:space="preserve">been verified. </w:t>
      </w:r>
      <w:r w:rsidR="004542EC">
        <w:rPr>
          <w:rFonts w:ascii="Times New Roman" w:hAnsi="Times New Roman" w:hint="eastAsia"/>
          <w:lang w:val="en-AU" w:eastAsia="ko-KR"/>
        </w:rPr>
        <w:t xml:space="preserve">P. </w:t>
      </w:r>
      <w:r w:rsidR="00214513" w:rsidRPr="009C2ADD">
        <w:rPr>
          <w:rFonts w:ascii="Times New Roman" w:hAnsi="Times New Roman"/>
          <w:lang w:val="en-AU"/>
        </w:rPr>
        <w:t>Lehodey</w:t>
      </w:r>
      <w:r w:rsidRPr="009C2ADD">
        <w:rPr>
          <w:rFonts w:ascii="Times New Roman" w:hAnsi="Times New Roman"/>
          <w:lang w:val="en-AU"/>
        </w:rPr>
        <w:t xml:space="preserve"> responded that the environmental conditions data </w:t>
      </w:r>
      <w:r w:rsidR="009C216F" w:rsidRPr="009C2ADD">
        <w:rPr>
          <w:rFonts w:ascii="Times New Roman" w:hAnsi="Times New Roman"/>
          <w:lang w:val="en-AU"/>
        </w:rPr>
        <w:t xml:space="preserve">had </w:t>
      </w:r>
      <w:r w:rsidRPr="009C2ADD">
        <w:rPr>
          <w:rFonts w:ascii="Times New Roman" w:hAnsi="Times New Roman"/>
          <w:lang w:val="en-AU"/>
        </w:rPr>
        <w:t>been checked thoroughly and was reliable. China also suggested improved representation of the quantification of the percentage differences between the observed catch and predicted exploitable biomass.</w:t>
      </w:r>
    </w:p>
    <w:p w14:paraId="15B1BB12"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7D45AE7A" w14:textId="64967A52"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query from Indonesia, the author noted that the simulation was regularly updated. Indonesia asked about the relationsh</w:t>
      </w:r>
      <w:r w:rsidR="0034646F" w:rsidRPr="009C2ADD">
        <w:rPr>
          <w:rFonts w:ascii="Times New Roman" w:hAnsi="Times New Roman"/>
          <w:lang w:val="en-AU"/>
        </w:rPr>
        <w:t>ip between recruitment between R</w:t>
      </w:r>
      <w:r w:rsidRPr="009C2ADD">
        <w:rPr>
          <w:rFonts w:ascii="Times New Roman" w:hAnsi="Times New Roman"/>
          <w:lang w:val="en-AU"/>
        </w:rPr>
        <w:t xml:space="preserve">egion 1 and 3. </w:t>
      </w:r>
      <w:r w:rsidR="00662585">
        <w:rPr>
          <w:rFonts w:ascii="Times New Roman" w:hAnsi="Times New Roman" w:hint="eastAsia"/>
          <w:lang w:val="en-AU" w:eastAsia="ko-KR"/>
        </w:rPr>
        <w:t xml:space="preserve">P. </w:t>
      </w:r>
      <w:r w:rsidRPr="009C2ADD">
        <w:rPr>
          <w:rFonts w:ascii="Times New Roman" w:hAnsi="Times New Roman"/>
          <w:lang w:val="en-AU"/>
        </w:rPr>
        <w:t xml:space="preserve">Lehodey noted that the recent El </w:t>
      </w:r>
      <w:r w:rsidR="009C216F" w:rsidRPr="009C2ADD">
        <w:rPr>
          <w:rFonts w:ascii="Times New Roman" w:hAnsi="Times New Roman"/>
          <w:lang w:val="en-AU"/>
        </w:rPr>
        <w:t xml:space="preserve">Niño </w:t>
      </w:r>
      <w:r w:rsidRPr="009C2ADD">
        <w:rPr>
          <w:rFonts w:ascii="Times New Roman" w:hAnsi="Times New Roman"/>
          <w:lang w:val="en-AU"/>
        </w:rPr>
        <w:t>conditions had posi</w:t>
      </w:r>
      <w:r w:rsidR="0034646F" w:rsidRPr="009C2ADD">
        <w:rPr>
          <w:rFonts w:ascii="Times New Roman" w:hAnsi="Times New Roman"/>
          <w:lang w:val="en-AU"/>
        </w:rPr>
        <w:t>tively impacted recruitment in R</w:t>
      </w:r>
      <w:r w:rsidRPr="009C2ADD">
        <w:rPr>
          <w:rFonts w:ascii="Times New Roman" w:hAnsi="Times New Roman"/>
          <w:lang w:val="en-AU"/>
        </w:rPr>
        <w:t>egion 3 whi</w:t>
      </w:r>
      <w:r w:rsidR="009C216F" w:rsidRPr="009C2ADD">
        <w:rPr>
          <w:rFonts w:ascii="Times New Roman" w:hAnsi="Times New Roman"/>
          <w:lang w:val="en-AU"/>
        </w:rPr>
        <w:t>ch he expected would</w:t>
      </w:r>
      <w:r w:rsidR="0034646F" w:rsidRPr="009C2ADD">
        <w:rPr>
          <w:rFonts w:ascii="Times New Roman" w:hAnsi="Times New Roman"/>
          <w:lang w:val="en-AU"/>
        </w:rPr>
        <w:t xml:space="preserve"> flow on to R</w:t>
      </w:r>
      <w:r w:rsidRPr="009C2ADD">
        <w:rPr>
          <w:rFonts w:ascii="Times New Roman" w:hAnsi="Times New Roman"/>
          <w:lang w:val="en-AU"/>
        </w:rPr>
        <w:t xml:space="preserve">egion 1. </w:t>
      </w:r>
    </w:p>
    <w:p w14:paraId="7EE57ACB"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754377EE" w14:textId="7BDF85E2"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Indonesia asked how the area definition was determined. </w:t>
      </w:r>
      <w:r w:rsidR="004542EC">
        <w:rPr>
          <w:rFonts w:ascii="Times New Roman" w:hAnsi="Times New Roman" w:hint="eastAsia"/>
          <w:lang w:val="en-AU" w:eastAsia="ko-KR"/>
        </w:rPr>
        <w:t xml:space="preserve">H. </w:t>
      </w:r>
      <w:r w:rsidRPr="009C2ADD">
        <w:rPr>
          <w:rFonts w:ascii="Times New Roman" w:hAnsi="Times New Roman"/>
          <w:lang w:val="en-AU"/>
        </w:rPr>
        <w:t xml:space="preserve">Kiyofuji (Japan) responded that the area definition was based on the studies undertaken by Matsumoto et al. (1985; NOAA Tech. Rep. NMFS Circ., 451: 1-92.), </w:t>
      </w:r>
      <w:r w:rsidR="009C216F" w:rsidRPr="009C2ADD">
        <w:rPr>
          <w:rFonts w:ascii="Times New Roman" w:hAnsi="Times New Roman"/>
          <w:lang w:val="en-AU"/>
        </w:rPr>
        <w:t xml:space="preserve">a </w:t>
      </w:r>
      <w:r w:rsidRPr="009C2ADD">
        <w:rPr>
          <w:rFonts w:ascii="Times New Roman" w:hAnsi="Times New Roman"/>
          <w:lang w:val="en-AU"/>
        </w:rPr>
        <w:t xml:space="preserve">recent tagging project in Japan and larvae and juvenile distribution from the research cruise. </w:t>
      </w:r>
    </w:p>
    <w:p w14:paraId="7CC1FFEC"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385CCEBC" w14:textId="49203719"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New Zealand made a statement on behalf of FFA members, noting that the results of the study provided compelling evidence that catches</w:t>
      </w:r>
      <w:r w:rsidR="009C216F" w:rsidRPr="009C2ADD">
        <w:rPr>
          <w:rFonts w:ascii="Times New Roman" w:hAnsi="Times New Roman"/>
          <w:lang w:val="en-AU"/>
        </w:rPr>
        <w:t xml:space="preserve"> of skipjack in the tropics had</w:t>
      </w:r>
      <w:r w:rsidRPr="009C2ADD">
        <w:rPr>
          <w:rFonts w:ascii="Times New Roman" w:hAnsi="Times New Roman"/>
          <w:lang w:val="en-AU"/>
        </w:rPr>
        <w:t xml:space="preserve"> negligible impact on skipjack </w:t>
      </w:r>
      <w:r w:rsidR="00233E81" w:rsidRPr="009C2ADD">
        <w:rPr>
          <w:rFonts w:ascii="Times New Roman" w:hAnsi="Times New Roman"/>
          <w:lang w:val="en-AU"/>
        </w:rPr>
        <w:t xml:space="preserve">biomass near Japan, and it was </w:t>
      </w:r>
      <w:r w:rsidRPr="009C2ADD">
        <w:rPr>
          <w:rFonts w:ascii="Times New Roman" w:hAnsi="Times New Roman"/>
          <w:lang w:val="en-AU"/>
        </w:rPr>
        <w:t>not evident that ca</w:t>
      </w:r>
      <w:r w:rsidR="009C216F" w:rsidRPr="009C2ADD">
        <w:rPr>
          <w:rFonts w:ascii="Times New Roman" w:hAnsi="Times New Roman"/>
          <w:lang w:val="en-AU"/>
        </w:rPr>
        <w:t>tches in the equatorial region we</w:t>
      </w:r>
      <w:r w:rsidRPr="009C2ADD">
        <w:rPr>
          <w:rFonts w:ascii="Times New Roman" w:hAnsi="Times New Roman"/>
          <w:lang w:val="en-AU"/>
        </w:rPr>
        <w:t>re impacting skipjack availability north of 20°N.  The study evaluated the impact of removing varying levels of skipjack fishing mortality in the equatorial region and found that, even if all historical purse seine effort was removed from the tropics, the biomass in regions near Japan, only increased by 2 to 4 percent. It</w:t>
      </w:r>
      <w:r w:rsidR="009C216F" w:rsidRPr="009C2ADD">
        <w:rPr>
          <w:rFonts w:ascii="Times New Roman" w:hAnsi="Times New Roman"/>
          <w:lang w:val="en-AU"/>
        </w:rPr>
        <w:t xml:space="preserve"> wa</w:t>
      </w:r>
      <w:r w:rsidR="002C72D6">
        <w:rPr>
          <w:rFonts w:ascii="Times New Roman" w:hAnsi="Times New Roman"/>
          <w:lang w:val="en-AU"/>
        </w:rPr>
        <w:t>s</w:t>
      </w:r>
      <w:r w:rsidRPr="009C2ADD">
        <w:rPr>
          <w:rFonts w:ascii="Times New Roman" w:hAnsi="Times New Roman"/>
          <w:lang w:val="en-AU"/>
        </w:rPr>
        <w:t xml:space="preserve"> the opinion of FFA members that th</w:t>
      </w:r>
      <w:r w:rsidR="009C216F" w:rsidRPr="009C2ADD">
        <w:rPr>
          <w:rFonts w:ascii="Times New Roman" w:hAnsi="Times New Roman"/>
          <w:lang w:val="en-AU"/>
        </w:rPr>
        <w:t>is study comprehensively answered</w:t>
      </w:r>
      <w:r w:rsidRPr="009C2ADD">
        <w:rPr>
          <w:rFonts w:ascii="Times New Roman" w:hAnsi="Times New Roman"/>
          <w:lang w:val="en-AU"/>
        </w:rPr>
        <w:t xml:space="preserve"> the questions on connectivity and range contraction raised by Japan at </w:t>
      </w:r>
      <w:r w:rsidR="009C216F" w:rsidRPr="009C2ADD">
        <w:rPr>
          <w:rFonts w:ascii="Times New Roman" w:hAnsi="Times New Roman"/>
          <w:lang w:val="en-AU"/>
        </w:rPr>
        <w:t>past SC meetings, and it appeared that any abundance changes we</w:t>
      </w:r>
      <w:r w:rsidRPr="009C2ADD">
        <w:rPr>
          <w:rFonts w:ascii="Times New Roman" w:hAnsi="Times New Roman"/>
          <w:lang w:val="en-AU"/>
        </w:rPr>
        <w:t>re likely to be locally driven. New Zealand noted that this work was commissioned with the sole purpose of addressing the va</w:t>
      </w:r>
      <w:r w:rsidR="009C216F" w:rsidRPr="009C2ADD">
        <w:rPr>
          <w:rFonts w:ascii="Times New Roman" w:hAnsi="Times New Roman"/>
          <w:lang w:val="en-AU"/>
        </w:rPr>
        <w:t>lidity of Japan’s concerns and wa</w:t>
      </w:r>
      <w:r w:rsidRPr="009C2ADD">
        <w:rPr>
          <w:rFonts w:ascii="Times New Roman" w:hAnsi="Times New Roman"/>
          <w:lang w:val="en-AU"/>
        </w:rPr>
        <w:t>s the second working paper considered by the SC that reached the same</w:t>
      </w:r>
      <w:r w:rsidR="009C216F" w:rsidRPr="009C2ADD">
        <w:rPr>
          <w:rFonts w:ascii="Times New Roman" w:hAnsi="Times New Roman"/>
          <w:lang w:val="en-AU"/>
        </w:rPr>
        <w:t xml:space="preserve"> conclusion. Given the results were now clear, FFA members</w:t>
      </w:r>
      <w:r w:rsidRPr="009C2ADD">
        <w:rPr>
          <w:rFonts w:ascii="Times New Roman" w:hAnsi="Times New Roman"/>
          <w:lang w:val="en-AU"/>
        </w:rPr>
        <w:t xml:space="preserve"> request</w:t>
      </w:r>
      <w:r w:rsidR="009C216F" w:rsidRPr="009C2ADD">
        <w:rPr>
          <w:rFonts w:ascii="Times New Roman" w:hAnsi="Times New Roman"/>
          <w:lang w:val="en-AU"/>
        </w:rPr>
        <w:t>ed</w:t>
      </w:r>
      <w:r w:rsidRPr="009C2ADD">
        <w:rPr>
          <w:rFonts w:ascii="Times New Roman" w:hAnsi="Times New Roman"/>
          <w:lang w:val="en-AU"/>
        </w:rPr>
        <w:t xml:space="preserve"> that work scheduled for 2018 to assess skipjack in the margins of WCPO be given a low priority and that funding be diverted elsewhere. </w:t>
      </w:r>
    </w:p>
    <w:p w14:paraId="15590910"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5B73E414" w14:textId="20D62B9E"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Tuvalu noted PNA </w:t>
      </w:r>
      <w:r w:rsidR="00D5432C">
        <w:rPr>
          <w:rFonts w:ascii="Times New Roman" w:hAnsi="Times New Roman"/>
          <w:lang w:val="en-AU"/>
        </w:rPr>
        <w:t>member</w:t>
      </w:r>
      <w:r w:rsidRPr="009C2ADD">
        <w:rPr>
          <w:rFonts w:ascii="Times New Roman" w:hAnsi="Times New Roman"/>
          <w:lang w:val="en-AU"/>
        </w:rPr>
        <w:t xml:space="preserve">s considered that this kind of work showed the value of SEAPODYM.  The SEAPODYM analysis provided support for the results on skipjack stock status from the skipjack assessment last year, </w:t>
      </w:r>
      <w:r w:rsidR="009C216F" w:rsidRPr="009C2ADD">
        <w:rPr>
          <w:rFonts w:ascii="Times New Roman" w:hAnsi="Times New Roman"/>
          <w:lang w:val="en-AU"/>
        </w:rPr>
        <w:t xml:space="preserve">and </w:t>
      </w:r>
      <w:r w:rsidRPr="009C2ADD">
        <w:rPr>
          <w:rFonts w:ascii="Times New Roman" w:hAnsi="Times New Roman"/>
          <w:lang w:val="en-AU"/>
        </w:rPr>
        <w:t>indicat</w:t>
      </w:r>
      <w:r w:rsidR="009C216F" w:rsidRPr="009C2ADD">
        <w:rPr>
          <w:rFonts w:ascii="Times New Roman" w:hAnsi="Times New Roman"/>
          <w:lang w:val="en-AU"/>
        </w:rPr>
        <w:t>ed that there had</w:t>
      </w:r>
      <w:r w:rsidRPr="009C2ADD">
        <w:rPr>
          <w:rFonts w:ascii="Times New Roman" w:hAnsi="Times New Roman"/>
          <w:lang w:val="en-AU"/>
        </w:rPr>
        <w:t xml:space="preserve"> been no drastic decline in the tropical skipjack biomass, </w:t>
      </w:r>
      <w:r w:rsidR="009C216F" w:rsidRPr="009C2ADD">
        <w:rPr>
          <w:rFonts w:ascii="Times New Roman" w:hAnsi="Times New Roman"/>
          <w:lang w:val="en-AU"/>
        </w:rPr>
        <w:t xml:space="preserve">showing that this was not </w:t>
      </w:r>
      <w:r w:rsidRPr="009C2ADD">
        <w:rPr>
          <w:rFonts w:ascii="Times New Roman" w:hAnsi="Times New Roman"/>
          <w:lang w:val="en-AU"/>
        </w:rPr>
        <w:t>the cause of any decline in skipjack availability in Japan’s waters.  PNA suggested looking at limiting or even banning purse seine fishing north of 20</w:t>
      </w:r>
      <w:r w:rsidR="002C72D6">
        <w:rPr>
          <w:rFonts w:ascii="Times New Roman" w:hAnsi="Times New Roman"/>
          <w:lang w:val="en-AU"/>
        </w:rPr>
        <w:t>ᴼ</w:t>
      </w:r>
      <w:r w:rsidRPr="009C2ADD">
        <w:rPr>
          <w:rFonts w:ascii="Times New Roman" w:hAnsi="Times New Roman"/>
          <w:lang w:val="en-AU"/>
        </w:rPr>
        <w:t>N to protect the livelihoods of coastal fishers of Japan.</w:t>
      </w:r>
    </w:p>
    <w:p w14:paraId="6712BDCC"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0801AEAF" w14:textId="5354171A" w:rsidR="00A36285" w:rsidRPr="009C2ADD" w:rsidRDefault="00A3628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Tokelau stated that PNA </w:t>
      </w:r>
      <w:r w:rsidR="00D5432C">
        <w:rPr>
          <w:rFonts w:ascii="Times New Roman" w:hAnsi="Times New Roman"/>
          <w:lang w:val="en-AU"/>
        </w:rPr>
        <w:t>member</w:t>
      </w:r>
      <w:r w:rsidRPr="009C2ADD">
        <w:rPr>
          <w:rFonts w:ascii="Times New Roman" w:hAnsi="Times New Roman"/>
          <w:lang w:val="en-AU"/>
        </w:rPr>
        <w:t>s also noted that there had been a number of good pieces of work on this issue in recent years.  PNA believed that any additional work on the reduction in skipjack catch rates in the north should focus on the depletion effects from purse seining in northern waters including looking at a ban on purse seining for skipjack north of 20</w:t>
      </w:r>
      <w:r w:rsidR="002C72D6">
        <w:rPr>
          <w:rFonts w:ascii="Times New Roman" w:hAnsi="Times New Roman"/>
          <w:lang w:val="en-AU"/>
        </w:rPr>
        <w:t>ᴼ</w:t>
      </w:r>
      <w:r w:rsidRPr="009C2ADD">
        <w:rPr>
          <w:rFonts w:ascii="Times New Roman" w:hAnsi="Times New Roman"/>
          <w:lang w:val="en-AU"/>
        </w:rPr>
        <w:t>N.</w:t>
      </w:r>
    </w:p>
    <w:p w14:paraId="5FB352A8"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15DE15C8" w14:textId="125E3194" w:rsidR="009B6273" w:rsidRPr="009C2ADD" w:rsidRDefault="00DC0615" w:rsidP="009C2ADD">
      <w:pPr>
        <w:pStyle w:val="WCPFC"/>
        <w:numPr>
          <w:ilvl w:val="0"/>
          <w:numId w:val="0"/>
        </w:numPr>
        <w:adjustRightInd w:val="0"/>
        <w:spacing w:after="0"/>
        <w:ind w:left="567" w:hanging="567"/>
        <w:rPr>
          <w:b/>
        </w:rPr>
      </w:pPr>
      <w:r w:rsidRPr="009C2ADD">
        <w:rPr>
          <w:b/>
          <w:lang w:eastAsia="ko-KR"/>
        </w:rPr>
        <w:t xml:space="preserve">4.1.3.3 </w:t>
      </w:r>
      <w:r w:rsidRPr="009C2ADD">
        <w:rPr>
          <w:b/>
          <w:lang w:eastAsia="ko-KR"/>
        </w:rPr>
        <w:tab/>
      </w:r>
      <w:r w:rsidR="009B6273" w:rsidRPr="009C2ADD">
        <w:rPr>
          <w:b/>
        </w:rPr>
        <w:t>Provision of scientific information</w:t>
      </w:r>
    </w:p>
    <w:p w14:paraId="7D76D00B" w14:textId="77777777" w:rsidR="009859D6" w:rsidRPr="009C2ADD" w:rsidRDefault="009859D6" w:rsidP="009C2ADD">
      <w:pPr>
        <w:pStyle w:val="WCPFC"/>
        <w:numPr>
          <w:ilvl w:val="0"/>
          <w:numId w:val="0"/>
        </w:numPr>
        <w:adjustRightInd w:val="0"/>
        <w:spacing w:after="0"/>
        <w:ind w:left="567" w:hanging="567"/>
        <w:rPr>
          <w:b/>
        </w:rPr>
      </w:pPr>
    </w:p>
    <w:p w14:paraId="03F64964" w14:textId="77777777" w:rsidR="00072A81" w:rsidRPr="009C2ADD" w:rsidRDefault="009B6273"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reviewed the progress of Project 67 on the impacts of recent catches of skipjack tuna on fisheries on the margins of the WCPFC Convention Area. Recent progress in application of SEAPODYM to skipjack included new environmental forcing, revision of fishing data set and parameter optimisation including conventional tagging data in addition to fishing data</w:t>
      </w:r>
      <w:r w:rsidRPr="009C2ADD">
        <w:rPr>
          <w:rFonts w:ascii="Times New Roman" w:hAnsi="Times New Roman"/>
          <w:lang w:val="en-AU"/>
        </w:rPr>
        <w:t xml:space="preserve">　</w:t>
      </w:r>
      <w:r w:rsidRPr="009C2ADD">
        <w:rPr>
          <w:rFonts w:ascii="Times New Roman" w:hAnsi="Times New Roman"/>
          <w:lang w:val="en-AU"/>
        </w:rPr>
        <w:t>(SC13-SA-WP-07). In this study, though a significant connectivity between equatorial and higher latitudes is suggested, the high biomass predicted in the equatorial regions limits the impact of the equatorial purse seine fishery on the stock at northern latitudes. The connectivity among the areas and the impact to the stock in the northern area may be sensitive to model setting.</w:t>
      </w:r>
    </w:p>
    <w:p w14:paraId="52182E1B"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75C68808" w14:textId="15F0FE44" w:rsidR="00897F29" w:rsidRPr="009C2ADD" w:rsidRDefault="00897F29" w:rsidP="00766C07">
      <w:pPr>
        <w:pStyle w:val="WCPFC"/>
        <w:numPr>
          <w:ilvl w:val="0"/>
          <w:numId w:val="188"/>
        </w:numPr>
        <w:adjustRightInd w:val="0"/>
        <w:spacing w:after="0"/>
        <w:ind w:left="0" w:firstLine="0"/>
        <w:rPr>
          <w:b/>
        </w:rPr>
      </w:pPr>
      <w:r w:rsidRPr="009C2ADD">
        <w:rPr>
          <w:b/>
        </w:rPr>
        <w:t>S</w:t>
      </w:r>
      <w:r w:rsidR="00766C07">
        <w:rPr>
          <w:rFonts w:hint="eastAsia"/>
          <w:b/>
          <w:lang w:eastAsia="ko-KR"/>
        </w:rPr>
        <w:t>tock s</w:t>
      </w:r>
      <w:r w:rsidRPr="009C2ADD">
        <w:rPr>
          <w:b/>
        </w:rPr>
        <w:t xml:space="preserve">tatus and trends </w:t>
      </w:r>
    </w:p>
    <w:p w14:paraId="04ADA23F" w14:textId="77777777" w:rsidR="009859D6" w:rsidRPr="009C2ADD" w:rsidRDefault="009859D6" w:rsidP="009C2ADD">
      <w:pPr>
        <w:pStyle w:val="WCPFC"/>
        <w:numPr>
          <w:ilvl w:val="0"/>
          <w:numId w:val="0"/>
        </w:numPr>
        <w:adjustRightInd w:val="0"/>
        <w:spacing w:after="0"/>
        <w:ind w:left="720"/>
        <w:rPr>
          <w:b/>
        </w:rPr>
      </w:pPr>
    </w:p>
    <w:p w14:paraId="4F5CBA31" w14:textId="54BF982B" w:rsidR="00001F31" w:rsidRDefault="00897F29" w:rsidP="00001F31">
      <w:pPr>
        <w:pStyle w:val="WCPFC"/>
        <w:spacing w:after="0"/>
        <w:ind w:left="0" w:firstLine="0"/>
        <w:rPr>
          <w:lang w:val="en-AU"/>
        </w:rPr>
      </w:pPr>
      <w:r w:rsidRPr="009C2ADD">
        <w:rPr>
          <w:lang w:val="en-AU"/>
        </w:rPr>
        <w:t xml:space="preserve">SC13 noted that no stock assessment was conducted for WCPO skipjack tuna in 2017. Therefore, the stock status </w:t>
      </w:r>
      <w:r w:rsidRPr="00464B7F">
        <w:rPr>
          <w:lang w:val="en-AU"/>
        </w:rPr>
        <w:t xml:space="preserve">description from SC12 is still current. For further information on the stock status and trends from SC12, please see </w:t>
      </w:r>
      <w:hyperlink r:id="rId82" w:history="1">
        <w:r w:rsidR="00001F31" w:rsidRPr="005F7B4D">
          <w:rPr>
            <w:rStyle w:val="Hyperlink"/>
            <w:bCs/>
            <w:lang w:eastAsia="en-US"/>
          </w:rPr>
          <w:t>https://www.wcpfc.int/node/27769</w:t>
        </w:r>
      </w:hyperlink>
    </w:p>
    <w:p w14:paraId="553D7DC4" w14:textId="77777777" w:rsidR="00001F31" w:rsidRPr="00001F31" w:rsidRDefault="00001F31" w:rsidP="00001F31">
      <w:pPr>
        <w:pStyle w:val="WCPFC"/>
        <w:numPr>
          <w:ilvl w:val="0"/>
          <w:numId w:val="0"/>
        </w:numPr>
        <w:spacing w:after="0"/>
        <w:rPr>
          <w:lang w:val="en-AU"/>
        </w:rPr>
      </w:pPr>
    </w:p>
    <w:p w14:paraId="0F47E529" w14:textId="5C071DF4" w:rsidR="00897F29" w:rsidRPr="00464B7F" w:rsidRDefault="00897F29" w:rsidP="009C2ADD">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the total catch in 2016 (1,816,76</w:t>
      </w:r>
      <w:r w:rsidR="00140621">
        <w:rPr>
          <w:rFonts w:ascii="Times New Roman" w:hAnsi="Times New Roman"/>
          <w:b/>
          <w:lang w:val="en-AU"/>
        </w:rPr>
        <w:t>2 mt</w:t>
      </w:r>
      <w:r w:rsidRPr="00464B7F">
        <w:rPr>
          <w:rFonts w:ascii="Times New Roman" w:hAnsi="Times New Roman"/>
          <w:b/>
          <w:lang w:val="en-AU"/>
        </w:rPr>
        <w:t>) was comparable to that in 2015 and a 2% increase over 2011-</w:t>
      </w:r>
      <w:r w:rsidR="004542EC">
        <w:rPr>
          <w:rFonts w:ascii="Times New Roman" w:hAnsi="Times New Roman" w:hint="eastAsia"/>
          <w:b/>
          <w:lang w:val="en-AU" w:eastAsia="ko-KR"/>
        </w:rPr>
        <w:t>20</w:t>
      </w:r>
      <w:r w:rsidRPr="00464B7F">
        <w:rPr>
          <w:rFonts w:ascii="Times New Roman" w:hAnsi="Times New Roman"/>
          <w:b/>
          <w:lang w:val="en-AU"/>
        </w:rPr>
        <w:t>15. (see SC13-SA-WP-02)</w:t>
      </w:r>
    </w:p>
    <w:p w14:paraId="045DF574" w14:textId="77777777" w:rsidR="009859D6" w:rsidRPr="00464B7F" w:rsidRDefault="009859D6" w:rsidP="009C2ADD">
      <w:pPr>
        <w:pStyle w:val="ListParagraph"/>
        <w:adjustRightInd w:val="0"/>
        <w:snapToGrid w:val="0"/>
        <w:contextualSpacing w:val="0"/>
        <w:rPr>
          <w:rFonts w:ascii="Times New Roman" w:hAnsi="Times New Roman"/>
          <w:b/>
          <w:lang w:val="en-AU"/>
        </w:rPr>
      </w:pPr>
    </w:p>
    <w:p w14:paraId="542F03E6" w14:textId="281D5C74" w:rsidR="00897F29" w:rsidRPr="00464B7F" w:rsidRDefault="00897F29" w:rsidP="009C2ADD">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Purse seine catch (1,408,11</w:t>
      </w:r>
      <w:r w:rsidR="00140621">
        <w:rPr>
          <w:rFonts w:ascii="Times New Roman" w:hAnsi="Times New Roman"/>
          <w:b/>
          <w:lang w:val="en-AU"/>
        </w:rPr>
        <w:t>0 mt</w:t>
      </w:r>
      <w:r w:rsidRPr="00464B7F">
        <w:rPr>
          <w:rFonts w:ascii="Times New Roman" w:hAnsi="Times New Roman"/>
          <w:b/>
          <w:lang w:val="en-AU"/>
        </w:rPr>
        <w:t>) was comparable to both 2015 and the 2011-</w:t>
      </w:r>
      <w:r w:rsidR="004542EC">
        <w:rPr>
          <w:rFonts w:ascii="Times New Roman" w:hAnsi="Times New Roman" w:hint="eastAsia"/>
          <w:b/>
          <w:lang w:val="en-AU" w:eastAsia="ko-KR"/>
        </w:rPr>
        <w:t>20</w:t>
      </w:r>
      <w:r w:rsidRPr="00464B7F">
        <w:rPr>
          <w:rFonts w:ascii="Times New Roman" w:hAnsi="Times New Roman"/>
          <w:b/>
          <w:lang w:val="en-AU"/>
        </w:rPr>
        <w:t>15 average</w:t>
      </w:r>
      <w:r w:rsidR="009C216F" w:rsidRPr="00464B7F">
        <w:rPr>
          <w:rFonts w:ascii="Times New Roman" w:hAnsi="Times New Roman"/>
          <w:b/>
          <w:lang w:val="en-AU"/>
        </w:rPr>
        <w:t>. Pole</w:t>
      </w:r>
      <w:r w:rsidR="004542EC">
        <w:rPr>
          <w:rFonts w:ascii="Times New Roman" w:hAnsi="Times New Roman" w:hint="eastAsia"/>
          <w:b/>
          <w:lang w:val="en-AU" w:eastAsia="ko-KR"/>
        </w:rPr>
        <w:t xml:space="preserve"> </w:t>
      </w:r>
      <w:r w:rsidR="009C216F" w:rsidRPr="00464B7F">
        <w:rPr>
          <w:rFonts w:ascii="Times New Roman" w:hAnsi="Times New Roman"/>
          <w:b/>
          <w:lang w:val="en-AU"/>
        </w:rPr>
        <w:t>and</w:t>
      </w:r>
      <w:r w:rsidR="004542EC">
        <w:rPr>
          <w:rFonts w:ascii="Times New Roman" w:hAnsi="Times New Roman" w:hint="eastAsia"/>
          <w:b/>
          <w:lang w:val="en-AU" w:eastAsia="ko-KR"/>
        </w:rPr>
        <w:t xml:space="preserve"> </w:t>
      </w:r>
      <w:r w:rsidR="009C216F" w:rsidRPr="00464B7F">
        <w:rPr>
          <w:rFonts w:ascii="Times New Roman" w:hAnsi="Times New Roman"/>
          <w:b/>
          <w:lang w:val="en-AU"/>
        </w:rPr>
        <w:t>l</w:t>
      </w:r>
      <w:r w:rsidRPr="00464B7F">
        <w:rPr>
          <w:rFonts w:ascii="Times New Roman" w:hAnsi="Times New Roman"/>
          <w:b/>
          <w:lang w:val="en-AU"/>
        </w:rPr>
        <w:t>ine catch (151,44</w:t>
      </w:r>
      <w:r w:rsidR="00140621">
        <w:rPr>
          <w:rFonts w:ascii="Times New Roman" w:hAnsi="Times New Roman"/>
          <w:b/>
          <w:lang w:val="en-AU"/>
        </w:rPr>
        <w:t>1 mt</w:t>
      </w:r>
      <w:r w:rsidRPr="00464B7F">
        <w:rPr>
          <w:rFonts w:ascii="Times New Roman" w:hAnsi="Times New Roman"/>
          <w:b/>
          <w:lang w:val="en-AU"/>
        </w:rPr>
        <w:t>) was a 1% decrease from 2015 and an 11% decrease from 2011-</w:t>
      </w:r>
      <w:r w:rsidR="004542EC">
        <w:rPr>
          <w:rFonts w:ascii="Times New Roman" w:hAnsi="Times New Roman" w:hint="eastAsia"/>
          <w:b/>
          <w:lang w:val="en-AU" w:eastAsia="ko-KR"/>
        </w:rPr>
        <w:t>20</w:t>
      </w:r>
      <w:r w:rsidRPr="00464B7F">
        <w:rPr>
          <w:rFonts w:ascii="Times New Roman" w:hAnsi="Times New Roman"/>
          <w:b/>
          <w:lang w:val="en-AU"/>
        </w:rPr>
        <w:t>15 average. Catches by other fisheries (251,47</w:t>
      </w:r>
      <w:r w:rsidR="00140621">
        <w:rPr>
          <w:rFonts w:ascii="Times New Roman" w:hAnsi="Times New Roman"/>
          <w:b/>
          <w:lang w:val="en-AU"/>
        </w:rPr>
        <w:t>0 mt</w:t>
      </w:r>
      <w:r w:rsidRPr="00464B7F">
        <w:rPr>
          <w:rFonts w:ascii="Times New Roman" w:hAnsi="Times New Roman"/>
          <w:b/>
          <w:lang w:val="en-AU"/>
        </w:rPr>
        <w:t>) were 2% higher than in 2015 and 26% higher than 2011-</w:t>
      </w:r>
      <w:r w:rsidR="004542EC">
        <w:rPr>
          <w:rFonts w:ascii="Times New Roman" w:hAnsi="Times New Roman" w:hint="eastAsia"/>
          <w:b/>
          <w:lang w:val="en-AU" w:eastAsia="ko-KR"/>
        </w:rPr>
        <w:t>20</w:t>
      </w:r>
      <w:r w:rsidRPr="00464B7F">
        <w:rPr>
          <w:rFonts w:ascii="Times New Roman" w:hAnsi="Times New Roman"/>
          <w:b/>
          <w:lang w:val="en-AU"/>
        </w:rPr>
        <w:t xml:space="preserve">15 average. </w:t>
      </w:r>
    </w:p>
    <w:p w14:paraId="05999D43" w14:textId="77777777" w:rsidR="009859D6" w:rsidRPr="00464B7F" w:rsidRDefault="009859D6" w:rsidP="009C2ADD">
      <w:pPr>
        <w:pStyle w:val="ListParagraph"/>
        <w:adjustRightInd w:val="0"/>
        <w:snapToGrid w:val="0"/>
        <w:contextualSpacing w:val="0"/>
        <w:rPr>
          <w:rFonts w:ascii="Times New Roman" w:hAnsi="Times New Roman"/>
          <w:b/>
          <w:lang w:val="en-AU"/>
        </w:rPr>
      </w:pPr>
    </w:p>
    <w:p w14:paraId="2AB57CA0" w14:textId="097094E0" w:rsidR="00897F29" w:rsidRPr="00464B7F" w:rsidRDefault="00897F29" w:rsidP="009C2ADD">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 xml:space="preserve">SC13 noted that under recent fishery conditions (2016 catch level for LL and other fisheries and effort level for </w:t>
      </w:r>
      <w:r w:rsidR="004542EC">
        <w:rPr>
          <w:rFonts w:ascii="Times New Roman" w:hAnsi="Times New Roman" w:hint="eastAsia"/>
          <w:b/>
          <w:lang w:val="en-AU" w:eastAsia="ko-KR"/>
        </w:rPr>
        <w:t>purse seine</w:t>
      </w:r>
      <w:r w:rsidRPr="00464B7F">
        <w:rPr>
          <w:rFonts w:ascii="Times New Roman" w:hAnsi="Times New Roman"/>
          <w:b/>
          <w:lang w:val="en-AU"/>
        </w:rPr>
        <w:t>), the skipjack stock was initially projected to decrease for a short period and then to increase as recent relatively high recruitments move through the stock. Median F</w:t>
      </w:r>
      <w:r w:rsidRPr="0070772D">
        <w:rPr>
          <w:rFonts w:ascii="Times New Roman" w:hAnsi="Times New Roman"/>
          <w:b/>
          <w:vertAlign w:val="subscript"/>
          <w:lang w:val="en-AU"/>
        </w:rPr>
        <w:t>2018</w:t>
      </w:r>
      <w:r w:rsidRPr="00464B7F">
        <w:rPr>
          <w:rFonts w:ascii="Times New Roman" w:hAnsi="Times New Roman"/>
          <w:b/>
          <w:lang w:val="en-AU"/>
        </w:rPr>
        <w:t>/F</w:t>
      </w:r>
      <w:r w:rsidRPr="0070772D">
        <w:rPr>
          <w:rFonts w:ascii="Times New Roman" w:hAnsi="Times New Roman"/>
          <w:b/>
          <w:vertAlign w:val="subscript"/>
          <w:lang w:val="en-AU"/>
        </w:rPr>
        <w:t>MSY</w:t>
      </w:r>
      <w:r w:rsidRPr="00464B7F">
        <w:rPr>
          <w:rFonts w:ascii="Times New Roman" w:hAnsi="Times New Roman"/>
          <w:b/>
          <w:lang w:val="en-AU"/>
        </w:rPr>
        <w:t xml:space="preserve"> = 0.37; median SB</w:t>
      </w:r>
      <w:r w:rsidRPr="0070772D">
        <w:rPr>
          <w:rFonts w:ascii="Times New Roman" w:hAnsi="Times New Roman"/>
          <w:b/>
          <w:vertAlign w:val="subscript"/>
          <w:lang w:val="en-AU"/>
        </w:rPr>
        <w:t>2018</w:t>
      </w:r>
      <w:r w:rsidRPr="00464B7F">
        <w:rPr>
          <w:rFonts w:ascii="Times New Roman" w:hAnsi="Times New Roman"/>
          <w:b/>
          <w:lang w:val="en-AU"/>
        </w:rPr>
        <w:t>/SB</w:t>
      </w:r>
      <w:r w:rsidRPr="0070772D">
        <w:rPr>
          <w:rFonts w:ascii="Times New Roman" w:hAnsi="Times New Roman"/>
          <w:b/>
          <w:vertAlign w:val="subscript"/>
          <w:lang w:val="en-AU"/>
        </w:rPr>
        <w:t>F=0</w:t>
      </w:r>
      <w:r w:rsidRPr="00464B7F">
        <w:rPr>
          <w:rFonts w:ascii="Times New Roman" w:hAnsi="Times New Roman"/>
          <w:b/>
          <w:lang w:val="en-AU"/>
        </w:rPr>
        <w:t xml:space="preserve"> = 0.47. </w:t>
      </w:r>
    </w:p>
    <w:p w14:paraId="417E2E91" w14:textId="77777777" w:rsidR="009859D6" w:rsidRPr="00464B7F" w:rsidRDefault="009859D6" w:rsidP="009C2ADD">
      <w:pPr>
        <w:pStyle w:val="ListParagraph"/>
        <w:adjustRightInd w:val="0"/>
        <w:snapToGrid w:val="0"/>
        <w:contextualSpacing w:val="0"/>
        <w:rPr>
          <w:rFonts w:ascii="Times New Roman" w:hAnsi="Times New Roman"/>
          <w:b/>
          <w:lang w:val="en-AU"/>
        </w:rPr>
      </w:pPr>
    </w:p>
    <w:p w14:paraId="0F7AD973" w14:textId="77777777" w:rsidR="00897F29" w:rsidRPr="00464B7F" w:rsidRDefault="00897F29" w:rsidP="009C2ADD">
      <w:pPr>
        <w:numPr>
          <w:ilvl w:val="0"/>
          <w:numId w:val="1"/>
        </w:numPr>
        <w:autoSpaceDE w:val="0"/>
        <w:autoSpaceDN w:val="0"/>
        <w:adjustRightInd w:val="0"/>
        <w:snapToGrid w:val="0"/>
        <w:spacing w:after="0"/>
        <w:ind w:left="0" w:firstLine="0"/>
        <w:rPr>
          <w:rFonts w:ascii="Times New Roman" w:hAnsi="Times New Roman"/>
          <w:lang w:val="en-AU"/>
        </w:rPr>
      </w:pPr>
      <w:r w:rsidRPr="00464B7F">
        <w:rPr>
          <w:rFonts w:ascii="Times New Roman" w:hAnsi="Times New Roman"/>
          <w:lang w:val="en-AU"/>
        </w:rPr>
        <w:t>FFA members noted that skipjack tagging activities should be prioritized for the future stock</w:t>
      </w:r>
      <w:r w:rsidR="009C216F" w:rsidRPr="00464B7F">
        <w:rPr>
          <w:rFonts w:ascii="Times New Roman" w:hAnsi="Times New Roman"/>
          <w:lang w:val="en-AU"/>
        </w:rPr>
        <w:t xml:space="preserve"> assessment purpose as the pole and </w:t>
      </w:r>
      <w:r w:rsidRPr="00464B7F">
        <w:rPr>
          <w:rFonts w:ascii="Times New Roman" w:hAnsi="Times New Roman"/>
          <w:lang w:val="en-AU"/>
        </w:rPr>
        <w:t>line fisheries w</w:t>
      </w:r>
      <w:r w:rsidR="00246A77" w:rsidRPr="00464B7F">
        <w:rPr>
          <w:rFonts w:ascii="Times New Roman" w:hAnsi="Times New Roman"/>
          <w:lang w:val="en-AU"/>
        </w:rPr>
        <w:t>hich provided</w:t>
      </w:r>
      <w:r w:rsidRPr="00464B7F">
        <w:rPr>
          <w:rFonts w:ascii="Times New Roman" w:hAnsi="Times New Roman"/>
          <w:lang w:val="en-AU"/>
        </w:rPr>
        <w:t xml:space="preserve"> a major abundance index continues to shrink geographically. </w:t>
      </w:r>
    </w:p>
    <w:p w14:paraId="7EFB3842" w14:textId="77777777" w:rsidR="009859D6" w:rsidRPr="00464B7F" w:rsidRDefault="009859D6" w:rsidP="009C2ADD">
      <w:pPr>
        <w:pStyle w:val="ListParagraph"/>
        <w:adjustRightInd w:val="0"/>
        <w:snapToGrid w:val="0"/>
        <w:contextualSpacing w:val="0"/>
        <w:rPr>
          <w:rFonts w:ascii="Times New Roman" w:hAnsi="Times New Roman"/>
          <w:lang w:val="en-AU"/>
        </w:rPr>
      </w:pPr>
    </w:p>
    <w:p w14:paraId="2702C452" w14:textId="3598E618" w:rsidR="00897F29" w:rsidRPr="00464B7F" w:rsidRDefault="00897F29" w:rsidP="00766C07">
      <w:pPr>
        <w:pStyle w:val="WCPFC"/>
        <w:numPr>
          <w:ilvl w:val="0"/>
          <w:numId w:val="188"/>
        </w:numPr>
        <w:adjustRightInd w:val="0"/>
        <w:spacing w:after="0"/>
        <w:ind w:left="0" w:firstLine="0"/>
        <w:rPr>
          <w:b/>
        </w:rPr>
      </w:pPr>
      <w:r w:rsidRPr="00464B7F">
        <w:rPr>
          <w:b/>
        </w:rPr>
        <w:t>Management advice and implications</w:t>
      </w:r>
    </w:p>
    <w:p w14:paraId="06AA43AD" w14:textId="77777777" w:rsidR="009859D6" w:rsidRPr="00464B7F" w:rsidRDefault="009859D6" w:rsidP="009C2ADD">
      <w:pPr>
        <w:pStyle w:val="WCPFC"/>
        <w:numPr>
          <w:ilvl w:val="0"/>
          <w:numId w:val="0"/>
        </w:numPr>
        <w:adjustRightInd w:val="0"/>
        <w:spacing w:after="0"/>
        <w:ind w:left="720"/>
        <w:rPr>
          <w:b/>
        </w:rPr>
      </w:pPr>
    </w:p>
    <w:p w14:paraId="303251EF" w14:textId="15441E76" w:rsidR="00897F29" w:rsidRPr="00765BDF" w:rsidRDefault="00897F29" w:rsidP="00765BDF">
      <w:pPr>
        <w:pStyle w:val="WCPFC"/>
        <w:spacing w:after="0"/>
        <w:ind w:left="0" w:firstLine="0"/>
        <w:rPr>
          <w:b/>
          <w:bCs/>
          <w:lang w:val="en-AU"/>
        </w:rPr>
      </w:pPr>
      <w:r w:rsidRPr="00765BDF">
        <w:rPr>
          <w:b/>
          <w:bCs/>
          <w:lang w:val="en-AU"/>
        </w:rPr>
        <w:t>SC13 noted that no stock assessment has been conducted since SC12. Therefore, the advice from SC12 should be maintained, pending a new assessment or other new information. For further information on the management advice and implications from SC12, please see</w:t>
      </w:r>
      <w:r w:rsidR="00401B5D" w:rsidRPr="00765BDF">
        <w:rPr>
          <w:rFonts w:hint="eastAsia"/>
          <w:b/>
          <w:bCs/>
          <w:lang w:val="en-AU" w:eastAsia="ko-KR"/>
        </w:rPr>
        <w:t xml:space="preserve"> </w:t>
      </w:r>
      <w:hyperlink r:id="rId83" w:history="1">
        <w:r w:rsidR="00401B5D" w:rsidRPr="00765BDF">
          <w:rPr>
            <w:rStyle w:val="Hyperlink"/>
            <w:b/>
            <w:bCs/>
            <w:lang w:val="en-AU" w:eastAsia="ko-KR"/>
          </w:rPr>
          <w:t>https://www.wcpfc.int/node/27769</w:t>
        </w:r>
      </w:hyperlink>
      <w:r w:rsidR="00401B5D" w:rsidRPr="00765BDF">
        <w:rPr>
          <w:rFonts w:hint="eastAsia"/>
          <w:b/>
          <w:bCs/>
          <w:lang w:val="en-AU" w:eastAsia="ko-KR"/>
        </w:rPr>
        <w:t xml:space="preserve"> </w:t>
      </w:r>
    </w:p>
    <w:p w14:paraId="157E16FE" w14:textId="77777777" w:rsidR="009B6273" w:rsidRPr="00464B7F" w:rsidRDefault="009B6273" w:rsidP="009C2ADD">
      <w:pPr>
        <w:pStyle w:val="WCPFC"/>
        <w:numPr>
          <w:ilvl w:val="0"/>
          <w:numId w:val="0"/>
        </w:numPr>
        <w:adjustRightInd w:val="0"/>
        <w:spacing w:after="0"/>
        <w:ind w:left="567"/>
      </w:pPr>
    </w:p>
    <w:bookmarkEnd w:id="105"/>
    <w:p w14:paraId="2144C799" w14:textId="41720848" w:rsidR="005B4349" w:rsidRPr="00464B7F" w:rsidRDefault="00E15D99" w:rsidP="009C2ADD">
      <w:pPr>
        <w:pStyle w:val="Heading3"/>
        <w:adjustRightInd w:val="0"/>
        <w:snapToGrid w:val="0"/>
        <w:spacing w:before="0"/>
        <w:rPr>
          <w:rFonts w:ascii="Times New Roman" w:hAnsi="Times New Roman" w:cs="Times New Roman"/>
        </w:rPr>
      </w:pPr>
      <w:r w:rsidRPr="00464B7F">
        <w:rPr>
          <w:rFonts w:ascii="Times New Roman" w:hAnsi="Times New Roman" w:cs="Times New Roman"/>
        </w:rPr>
        <w:t xml:space="preserve">4.1.4 </w:t>
      </w:r>
      <w:r w:rsidR="00DA7AC9" w:rsidRPr="00464B7F">
        <w:rPr>
          <w:rFonts w:ascii="Times New Roman" w:hAnsi="Times New Roman" w:cs="Times New Roman"/>
        </w:rPr>
        <w:tab/>
      </w:r>
      <w:r w:rsidR="005B4349" w:rsidRPr="00464B7F">
        <w:rPr>
          <w:rFonts w:ascii="Times New Roman" w:hAnsi="Times New Roman" w:cs="Times New Roman"/>
        </w:rPr>
        <w:t>South Pacific albacore tuna (</w:t>
      </w:r>
      <w:r w:rsidR="005B4349" w:rsidRPr="00464B7F">
        <w:rPr>
          <w:rFonts w:ascii="Times New Roman" w:hAnsi="Times New Roman" w:cs="Times New Roman"/>
          <w:i/>
        </w:rPr>
        <w:t>Thunnus alalunga</w:t>
      </w:r>
      <w:r w:rsidR="005B4349" w:rsidRPr="00464B7F">
        <w:rPr>
          <w:rFonts w:ascii="Times New Roman" w:hAnsi="Times New Roman" w:cs="Times New Roman"/>
        </w:rPr>
        <w:t>)</w:t>
      </w:r>
    </w:p>
    <w:p w14:paraId="716F44CB" w14:textId="77777777" w:rsidR="00DC0615" w:rsidRPr="00464B7F" w:rsidRDefault="00DC0615" w:rsidP="009C2ADD">
      <w:pPr>
        <w:pStyle w:val="WCPFC"/>
        <w:numPr>
          <w:ilvl w:val="0"/>
          <w:numId w:val="0"/>
        </w:numPr>
        <w:adjustRightInd w:val="0"/>
        <w:spacing w:after="0"/>
        <w:ind w:left="567" w:hanging="567"/>
        <w:rPr>
          <w:b/>
          <w:lang w:eastAsia="ko-KR"/>
        </w:rPr>
      </w:pPr>
    </w:p>
    <w:p w14:paraId="66A9EA55" w14:textId="54AF0486" w:rsidR="005B4349" w:rsidRPr="009C2ADD" w:rsidRDefault="00DC0615" w:rsidP="009C2ADD">
      <w:pPr>
        <w:pStyle w:val="WCPFC"/>
        <w:numPr>
          <w:ilvl w:val="0"/>
          <w:numId w:val="0"/>
        </w:numPr>
        <w:adjustRightInd w:val="0"/>
        <w:spacing w:after="0"/>
        <w:ind w:left="567" w:hanging="567"/>
        <w:rPr>
          <w:b/>
        </w:rPr>
      </w:pPr>
      <w:r w:rsidRPr="00464B7F">
        <w:rPr>
          <w:b/>
          <w:lang w:eastAsia="ko-KR"/>
        </w:rPr>
        <w:t xml:space="preserve">4.1.4.1 </w:t>
      </w:r>
      <w:r w:rsidRPr="00464B7F">
        <w:rPr>
          <w:b/>
          <w:lang w:eastAsia="ko-KR"/>
        </w:rPr>
        <w:tab/>
      </w:r>
      <w:r w:rsidR="005B4349" w:rsidRPr="00464B7F">
        <w:rPr>
          <w:b/>
        </w:rPr>
        <w:t>Review of research and information</w:t>
      </w:r>
    </w:p>
    <w:p w14:paraId="4CF2F586" w14:textId="77777777" w:rsidR="009859D6" w:rsidRPr="009C2ADD" w:rsidRDefault="009859D6" w:rsidP="009C2ADD">
      <w:pPr>
        <w:pStyle w:val="WCPFC"/>
        <w:numPr>
          <w:ilvl w:val="0"/>
          <w:numId w:val="0"/>
        </w:numPr>
        <w:adjustRightInd w:val="0"/>
        <w:spacing w:after="0"/>
        <w:ind w:left="567" w:hanging="567"/>
        <w:rPr>
          <w:b/>
        </w:rPr>
      </w:pPr>
    </w:p>
    <w:p w14:paraId="1F8FB019" w14:textId="0A8F858F" w:rsidR="005B4349" w:rsidRPr="009C2ADD" w:rsidRDefault="00DC0615" w:rsidP="009C2ADD">
      <w:pPr>
        <w:pStyle w:val="WCPFC"/>
        <w:numPr>
          <w:ilvl w:val="0"/>
          <w:numId w:val="0"/>
        </w:numPr>
        <w:adjustRightInd w:val="0"/>
        <w:spacing w:after="0"/>
        <w:rPr>
          <w:b/>
        </w:rPr>
      </w:pPr>
      <w:r w:rsidRPr="009C2ADD">
        <w:rPr>
          <w:b/>
          <w:lang w:eastAsia="ko-KR"/>
        </w:rPr>
        <w:t xml:space="preserve">a. </w:t>
      </w:r>
      <w:r w:rsidRPr="009C2ADD">
        <w:rPr>
          <w:b/>
          <w:lang w:eastAsia="ko-KR"/>
        </w:rPr>
        <w:tab/>
      </w:r>
      <w:r w:rsidR="005B4349" w:rsidRPr="009C2ADD">
        <w:rPr>
          <w:b/>
        </w:rPr>
        <w:t>Update of South Pacific albacore tuna stock assessment information</w:t>
      </w:r>
    </w:p>
    <w:p w14:paraId="1FC1FFEE" w14:textId="77777777" w:rsidR="009859D6" w:rsidRPr="009C2ADD" w:rsidRDefault="009859D6" w:rsidP="009C2ADD">
      <w:pPr>
        <w:pStyle w:val="WCPFC"/>
        <w:numPr>
          <w:ilvl w:val="0"/>
          <w:numId w:val="0"/>
        </w:numPr>
        <w:adjustRightInd w:val="0"/>
        <w:spacing w:after="0"/>
        <w:ind w:left="567" w:hanging="567"/>
        <w:rPr>
          <w:b/>
        </w:rPr>
      </w:pPr>
    </w:p>
    <w:p w14:paraId="6663742A" w14:textId="7779B7CB"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70772D">
        <w:rPr>
          <w:rFonts w:ascii="Times New Roman" w:hAnsi="Times New Roman"/>
          <w:bCs/>
          <w:lang w:val="en-AU"/>
        </w:rPr>
        <w:t>SC13-SA-WP-08</w:t>
      </w:r>
      <w:r w:rsidRPr="009C2ADD">
        <w:rPr>
          <w:rFonts w:ascii="Times New Roman" w:hAnsi="Times New Roman"/>
          <w:lang w:val="en-AU"/>
        </w:rPr>
        <w:t xml:space="preserve"> </w:t>
      </w:r>
      <w:r w:rsidRPr="009C2ADD">
        <w:rPr>
          <w:rFonts w:ascii="Times New Roman" w:hAnsi="Times New Roman"/>
          <w:i/>
          <w:lang w:val="en-AU"/>
        </w:rPr>
        <w:t>Trends in the south pacific albacore longline and troll fisheries</w:t>
      </w:r>
      <w:r w:rsidRPr="009C2ADD">
        <w:rPr>
          <w:rFonts w:ascii="Times New Roman" w:hAnsi="Times New Roman"/>
          <w:lang w:val="en-AU"/>
        </w:rPr>
        <w:t xml:space="preserve">, and the south Pacific albacore components of </w:t>
      </w:r>
      <w:r w:rsidRPr="0070772D">
        <w:rPr>
          <w:rFonts w:ascii="Times New Roman" w:hAnsi="Times New Roman"/>
          <w:bCs/>
          <w:lang w:val="en-AU"/>
        </w:rPr>
        <w:t>SC13-SA-WP-02</w:t>
      </w:r>
      <w:r w:rsidRPr="009C2ADD">
        <w:rPr>
          <w:rFonts w:ascii="Times New Roman" w:hAnsi="Times New Roman"/>
          <w:lang w:val="en-AU"/>
        </w:rPr>
        <w:t xml:space="preserve"> </w:t>
      </w:r>
      <w:proofErr w:type="gramStart"/>
      <w:r w:rsidRPr="009C2ADD">
        <w:rPr>
          <w:rFonts w:ascii="Times New Roman" w:hAnsi="Times New Roman"/>
          <w:i/>
          <w:lang w:val="en-AU"/>
        </w:rPr>
        <w:t>A</w:t>
      </w:r>
      <w:proofErr w:type="gramEnd"/>
      <w:r w:rsidRPr="009C2ADD">
        <w:rPr>
          <w:rFonts w:ascii="Times New Roman" w:hAnsi="Times New Roman"/>
          <w:i/>
          <w:lang w:val="en-AU"/>
        </w:rPr>
        <w:t xml:space="preserve"> compendium of fisheries indicators for tuna stocks </w:t>
      </w:r>
      <w:r w:rsidRPr="0070772D">
        <w:rPr>
          <w:rFonts w:ascii="Times New Roman" w:hAnsi="Times New Roman"/>
          <w:lang w:val="en-AU"/>
        </w:rPr>
        <w:t>were presented by S</w:t>
      </w:r>
      <w:r w:rsidR="00255E8F">
        <w:rPr>
          <w:rFonts w:ascii="Times New Roman" w:hAnsi="Times New Roman" w:hint="eastAsia"/>
          <w:lang w:val="en-AU" w:eastAsia="ko-KR"/>
        </w:rPr>
        <w:t>.</w:t>
      </w:r>
      <w:r w:rsidRPr="0070772D">
        <w:rPr>
          <w:rFonts w:ascii="Times New Roman" w:hAnsi="Times New Roman"/>
          <w:lang w:val="en-AU"/>
        </w:rPr>
        <w:t xml:space="preserve"> Brouwer (SPC-OFP)</w:t>
      </w:r>
      <w:r w:rsidRPr="00255E8F">
        <w:rPr>
          <w:rFonts w:ascii="Times New Roman" w:hAnsi="Times New Roman"/>
          <w:lang w:val="en-AU"/>
        </w:rPr>
        <w:t>.</w:t>
      </w:r>
      <w:r w:rsidRPr="009C2ADD">
        <w:rPr>
          <w:rFonts w:ascii="Times New Roman" w:hAnsi="Times New Roman"/>
          <w:lang w:val="en-AU"/>
        </w:rPr>
        <w:t xml:space="preserve"> The analysis provided a compendium of fishery indicators for south Pacific albacore tuna. These indicators included: total catch; catch by gear; and longline effort and nominal troll and longline CPUE trends, along with their spatial patterns. Commentary provided included comparisons of 2016 values to 2015 and to the average over 2011-2015. Information provided included data loaded into databases as of 5th June 2017. </w:t>
      </w:r>
      <w:r w:rsidR="00255E8F">
        <w:rPr>
          <w:rFonts w:ascii="Times New Roman" w:hAnsi="Times New Roman" w:hint="eastAsia"/>
          <w:lang w:val="en-AU" w:eastAsia="ko-KR"/>
        </w:rPr>
        <w:t>S.</w:t>
      </w:r>
      <w:r w:rsidR="00255E8F" w:rsidRPr="009C2ADD">
        <w:rPr>
          <w:rFonts w:ascii="Times New Roman" w:hAnsi="Times New Roman"/>
          <w:lang w:val="en-AU"/>
        </w:rPr>
        <w:t xml:space="preserve"> </w:t>
      </w:r>
      <w:r w:rsidRPr="009C2ADD">
        <w:rPr>
          <w:rFonts w:ascii="Times New Roman" w:hAnsi="Times New Roman"/>
          <w:lang w:val="en-AU"/>
        </w:rPr>
        <w:t xml:space="preserve">Brouwer noted that catch levels and their distribution amongst areas may change as more data become available. </w:t>
      </w:r>
    </w:p>
    <w:p w14:paraId="6BBF9B16"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106C5B3C"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Transhipment data were available over the period from the inception of transhipment reporting (July 2010) to March 2017. Data presented represented high seas transhipments only; they did not include in-port or in-zone transhipments. Monthly reported transhipment levels fluctuated notably, and may reflect logistical/operational factors rather than fishing activity. There was a notable peak in transhipment activity in August 2016 (3,668 mt) of which 56% was reported by China (2,046 mt), and 26% by Vanuatu (937 mt) fleets. It should be noted that transhipment levels were unlikely to be fully reported for the most recent 18 months.</w:t>
      </w:r>
    </w:p>
    <w:p w14:paraId="0F38DE23"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27F4B675"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Due to the complex interactions between the major species-specific fisheries, it was difficult to correctly interpret the stock status-related implications from the trends in any indicators in isolation from other data sets and a population dynamics model. Therefore, the authors</w:t>
      </w:r>
      <w:r w:rsidR="009C216F" w:rsidRPr="009C2ADD">
        <w:rPr>
          <w:rFonts w:ascii="Times New Roman" w:hAnsi="Times New Roman"/>
          <w:lang w:val="en-AU"/>
        </w:rPr>
        <w:t xml:space="preserve"> had </w:t>
      </w:r>
      <w:r w:rsidRPr="009C2ADD">
        <w:rPr>
          <w:rFonts w:ascii="Times New Roman" w:hAnsi="Times New Roman"/>
          <w:lang w:val="en-AU"/>
        </w:rPr>
        <w:t xml:space="preserve">  summarized the stock status from the most recent assessment (2015), and updated an analysis of the potential long-term stock consequences of recent fishing patterns on the south Pacific albacore stock relative to the agreed biomass limit reference point assuming 2014 status quo effort. This analysis used stochastic stock projections and incorporated the recommendations on inclusion of uncertainty from WCPFC-SC9. Based upon the 2015 stock assessment, assuming 2015 effort levels through 2015-2033, the main difference from previous reports were that provisional effort in 2015 was lower than levels seen in 2013 and 2014. The projected stock status was estimated to have improved slightly where the stock still declines from the 2013 level (SB</w:t>
      </w:r>
      <w:r w:rsidRPr="0070772D">
        <w:rPr>
          <w:rFonts w:ascii="Times New Roman" w:hAnsi="Times New Roman"/>
          <w:vertAlign w:val="subscript"/>
          <w:lang w:val="en-AU"/>
        </w:rPr>
        <w:t>latest</w:t>
      </w:r>
      <w:r w:rsidRPr="009C2ADD">
        <w:rPr>
          <w:rFonts w:ascii="Times New Roman" w:hAnsi="Times New Roman"/>
          <w:lang w:val="en-AU"/>
        </w:rPr>
        <w:t>/SB</w:t>
      </w:r>
      <w:r w:rsidRPr="0070772D">
        <w:rPr>
          <w:rFonts w:ascii="Times New Roman" w:hAnsi="Times New Roman"/>
          <w:vertAlign w:val="subscript"/>
          <w:lang w:val="en-AU"/>
        </w:rPr>
        <w:t>F=0</w:t>
      </w:r>
      <w:r w:rsidRPr="009C2ADD">
        <w:rPr>
          <w:rFonts w:ascii="Times New Roman" w:hAnsi="Times New Roman"/>
          <w:lang w:val="en-AU"/>
        </w:rPr>
        <w:t xml:space="preserve"> = 0.40) to approximately SB</w:t>
      </w:r>
      <w:r w:rsidRPr="0070772D">
        <w:rPr>
          <w:rFonts w:ascii="Times New Roman" w:hAnsi="Times New Roman"/>
          <w:vertAlign w:val="subscript"/>
          <w:lang w:val="en-AU"/>
        </w:rPr>
        <w:t>2033</w:t>
      </w:r>
      <w:r w:rsidRPr="009C2ADD">
        <w:rPr>
          <w:rFonts w:ascii="Times New Roman" w:hAnsi="Times New Roman"/>
          <w:lang w:val="en-AU"/>
        </w:rPr>
        <w:t>/SB</w:t>
      </w:r>
      <w:r w:rsidRPr="0070772D">
        <w:rPr>
          <w:rFonts w:ascii="Times New Roman" w:hAnsi="Times New Roman"/>
          <w:vertAlign w:val="subscript"/>
          <w:lang w:val="en-AU"/>
        </w:rPr>
        <w:t>F=0</w:t>
      </w:r>
      <w:r w:rsidRPr="009C2ADD">
        <w:rPr>
          <w:rFonts w:ascii="Times New Roman" w:hAnsi="Times New Roman"/>
          <w:lang w:val="en-AU"/>
        </w:rPr>
        <w:t xml:space="preserve"> = 0.35 but when compared to the biomass Limit Reference Point (SB</w:t>
      </w:r>
      <w:r w:rsidRPr="0070772D">
        <w:rPr>
          <w:rFonts w:ascii="Times New Roman" w:hAnsi="Times New Roman"/>
          <w:vertAlign w:val="subscript"/>
          <w:lang w:val="en-AU"/>
        </w:rPr>
        <w:t>LRP</w:t>
      </w:r>
      <w:r w:rsidRPr="009C2ADD">
        <w:rPr>
          <w:rFonts w:ascii="Times New Roman" w:hAnsi="Times New Roman"/>
          <w:lang w:val="en-AU"/>
        </w:rPr>
        <w:t>) risk SB</w:t>
      </w:r>
      <w:r w:rsidRPr="0070772D">
        <w:rPr>
          <w:rFonts w:ascii="Times New Roman" w:hAnsi="Times New Roman"/>
          <w:vertAlign w:val="subscript"/>
          <w:lang w:val="en-AU"/>
        </w:rPr>
        <w:t>2033</w:t>
      </w:r>
      <w:r w:rsidRPr="009C2ADD">
        <w:rPr>
          <w:rFonts w:ascii="Times New Roman" w:hAnsi="Times New Roman"/>
          <w:lang w:val="en-AU"/>
        </w:rPr>
        <w:t>/SB</w:t>
      </w:r>
      <w:r w:rsidRPr="0070772D">
        <w:rPr>
          <w:rFonts w:ascii="Times New Roman" w:hAnsi="Times New Roman"/>
          <w:vertAlign w:val="subscript"/>
          <w:lang w:val="en-AU"/>
        </w:rPr>
        <w:t>F=0</w:t>
      </w:r>
      <w:r w:rsidRPr="009C2ADD">
        <w:rPr>
          <w:rFonts w:ascii="Times New Roman" w:hAnsi="Times New Roman"/>
          <w:lang w:val="en-AU"/>
        </w:rPr>
        <w:t xml:space="preserve"> &lt; SB</w:t>
      </w:r>
      <w:r w:rsidRPr="0070772D">
        <w:rPr>
          <w:rFonts w:ascii="Times New Roman" w:hAnsi="Times New Roman"/>
          <w:vertAlign w:val="subscript"/>
          <w:lang w:val="en-AU"/>
        </w:rPr>
        <w:t>LRP</w:t>
      </w:r>
      <w:r w:rsidRPr="009C2ADD">
        <w:rPr>
          <w:rFonts w:ascii="Times New Roman" w:hAnsi="Times New Roman"/>
          <w:lang w:val="en-AU"/>
        </w:rPr>
        <w:t xml:space="preserve"> = 7% rather than 20% seen in previous projections. Overall vulnerable biomass (a CPUE proxy) in longline fisheries was also estimated to decrease by 7% over that period.</w:t>
      </w:r>
    </w:p>
    <w:p w14:paraId="13AEAC59" w14:textId="77777777" w:rsidR="009859D6" w:rsidRDefault="009859D6" w:rsidP="009C2ADD">
      <w:pPr>
        <w:autoSpaceDE w:val="0"/>
        <w:autoSpaceDN w:val="0"/>
        <w:adjustRightInd w:val="0"/>
        <w:snapToGrid w:val="0"/>
        <w:spacing w:after="0"/>
        <w:rPr>
          <w:rFonts w:ascii="Times New Roman" w:hAnsi="Times New Roman"/>
          <w:lang w:val="en-AU" w:eastAsia="ko-KR"/>
        </w:rPr>
      </w:pPr>
    </w:p>
    <w:p w14:paraId="2CCB889D" w14:textId="41C48E9D" w:rsidR="00255E8F" w:rsidRPr="0070772D" w:rsidRDefault="00255E8F"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1744B446" w14:textId="77777777" w:rsidR="00255E8F" w:rsidRPr="009C2ADD" w:rsidRDefault="00255E8F" w:rsidP="009C2ADD">
      <w:pPr>
        <w:autoSpaceDE w:val="0"/>
        <w:autoSpaceDN w:val="0"/>
        <w:adjustRightInd w:val="0"/>
        <w:snapToGrid w:val="0"/>
        <w:spacing w:after="0"/>
        <w:rPr>
          <w:rFonts w:ascii="Times New Roman" w:hAnsi="Times New Roman"/>
          <w:lang w:val="en-AU" w:eastAsia="ko-KR"/>
        </w:rPr>
      </w:pPr>
    </w:p>
    <w:p w14:paraId="7208800A" w14:textId="4FE72A9B"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asked what level of fishing mortality or fishing removal was used in the projection.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Brouwer responded that the projection was run off the 201</w:t>
      </w:r>
      <w:r w:rsidR="00240029">
        <w:rPr>
          <w:rFonts w:ascii="Times New Roman" w:hAnsi="Times New Roman" w:hint="eastAsia"/>
          <w:lang w:val="en-AU" w:eastAsia="ko-KR"/>
        </w:rPr>
        <w:t>5</w:t>
      </w:r>
      <w:r w:rsidRPr="009C2ADD">
        <w:rPr>
          <w:rFonts w:ascii="Times New Roman" w:hAnsi="Times New Roman"/>
          <w:lang w:val="en-AU"/>
        </w:rPr>
        <w:t xml:space="preserve"> stock assessment, </w:t>
      </w:r>
      <w:r w:rsidR="00904F6A" w:rsidRPr="009C2ADD">
        <w:rPr>
          <w:rFonts w:ascii="Times New Roman" w:hAnsi="Times New Roman"/>
          <w:lang w:val="en-GB"/>
        </w:rPr>
        <w:t>with effort fixed at the 201</w:t>
      </w:r>
      <w:r w:rsidR="00240029">
        <w:rPr>
          <w:rFonts w:ascii="Times New Roman" w:hAnsi="Times New Roman" w:hint="eastAsia"/>
          <w:lang w:val="en-GB" w:eastAsia="ko-KR"/>
        </w:rPr>
        <w:t>5</w:t>
      </w:r>
      <w:r w:rsidR="00904F6A" w:rsidRPr="009C2ADD">
        <w:rPr>
          <w:rFonts w:ascii="Times New Roman" w:hAnsi="Times New Roman"/>
          <w:lang w:val="en-GB"/>
        </w:rPr>
        <w:t xml:space="preserve"> levels.</w:t>
      </w:r>
    </w:p>
    <w:p w14:paraId="11D27CF0"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4B250228" w14:textId="725A4AD5"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noted that last year’s projections appeared to be more pessimistic. In response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 xml:space="preserve">Brouwer noted that the change was the result of inclusion of effort from the terminal year. </w:t>
      </w:r>
    </w:p>
    <w:p w14:paraId="43852433"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65D0A28E" w14:textId="15107798"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if it was possible to include nominal CPUE data from some of the key </w:t>
      </w:r>
      <w:r w:rsidR="00191803">
        <w:rPr>
          <w:rFonts w:ascii="Times New Roman" w:hAnsi="Times New Roman" w:hint="eastAsia"/>
          <w:lang w:val="en-AU" w:eastAsia="ko-KR"/>
        </w:rPr>
        <w:t>P</w:t>
      </w:r>
      <w:r w:rsidRPr="009C2ADD">
        <w:rPr>
          <w:rFonts w:ascii="Times New Roman" w:hAnsi="Times New Roman"/>
          <w:lang w:val="en-AU"/>
        </w:rPr>
        <w:t xml:space="preserve">acific fishing fleets as albacore was very important for these nations.  It was noted that </w:t>
      </w:r>
      <w:r w:rsidR="009C216F" w:rsidRPr="009C2ADD">
        <w:rPr>
          <w:rFonts w:ascii="Times New Roman" w:hAnsi="Times New Roman"/>
          <w:lang w:val="en-AU"/>
        </w:rPr>
        <w:t xml:space="preserve">while </w:t>
      </w:r>
      <w:r w:rsidRPr="009C2ADD">
        <w:rPr>
          <w:rFonts w:ascii="Times New Roman" w:hAnsi="Times New Roman"/>
          <w:lang w:val="en-AU"/>
        </w:rPr>
        <w:t xml:space="preserve">this was possible the </w:t>
      </w:r>
      <w:r w:rsidR="00191803">
        <w:rPr>
          <w:rFonts w:ascii="Times New Roman" w:hAnsi="Times New Roman"/>
          <w:lang w:val="en-AU"/>
        </w:rPr>
        <w:t>time series</w:t>
      </w:r>
      <w:r w:rsidR="00191803" w:rsidRPr="009C2ADD">
        <w:rPr>
          <w:rFonts w:ascii="Times New Roman" w:hAnsi="Times New Roman"/>
          <w:lang w:val="en-AU"/>
        </w:rPr>
        <w:t xml:space="preserve"> would be short</w:t>
      </w:r>
      <w:r w:rsidR="00191803">
        <w:rPr>
          <w:rFonts w:ascii="Times New Roman" w:hAnsi="Times New Roman"/>
          <w:lang w:val="en-AU"/>
        </w:rPr>
        <w:t>er than those presented</w:t>
      </w:r>
      <w:r w:rsidRPr="009C2ADD">
        <w:rPr>
          <w:rFonts w:ascii="Times New Roman" w:hAnsi="Times New Roman"/>
          <w:lang w:val="en-AU"/>
        </w:rPr>
        <w:t>.</w:t>
      </w:r>
    </w:p>
    <w:p w14:paraId="530FC31A" w14:textId="77777777" w:rsidR="009859D6" w:rsidRPr="009C2ADD" w:rsidRDefault="009859D6" w:rsidP="009C2ADD">
      <w:pPr>
        <w:autoSpaceDE w:val="0"/>
        <w:autoSpaceDN w:val="0"/>
        <w:adjustRightInd w:val="0"/>
        <w:snapToGrid w:val="0"/>
        <w:spacing w:after="0"/>
        <w:rPr>
          <w:rFonts w:ascii="Times New Roman" w:hAnsi="Times New Roman"/>
          <w:lang w:val="en-AU"/>
        </w:rPr>
      </w:pPr>
    </w:p>
    <w:p w14:paraId="0FF8FC41"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On behalf of FFA countries, Samoa noted that the provisional catch data suggested a significant reduction in catch between 2015 and 2016, and a continued reduction in effort in the albacore fishery. While the reduction in catch and effort should provide some relief to the pressure on this stock, FFA members were concerned that this reduction was economically driven rather than management driven, particularly given the lack of a robust management regime across the breadth of the albacore stock. This was a problem, because it meant that external factors, such as an increase in albacore price or a decrease in fuel price may result in effort flooding back in to the fishery, resulting in a continued depression of the stock. </w:t>
      </w:r>
    </w:p>
    <w:p w14:paraId="29327CBE"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5DF1F4D8"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 Samoa also noted that the paper showed that over the past two years the fishery had been harvesting albacore from an increasingly limited size range. While this may be due to natural variations or shifts in the location or behaviour of fishers, it may also be driven by more concerning factors. As such, FFA members asked that the SC continued to monitor the length of harvested albacore throughout its range over the next few years, to assess the reason for this trend.</w:t>
      </w:r>
    </w:p>
    <w:p w14:paraId="3A8C987D"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264AFB41"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noted the need to consider the larger uncertainty reflected in the work resulting from structural variability and stochastic error. In response, SPC noted that the same methodology was used for the skipjack projections.</w:t>
      </w:r>
    </w:p>
    <w:p w14:paraId="506317C7"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2595BEF6"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New Caledonia reminded delegates that their fisheries were highly dependent on albacore, and expressed concern about the significant increase in transhipment from the area. </w:t>
      </w:r>
    </w:p>
    <w:p w14:paraId="3EB44B95"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7CCBAEBE" w14:textId="77777777" w:rsidR="005B4349" w:rsidRPr="009C2ADD" w:rsidRDefault="005B434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Fiji, on behalf of FFA members, expressed concern about the amount of albacore reported to have been transhipped in the high seas in 2016; almost double that seen in previous years, according to SC13-SA-WP-08. This was despite a substantial reduction in the amount of albacore caught in the high seas. The WCPFC Secretariat clarified that the increase was primarily due to improved reporting rather than an actual increase in transhipment and stressed that the report covered albacore catch across the convention area not just SPALB. </w:t>
      </w:r>
    </w:p>
    <w:p w14:paraId="7C6CCE10" w14:textId="77777777" w:rsidR="009859D6" w:rsidRPr="009C2ADD" w:rsidRDefault="009859D6" w:rsidP="009C2ADD">
      <w:pPr>
        <w:pStyle w:val="ListParagraph"/>
        <w:adjustRightInd w:val="0"/>
        <w:snapToGrid w:val="0"/>
        <w:contextualSpacing w:val="0"/>
        <w:rPr>
          <w:rFonts w:ascii="Times New Roman" w:hAnsi="Times New Roman"/>
          <w:lang w:val="en-AU"/>
        </w:rPr>
      </w:pPr>
    </w:p>
    <w:p w14:paraId="2CFBA4E3" w14:textId="00B33892" w:rsidR="00A00EF8" w:rsidRPr="009C2ADD" w:rsidRDefault="00DA7AC9" w:rsidP="009C2ADD">
      <w:pPr>
        <w:pStyle w:val="WCPFC"/>
        <w:numPr>
          <w:ilvl w:val="0"/>
          <w:numId w:val="0"/>
        </w:numPr>
        <w:adjustRightInd w:val="0"/>
        <w:spacing w:after="0"/>
        <w:ind w:left="567" w:hanging="567"/>
        <w:rPr>
          <w:b/>
          <w:lang w:eastAsia="ko-KR"/>
        </w:rPr>
      </w:pPr>
      <w:r w:rsidRPr="009C2ADD">
        <w:rPr>
          <w:b/>
          <w:lang w:eastAsia="ko-KR"/>
        </w:rPr>
        <w:t>4.1.4.2</w:t>
      </w:r>
      <w:r w:rsidRPr="009C2ADD">
        <w:rPr>
          <w:b/>
          <w:lang w:eastAsia="ko-KR"/>
        </w:rPr>
        <w:tab/>
      </w:r>
      <w:r w:rsidR="00DC0615" w:rsidRPr="009C2ADD">
        <w:rPr>
          <w:rFonts w:eastAsia="바탕"/>
          <w:b/>
          <w:lang w:eastAsia="ko-KR"/>
        </w:rPr>
        <w:t>Provision of scientific information</w:t>
      </w:r>
    </w:p>
    <w:p w14:paraId="75C0410D" w14:textId="77777777" w:rsidR="00DC0615" w:rsidRPr="009C2ADD" w:rsidRDefault="00DC0615" w:rsidP="009C2ADD">
      <w:pPr>
        <w:pStyle w:val="WCPFC"/>
        <w:numPr>
          <w:ilvl w:val="0"/>
          <w:numId w:val="0"/>
        </w:numPr>
        <w:adjustRightInd w:val="0"/>
        <w:spacing w:after="0"/>
        <w:ind w:left="567" w:hanging="567"/>
        <w:rPr>
          <w:b/>
          <w:lang w:eastAsia="ko-KR"/>
        </w:rPr>
      </w:pPr>
    </w:p>
    <w:p w14:paraId="4CF167AA" w14:textId="7FD93130" w:rsidR="00A00EF8" w:rsidRPr="00464B7F" w:rsidRDefault="00A00EF8" w:rsidP="00766C07">
      <w:pPr>
        <w:pStyle w:val="WCPFC"/>
        <w:numPr>
          <w:ilvl w:val="0"/>
          <w:numId w:val="189"/>
        </w:numPr>
        <w:adjustRightInd w:val="0"/>
        <w:spacing w:after="0"/>
        <w:ind w:left="0" w:firstLine="0"/>
        <w:rPr>
          <w:b/>
        </w:rPr>
      </w:pPr>
      <w:r w:rsidRPr="009C2ADD">
        <w:rPr>
          <w:b/>
        </w:rPr>
        <w:t>S</w:t>
      </w:r>
      <w:r w:rsidR="00766C07">
        <w:rPr>
          <w:rFonts w:hint="eastAsia"/>
          <w:b/>
          <w:lang w:eastAsia="ko-KR"/>
        </w:rPr>
        <w:t>tock s</w:t>
      </w:r>
      <w:r w:rsidRPr="009C2ADD">
        <w:rPr>
          <w:b/>
        </w:rPr>
        <w:t xml:space="preserve">tatus and </w:t>
      </w:r>
      <w:r w:rsidRPr="00464B7F">
        <w:rPr>
          <w:b/>
        </w:rPr>
        <w:t xml:space="preserve">trends </w:t>
      </w:r>
    </w:p>
    <w:p w14:paraId="1746D76B" w14:textId="77777777" w:rsidR="00D3647B" w:rsidRPr="00464B7F" w:rsidRDefault="00D3647B" w:rsidP="00D3647B">
      <w:pPr>
        <w:pStyle w:val="WCPFC"/>
        <w:numPr>
          <w:ilvl w:val="0"/>
          <w:numId w:val="0"/>
        </w:numPr>
        <w:adjustRightInd w:val="0"/>
        <w:spacing w:after="0"/>
        <w:rPr>
          <w:b/>
        </w:rPr>
      </w:pPr>
    </w:p>
    <w:p w14:paraId="6422BE5F" w14:textId="53658202" w:rsidR="00A00EF8" w:rsidRPr="00464B7F" w:rsidRDefault="00A00EF8" w:rsidP="009C2ADD">
      <w:pPr>
        <w:numPr>
          <w:ilvl w:val="0"/>
          <w:numId w:val="1"/>
        </w:numPr>
        <w:autoSpaceDE w:val="0"/>
        <w:autoSpaceDN w:val="0"/>
        <w:adjustRightInd w:val="0"/>
        <w:snapToGrid w:val="0"/>
        <w:spacing w:after="0"/>
        <w:ind w:left="0" w:firstLine="0"/>
        <w:rPr>
          <w:rFonts w:ascii="Times New Roman" w:hAnsi="Times New Roman"/>
          <w:lang w:val="en-AU"/>
        </w:rPr>
      </w:pPr>
      <w:r w:rsidRPr="00464B7F">
        <w:rPr>
          <w:rFonts w:ascii="Times New Roman" w:hAnsi="Times New Roman"/>
          <w:lang w:val="en-AU"/>
        </w:rPr>
        <w:t xml:space="preserve">SC13 noted that no stock assessment was conducted for South Pacific albacore tuna in 2017. Therefore, the stock status description from SC11 is still current. For further information on the stock status and trends from SC11, please see </w:t>
      </w:r>
      <w:hyperlink r:id="rId84" w:history="1">
        <w:r w:rsidR="009715BC" w:rsidRPr="007D41F6">
          <w:rPr>
            <w:rStyle w:val="Hyperlink"/>
            <w:rFonts w:ascii="Times New Roman" w:hAnsi="Times New Roman"/>
            <w:lang w:val="en-AU"/>
          </w:rPr>
          <w:t>http://www.wcpfc.int/node/2692</w:t>
        </w:r>
        <w:r w:rsidR="009715BC" w:rsidRPr="007D41F6">
          <w:rPr>
            <w:rStyle w:val="Hyperlink"/>
            <w:rFonts w:ascii="Times New Roman" w:hAnsi="Times New Roman" w:hint="eastAsia"/>
            <w:lang w:val="en-AU" w:eastAsia="ko-KR"/>
          </w:rPr>
          <w:t xml:space="preserve">2 </w:t>
        </w:r>
      </w:hyperlink>
      <w:r w:rsidR="009715BC">
        <w:rPr>
          <w:rFonts w:ascii="Times New Roman" w:hAnsi="Times New Roman" w:hint="eastAsia"/>
          <w:lang w:val="en-AU" w:eastAsia="ko-KR"/>
        </w:rPr>
        <w:t xml:space="preserve">   </w:t>
      </w:r>
    </w:p>
    <w:p w14:paraId="5CD55F91" w14:textId="77777777" w:rsidR="00586577" w:rsidRPr="00464B7F" w:rsidRDefault="00586577" w:rsidP="009C2ADD">
      <w:pPr>
        <w:autoSpaceDE w:val="0"/>
        <w:autoSpaceDN w:val="0"/>
        <w:adjustRightInd w:val="0"/>
        <w:snapToGrid w:val="0"/>
        <w:spacing w:after="0"/>
        <w:rPr>
          <w:rFonts w:ascii="Times New Roman" w:hAnsi="Times New Roman"/>
          <w:lang w:val="en-AU"/>
        </w:rPr>
      </w:pPr>
    </w:p>
    <w:p w14:paraId="23EE25A5" w14:textId="33C8B1E0" w:rsidR="00A00EF8" w:rsidRPr="00464B7F" w:rsidRDefault="00A00EF8" w:rsidP="009C2ADD">
      <w:pPr>
        <w:numPr>
          <w:ilvl w:val="0"/>
          <w:numId w:val="1"/>
        </w:numPr>
        <w:autoSpaceDE w:val="0"/>
        <w:autoSpaceDN w:val="0"/>
        <w:adjustRightInd w:val="0"/>
        <w:snapToGrid w:val="0"/>
        <w:spacing w:after="0"/>
        <w:ind w:left="0" w:firstLine="0"/>
        <w:rPr>
          <w:rFonts w:ascii="Times New Roman" w:hAnsi="Times New Roman"/>
          <w:lang w:val="en-AU"/>
        </w:rPr>
      </w:pPr>
      <w:r w:rsidRPr="00464B7F">
        <w:rPr>
          <w:rFonts w:ascii="Times New Roman" w:hAnsi="Times New Roman"/>
          <w:lang w:val="en-AU"/>
        </w:rPr>
        <w:t>SC13 noted that the preliminary estimate of total catch of south Pacific albacore (within the WCPF Convention Area south of the equator) for 2016 was 58,03</w:t>
      </w:r>
      <w:r w:rsidR="00140621">
        <w:rPr>
          <w:rFonts w:ascii="Times New Roman" w:hAnsi="Times New Roman"/>
          <w:lang w:val="en-AU"/>
        </w:rPr>
        <w:t>3 mt</w:t>
      </w:r>
      <w:r w:rsidRPr="00464B7F">
        <w:rPr>
          <w:rFonts w:ascii="Times New Roman" w:hAnsi="Times New Roman"/>
          <w:lang w:val="en-AU"/>
        </w:rPr>
        <w:t xml:space="preserve"> which was an 8% decrease from 2015 and a 13% decrease over 2011-2015</w:t>
      </w:r>
      <w:r w:rsidR="00CA7538" w:rsidRPr="00464B7F">
        <w:rPr>
          <w:rFonts w:ascii="Times New Roman" w:hAnsi="Times New Roman"/>
          <w:lang w:val="en-AU"/>
        </w:rPr>
        <w:t xml:space="preserve"> </w:t>
      </w:r>
      <w:r w:rsidRPr="00464B7F">
        <w:rPr>
          <w:rFonts w:ascii="Times New Roman" w:hAnsi="Times New Roman"/>
          <w:lang w:val="en-AU"/>
        </w:rPr>
        <w:t>(see SC13-SA-WP-02).</w:t>
      </w:r>
    </w:p>
    <w:p w14:paraId="6EF58AA9" w14:textId="77777777" w:rsidR="00586577" w:rsidRPr="00464B7F" w:rsidRDefault="00586577" w:rsidP="009C2ADD">
      <w:pPr>
        <w:autoSpaceDE w:val="0"/>
        <w:autoSpaceDN w:val="0"/>
        <w:adjustRightInd w:val="0"/>
        <w:snapToGrid w:val="0"/>
        <w:spacing w:after="0"/>
        <w:rPr>
          <w:rFonts w:ascii="Times New Roman" w:hAnsi="Times New Roman"/>
          <w:lang w:val="en-AU"/>
        </w:rPr>
      </w:pPr>
    </w:p>
    <w:p w14:paraId="0226EA56" w14:textId="3E568735" w:rsidR="005B4349" w:rsidRPr="009C2ADD" w:rsidRDefault="00A00EF8" w:rsidP="009C2ADD">
      <w:pPr>
        <w:numPr>
          <w:ilvl w:val="0"/>
          <w:numId w:val="1"/>
        </w:numPr>
        <w:autoSpaceDE w:val="0"/>
        <w:autoSpaceDN w:val="0"/>
        <w:adjustRightInd w:val="0"/>
        <w:snapToGrid w:val="0"/>
        <w:spacing w:after="0"/>
        <w:ind w:left="0" w:firstLine="0"/>
        <w:rPr>
          <w:rFonts w:ascii="Times New Roman" w:hAnsi="Times New Roman"/>
          <w:lang w:val="en-AU"/>
        </w:rPr>
      </w:pPr>
      <w:r w:rsidRPr="00464B7F">
        <w:rPr>
          <w:rFonts w:ascii="Times New Roman" w:hAnsi="Times New Roman"/>
          <w:lang w:val="en-AU"/>
        </w:rPr>
        <w:t>Preliminary longline catch in 2016 (55,63</w:t>
      </w:r>
      <w:r w:rsidR="00140621">
        <w:rPr>
          <w:rFonts w:ascii="Times New Roman" w:hAnsi="Times New Roman"/>
          <w:lang w:val="en-AU"/>
        </w:rPr>
        <w:t>5 mt</w:t>
      </w:r>
      <w:r w:rsidRPr="00464B7F">
        <w:rPr>
          <w:rFonts w:ascii="Times New Roman" w:hAnsi="Times New Roman"/>
          <w:lang w:val="en-AU"/>
        </w:rPr>
        <w:t>) was 8% lower compared with 2015 and a 13% decrease over 2011-2015.  Preliminary</w:t>
      </w:r>
      <w:r w:rsidRPr="009C2ADD">
        <w:rPr>
          <w:rFonts w:ascii="Times New Roman" w:hAnsi="Times New Roman"/>
          <w:lang w:val="en-AU"/>
        </w:rPr>
        <w:t xml:space="preserve"> troll catch in 2016 (2,37</w:t>
      </w:r>
      <w:r w:rsidR="00140621">
        <w:rPr>
          <w:rFonts w:ascii="Times New Roman" w:hAnsi="Times New Roman"/>
          <w:lang w:val="en-AU"/>
        </w:rPr>
        <w:t>2 mt</w:t>
      </w:r>
      <w:r w:rsidRPr="009C2ADD">
        <w:rPr>
          <w:rFonts w:ascii="Times New Roman" w:hAnsi="Times New Roman"/>
          <w:lang w:val="en-AU"/>
        </w:rPr>
        <w:t>) was 17% lower compared with 2015 and a 24% decrease over 2011-2015 (see SC13-SA-WP-02).</w:t>
      </w:r>
    </w:p>
    <w:p w14:paraId="668C1B04"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29F88BFB" w14:textId="2E90C00F" w:rsidR="00A00EF8" w:rsidRPr="00B801AF" w:rsidRDefault="00A00EF8" w:rsidP="009C2ADD">
      <w:pPr>
        <w:numPr>
          <w:ilvl w:val="0"/>
          <w:numId w:val="1"/>
        </w:numPr>
        <w:autoSpaceDE w:val="0"/>
        <w:autoSpaceDN w:val="0"/>
        <w:adjustRightInd w:val="0"/>
        <w:snapToGrid w:val="0"/>
        <w:spacing w:after="0"/>
        <w:ind w:left="0" w:firstLine="0"/>
        <w:rPr>
          <w:rFonts w:ascii="Times New Roman" w:hAnsi="Times New Roman"/>
          <w:b/>
          <w:lang w:val="en-AU"/>
        </w:rPr>
      </w:pPr>
      <w:r w:rsidRPr="00B801AF">
        <w:rPr>
          <w:rFonts w:ascii="Times New Roman" w:hAnsi="Times New Roman"/>
          <w:b/>
          <w:lang w:val="en-AU"/>
        </w:rPr>
        <w:t xml:space="preserve">SC13 considered an update of trends in South Pacific albacore fisheries (SC13-SA-WP-08) and noted that there had been reductions in longline effort in the WCPF Convention </w:t>
      </w:r>
      <w:r w:rsidR="007A48AB" w:rsidRPr="00B801AF">
        <w:rPr>
          <w:rFonts w:ascii="Times New Roman" w:hAnsi="Times New Roman"/>
          <w:b/>
          <w:lang w:val="en-AU" w:eastAsia="ko-KR"/>
        </w:rPr>
        <w:t xml:space="preserve">Area </w:t>
      </w:r>
      <w:r w:rsidRPr="00B801AF">
        <w:rPr>
          <w:rFonts w:ascii="Times New Roman" w:hAnsi="Times New Roman"/>
          <w:b/>
          <w:lang w:val="en-AU"/>
        </w:rPr>
        <w:t>south of 10</w:t>
      </w:r>
      <w:r w:rsidR="007A48AB" w:rsidRPr="00B801AF">
        <w:rPr>
          <w:rFonts w:ascii="Times New Roman" w:hAnsi="Times New Roman"/>
          <w:b/>
          <w:vertAlign w:val="superscript"/>
          <w:lang w:val="en-AU"/>
        </w:rPr>
        <w:t>ᴼ</w:t>
      </w:r>
      <w:r w:rsidRPr="00B801AF">
        <w:rPr>
          <w:rFonts w:ascii="Times New Roman" w:hAnsi="Times New Roman"/>
          <w:b/>
          <w:lang w:val="en-AU"/>
        </w:rPr>
        <w:t>S through 2014-2016 (</w:t>
      </w:r>
      <w:r w:rsidR="00E55509" w:rsidRPr="0070772D">
        <w:rPr>
          <w:rFonts w:ascii="Times New Roman" w:hAnsi="Times New Roman"/>
          <w:b/>
          <w:bCs/>
          <w:sz w:val="24"/>
          <w:szCs w:val="24"/>
          <w:lang w:val="en-AU"/>
        </w:rPr>
        <w:t>declining from about 300 million hooks in 2013 to around 254 million in 2015, and 200 million hooks in 2016</w:t>
      </w:r>
      <w:r w:rsidR="00E55509" w:rsidRPr="00B801AF">
        <w:rPr>
          <w:rFonts w:ascii="Times New Roman" w:hAnsi="Times New Roman"/>
          <w:b/>
          <w:bCs/>
          <w:sz w:val="24"/>
          <w:szCs w:val="24"/>
          <w:lang w:val="en-GB"/>
        </w:rPr>
        <w:t xml:space="preserve"> </w:t>
      </w:r>
      <w:r w:rsidR="009210AF" w:rsidRPr="00B801AF">
        <w:rPr>
          <w:rFonts w:ascii="Times New Roman" w:hAnsi="Times New Roman"/>
          <w:b/>
          <w:lang w:val="en-GB"/>
        </w:rPr>
        <w:t>– with the 2016 value being provisional</w:t>
      </w:r>
      <w:r w:rsidRPr="00B801AF">
        <w:rPr>
          <w:rFonts w:ascii="Times New Roman" w:hAnsi="Times New Roman"/>
          <w:b/>
          <w:lang w:val="en-AU"/>
        </w:rPr>
        <w:t>)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sidR="00191803" w:rsidRPr="00B801AF">
        <w:rPr>
          <w:rFonts w:ascii="Times New Roman" w:hAnsi="Times New Roman"/>
          <w:b/>
          <w:lang w:val="en-AU" w:eastAsia="ko-KR"/>
        </w:rPr>
        <w:t>-</w:t>
      </w:r>
      <w:r w:rsidRPr="00B801AF">
        <w:rPr>
          <w:rFonts w:ascii="Times New Roman" w:hAnsi="Times New Roman"/>
          <w:b/>
          <w:lang w:val="en-AU"/>
        </w:rPr>
        <w:t>1). If 2015 fishing effort levels continue into the future, the stock is predicted to continue to decline on average, falling to SB</w:t>
      </w:r>
      <w:r w:rsidRPr="0070772D">
        <w:rPr>
          <w:rFonts w:ascii="Times New Roman" w:hAnsi="Times New Roman"/>
          <w:b/>
          <w:vertAlign w:val="subscript"/>
          <w:lang w:val="en-AU"/>
        </w:rPr>
        <w:t>current</w:t>
      </w:r>
      <w:r w:rsidRPr="00B801AF">
        <w:rPr>
          <w:rFonts w:ascii="Times New Roman" w:hAnsi="Times New Roman"/>
          <w:b/>
          <w:lang w:val="en-AU"/>
        </w:rPr>
        <w:t>/SB</w:t>
      </w:r>
      <w:r w:rsidRPr="0070772D">
        <w:rPr>
          <w:rFonts w:ascii="Times New Roman" w:hAnsi="Times New Roman"/>
          <w:b/>
          <w:vertAlign w:val="subscript"/>
          <w:lang w:val="en-AU"/>
        </w:rPr>
        <w:t>F=0</w:t>
      </w:r>
      <w:r w:rsidRPr="00B801AF">
        <w:rPr>
          <w:rFonts w:ascii="Times New Roman" w:hAnsi="Times New Roman"/>
          <w:b/>
          <w:lang w:val="en-AU"/>
        </w:rPr>
        <w:t xml:space="preserve"> = 0.35 in 2033 with a 7% predicted probability of being below the LRP. Overall vulnerable biomass (a CPUE proxy) in longline fisheries is estimated to decrease by 7% from 2013-2033. </w:t>
      </w:r>
    </w:p>
    <w:p w14:paraId="3F1EF281" w14:textId="7ADBC961" w:rsidR="00A00EF8" w:rsidRPr="009C2ADD" w:rsidRDefault="00F36432" w:rsidP="009C2ADD">
      <w:pPr>
        <w:pStyle w:val="WCPFC"/>
        <w:numPr>
          <w:ilvl w:val="0"/>
          <w:numId w:val="0"/>
        </w:numPr>
        <w:adjustRightInd w:val="0"/>
        <w:spacing w:after="0"/>
        <w:ind w:left="567"/>
        <w:jc w:val="center"/>
      </w:pPr>
      <w:r w:rsidRPr="009C2ADD">
        <w:rPr>
          <w:noProof/>
          <w:lang w:val="en-US" w:eastAsia="ko-KR"/>
        </w:rPr>
        <w:drawing>
          <wp:inline distT="0" distB="0" distL="0" distR="0" wp14:anchorId="190551DE" wp14:editId="4858B993">
            <wp:extent cx="4262120" cy="3665855"/>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2120" cy="3665855"/>
                    </a:xfrm>
                    <a:prstGeom prst="rect">
                      <a:avLst/>
                    </a:prstGeom>
                    <a:noFill/>
                    <a:ln>
                      <a:noFill/>
                    </a:ln>
                  </pic:spPr>
                </pic:pic>
              </a:graphicData>
            </a:graphic>
          </wp:inline>
        </w:drawing>
      </w:r>
    </w:p>
    <w:p w14:paraId="214A12EF" w14:textId="7FE47407" w:rsidR="00A00EF8" w:rsidRPr="009C2ADD" w:rsidRDefault="00A00EF8" w:rsidP="009C2ADD">
      <w:pPr>
        <w:pStyle w:val="WCPFC"/>
        <w:numPr>
          <w:ilvl w:val="0"/>
          <w:numId w:val="0"/>
        </w:numPr>
        <w:adjustRightInd w:val="0"/>
        <w:spacing w:after="0"/>
      </w:pPr>
      <w:r w:rsidRPr="009C2ADD">
        <w:rPr>
          <w:b/>
        </w:rPr>
        <w:t xml:space="preserve">Figure </w:t>
      </w:r>
      <w:r w:rsidRPr="009C2ADD">
        <w:rPr>
          <w:b/>
          <w:lang w:eastAsia="ko-KR"/>
        </w:rPr>
        <w:t xml:space="preserve">SPA-1. </w:t>
      </w:r>
      <w:bookmarkStart w:id="107" w:name="_Hlk491534363"/>
      <w:r w:rsidRPr="009C2ADD">
        <w:t xml:space="preserve">Stochastic projections of adult stock status under 2014 longline and troll effort levels. </w:t>
      </w:r>
      <w:bookmarkEnd w:id="107"/>
      <w:r w:rsidRPr="009C2ADD">
        <w:t>The limit reference point (20% SB</w:t>
      </w:r>
      <w:r w:rsidRPr="0070772D">
        <w:rPr>
          <w:vertAlign w:val="subscript"/>
        </w:rPr>
        <w:t>F=0</w:t>
      </w:r>
      <w:r w:rsidRPr="009C2ADD">
        <w:t>) is indicated by</w:t>
      </w:r>
      <w:r w:rsidR="00191803">
        <w:rPr>
          <w:rFonts w:hint="eastAsia"/>
          <w:lang w:eastAsia="ko-KR"/>
        </w:rPr>
        <w:t xml:space="preserve"> the</w:t>
      </w:r>
      <w:r w:rsidRPr="009C2ADD">
        <w:t xml:space="preserve"> horizontal dashed red line. Note: from 1960 up to 2013 inclusive the line represents the median across the 9 assessment model runs (structural uncertainty only); uncertainty after 2013 represents both structural uncertainty and stochastic recruitment (1800 simulation runs).</w:t>
      </w:r>
    </w:p>
    <w:p w14:paraId="31C52D06" w14:textId="77777777" w:rsidR="00A00EF8" w:rsidRPr="009C2ADD" w:rsidRDefault="00A00EF8" w:rsidP="009C2ADD">
      <w:pPr>
        <w:pStyle w:val="WCPFC"/>
        <w:numPr>
          <w:ilvl w:val="0"/>
          <w:numId w:val="0"/>
        </w:numPr>
        <w:adjustRightInd w:val="0"/>
        <w:spacing w:after="0"/>
        <w:ind w:left="567"/>
        <w:jc w:val="center"/>
      </w:pPr>
    </w:p>
    <w:p w14:paraId="745CFC9E" w14:textId="20629129" w:rsidR="00F91498" w:rsidRPr="009C2ADD" w:rsidRDefault="00F91498" w:rsidP="00766C07">
      <w:pPr>
        <w:pStyle w:val="WCPFC"/>
        <w:numPr>
          <w:ilvl w:val="0"/>
          <w:numId w:val="189"/>
        </w:numPr>
        <w:adjustRightInd w:val="0"/>
        <w:spacing w:after="0"/>
        <w:ind w:left="0" w:firstLine="0"/>
        <w:rPr>
          <w:b/>
        </w:rPr>
      </w:pPr>
      <w:r w:rsidRPr="009C2ADD">
        <w:rPr>
          <w:b/>
        </w:rPr>
        <w:t xml:space="preserve">Management advice and implications </w:t>
      </w:r>
    </w:p>
    <w:p w14:paraId="27F55DDE" w14:textId="77777777" w:rsidR="00586577" w:rsidRPr="009C2ADD" w:rsidRDefault="00586577" w:rsidP="009C2ADD">
      <w:pPr>
        <w:pStyle w:val="WCPFC"/>
        <w:numPr>
          <w:ilvl w:val="0"/>
          <w:numId w:val="0"/>
        </w:numPr>
        <w:adjustRightInd w:val="0"/>
        <w:spacing w:after="0"/>
        <w:ind w:left="720"/>
        <w:rPr>
          <w:b/>
        </w:rPr>
      </w:pPr>
    </w:p>
    <w:p w14:paraId="6FE21E50" w14:textId="41F69308" w:rsidR="00F91498" w:rsidRPr="00464B7F" w:rsidRDefault="00F91498" w:rsidP="0007391D">
      <w:pPr>
        <w:pStyle w:val="WCPFC"/>
        <w:ind w:left="0" w:firstLine="0"/>
        <w:rPr>
          <w:lang w:val="en-AU"/>
        </w:rPr>
      </w:pPr>
      <w:r w:rsidRPr="00464B7F">
        <w:rPr>
          <w:lang w:val="en-AU"/>
        </w:rPr>
        <w:t xml:space="preserve">SC13 noted that no stock assessment was conducted for South Pacific albacore tuna in 2017. Therefore, </w:t>
      </w:r>
      <w:r w:rsidR="00DA53CE" w:rsidRPr="00DA53CE">
        <w:rPr>
          <w:lang w:val="en-AU"/>
        </w:rPr>
        <w:t>the advice from SC1</w:t>
      </w:r>
      <w:r w:rsidR="00DA53CE">
        <w:rPr>
          <w:rFonts w:hint="eastAsia"/>
          <w:lang w:val="en-AU" w:eastAsia="ko-KR"/>
        </w:rPr>
        <w:t>1</w:t>
      </w:r>
      <w:r w:rsidR="00DA53CE" w:rsidRPr="00DA53CE">
        <w:rPr>
          <w:lang w:val="en-AU"/>
        </w:rPr>
        <w:t xml:space="preserve"> should be maintained</w:t>
      </w:r>
      <w:r w:rsidRPr="00464B7F">
        <w:rPr>
          <w:lang w:val="en-AU"/>
        </w:rPr>
        <w:t xml:space="preserve">. For further information on the stock status and trends from SC11, please see </w:t>
      </w:r>
      <w:hyperlink r:id="rId85" w:history="1">
        <w:r w:rsidR="00401B5D" w:rsidRPr="00401B5D">
          <w:rPr>
            <w:rStyle w:val="Hyperlink"/>
            <w:bCs/>
            <w:lang w:val="en-AU" w:eastAsia="en-US"/>
          </w:rPr>
          <w:t>https://www.wcpfc.int/node/26922</w:t>
        </w:r>
      </w:hyperlink>
      <w:r w:rsidR="00401B5D" w:rsidRPr="00401B5D">
        <w:rPr>
          <w:rFonts w:hint="eastAsia"/>
          <w:bCs/>
          <w:lang w:val="en-AU" w:eastAsia="ko-KR"/>
        </w:rPr>
        <w:t xml:space="preserve"> </w:t>
      </w:r>
    </w:p>
    <w:p w14:paraId="50B1C3B8" w14:textId="345D0058" w:rsidR="00F91498" w:rsidRPr="009C2ADD" w:rsidRDefault="00F91498" w:rsidP="009C2ADD">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the preliminary estimate of total catch of south Pacific albacore (within the WCPF Convention Area south of the equator) for 2016 was</w:t>
      </w:r>
      <w:r w:rsidRPr="009C2ADD">
        <w:rPr>
          <w:rFonts w:ascii="Times New Roman" w:hAnsi="Times New Roman"/>
          <w:b/>
          <w:lang w:val="en-AU"/>
        </w:rPr>
        <w:t xml:space="preserve"> 58,03</w:t>
      </w:r>
      <w:r w:rsidR="00140621">
        <w:rPr>
          <w:rFonts w:ascii="Times New Roman" w:hAnsi="Times New Roman"/>
          <w:b/>
          <w:lang w:val="en-AU"/>
        </w:rPr>
        <w:t>3 mt</w:t>
      </w:r>
      <w:r w:rsidRPr="009C2ADD">
        <w:rPr>
          <w:rFonts w:ascii="Times New Roman" w:hAnsi="Times New Roman"/>
          <w:b/>
          <w:lang w:val="en-AU"/>
        </w:rPr>
        <w:t xml:space="preserve"> which was an 8% decrease from 2015 and a 13% decrease over 2011-2015. (</w:t>
      </w:r>
      <w:proofErr w:type="gramStart"/>
      <w:r w:rsidRPr="009C2ADD">
        <w:rPr>
          <w:rFonts w:ascii="Times New Roman" w:hAnsi="Times New Roman"/>
          <w:b/>
          <w:lang w:val="en-AU"/>
        </w:rPr>
        <w:t>see</w:t>
      </w:r>
      <w:proofErr w:type="gramEnd"/>
      <w:r w:rsidRPr="009C2ADD">
        <w:rPr>
          <w:rFonts w:ascii="Times New Roman" w:hAnsi="Times New Roman"/>
          <w:b/>
          <w:lang w:val="en-AU"/>
        </w:rPr>
        <w:t xml:space="preserve"> SC13-SA-WP-02).</w:t>
      </w:r>
    </w:p>
    <w:p w14:paraId="1B344D78" w14:textId="77777777" w:rsidR="00586577" w:rsidRPr="009C2ADD" w:rsidRDefault="00586577" w:rsidP="009C2ADD">
      <w:pPr>
        <w:pStyle w:val="ListParagraph"/>
        <w:adjustRightInd w:val="0"/>
        <w:snapToGrid w:val="0"/>
        <w:contextualSpacing w:val="0"/>
        <w:rPr>
          <w:rFonts w:ascii="Times New Roman" w:hAnsi="Times New Roman"/>
          <w:b/>
          <w:lang w:val="en-AU"/>
        </w:rPr>
      </w:pPr>
    </w:p>
    <w:p w14:paraId="4EAE4FF8" w14:textId="491996F6" w:rsidR="00F91498" w:rsidRPr="009C2ADD" w:rsidRDefault="00F91498"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Preliminary longline catch in 2016 (55,63</w:t>
      </w:r>
      <w:r w:rsidR="00140621">
        <w:rPr>
          <w:rFonts w:ascii="Times New Roman" w:hAnsi="Times New Roman"/>
          <w:b/>
          <w:lang w:val="en-AU"/>
        </w:rPr>
        <w:t>5 mt</w:t>
      </w:r>
      <w:r w:rsidRPr="009C2ADD">
        <w:rPr>
          <w:rFonts w:ascii="Times New Roman" w:hAnsi="Times New Roman"/>
          <w:b/>
          <w:lang w:val="en-AU"/>
        </w:rPr>
        <w:t>) was 8% lower compared with 2015 and a 13% decrease over 2011-2015.  Preliminary troll catch in 2016 (2,37</w:t>
      </w:r>
      <w:r w:rsidR="00140621">
        <w:rPr>
          <w:rFonts w:ascii="Times New Roman" w:hAnsi="Times New Roman"/>
          <w:b/>
          <w:lang w:val="en-AU"/>
        </w:rPr>
        <w:t>2 mt</w:t>
      </w:r>
      <w:r w:rsidRPr="009C2ADD">
        <w:rPr>
          <w:rFonts w:ascii="Times New Roman" w:hAnsi="Times New Roman"/>
          <w:b/>
          <w:lang w:val="en-AU"/>
        </w:rPr>
        <w:t>) was 17% lower compared with 2015 and a 24% decrease over 2011-2015. (</w:t>
      </w:r>
      <w:proofErr w:type="gramStart"/>
      <w:r w:rsidRPr="009C2ADD">
        <w:rPr>
          <w:rFonts w:ascii="Times New Roman" w:hAnsi="Times New Roman"/>
          <w:b/>
          <w:lang w:val="en-AU"/>
        </w:rPr>
        <w:t>see</w:t>
      </w:r>
      <w:proofErr w:type="gramEnd"/>
      <w:r w:rsidRPr="009C2ADD">
        <w:rPr>
          <w:rFonts w:ascii="Times New Roman" w:hAnsi="Times New Roman"/>
          <w:b/>
          <w:lang w:val="en-AU"/>
        </w:rPr>
        <w:t xml:space="preserve"> SC13-</w:t>
      </w:r>
      <w:r w:rsidR="00D35815" w:rsidRPr="009C2ADD" w:rsidDel="00D35815">
        <w:rPr>
          <w:rFonts w:ascii="Times New Roman" w:hAnsi="Times New Roman"/>
          <w:b/>
          <w:lang w:val="en-AU"/>
        </w:rPr>
        <w:t xml:space="preserve"> </w:t>
      </w:r>
      <w:r w:rsidRPr="009C2ADD">
        <w:rPr>
          <w:rFonts w:ascii="Times New Roman" w:hAnsi="Times New Roman"/>
          <w:b/>
          <w:lang w:val="en-AU"/>
        </w:rPr>
        <w:t xml:space="preserve">SA-WP-02). </w:t>
      </w:r>
    </w:p>
    <w:p w14:paraId="6EF32DE4" w14:textId="77777777" w:rsidR="00586577" w:rsidRPr="009C2ADD" w:rsidRDefault="00586577" w:rsidP="009C2ADD">
      <w:pPr>
        <w:pStyle w:val="ListParagraph"/>
        <w:adjustRightInd w:val="0"/>
        <w:snapToGrid w:val="0"/>
        <w:contextualSpacing w:val="0"/>
        <w:rPr>
          <w:rFonts w:ascii="Times New Roman" w:hAnsi="Times New Roman"/>
          <w:b/>
          <w:lang w:val="en-AU"/>
        </w:rPr>
      </w:pPr>
    </w:p>
    <w:p w14:paraId="103ECD0A" w14:textId="34D33F1C" w:rsidR="003127D8" w:rsidRPr="009C2ADD" w:rsidRDefault="003127D8"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considered an update of trends in South Pacific albacore fisheries (SC13-SA-WP-08) and noted that there had been reductions in longline effort in the WCPF Convention </w:t>
      </w:r>
      <w:r w:rsidR="00621ACD">
        <w:rPr>
          <w:rFonts w:ascii="Times New Roman" w:hAnsi="Times New Roman" w:hint="eastAsia"/>
          <w:b/>
          <w:lang w:val="en-AU" w:eastAsia="ko-KR"/>
        </w:rPr>
        <w:t xml:space="preserve">Area </w:t>
      </w:r>
      <w:r w:rsidRPr="009C2ADD">
        <w:rPr>
          <w:rFonts w:ascii="Times New Roman" w:hAnsi="Times New Roman"/>
          <w:b/>
          <w:lang w:val="en-AU"/>
        </w:rPr>
        <w:t>south of 10</w:t>
      </w:r>
      <w:r w:rsidR="00621ACD">
        <w:rPr>
          <w:rFonts w:ascii="Times New Roman" w:hAnsi="Times New Roman"/>
          <w:b/>
          <w:lang w:val="en-AU"/>
        </w:rPr>
        <w:t>ᴼ</w:t>
      </w:r>
      <w:r w:rsidR="00621ACD">
        <w:rPr>
          <w:rFonts w:ascii="Times New Roman" w:hAnsi="Times New Roman" w:hint="eastAsia"/>
          <w:b/>
          <w:lang w:val="en-AU" w:eastAsia="ko-KR"/>
        </w:rPr>
        <w:t>S</w:t>
      </w:r>
      <w:r w:rsidRPr="009C2ADD">
        <w:rPr>
          <w:rFonts w:ascii="Times New Roman" w:hAnsi="Times New Roman"/>
          <w:b/>
          <w:lang w:val="en-AU"/>
        </w:rPr>
        <w:t xml:space="preserve"> through 2014-2016 (by approximately 15%)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sidR="005926A9">
        <w:rPr>
          <w:rFonts w:ascii="Times New Roman" w:hAnsi="Times New Roman" w:hint="eastAsia"/>
          <w:b/>
          <w:lang w:val="en-AU" w:eastAsia="ko-KR"/>
        </w:rPr>
        <w:t>-</w:t>
      </w:r>
      <w:r w:rsidRPr="009C2ADD">
        <w:rPr>
          <w:rFonts w:ascii="Times New Roman" w:hAnsi="Times New Roman"/>
          <w:b/>
          <w:lang w:val="en-AU"/>
        </w:rPr>
        <w:t>1). If 2015 fishing effort levels continue into the future, the stock is predicted to continue to decline on average, falling to 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xml:space="preserve"> = 0.35 in 2033 with a 7% predicted probability of being below the LRP. Overall vulnerable biomass (a CPUE proxy) in longline fisheries is estimated to decrease by 7% from 2013-2033.  </w:t>
      </w:r>
    </w:p>
    <w:p w14:paraId="07ACD1BD" w14:textId="77777777" w:rsidR="00586577" w:rsidRPr="009C2ADD" w:rsidRDefault="00586577" w:rsidP="009C2ADD">
      <w:pPr>
        <w:pStyle w:val="ListParagraph"/>
        <w:adjustRightInd w:val="0"/>
        <w:snapToGrid w:val="0"/>
        <w:contextualSpacing w:val="0"/>
        <w:rPr>
          <w:rFonts w:ascii="Times New Roman" w:hAnsi="Times New Roman"/>
          <w:b/>
          <w:lang w:val="en-AU"/>
        </w:rPr>
      </w:pPr>
    </w:p>
    <w:p w14:paraId="544CBA58" w14:textId="2728E978" w:rsidR="003127D8" w:rsidRPr="009C2ADD" w:rsidRDefault="003127D8"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EU noted that according to the last assessment the value of SB</w:t>
      </w:r>
      <w:r w:rsidR="00887159" w:rsidRPr="0070772D">
        <w:rPr>
          <w:rFonts w:ascii="Times New Roman" w:hAnsi="Times New Roman"/>
          <w:vertAlign w:val="subscript"/>
          <w:lang w:val="en-AU" w:eastAsia="ko-KR"/>
        </w:rPr>
        <w:t>MSY</w:t>
      </w:r>
      <w:r w:rsidRPr="009C2ADD">
        <w:rPr>
          <w:rFonts w:ascii="Times New Roman" w:hAnsi="Times New Roman"/>
          <w:lang w:val="en-AU"/>
        </w:rPr>
        <w:t xml:space="preserve"> was below the adopted LRP, which questioned the biological relevance of this LRP for this species.  </w:t>
      </w:r>
    </w:p>
    <w:p w14:paraId="1CF40AB7"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1E95A746" w14:textId="77777777" w:rsidR="00A00EF8" w:rsidRPr="009C2ADD" w:rsidRDefault="003127D8"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Pending a new assessment in 2018, SC13 recalls its previous advice from SC11 and SC12 that longline fishing mortality and longline catch be reduced to avoid further decline in the vulnerable biomass so that economically viable catch rates can be maintained, especially for longline catches of adult albacore. SC13 recommends that this advice be taken into consideration when the TRP for South Pacific albacore is discussed at WCPFC14.</w:t>
      </w:r>
    </w:p>
    <w:p w14:paraId="7FD9FEAB" w14:textId="77777777" w:rsidR="00AF5066" w:rsidRPr="009C2ADD" w:rsidRDefault="00AF5066" w:rsidP="009C2ADD">
      <w:pPr>
        <w:adjustRightInd w:val="0"/>
        <w:snapToGrid w:val="0"/>
        <w:spacing w:after="0"/>
        <w:rPr>
          <w:rFonts w:ascii="Times New Roman" w:eastAsia="바탕" w:hAnsi="Times New Roman"/>
          <w:b/>
          <w:bCs/>
          <w:lang w:eastAsia="ko-KR"/>
        </w:rPr>
      </w:pPr>
    </w:p>
    <w:p w14:paraId="690BEDD0" w14:textId="5CC98F57" w:rsidR="002C205C" w:rsidRPr="009C2ADD" w:rsidRDefault="00CD1D72" w:rsidP="009C2ADD">
      <w:pPr>
        <w:pStyle w:val="Heading2"/>
        <w:adjustRightInd w:val="0"/>
        <w:snapToGrid w:val="0"/>
        <w:rPr>
          <w:color w:val="auto"/>
          <w:szCs w:val="22"/>
        </w:rPr>
      </w:pPr>
      <w:bookmarkStart w:id="108" w:name="_Toc491851821"/>
      <w:r w:rsidRPr="009C2ADD">
        <w:rPr>
          <w:color w:val="auto"/>
          <w:szCs w:val="22"/>
        </w:rPr>
        <w:t xml:space="preserve">4.2 </w:t>
      </w:r>
      <w:r w:rsidR="00F36432" w:rsidRPr="009C2ADD">
        <w:rPr>
          <w:color w:val="auto"/>
          <w:szCs w:val="22"/>
        </w:rPr>
        <w:tab/>
      </w:r>
      <w:r w:rsidR="002C205C" w:rsidRPr="009C2ADD">
        <w:rPr>
          <w:color w:val="auto"/>
          <w:szCs w:val="22"/>
        </w:rPr>
        <w:t>Northern stocks</w:t>
      </w:r>
      <w:bookmarkEnd w:id="108"/>
      <w:r w:rsidR="002C205C" w:rsidRPr="009C2ADD">
        <w:rPr>
          <w:color w:val="auto"/>
          <w:szCs w:val="22"/>
        </w:rPr>
        <w:t xml:space="preserve"> </w:t>
      </w:r>
    </w:p>
    <w:p w14:paraId="09AF42F8" w14:textId="77777777" w:rsidR="002C205C" w:rsidRPr="009C2ADD" w:rsidRDefault="002C205C" w:rsidP="009C2ADD">
      <w:pPr>
        <w:pStyle w:val="ListParagraph"/>
        <w:adjustRightInd w:val="0"/>
        <w:snapToGrid w:val="0"/>
        <w:contextualSpacing w:val="0"/>
        <w:rPr>
          <w:rFonts w:ascii="Times New Roman" w:eastAsia="바탕" w:hAnsi="Times New Roman"/>
          <w:b/>
          <w:bCs/>
          <w:lang w:eastAsia="ko-KR"/>
        </w:rPr>
      </w:pPr>
    </w:p>
    <w:p w14:paraId="23A8E7FB" w14:textId="3D94441C" w:rsidR="002C205C" w:rsidRPr="009C2ADD" w:rsidRDefault="008B10C8" w:rsidP="009C2ADD">
      <w:pPr>
        <w:numPr>
          <w:ilvl w:val="0"/>
          <w:numId w:val="1"/>
        </w:numPr>
        <w:autoSpaceDE w:val="0"/>
        <w:autoSpaceDN w:val="0"/>
        <w:adjustRightInd w:val="0"/>
        <w:snapToGrid w:val="0"/>
        <w:spacing w:after="0"/>
        <w:ind w:left="0" w:firstLine="0"/>
        <w:rPr>
          <w:rFonts w:ascii="Times New Roman" w:hAnsi="Times New Roman"/>
          <w:lang w:val="en-AU"/>
        </w:rPr>
      </w:pPr>
      <w:r w:rsidRPr="008B10C8">
        <w:rPr>
          <w:rFonts w:ascii="Times New Roman" w:hAnsi="Times New Roman"/>
        </w:rPr>
        <w:t>On behalf of the ISC Chair</w:t>
      </w:r>
      <w:r w:rsidRPr="008B10C8">
        <w:rPr>
          <w:rFonts w:ascii="Times New Roman" w:hAnsi="Times New Roman"/>
          <w:lang w:eastAsia="ko-KR"/>
        </w:rPr>
        <w:t>,</w:t>
      </w:r>
      <w:r w:rsidRPr="008B10C8">
        <w:rPr>
          <w:rFonts w:ascii="Times New Roman" w:hAnsi="Times New Roman"/>
        </w:rPr>
        <w:t xml:space="preserve"> J. Brodziak presented SC1</w:t>
      </w:r>
      <w:r w:rsidRPr="008B10C8">
        <w:rPr>
          <w:rFonts w:ascii="Times New Roman" w:hAnsi="Times New Roman"/>
          <w:lang w:eastAsia="ko-KR"/>
        </w:rPr>
        <w:t>3</w:t>
      </w:r>
      <w:r w:rsidRPr="008B10C8">
        <w:rPr>
          <w:rFonts w:ascii="Times New Roman" w:hAnsi="Times New Roman"/>
        </w:rPr>
        <w:t xml:space="preserve">-GN-IP-02, the report of the </w:t>
      </w:r>
      <w:r>
        <w:rPr>
          <w:rFonts w:ascii="Times New Roman" w:hAnsi="Times New Roman" w:hint="eastAsia"/>
          <w:lang w:eastAsia="ko-KR"/>
        </w:rPr>
        <w:t xml:space="preserve">Seventeenth </w:t>
      </w:r>
      <w:r w:rsidRPr="008B10C8">
        <w:rPr>
          <w:rFonts w:ascii="Times New Roman" w:hAnsi="Times New Roman"/>
        </w:rPr>
        <w:t>Meeting of the International Scientific Committee for Tuna and Tuna-like Species in the North Pacific Ocean</w:t>
      </w:r>
      <w:r>
        <w:rPr>
          <w:rFonts w:ascii="Times New Roman" w:hAnsi="Times New Roman" w:hint="eastAsia"/>
          <w:lang w:eastAsia="ko-KR"/>
        </w:rPr>
        <w:t xml:space="preserve"> (ISC17)</w:t>
      </w:r>
      <w:r w:rsidRPr="008B10C8">
        <w:rPr>
          <w:rFonts w:ascii="Times New Roman" w:hAnsi="Times New Roman"/>
        </w:rPr>
        <w:t xml:space="preserve">. The ISC17 was convened in Vancouver, British Columbia, Canada, </w:t>
      </w:r>
      <w:r w:rsidRPr="008B10C8">
        <w:rPr>
          <w:rFonts w:ascii="Times New Roman" w:hAnsi="Times New Roman"/>
          <w:lang w:eastAsia="ko-KR"/>
        </w:rPr>
        <w:t xml:space="preserve">from </w:t>
      </w:r>
      <w:r w:rsidRPr="008B10C8">
        <w:rPr>
          <w:rFonts w:ascii="Times New Roman" w:hAnsi="Times New Roman"/>
        </w:rPr>
        <w:t xml:space="preserve">12 </w:t>
      </w:r>
      <w:r w:rsidRPr="008B10C8">
        <w:rPr>
          <w:rFonts w:ascii="Times New Roman" w:hAnsi="Times New Roman"/>
          <w:lang w:eastAsia="ko-KR"/>
        </w:rPr>
        <w:t xml:space="preserve">to 17 </w:t>
      </w:r>
      <w:r w:rsidRPr="008B10C8">
        <w:rPr>
          <w:rFonts w:ascii="Times New Roman" w:hAnsi="Times New Roman"/>
        </w:rPr>
        <w:t>July 2017 by the ISC Chairman, G. DiNardo. In 20</w:t>
      </w:r>
      <w:r w:rsidRPr="008B10C8">
        <w:rPr>
          <w:rFonts w:ascii="Times New Roman" w:hAnsi="Times New Roman"/>
          <w:lang w:eastAsia="ko-KR"/>
        </w:rPr>
        <w:t>17</w:t>
      </w:r>
      <w:r w:rsidRPr="008B10C8">
        <w:rPr>
          <w:rFonts w:ascii="Times New Roman" w:hAnsi="Times New Roman"/>
        </w:rPr>
        <w:t xml:space="preserve">, the ISC </w:t>
      </w:r>
      <w:r w:rsidRPr="008B10C8">
        <w:rPr>
          <w:rFonts w:ascii="Times New Roman" w:hAnsi="Times New Roman"/>
          <w:lang w:eastAsia="ko-KR"/>
        </w:rPr>
        <w:t xml:space="preserve">Albacore WG and Shark WG </w:t>
      </w:r>
      <w:r w:rsidRPr="008B10C8">
        <w:rPr>
          <w:rFonts w:ascii="Times New Roman" w:hAnsi="Times New Roman"/>
        </w:rPr>
        <w:t xml:space="preserve">conducted stock assessments for </w:t>
      </w:r>
      <w:r w:rsidRPr="008B10C8">
        <w:rPr>
          <w:rFonts w:ascii="Times New Roman" w:hAnsi="Times New Roman"/>
          <w:lang w:eastAsia="ko-KR"/>
        </w:rPr>
        <w:t xml:space="preserve">North Pacific albacore tuna and North Pacific blue shark, which were reviewed at </w:t>
      </w:r>
      <w:r w:rsidRPr="008B10C8">
        <w:rPr>
          <w:rFonts w:ascii="Times New Roman" w:hAnsi="Times New Roman"/>
        </w:rPr>
        <w:t xml:space="preserve">the ISC Plenary meeting. </w:t>
      </w:r>
      <w:r w:rsidRPr="008B10C8">
        <w:rPr>
          <w:rFonts w:ascii="Times New Roman" w:hAnsi="Times New Roman"/>
          <w:lang w:eastAsia="ko-KR"/>
        </w:rPr>
        <w:t>There were no assessments for NP swordfish, NP striped marlin, Pacific blue marlin, Pacific bluefin tuna and shortfin mako shark</w:t>
      </w:r>
      <w:r w:rsidR="00752DED">
        <w:rPr>
          <w:rFonts w:ascii="Times New Roman" w:hAnsi="Times New Roman" w:hint="eastAsia"/>
          <w:lang w:eastAsia="ko-KR"/>
        </w:rPr>
        <w:t xml:space="preserve"> in 2017</w:t>
      </w:r>
      <w:r w:rsidRPr="008B10C8">
        <w:rPr>
          <w:rFonts w:ascii="Times New Roman" w:hAnsi="Times New Roman"/>
          <w:lang w:eastAsia="ko-KR"/>
        </w:rPr>
        <w:t xml:space="preserve">. </w:t>
      </w:r>
      <w:r w:rsidRPr="008B10C8">
        <w:rPr>
          <w:rFonts w:ascii="Times New Roman" w:hAnsi="Times New Roman"/>
        </w:rPr>
        <w:t>The ISC1</w:t>
      </w:r>
      <w:r w:rsidRPr="008B10C8">
        <w:rPr>
          <w:rFonts w:ascii="Times New Roman" w:hAnsi="Times New Roman"/>
          <w:lang w:eastAsia="ko-KR"/>
        </w:rPr>
        <w:t>7</w:t>
      </w:r>
      <w:r w:rsidRPr="008B10C8">
        <w:rPr>
          <w:rFonts w:ascii="Times New Roman" w:hAnsi="Times New Roman"/>
        </w:rPr>
        <w:t xml:space="preserve"> stock assessment information and conservation advice for </w:t>
      </w:r>
      <w:r w:rsidRPr="008B10C8">
        <w:rPr>
          <w:rFonts w:ascii="Times New Roman" w:hAnsi="Times New Roman"/>
          <w:lang w:eastAsia="ko-KR"/>
        </w:rPr>
        <w:t>North Pacific albacore tuna and North Pacific blue shark</w:t>
      </w:r>
      <w:r w:rsidRPr="008B10C8" w:rsidDel="00030DE5">
        <w:rPr>
          <w:rFonts w:ascii="Times New Roman" w:hAnsi="Times New Roman"/>
        </w:rPr>
        <w:t xml:space="preserve"> </w:t>
      </w:r>
      <w:r w:rsidRPr="008B10C8">
        <w:rPr>
          <w:rFonts w:ascii="Times New Roman" w:hAnsi="Times New Roman"/>
          <w:lang w:eastAsia="ko-KR"/>
        </w:rPr>
        <w:t>are</w:t>
      </w:r>
      <w:r w:rsidRPr="008B10C8">
        <w:rPr>
          <w:rFonts w:ascii="Times New Roman" w:hAnsi="Times New Roman"/>
        </w:rPr>
        <w:t xml:space="preserve"> presented at SC1</w:t>
      </w:r>
      <w:r w:rsidRPr="008B10C8">
        <w:rPr>
          <w:rFonts w:ascii="Times New Roman" w:hAnsi="Times New Roman"/>
          <w:lang w:eastAsia="ko-KR"/>
        </w:rPr>
        <w:t>3</w:t>
      </w:r>
      <w:r w:rsidRPr="008B10C8">
        <w:rPr>
          <w:rFonts w:ascii="Times New Roman" w:hAnsi="Times New Roman"/>
        </w:rPr>
        <w:t xml:space="preserve"> for consideration by the WCPFC.</w:t>
      </w:r>
    </w:p>
    <w:p w14:paraId="72BA1EBD" w14:textId="77777777" w:rsidR="00586577" w:rsidRPr="009C2ADD" w:rsidRDefault="00586577" w:rsidP="009C2ADD">
      <w:pPr>
        <w:autoSpaceDE w:val="0"/>
        <w:autoSpaceDN w:val="0"/>
        <w:adjustRightInd w:val="0"/>
        <w:snapToGrid w:val="0"/>
        <w:spacing w:after="0"/>
        <w:rPr>
          <w:rFonts w:ascii="Times New Roman" w:eastAsia="Calibri" w:hAnsi="Times New Roman"/>
          <w:lang w:val="en-AU"/>
        </w:rPr>
      </w:pPr>
      <w:bookmarkStart w:id="109" w:name="_Hlk490654878"/>
    </w:p>
    <w:p w14:paraId="48821DDB" w14:textId="3B8CD53F" w:rsidR="002C205C" w:rsidRPr="009C2ADD" w:rsidRDefault="004F2F5A"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4.2.1 </w:t>
      </w:r>
      <w:r w:rsidR="00F36432" w:rsidRPr="009C2ADD">
        <w:rPr>
          <w:rFonts w:ascii="Times New Roman" w:eastAsia="바탕" w:hAnsi="Times New Roman" w:cs="Times New Roman"/>
          <w:lang w:eastAsia="ko-KR"/>
        </w:rPr>
        <w:tab/>
      </w:r>
      <w:r w:rsidR="002C205C" w:rsidRPr="009C2ADD">
        <w:rPr>
          <w:rFonts w:ascii="Times New Roman" w:eastAsia="바탕" w:hAnsi="Times New Roman" w:cs="Times New Roman"/>
          <w:lang w:eastAsia="ko-KR"/>
        </w:rPr>
        <w:t>North Pacific albacore (</w:t>
      </w:r>
      <w:r w:rsidR="002C205C" w:rsidRPr="009C2ADD">
        <w:rPr>
          <w:rFonts w:ascii="Times New Roman" w:eastAsia="바탕" w:hAnsi="Times New Roman" w:cs="Times New Roman"/>
          <w:i/>
          <w:lang w:eastAsia="ko-KR"/>
        </w:rPr>
        <w:t>Thunnus alalunga</w:t>
      </w:r>
      <w:r w:rsidR="002C205C" w:rsidRPr="009C2ADD">
        <w:rPr>
          <w:rFonts w:ascii="Times New Roman" w:eastAsia="바탕" w:hAnsi="Times New Roman" w:cs="Times New Roman"/>
          <w:lang w:eastAsia="ko-KR"/>
        </w:rPr>
        <w:t xml:space="preserve">) </w:t>
      </w:r>
    </w:p>
    <w:p w14:paraId="42C048B5" w14:textId="77777777" w:rsidR="00DC5F3B" w:rsidRPr="009C2ADD" w:rsidRDefault="00DC5F3B" w:rsidP="009C2ADD">
      <w:pPr>
        <w:pStyle w:val="ListParagraph"/>
        <w:adjustRightInd w:val="0"/>
        <w:snapToGrid w:val="0"/>
        <w:ind w:left="1287"/>
        <w:contextualSpacing w:val="0"/>
        <w:rPr>
          <w:rFonts w:ascii="Times New Roman" w:eastAsia="바탕" w:hAnsi="Times New Roman"/>
          <w:b/>
          <w:lang w:eastAsia="ko-KR"/>
        </w:rPr>
      </w:pPr>
    </w:p>
    <w:p w14:paraId="65B212AE" w14:textId="181C4457" w:rsidR="002C205C" w:rsidRPr="009C2ADD" w:rsidRDefault="00851B91"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4.2.1.1 </w:t>
      </w:r>
      <w:r w:rsidRPr="009C2ADD">
        <w:rPr>
          <w:rFonts w:ascii="Times New Roman" w:eastAsia="바탕" w:hAnsi="Times New Roman"/>
          <w:b/>
          <w:lang w:eastAsia="ko-KR"/>
        </w:rPr>
        <w:tab/>
      </w:r>
      <w:r w:rsidR="002C205C" w:rsidRPr="009C2ADD">
        <w:rPr>
          <w:rFonts w:ascii="Times New Roman" w:eastAsia="바탕" w:hAnsi="Times New Roman"/>
          <w:b/>
          <w:lang w:eastAsia="ko-KR"/>
        </w:rPr>
        <w:t>Review of research and information</w:t>
      </w:r>
    </w:p>
    <w:p w14:paraId="7B838FA0" w14:textId="77777777" w:rsidR="00DC5F3B" w:rsidRPr="009C2ADD" w:rsidRDefault="00DC5F3B" w:rsidP="009C2ADD">
      <w:pPr>
        <w:pStyle w:val="ListParagraph"/>
        <w:adjustRightInd w:val="0"/>
        <w:snapToGrid w:val="0"/>
        <w:ind w:left="1287"/>
        <w:contextualSpacing w:val="0"/>
        <w:rPr>
          <w:rFonts w:ascii="Times New Roman" w:eastAsia="바탕" w:hAnsi="Times New Roman"/>
          <w:lang w:eastAsia="ko-KR"/>
        </w:rPr>
      </w:pPr>
    </w:p>
    <w:p w14:paraId="0129D4FB" w14:textId="22114192" w:rsidR="002C205C" w:rsidRPr="009C2ADD" w:rsidRDefault="002C205C" w:rsidP="009C2ADD">
      <w:pPr>
        <w:pStyle w:val="ListParagraph"/>
        <w:numPr>
          <w:ilvl w:val="0"/>
          <w:numId w:val="25"/>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 xml:space="preserve">Review of 2017 North Pacific albacore stock assessment </w:t>
      </w:r>
    </w:p>
    <w:p w14:paraId="3CDC4B5E" w14:textId="77777777" w:rsidR="00DC5F3B" w:rsidRPr="009C2ADD" w:rsidRDefault="00DC5F3B" w:rsidP="009C2ADD">
      <w:pPr>
        <w:autoSpaceDE w:val="0"/>
        <w:autoSpaceDN w:val="0"/>
        <w:adjustRightInd w:val="0"/>
        <w:snapToGrid w:val="0"/>
        <w:spacing w:after="0"/>
        <w:rPr>
          <w:rFonts w:ascii="Times New Roman" w:hAnsi="Times New Roman"/>
          <w:lang w:val="en-AU"/>
        </w:rPr>
      </w:pPr>
    </w:p>
    <w:p w14:paraId="6A44391A" w14:textId="4279DEC3"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B801AF">
        <w:rPr>
          <w:rFonts w:ascii="Times New Roman" w:hAnsi="Times New Roman" w:hint="eastAsia"/>
          <w:lang w:val="en-AU" w:eastAsia="ko-KR"/>
        </w:rPr>
        <w:t>.</w:t>
      </w:r>
      <w:r w:rsidRPr="009C2ADD">
        <w:rPr>
          <w:rFonts w:ascii="Times New Roman" w:hAnsi="Times New Roman"/>
          <w:lang w:val="en-AU"/>
        </w:rPr>
        <w:t xml:space="preserve"> Teo (USA) presented </w:t>
      </w:r>
      <w:r w:rsidRPr="0070772D">
        <w:rPr>
          <w:rFonts w:ascii="Times New Roman" w:hAnsi="Times New Roman"/>
          <w:bCs/>
          <w:lang w:val="en-AU"/>
        </w:rPr>
        <w:t xml:space="preserve">SC13-SA-WP-09 </w:t>
      </w:r>
      <w:r w:rsidR="00C14319">
        <w:rPr>
          <w:rFonts w:ascii="Times New Roman" w:hAnsi="Times New Roman" w:hint="eastAsia"/>
          <w:bCs/>
          <w:lang w:val="en-AU" w:eastAsia="ko-KR"/>
        </w:rPr>
        <w:t>(</w:t>
      </w:r>
      <w:r w:rsidRPr="0070772D">
        <w:rPr>
          <w:rFonts w:ascii="Times New Roman" w:hAnsi="Times New Roman"/>
          <w:bCs/>
          <w:lang w:val="en-AU"/>
        </w:rPr>
        <w:t>Rev 1</w:t>
      </w:r>
      <w:r w:rsidR="00C14319">
        <w:rPr>
          <w:rFonts w:ascii="Times New Roman" w:hAnsi="Times New Roman" w:hint="eastAsia"/>
          <w:bCs/>
          <w:lang w:val="en-AU" w:eastAsia="ko-KR"/>
        </w:rPr>
        <w:t>)</w:t>
      </w:r>
      <w:r w:rsidRPr="009C2ADD">
        <w:rPr>
          <w:rFonts w:ascii="Times New Roman" w:hAnsi="Times New Roman"/>
          <w:lang w:val="en-AU"/>
        </w:rPr>
        <w:t xml:space="preserve"> </w:t>
      </w:r>
      <w:r w:rsidRPr="009C2ADD">
        <w:rPr>
          <w:rFonts w:ascii="Times New Roman" w:hAnsi="Times New Roman"/>
          <w:i/>
          <w:lang w:val="en-AU"/>
        </w:rPr>
        <w:t>Stock Assessment of Albacore in the North Pacific Ocean in 2017</w:t>
      </w:r>
      <w:r w:rsidRPr="009C2ADD">
        <w:rPr>
          <w:rFonts w:ascii="Times New Roman" w:hAnsi="Times New Roman"/>
          <w:lang w:val="en-AU"/>
        </w:rPr>
        <w:t xml:space="preserve">, on behalf of the Albacore Working Group.  </w:t>
      </w:r>
    </w:p>
    <w:p w14:paraId="58EBC4FA" w14:textId="77777777" w:rsidR="00586577" w:rsidRPr="009C2ADD" w:rsidRDefault="00586577" w:rsidP="009C2ADD">
      <w:pPr>
        <w:autoSpaceDE w:val="0"/>
        <w:autoSpaceDN w:val="0"/>
        <w:adjustRightInd w:val="0"/>
        <w:snapToGrid w:val="0"/>
        <w:spacing w:after="0"/>
        <w:rPr>
          <w:rFonts w:ascii="Times New Roman" w:hAnsi="Times New Roman"/>
          <w:lang w:val="en-AU"/>
        </w:rPr>
      </w:pPr>
    </w:p>
    <w:p w14:paraId="564F8B96" w14:textId="7777777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noted that the value used for natural mortality (M) </w:t>
      </w:r>
      <w:r w:rsidR="009C216F" w:rsidRPr="009C2ADD">
        <w:rPr>
          <w:rFonts w:ascii="Times New Roman" w:hAnsi="Times New Roman"/>
          <w:lang w:val="en-AU"/>
        </w:rPr>
        <w:t xml:space="preserve">as </w:t>
      </w:r>
      <w:r w:rsidRPr="009C2ADD">
        <w:rPr>
          <w:rFonts w:ascii="Times New Roman" w:hAnsi="Times New Roman"/>
          <w:lang w:val="en-AU"/>
        </w:rPr>
        <w:t xml:space="preserve">used in the previous assessment (0.3) had changed (to 0.4) based on new research cited in the assessment report. Australia welcomed this new research, but noted that the most recent assessment for South Pacific Albacore had instead changed M from 0.4 to 0.3 to be consistent with albacore assessments undertaken elsewhere. Noting that this latter change had resulted in a substantial change in the assessed stock status of south Pacific Albacore, it was suggested that application of a natural mortality of 0.4 would likely generate another substantial change in the stock assessment results.  They suggested that the next SPALB stock assessment should investigate the need to change back to a value of M=0.4. </w:t>
      </w:r>
    </w:p>
    <w:p w14:paraId="11C4D192"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44AADDF9" w14:textId="21109BF2"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w:t>
      </w:r>
      <w:r w:rsidR="009C216F" w:rsidRPr="009C2ADD">
        <w:rPr>
          <w:rFonts w:ascii="Times New Roman" w:hAnsi="Times New Roman"/>
          <w:lang w:val="en-AU"/>
        </w:rPr>
        <w:t xml:space="preserve">also </w:t>
      </w:r>
      <w:r w:rsidRPr="009C2ADD">
        <w:rPr>
          <w:rFonts w:ascii="Times New Roman" w:hAnsi="Times New Roman"/>
          <w:lang w:val="en-AU"/>
        </w:rPr>
        <w:t xml:space="preserve">queried the impact of using dome-shaped selectivities which appeared to indicate, for example, selection of only one age class of fish for the Japanese longline fleets, which seems implausible.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 xml:space="preserve">Teo responded that although they appeared to be dome-shaped, the flat top part for the same fleets extended beyond </w:t>
      </w:r>
      <w:r w:rsidR="00D85176">
        <w:rPr>
          <w:rFonts w:ascii="Times New Roman" w:hAnsi="Times New Roman"/>
          <w:lang w:val="en-AU"/>
        </w:rPr>
        <w:t>L_infinity</w:t>
      </w:r>
      <w:r w:rsidRPr="009C2ADD">
        <w:rPr>
          <w:rFonts w:ascii="Times New Roman" w:hAnsi="Times New Roman"/>
          <w:lang w:val="en-AU"/>
        </w:rPr>
        <w:t xml:space="preserve">. For example, the dome-shaped selectivity for the US longline </w:t>
      </w:r>
      <w:r w:rsidR="00F02151">
        <w:rPr>
          <w:rFonts w:ascii="Times New Roman" w:hAnsi="Times New Roman" w:hint="eastAsia"/>
          <w:lang w:val="en-AU" w:eastAsia="ko-KR"/>
        </w:rPr>
        <w:t>was</w:t>
      </w:r>
      <w:r w:rsidR="00F02151" w:rsidRPr="009C2ADD">
        <w:rPr>
          <w:rFonts w:ascii="Times New Roman" w:hAnsi="Times New Roman"/>
          <w:lang w:val="en-AU"/>
        </w:rPr>
        <w:t xml:space="preserve"> </w:t>
      </w:r>
      <w:r w:rsidRPr="009C2ADD">
        <w:rPr>
          <w:rFonts w:ascii="Times New Roman" w:hAnsi="Times New Roman"/>
          <w:lang w:val="en-AU"/>
        </w:rPr>
        <w:t>actually acting as asymptotic selectivities. A sensitivity run using a</w:t>
      </w:r>
      <w:r w:rsidR="00234E4E">
        <w:rPr>
          <w:rFonts w:ascii="Times New Roman" w:hAnsi="Times New Roman" w:hint="eastAsia"/>
          <w:lang w:val="en-AU" w:eastAsia="ko-KR"/>
        </w:rPr>
        <w:t>n</w:t>
      </w:r>
      <w:r w:rsidRPr="009C2ADD">
        <w:rPr>
          <w:rFonts w:ascii="Times New Roman" w:hAnsi="Times New Roman"/>
          <w:lang w:val="en-AU"/>
        </w:rPr>
        <w:t xml:space="preserve"> asymptotic selectivity for the US longline showed negligible differences.</w:t>
      </w:r>
    </w:p>
    <w:p w14:paraId="481906A9"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6A12632F" w14:textId="1EBA73FC"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suggested that shifting the start date for the assessment from 1966 to 1993 created a problem with an accurate estimation of the initial population size, particularly given the potential impact from the large gillnet fishery which had operated for more than a decade up until that time.  Although the assessment assumed a depletion of around 50% in 1993 they noted that the CPUE index (increasing) conflicts with biomass trends estimated by the model (decreasing) up until the early 2000s and queried whether the former might suggest a recovering trend in the biomass from a more heavily depleted state before the mid-1990s.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 xml:space="preserve">Teo replied that the ISC NPALBWG found a conflict between CPUE index and size composition data in that period, and applied down-weighting to size composition until the fit to the size composition data degraded to an unacceptable level. </w:t>
      </w:r>
    </w:p>
    <w:p w14:paraId="337C0A09"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5E73F816" w14:textId="72004A9C"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SPC noted that, given the long history of the catch time series, and the high variability in the catch during this time, use of the catch data prior to 1993 as the variation in the catch might be highly informative about stock size.  </w:t>
      </w:r>
      <w:r w:rsidR="00CB2CD3">
        <w:rPr>
          <w:rFonts w:ascii="Times New Roman" w:hAnsi="Times New Roman" w:hint="eastAsia"/>
          <w:lang w:val="en-AU" w:eastAsia="ko-KR"/>
        </w:rPr>
        <w:t>S.</w:t>
      </w:r>
      <w:r w:rsidR="00CB2CD3" w:rsidRPr="009C2ADD">
        <w:rPr>
          <w:rFonts w:ascii="Times New Roman" w:hAnsi="Times New Roman"/>
          <w:lang w:val="en-AU"/>
        </w:rPr>
        <w:t xml:space="preserve"> </w:t>
      </w:r>
      <w:r w:rsidRPr="009C2ADD">
        <w:rPr>
          <w:rFonts w:ascii="Times New Roman" w:hAnsi="Times New Roman"/>
          <w:lang w:val="en-AU"/>
        </w:rPr>
        <w:t xml:space="preserve">Teo responded that the Japanese </w:t>
      </w:r>
      <w:r w:rsidR="009C216F" w:rsidRPr="009C2ADD">
        <w:rPr>
          <w:rFonts w:ascii="Times New Roman" w:hAnsi="Times New Roman"/>
          <w:lang w:val="en-AU"/>
        </w:rPr>
        <w:t xml:space="preserve">longline </w:t>
      </w:r>
      <w:r w:rsidRPr="009C2ADD">
        <w:rPr>
          <w:rFonts w:ascii="Times New Roman" w:hAnsi="Times New Roman"/>
          <w:lang w:val="en-AU"/>
        </w:rPr>
        <w:t>fishery data from 1970-1992 was removed to eliminate the influence of poorly fit size composition data, noting that they were not confident that the samples represented the entire catch area, and that further work was planned to attempt to extend the time series.</w:t>
      </w:r>
    </w:p>
    <w:p w14:paraId="00A87AD1"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2201410E" w14:textId="487F2B3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for further information on why the sensitivities undertaken for different values of the stock-recruitment steepness parameter showed no change to the base case model, as this result was quite different to that seen for other tuna assessments.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 xml:space="preserve">Teo noted they were also surprised with this result; further consideration showed that the stock was in a less depleted state, and recruitment had not reached a point where it started to decline. </w:t>
      </w:r>
    </w:p>
    <w:p w14:paraId="6E93C334"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2529807E" w14:textId="51A9C3C8"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queried the impact of the exclusion of juvenile fish indices and asked how recruitment was estim</w:t>
      </w:r>
      <w:r w:rsidR="00683848" w:rsidRPr="009C2ADD">
        <w:rPr>
          <w:rFonts w:ascii="Times New Roman" w:hAnsi="Times New Roman"/>
          <w:lang w:val="en-AU"/>
        </w:rPr>
        <w:t xml:space="preserve">ated.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00683848" w:rsidRPr="009C2ADD">
        <w:rPr>
          <w:rFonts w:ascii="Times New Roman" w:hAnsi="Times New Roman"/>
          <w:lang w:val="en-AU"/>
        </w:rPr>
        <w:t>Teo responded</w:t>
      </w:r>
      <w:r w:rsidRPr="009C2ADD">
        <w:rPr>
          <w:rFonts w:ascii="Times New Roman" w:hAnsi="Times New Roman"/>
          <w:lang w:val="en-AU"/>
        </w:rPr>
        <w:t xml:space="preserve"> that recruitment estimates were based on relative changes in size drawn from multiple observations over many years.</w:t>
      </w:r>
    </w:p>
    <w:p w14:paraId="691AF9BF"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44332369" w14:textId="78C8B196"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Palau stated that FFA members strongly supported the adoption of a limit reference point at 20% of unfished spawning biomass as adopted by the Northern Committee for North Pacific albacore, consistent with other key tuna stocks of the Commission. They thanked the ISC for the positive development in the use of FSPR reference points rather than F</w:t>
      </w:r>
      <w:r w:rsidR="00300F08" w:rsidRPr="00104C78">
        <w:rPr>
          <w:rFonts w:ascii="Times New Roman" w:hAnsi="Times New Roman"/>
          <w:vertAlign w:val="subscript"/>
          <w:lang w:val="en-AU"/>
        </w:rPr>
        <w:t>MSY</w:t>
      </w:r>
      <w:r w:rsidRPr="009C2ADD">
        <w:rPr>
          <w:rFonts w:ascii="Times New Roman" w:hAnsi="Times New Roman"/>
          <w:lang w:val="en-AU"/>
        </w:rPr>
        <w:t xml:space="preserve">, but noted that there was further debate needed as to where that FSPR limit reference point should be set. </w:t>
      </w:r>
    </w:p>
    <w:p w14:paraId="5A947C6B"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78E2517A" w14:textId="7777777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Cook Islands, on behalf of FFA members, noted the very informative and useful information on catch trends that illustrated the impact of fishing over a long time.  The data showed that current catches of NP albacore were at the same level as they were in early days of the Commission when this stock was declared overfished and overfishing was occurring.  However, they expressed concern that in Figure 2.1 and Figure 2.2 of the report, non-ISC members, including Tonga, Vanuatu and Cook Islands flag vessels were included under the “Others” category, along with “other longline vessels flying flags of convenience”.  They requested that the paper be amended and re-issued to remove the imputation that these flag vessels were involved in IUU fishing.</w:t>
      </w:r>
    </w:p>
    <w:p w14:paraId="02FCCF25"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1D5CA976" w14:textId="4651B0D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FSM stated that FFA </w:t>
      </w:r>
      <w:r w:rsidR="00D5432C">
        <w:rPr>
          <w:rFonts w:ascii="Times New Roman" w:hAnsi="Times New Roman"/>
          <w:lang w:val="en-AU"/>
        </w:rPr>
        <w:t>member</w:t>
      </w:r>
      <w:r w:rsidRPr="009C2ADD">
        <w:rPr>
          <w:rFonts w:ascii="Times New Roman" w:hAnsi="Times New Roman"/>
          <w:lang w:val="en-AU"/>
        </w:rPr>
        <w:t xml:space="preserve">s felt that further exploratory work was required to strengthen justification of the choices made about removal of data from earlier in the time series (1966-1992), natural mortality estimates, and the new procedure to standardise the Japanese longline data. An improved understanding </w:t>
      </w:r>
      <w:r w:rsidR="00234E4E">
        <w:rPr>
          <w:rFonts w:ascii="Times New Roman" w:hAnsi="Times New Roman" w:hint="eastAsia"/>
          <w:lang w:val="en-AU" w:eastAsia="ko-KR"/>
        </w:rPr>
        <w:t xml:space="preserve">of </w:t>
      </w:r>
      <w:r w:rsidRPr="009C2ADD">
        <w:rPr>
          <w:rFonts w:ascii="Times New Roman" w:hAnsi="Times New Roman"/>
          <w:lang w:val="en-AU"/>
        </w:rPr>
        <w:t xml:space="preserve">the relative impact of these changes on the result would increase confidence in the assessment, and the stock status and conservation advice provided in the paper. </w:t>
      </w:r>
    </w:p>
    <w:p w14:paraId="11A15537"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06DDDC54" w14:textId="46FA10C8"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suggestion from Australia to apply a similar model-ensemble approach to represent uncertainties in the assessment as used in bigeye tuna assessment to the NPALBC assessment, </w:t>
      </w:r>
      <w:r w:rsidR="00662585">
        <w:rPr>
          <w:rFonts w:ascii="Times New Roman" w:hAnsi="Times New Roman" w:hint="eastAsia"/>
          <w:lang w:val="en-AU" w:eastAsia="ko-KR"/>
        </w:rPr>
        <w:t>S.</w:t>
      </w:r>
      <w:r w:rsidR="00662585" w:rsidRPr="009C2ADD">
        <w:rPr>
          <w:rFonts w:ascii="Times New Roman" w:hAnsi="Times New Roman"/>
          <w:lang w:val="en-AU"/>
        </w:rPr>
        <w:t xml:space="preserve"> </w:t>
      </w:r>
      <w:r w:rsidRPr="009C2ADD">
        <w:rPr>
          <w:rFonts w:ascii="Times New Roman" w:hAnsi="Times New Roman"/>
          <w:lang w:val="en-AU"/>
        </w:rPr>
        <w:t xml:space="preserve">Teo replied that this should wait until the base model </w:t>
      </w:r>
      <w:bookmarkEnd w:id="109"/>
      <w:r w:rsidRPr="009C2ADD">
        <w:rPr>
          <w:rFonts w:ascii="Times New Roman" w:hAnsi="Times New Roman"/>
          <w:lang w:val="en-AU"/>
        </w:rPr>
        <w:t>was substantially improved and an appropriate model-based weighting scheme developed.</w:t>
      </w:r>
    </w:p>
    <w:p w14:paraId="085A286F" w14:textId="77777777" w:rsidR="00683848" w:rsidRPr="009C2ADD" w:rsidRDefault="00683848" w:rsidP="009C2ADD">
      <w:pPr>
        <w:pStyle w:val="ListParagraph"/>
        <w:shd w:val="clear" w:color="auto" w:fill="FFFFFF"/>
        <w:adjustRightInd w:val="0"/>
        <w:snapToGrid w:val="0"/>
        <w:contextualSpacing w:val="0"/>
        <w:rPr>
          <w:rFonts w:ascii="Times New Roman" w:eastAsia="Times New Roman" w:hAnsi="Times New Roman"/>
        </w:rPr>
      </w:pPr>
    </w:p>
    <w:p w14:paraId="05CDDA5B" w14:textId="1C44EBA3" w:rsidR="002C205C" w:rsidRPr="009C2ADD" w:rsidRDefault="002C205C" w:rsidP="009C2ADD">
      <w:pPr>
        <w:pStyle w:val="ListParagraph"/>
        <w:numPr>
          <w:ilvl w:val="0"/>
          <w:numId w:val="25"/>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Provision of scientific information</w:t>
      </w:r>
    </w:p>
    <w:p w14:paraId="25500BB3" w14:textId="77777777" w:rsidR="00851B91" w:rsidRPr="009C2ADD" w:rsidRDefault="00851B91" w:rsidP="009C2ADD">
      <w:pPr>
        <w:pStyle w:val="ListParagraph"/>
        <w:adjustRightInd w:val="0"/>
        <w:snapToGrid w:val="0"/>
        <w:ind w:firstLine="0"/>
        <w:contextualSpacing w:val="0"/>
        <w:rPr>
          <w:rFonts w:ascii="Times New Roman" w:eastAsia="바탕" w:hAnsi="Times New Roman"/>
          <w:b/>
          <w:lang w:eastAsia="ko-KR"/>
        </w:rPr>
      </w:pPr>
    </w:p>
    <w:p w14:paraId="453E9918" w14:textId="7777777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ISC presented working paper </w:t>
      </w:r>
      <w:r w:rsidRPr="0070772D">
        <w:rPr>
          <w:rFonts w:ascii="Times New Roman" w:hAnsi="Times New Roman"/>
          <w:bCs/>
          <w:lang w:val="en-AU"/>
        </w:rPr>
        <w:t>SC13-SA-WP-09</w:t>
      </w:r>
      <w:r w:rsidRPr="009C2ADD">
        <w:rPr>
          <w:rFonts w:ascii="Times New Roman" w:hAnsi="Times New Roman"/>
          <w:lang w:val="en-AU"/>
        </w:rPr>
        <w:t xml:space="preserve"> </w:t>
      </w:r>
      <w:r w:rsidRPr="009C2ADD">
        <w:rPr>
          <w:rFonts w:ascii="Times New Roman" w:hAnsi="Times New Roman"/>
          <w:i/>
          <w:lang w:val="en-AU"/>
        </w:rPr>
        <w:t>Stock assessment of albacore tuna in the North Pacific Ocean in 2017</w:t>
      </w:r>
      <w:r w:rsidRPr="009C2ADD">
        <w:rPr>
          <w:rFonts w:ascii="Times New Roman" w:hAnsi="Times New Roman"/>
          <w:lang w:val="en-AU"/>
        </w:rPr>
        <w:t>.</w:t>
      </w:r>
    </w:p>
    <w:p w14:paraId="0D8404DD" w14:textId="77777777" w:rsidR="00683848" w:rsidRPr="009C2ADD" w:rsidRDefault="00683848" w:rsidP="009C2ADD">
      <w:pPr>
        <w:adjustRightInd w:val="0"/>
        <w:snapToGrid w:val="0"/>
        <w:spacing w:after="0"/>
        <w:rPr>
          <w:rFonts w:ascii="Times New Roman" w:eastAsia="바탕" w:hAnsi="Times New Roman"/>
          <w:b/>
          <w:lang w:eastAsia="ko-KR"/>
        </w:rPr>
      </w:pPr>
    </w:p>
    <w:p w14:paraId="1CBB4F47" w14:textId="60B2EB89" w:rsidR="002C205C" w:rsidRPr="009C2ADD" w:rsidRDefault="002C205C" w:rsidP="00766C07">
      <w:pPr>
        <w:pStyle w:val="ListParagraph"/>
        <w:numPr>
          <w:ilvl w:val="0"/>
          <w:numId w:val="190"/>
        </w:numPr>
        <w:adjustRightInd w:val="0"/>
        <w:snapToGrid w:val="0"/>
        <w:ind w:hanging="720"/>
        <w:contextualSpacing w:val="0"/>
        <w:rPr>
          <w:rFonts w:ascii="Times New Roman" w:eastAsia="바탕" w:hAnsi="Times New Roman"/>
          <w:b/>
          <w:lang w:eastAsia="ko-KR"/>
        </w:rPr>
      </w:pPr>
      <w:r w:rsidRPr="009C2ADD">
        <w:rPr>
          <w:rFonts w:ascii="Times New Roman" w:eastAsia="바탕" w:hAnsi="Times New Roman"/>
          <w:b/>
          <w:lang w:eastAsia="ko-KR"/>
        </w:rPr>
        <w:t>S</w:t>
      </w:r>
      <w:r w:rsidR="00766C07">
        <w:rPr>
          <w:rFonts w:ascii="Times New Roman" w:eastAsia="바탕" w:hAnsi="Times New Roman" w:hint="eastAsia"/>
          <w:b/>
          <w:lang w:eastAsia="ko-KR"/>
        </w:rPr>
        <w:t>tock s</w:t>
      </w:r>
      <w:r w:rsidRPr="009C2ADD">
        <w:rPr>
          <w:rFonts w:ascii="Times New Roman" w:eastAsia="바탕" w:hAnsi="Times New Roman"/>
          <w:b/>
          <w:lang w:eastAsia="ko-KR"/>
        </w:rPr>
        <w:t xml:space="preserve">tatus and trends </w:t>
      </w:r>
    </w:p>
    <w:p w14:paraId="58DD2B16" w14:textId="77777777" w:rsidR="00C57599" w:rsidRPr="009C2ADD" w:rsidRDefault="00C57599" w:rsidP="009C2ADD">
      <w:pPr>
        <w:adjustRightInd w:val="0"/>
        <w:snapToGrid w:val="0"/>
        <w:spacing w:after="0"/>
        <w:ind w:left="1440"/>
        <w:rPr>
          <w:rFonts w:ascii="Times New Roman" w:eastAsia="바탕" w:hAnsi="Times New Roman"/>
          <w:highlight w:val="green"/>
          <w:lang w:eastAsia="ko-KR"/>
        </w:rPr>
      </w:pPr>
    </w:p>
    <w:p w14:paraId="37CAD218" w14:textId="7777777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ISC provided the following conclusions on the stock status of North Pacific albacore.</w:t>
      </w:r>
    </w:p>
    <w:p w14:paraId="754EE4BC" w14:textId="77777777" w:rsidR="00586577" w:rsidRPr="009C2ADD" w:rsidRDefault="00586577" w:rsidP="009C2ADD">
      <w:pPr>
        <w:autoSpaceDE w:val="0"/>
        <w:autoSpaceDN w:val="0"/>
        <w:adjustRightInd w:val="0"/>
        <w:snapToGrid w:val="0"/>
        <w:spacing w:after="0"/>
        <w:rPr>
          <w:rFonts w:ascii="Times New Roman" w:hAnsi="Times New Roman"/>
          <w:b/>
          <w:lang w:val="en-AU"/>
        </w:rPr>
      </w:pPr>
    </w:p>
    <w:p w14:paraId="7AEABA28" w14:textId="2B737565"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Stock status is depicted in relation to the limit reference point (LRP; 20%SSB</w:t>
      </w:r>
      <w:r w:rsidRPr="0070772D">
        <w:rPr>
          <w:rFonts w:ascii="Times New Roman" w:hAnsi="Times New Roman"/>
          <w:vertAlign w:val="subscript"/>
          <w:lang w:val="en-AU"/>
        </w:rPr>
        <w:t>current, F=0</w:t>
      </w:r>
      <w:r w:rsidRPr="009C2ADD">
        <w:rPr>
          <w:rFonts w:ascii="Times New Roman" w:hAnsi="Times New Roman"/>
          <w:lang w:val="en-AU"/>
        </w:rPr>
        <w:t>) for the stock and the equivalent fishing intensity (F</w:t>
      </w:r>
      <w:r w:rsidRPr="00007081">
        <w:rPr>
          <w:rFonts w:ascii="Times New Roman" w:hAnsi="Times New Roman"/>
          <w:vertAlign w:val="subscript"/>
          <w:lang w:val="en-AU"/>
        </w:rPr>
        <w:t>20%</w:t>
      </w:r>
      <w:r w:rsidRPr="009C2ADD">
        <w:rPr>
          <w:rFonts w:ascii="Times New Roman" w:hAnsi="Times New Roman"/>
          <w:lang w:val="en-AU"/>
        </w:rPr>
        <w:t>; calculated as 1-SPR</w:t>
      </w:r>
      <w:r w:rsidRPr="00007081">
        <w:rPr>
          <w:rFonts w:ascii="Times New Roman" w:hAnsi="Times New Roman"/>
          <w:vertAlign w:val="subscript"/>
          <w:lang w:val="en-AU"/>
        </w:rPr>
        <w:t>20%</w:t>
      </w:r>
      <w:r w:rsidRPr="009C2ADD">
        <w:rPr>
          <w:rFonts w:ascii="Times New Roman" w:hAnsi="Times New Roman"/>
          <w:lang w:val="en-AU"/>
        </w:rPr>
        <w:t>) (Fig</w:t>
      </w:r>
      <w:r w:rsidR="003216BE">
        <w:rPr>
          <w:rFonts w:ascii="Times New Roman" w:hAnsi="Times New Roman" w:hint="eastAsia"/>
          <w:lang w:val="en-AU" w:eastAsia="ko-KR"/>
        </w:rPr>
        <w:t>ure</w:t>
      </w:r>
      <w:r w:rsidRPr="009C2ADD">
        <w:rPr>
          <w:rFonts w:ascii="Times New Roman" w:hAnsi="Times New Roman"/>
          <w:lang w:val="en-AU"/>
        </w:rPr>
        <w:t xml:space="preserv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70772D">
        <w:rPr>
          <w:rFonts w:ascii="Times New Roman" w:hAnsi="Times New Roman"/>
          <w:vertAlign w:val="subscript"/>
          <w:lang w:val="en-AU"/>
        </w:rPr>
        <w:t>0</w:t>
      </w:r>
      <w:r w:rsidRPr="009C2ADD">
        <w:rPr>
          <w:rFonts w:ascii="Times New Roman" w:hAnsi="Times New Roman"/>
          <w:lang w:val="en-AU"/>
        </w:rPr>
        <w:t xml:space="preserve"> over the long run. Fishing intensity is considered a proxy of fishing mortality.</w:t>
      </w:r>
    </w:p>
    <w:p w14:paraId="0B801910" w14:textId="77777777" w:rsidR="00586577" w:rsidRPr="009C2ADD" w:rsidRDefault="00586577" w:rsidP="009C2ADD">
      <w:pPr>
        <w:pStyle w:val="ListParagraph"/>
        <w:adjustRightInd w:val="0"/>
        <w:snapToGrid w:val="0"/>
        <w:contextualSpacing w:val="0"/>
        <w:rPr>
          <w:rFonts w:ascii="Times New Roman" w:hAnsi="Times New Roman"/>
          <w:lang w:val="en-AU"/>
        </w:rPr>
      </w:pPr>
    </w:p>
    <w:p w14:paraId="4CC1E15D" w14:textId="076B7538" w:rsidR="009927B2"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Kobe plot shows that the estimated female SSB has never fallen below the LRP since 1993, albeit with large uncertainty in the terminal year (2015) estimates. Even when alternative hypotheses about key model uncertainties such as natural mortality and growth were evaluated, the point estimate of female SSB in 2015 (SSB</w:t>
      </w:r>
      <w:r w:rsidRPr="0070772D">
        <w:rPr>
          <w:rFonts w:ascii="Times New Roman" w:hAnsi="Times New Roman"/>
          <w:vertAlign w:val="subscript"/>
          <w:lang w:val="en-AU"/>
        </w:rPr>
        <w:t>2015</w:t>
      </w:r>
      <w:r w:rsidRPr="009C2ADD">
        <w:rPr>
          <w:rFonts w:ascii="Times New Roman" w:hAnsi="Times New Roman"/>
          <w:lang w:val="en-AU"/>
        </w:rPr>
        <w:t>) did not fall below the LRP, although the risk increases with these more extreme assumptions (Figure NPALB-1). The SSB</w:t>
      </w:r>
      <w:r w:rsidRPr="0070772D">
        <w:rPr>
          <w:rFonts w:ascii="Times New Roman" w:hAnsi="Times New Roman"/>
          <w:vertAlign w:val="subscript"/>
          <w:lang w:val="en-AU"/>
        </w:rPr>
        <w:t>2015</w:t>
      </w:r>
      <w:r w:rsidRPr="009C2ADD">
        <w:rPr>
          <w:rFonts w:ascii="Times New Roman" w:hAnsi="Times New Roman"/>
          <w:lang w:val="en-AU"/>
        </w:rPr>
        <w:t xml:space="preserve"> was estimated to be 80,61</w:t>
      </w:r>
      <w:r w:rsidR="00140621">
        <w:rPr>
          <w:rFonts w:ascii="Times New Roman" w:hAnsi="Times New Roman"/>
          <w:lang w:val="en-AU"/>
        </w:rPr>
        <w:t>8 mt</w:t>
      </w:r>
      <w:r w:rsidRPr="009C2ADD">
        <w:rPr>
          <w:rFonts w:ascii="Times New Roman" w:hAnsi="Times New Roman"/>
          <w:lang w:val="en-AU"/>
        </w:rPr>
        <w:t xml:space="preserve"> and was 2.47 times greater than the LRP threshold of 32,61</w:t>
      </w:r>
      <w:r w:rsidR="00140621">
        <w:rPr>
          <w:rFonts w:ascii="Times New Roman" w:hAnsi="Times New Roman"/>
          <w:lang w:val="en-AU"/>
        </w:rPr>
        <w:t>4 mt</w:t>
      </w:r>
      <w:r w:rsidRPr="009C2ADD">
        <w:rPr>
          <w:rFonts w:ascii="Times New Roman" w:hAnsi="Times New Roman"/>
          <w:lang w:val="en-AU"/>
        </w:rPr>
        <w:t xml:space="preserve"> (Table </w:t>
      </w:r>
      <w:r w:rsidR="001C1569" w:rsidRPr="009C2ADD">
        <w:rPr>
          <w:rFonts w:ascii="Times New Roman" w:hAnsi="Times New Roman"/>
          <w:lang w:val="en-AU"/>
        </w:rPr>
        <w:t>NPALB-1</w:t>
      </w:r>
      <w:r w:rsidRPr="009C2ADD">
        <w:rPr>
          <w:rFonts w:ascii="Times New Roman" w:hAnsi="Times New Roman"/>
          <w:lang w:val="en-AU"/>
        </w:rPr>
        <w:t>). Current fishing intensity, F</w:t>
      </w:r>
      <w:r w:rsidRPr="0070772D">
        <w:rPr>
          <w:rFonts w:ascii="Times New Roman" w:hAnsi="Times New Roman"/>
          <w:vertAlign w:val="subscript"/>
          <w:lang w:val="en-AU"/>
        </w:rPr>
        <w:t>2012-2014</w:t>
      </w:r>
      <w:r w:rsidRPr="009C2ADD">
        <w:rPr>
          <w:rFonts w:ascii="Times New Roman" w:hAnsi="Times New Roman"/>
          <w:lang w:val="en-AU"/>
        </w:rPr>
        <w:t xml:space="preserve"> (calculated as 1- SPR</w:t>
      </w:r>
      <w:r w:rsidRPr="0070772D">
        <w:rPr>
          <w:rFonts w:ascii="Times New Roman" w:hAnsi="Times New Roman"/>
          <w:vertAlign w:val="subscript"/>
          <w:lang w:val="en-AU"/>
        </w:rPr>
        <w:t>2012-2014</w:t>
      </w:r>
      <w:r w:rsidRPr="009C2ADD">
        <w:rPr>
          <w:rFonts w:ascii="Times New Roman" w:hAnsi="Times New Roman"/>
          <w:lang w:val="en-AU"/>
        </w:rPr>
        <w:t>), was lower than potential F-based reference points identified for the north Pacific albacore stock, except F</w:t>
      </w:r>
      <w:r w:rsidRPr="00007081">
        <w:rPr>
          <w:rFonts w:ascii="Times New Roman" w:hAnsi="Times New Roman"/>
          <w:vertAlign w:val="subscript"/>
          <w:lang w:val="en-AU"/>
        </w:rPr>
        <w:t>50%</w:t>
      </w:r>
      <w:r w:rsidRPr="009C2ADD">
        <w:rPr>
          <w:rFonts w:ascii="Times New Roman" w:hAnsi="Times New Roman"/>
          <w:lang w:val="en-AU"/>
        </w:rPr>
        <w:t xml:space="preserve"> (calculated as 1-SPR</w:t>
      </w:r>
      <w:r w:rsidRPr="00007081">
        <w:rPr>
          <w:rFonts w:ascii="Times New Roman" w:hAnsi="Times New Roman"/>
          <w:vertAlign w:val="subscript"/>
          <w:lang w:val="en-AU"/>
        </w:rPr>
        <w:t>50%</w:t>
      </w:r>
      <w:r w:rsidRPr="009C2ADD">
        <w:rPr>
          <w:rFonts w:ascii="Times New Roman" w:hAnsi="Times New Roman"/>
          <w:lang w:val="en-AU"/>
        </w:rPr>
        <w:t xml:space="preserve">) (Table NPALB-1).  </w:t>
      </w:r>
    </w:p>
    <w:p w14:paraId="32408E7D" w14:textId="77777777" w:rsidR="009927B2" w:rsidRDefault="009927B2" w:rsidP="009927B2">
      <w:pPr>
        <w:pStyle w:val="ListParagraph"/>
        <w:rPr>
          <w:rFonts w:ascii="Times New Roman" w:hAnsi="Times New Roman"/>
          <w:lang w:val="en-AU"/>
        </w:rPr>
      </w:pPr>
    </w:p>
    <w:p w14:paraId="19F48FC3" w14:textId="44EF7AA3" w:rsidR="002C205C" w:rsidRPr="009C2ADD" w:rsidRDefault="002C205C" w:rsidP="009927B2">
      <w:pPr>
        <w:autoSpaceDE w:val="0"/>
        <w:autoSpaceDN w:val="0"/>
        <w:adjustRightInd w:val="0"/>
        <w:snapToGrid w:val="0"/>
        <w:spacing w:after="0"/>
        <w:rPr>
          <w:rFonts w:ascii="Times New Roman" w:hAnsi="Times New Roman"/>
          <w:lang w:val="en-AU"/>
        </w:rPr>
      </w:pPr>
      <w:r w:rsidRPr="009C2ADD">
        <w:rPr>
          <w:rFonts w:ascii="Times New Roman" w:hAnsi="Times New Roman"/>
          <w:lang w:val="en-AU"/>
        </w:rPr>
        <w:t>Based on these findings, the following information on the status of the north Pacific albacore stock is provided:</w:t>
      </w:r>
    </w:p>
    <w:p w14:paraId="563BEFCC" w14:textId="44ECF57B" w:rsidR="002C205C" w:rsidRPr="009C2ADD" w:rsidRDefault="002C205C" w:rsidP="009C2ADD">
      <w:pPr>
        <w:numPr>
          <w:ilvl w:val="0"/>
          <w:numId w:val="12"/>
        </w:numPr>
        <w:autoSpaceDE w:val="0"/>
        <w:autoSpaceDN w:val="0"/>
        <w:adjustRightInd w:val="0"/>
        <w:snapToGrid w:val="0"/>
        <w:spacing w:after="0"/>
        <w:ind w:left="1321" w:hanging="357"/>
        <w:rPr>
          <w:rFonts w:ascii="Times New Roman" w:hAnsi="Times New Roman"/>
          <w:lang w:val="en-AU"/>
        </w:rPr>
      </w:pPr>
      <w:r w:rsidRPr="009C2ADD">
        <w:rPr>
          <w:rFonts w:ascii="Times New Roman" w:hAnsi="Times New Roman"/>
          <w:lang w:val="en-AU"/>
        </w:rPr>
        <w:t xml:space="preserve">The stock is likely not overfished relative to the limit reference point adopted by the </w:t>
      </w:r>
      <w:r w:rsidR="0064346A">
        <w:rPr>
          <w:rFonts w:ascii="Times New Roman" w:hAnsi="Times New Roman" w:hint="eastAsia"/>
          <w:lang w:val="en-AU" w:eastAsia="ko-KR"/>
        </w:rPr>
        <w:t>WCPFC</w:t>
      </w:r>
      <w:r w:rsidRPr="009C2ADD">
        <w:rPr>
          <w:rFonts w:ascii="Times New Roman" w:hAnsi="Times New Roman"/>
          <w:lang w:val="en-AU"/>
        </w:rPr>
        <w:t xml:space="preserve"> (20%SSB</w:t>
      </w:r>
      <w:r w:rsidRPr="0070772D">
        <w:rPr>
          <w:rFonts w:ascii="Times New Roman" w:hAnsi="Times New Roman"/>
          <w:vertAlign w:val="subscript"/>
          <w:lang w:val="en-AU"/>
        </w:rPr>
        <w:t>current</w:t>
      </w:r>
      <w:r w:rsidR="00C34FC3">
        <w:rPr>
          <w:rFonts w:ascii="Times New Roman" w:hAnsi="Times New Roman"/>
          <w:vertAlign w:val="subscript"/>
          <w:lang w:val="en-AU"/>
        </w:rPr>
        <w:t>,</w:t>
      </w:r>
      <w:r w:rsidRPr="0070772D">
        <w:rPr>
          <w:rFonts w:ascii="Times New Roman" w:hAnsi="Times New Roman"/>
          <w:vertAlign w:val="subscript"/>
          <w:lang w:val="en-AU"/>
        </w:rPr>
        <w:t xml:space="preserve"> F=0</w:t>
      </w:r>
      <w:r w:rsidRPr="009C2ADD">
        <w:rPr>
          <w:rFonts w:ascii="Times New Roman" w:hAnsi="Times New Roman"/>
          <w:lang w:val="en-AU"/>
        </w:rPr>
        <w:t xml:space="preserve">), and </w:t>
      </w:r>
    </w:p>
    <w:p w14:paraId="6729E1A2" w14:textId="407C8A6F" w:rsidR="009927B2" w:rsidRPr="009927B2" w:rsidRDefault="002C205C" w:rsidP="009C2ADD">
      <w:pPr>
        <w:numPr>
          <w:ilvl w:val="0"/>
          <w:numId w:val="12"/>
        </w:numPr>
        <w:autoSpaceDE w:val="0"/>
        <w:autoSpaceDN w:val="0"/>
        <w:adjustRightInd w:val="0"/>
        <w:snapToGrid w:val="0"/>
        <w:spacing w:after="0"/>
        <w:ind w:left="1321" w:hanging="357"/>
        <w:rPr>
          <w:rFonts w:ascii="Times New Roman" w:hAnsi="Times New Roman"/>
          <w:lang w:val="en-AU"/>
        </w:rPr>
      </w:pPr>
      <w:r w:rsidRPr="009C2ADD">
        <w:rPr>
          <w:rFonts w:ascii="Times New Roman" w:hAnsi="Times New Roman"/>
          <w:lang w:val="en-AU"/>
        </w:rPr>
        <w:t>No F-based reference points have been adopted to evaluate overfishing. Stock status was evaluated against seven potential reference points. Current fishing intensity (F</w:t>
      </w:r>
      <w:r w:rsidRPr="0070772D">
        <w:rPr>
          <w:rFonts w:ascii="Times New Roman" w:hAnsi="Times New Roman"/>
          <w:vertAlign w:val="subscript"/>
          <w:lang w:val="en-AU"/>
        </w:rPr>
        <w:t>2012-2014</w:t>
      </w:r>
      <w:r w:rsidRPr="009C2ADD">
        <w:rPr>
          <w:rFonts w:ascii="Times New Roman" w:hAnsi="Times New Roman"/>
          <w:lang w:val="en-AU"/>
        </w:rPr>
        <w:t xml:space="preserve">) is below six of the seven reference points (see ratios in Table </w:t>
      </w:r>
      <w:r w:rsidR="002930A0" w:rsidRPr="009C2ADD">
        <w:rPr>
          <w:rFonts w:ascii="Times New Roman" w:hAnsi="Times New Roman"/>
          <w:lang w:val="en-AU"/>
        </w:rPr>
        <w:t>NPALB-1</w:t>
      </w:r>
      <w:r w:rsidRPr="009C2ADD">
        <w:rPr>
          <w:rFonts w:ascii="Times New Roman" w:hAnsi="Times New Roman"/>
          <w:lang w:val="en-AU"/>
        </w:rPr>
        <w:t xml:space="preserve">), except </w:t>
      </w:r>
      <w:r w:rsidR="00CB2CD3">
        <w:rPr>
          <w:rFonts w:ascii="Times New Roman" w:hAnsi="Times New Roman" w:hint="eastAsia"/>
          <w:lang w:val="en-AU" w:eastAsia="ko-KR"/>
        </w:rPr>
        <w:t xml:space="preserve">for </w:t>
      </w:r>
      <w:r w:rsidRPr="009C2ADD">
        <w:rPr>
          <w:rFonts w:ascii="Times New Roman" w:hAnsi="Times New Roman"/>
          <w:lang w:val="en-AU"/>
        </w:rPr>
        <w:t>F</w:t>
      </w:r>
      <w:r w:rsidRPr="00007081">
        <w:rPr>
          <w:rFonts w:ascii="Times New Roman" w:hAnsi="Times New Roman"/>
          <w:vertAlign w:val="subscript"/>
          <w:lang w:val="en-AU"/>
        </w:rPr>
        <w:t>50%</w:t>
      </w:r>
      <w:r w:rsidRPr="009C2ADD">
        <w:rPr>
          <w:rFonts w:ascii="Times New Roman" w:hAnsi="Times New Roman"/>
          <w:lang w:val="en-AU"/>
        </w:rPr>
        <w:t>.</w:t>
      </w:r>
    </w:p>
    <w:tbl>
      <w:tblPr>
        <w:tblW w:w="0" w:type="auto"/>
        <w:tblLook w:val="04A0" w:firstRow="1" w:lastRow="0" w:firstColumn="1" w:lastColumn="0" w:noHBand="0" w:noVBand="1"/>
      </w:tblPr>
      <w:tblGrid>
        <w:gridCol w:w="9468"/>
      </w:tblGrid>
      <w:tr w:rsidR="009927B2" w:rsidRPr="009C2ADD" w14:paraId="0B28280C" w14:textId="77777777" w:rsidTr="0079145C">
        <w:tc>
          <w:tcPr>
            <w:tcW w:w="9468" w:type="dxa"/>
            <w:shd w:val="clear" w:color="auto" w:fill="auto"/>
            <w:vAlign w:val="center"/>
          </w:tcPr>
          <w:p w14:paraId="2F77348F" w14:textId="77777777" w:rsidR="009927B2" w:rsidRPr="009C2ADD" w:rsidRDefault="009927B2" w:rsidP="0079145C">
            <w:pPr>
              <w:pStyle w:val="ListParagraph"/>
              <w:adjustRightInd w:val="0"/>
              <w:snapToGrid w:val="0"/>
              <w:ind w:left="-68"/>
              <w:contextualSpacing w:val="0"/>
              <w:jc w:val="right"/>
              <w:rPr>
                <w:rFonts w:ascii="Times New Roman" w:eastAsia="바탕" w:hAnsi="Times New Roman"/>
                <w:bCs/>
                <w:lang w:eastAsia="ko-KR" w:bidi="th-TH"/>
              </w:rPr>
            </w:pPr>
            <w:r>
              <w:rPr>
                <w:rFonts w:ascii="Times New Roman" w:eastAsia="바탕" w:hAnsi="Times New Roman"/>
                <w:bCs/>
                <w:noProof/>
                <w:lang w:val="en-US" w:eastAsia="ko-KR"/>
              </w:rPr>
              <w:drawing>
                <wp:inline distT="0" distB="0" distL="0" distR="0" wp14:anchorId="5AC23C68" wp14:editId="68944429">
                  <wp:extent cx="5943600" cy="30556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1.jpg"/>
                          <pic:cNvPicPr/>
                        </pic:nvPicPr>
                        <pic:blipFill>
                          <a:blip r:embed="rId40">
                            <a:extLst>
                              <a:ext uri="{28A0092B-C50C-407E-A947-70E740481C1C}">
                                <a14:useLocalDpi xmlns:a14="http://schemas.microsoft.com/office/drawing/2010/main" val="0"/>
                              </a:ext>
                            </a:extLst>
                          </a:blip>
                          <a:stretch>
                            <a:fillRect/>
                          </a:stretch>
                        </pic:blipFill>
                        <pic:spPr>
                          <a:xfrm>
                            <a:off x="0" y="0"/>
                            <a:ext cx="5943600" cy="3055620"/>
                          </a:xfrm>
                          <a:prstGeom prst="rect">
                            <a:avLst/>
                          </a:prstGeom>
                        </pic:spPr>
                      </pic:pic>
                    </a:graphicData>
                  </a:graphic>
                </wp:inline>
              </w:drawing>
            </w:r>
          </w:p>
        </w:tc>
      </w:tr>
      <w:tr w:rsidR="009927B2" w:rsidRPr="009C2ADD" w14:paraId="54A861F1" w14:textId="77777777" w:rsidTr="0079145C">
        <w:tc>
          <w:tcPr>
            <w:tcW w:w="9468" w:type="dxa"/>
            <w:shd w:val="clear" w:color="auto" w:fill="auto"/>
          </w:tcPr>
          <w:p w14:paraId="1E94FC86" w14:textId="77777777" w:rsidR="009927B2" w:rsidRPr="009C2ADD" w:rsidRDefault="009927B2" w:rsidP="0079145C">
            <w:pPr>
              <w:adjustRightInd w:val="0"/>
              <w:snapToGrid w:val="0"/>
              <w:spacing w:after="0"/>
              <w:rPr>
                <w:rFonts w:ascii="Times New Roman" w:eastAsia="바탕" w:hAnsi="Times New Roman"/>
                <w:bCs/>
                <w:lang w:eastAsia="ko-KR" w:bidi="th-TH"/>
              </w:rPr>
            </w:pPr>
            <w:r w:rsidRPr="009C2ADD">
              <w:rPr>
                <w:rFonts w:ascii="Times New Roman" w:eastAsia="바탕" w:hAnsi="Times New Roman"/>
                <w:b/>
                <w:bCs/>
                <w:lang w:eastAsia="ko-KR" w:bidi="th-TH"/>
              </w:rPr>
              <w:t xml:space="preserve">Figure NPALB-1. </w:t>
            </w:r>
            <w:r w:rsidRPr="009C2ADD">
              <w:rPr>
                <w:rFonts w:ascii="Times New Roman" w:eastAsia="바탕" w:hAnsi="Times New Roman"/>
                <w:bCs/>
                <w:lang w:eastAsia="ko-KR" w:bidi="th-TH"/>
              </w:rPr>
              <w:t xml:space="preserve">(A) </w:t>
            </w:r>
            <w:r w:rsidRPr="009C2ADD">
              <w:rPr>
                <w:rFonts w:ascii="Times New Roman" w:eastAsia="바탕" w:hAnsi="Times New Roman"/>
                <w:lang w:eastAsia="ko-KR" w:bidi="th-TH"/>
              </w:rPr>
              <w:t xml:space="preserve">Kobe plot showing the status of the north Pacific albacore </w:t>
            </w:r>
            <w:r w:rsidRPr="009C2ADD">
              <w:rPr>
                <w:rFonts w:ascii="Times New Roman" w:eastAsia="바탕" w:hAnsi="Times New Roman"/>
                <w:bCs/>
                <w:lang w:eastAsia="ko-KR" w:bidi="th-TH"/>
              </w:rPr>
              <w:t>(</w:t>
            </w:r>
            <w:r w:rsidRPr="009C2ADD">
              <w:rPr>
                <w:rFonts w:ascii="Times New Roman" w:eastAsia="바탕" w:hAnsi="Times New Roman"/>
                <w:bCs/>
                <w:i/>
                <w:lang w:eastAsia="ko-KR" w:bidi="th-TH"/>
              </w:rPr>
              <w:t>Thunnus alalunga</w:t>
            </w:r>
            <w:r w:rsidRPr="009C2ADD">
              <w:rPr>
                <w:rFonts w:ascii="Times New Roman" w:eastAsia="바탕" w:hAnsi="Times New Roman"/>
                <w:bCs/>
                <w:lang w:eastAsia="ko-KR" w:bidi="th-TH"/>
              </w:rPr>
              <w:t xml:space="preserve">) </w:t>
            </w:r>
            <w:r w:rsidRPr="009C2ADD">
              <w:rPr>
                <w:rFonts w:ascii="Times New Roman" w:eastAsia="바탕" w:hAnsi="Times New Roman"/>
                <w:lang w:eastAsia="ko-KR" w:bidi="th-TH"/>
              </w:rPr>
              <w:t>stock relative to the 20%SSB</w:t>
            </w:r>
            <w:r w:rsidRPr="00007081">
              <w:rPr>
                <w:rFonts w:ascii="Times New Roman" w:eastAsia="바탕" w:hAnsi="Times New Roman"/>
                <w:vertAlign w:val="subscript"/>
                <w:lang w:eastAsia="ko-KR" w:bidi="th-TH"/>
              </w:rPr>
              <w:t>current</w:t>
            </w:r>
            <w:r w:rsidRPr="009C2ADD">
              <w:rPr>
                <w:rFonts w:ascii="Times New Roman" w:eastAsia="바탕" w:hAnsi="Times New Roman"/>
                <w:vertAlign w:val="subscript"/>
                <w:lang w:eastAsia="ko-KR" w:bidi="th-TH"/>
              </w:rPr>
              <w:t>, F=0</w:t>
            </w:r>
            <w:r w:rsidRPr="009C2ADD">
              <w:rPr>
                <w:rFonts w:ascii="Times New Roman" w:eastAsia="바탕" w:hAnsi="Times New Roman"/>
                <w:lang w:eastAsia="ko-KR" w:bidi="th-TH"/>
              </w:rPr>
              <w:t xml:space="preserve"> biomass-based limit reference point, and equivalent fishing intensity (F</w:t>
            </w:r>
            <w:r w:rsidRPr="0070772D">
              <w:rPr>
                <w:rFonts w:ascii="Times New Roman" w:eastAsia="바탕" w:hAnsi="Times New Roman"/>
                <w:i/>
                <w:vertAlign w:val="subscript"/>
                <w:lang w:eastAsia="ko-KR" w:bidi="th-TH"/>
              </w:rPr>
              <w:t>20%</w:t>
            </w:r>
            <w:r w:rsidRPr="009C2ADD">
              <w:rPr>
                <w:rFonts w:ascii="Times New Roman" w:eastAsia="바탕" w:hAnsi="Times New Roman"/>
                <w:lang w:eastAsia="ko-KR" w:bidi="th-TH"/>
              </w:rPr>
              <w:t>; calculated as 1-SPR</w:t>
            </w:r>
            <w:r w:rsidRPr="0070772D">
              <w:rPr>
                <w:rFonts w:ascii="Times New Roman" w:eastAsia="바탕" w:hAnsi="Times New Roman"/>
                <w:i/>
                <w:vertAlign w:val="subscript"/>
                <w:lang w:eastAsia="ko-KR" w:bidi="th-TH"/>
              </w:rPr>
              <w:t>20%</w:t>
            </w:r>
            <w:r w:rsidRPr="009C2ADD">
              <w:rPr>
                <w:rFonts w:ascii="Times New Roman" w:eastAsia="바탕" w:hAnsi="Times New Roman"/>
                <w:lang w:eastAsia="ko-KR" w:bidi="th-TH"/>
              </w:rPr>
              <w:t>) over the base case modelling period (1993-2015). Blue triangle indicates the start year (1993) and black circle with 95% confidence intervals indicates the terminal year (2015). (B) Kobe plot showing stock status and 95% confidence intervals in the terminal year (2015) of the base case model (black; closed circle) and important sensitivity runs with M = 0.3 y</w:t>
            </w:r>
            <w:r w:rsidRPr="009C2ADD">
              <w:rPr>
                <w:rFonts w:ascii="Times New Roman" w:eastAsia="바탕" w:hAnsi="Times New Roman"/>
                <w:vertAlign w:val="superscript"/>
                <w:lang w:eastAsia="ko-KR" w:bidi="th-TH"/>
              </w:rPr>
              <w:t>-1</w:t>
            </w:r>
            <w:r w:rsidRPr="009C2ADD">
              <w:rPr>
                <w:rFonts w:ascii="Times New Roman" w:eastAsia="바탕" w:hAnsi="Times New Roman"/>
                <w:lang w:eastAsia="ko-KR" w:bidi="th-TH"/>
              </w:rPr>
              <w:t xml:space="preserve"> for both sexes (blue; open square), and CV = 0.06 for L</w:t>
            </w:r>
            <w:r w:rsidRPr="00007081">
              <w:rPr>
                <w:rFonts w:ascii="Times New Roman" w:eastAsia="바탕" w:hAnsi="Times New Roman"/>
                <w:vertAlign w:val="subscript"/>
                <w:lang w:eastAsia="ko-KR" w:bidi="th-TH"/>
              </w:rPr>
              <w:t>inf</w:t>
            </w:r>
            <w:r w:rsidRPr="009C2ADD">
              <w:rPr>
                <w:rFonts w:ascii="Times New Roman" w:eastAsia="바탕" w:hAnsi="Times New Roman"/>
                <w:lang w:eastAsia="ko-KR" w:bidi="th-TH"/>
              </w:rPr>
              <w:t xml:space="preserve"> in the growth model (white; open triangle). Fs in this figure are not based on instantaneous fishing mortality. Instead, the Fs are indicators of fishing intensity based on SPR and calculated as 1-SPR so that the Fs reflect changes in fishing mortality. SPR is the equilibrium SSB per recruit that would result from the current year’s pattern and intensity of fishing mortality.</w:t>
            </w:r>
          </w:p>
        </w:tc>
      </w:tr>
    </w:tbl>
    <w:p w14:paraId="14274392" w14:textId="77777777" w:rsidR="009927B2" w:rsidRDefault="009927B2" w:rsidP="009C2ADD">
      <w:pPr>
        <w:adjustRightInd w:val="0"/>
        <w:snapToGrid w:val="0"/>
        <w:spacing w:after="0"/>
        <w:rPr>
          <w:rFonts w:ascii="Times New Roman" w:eastAsia="바탕" w:hAnsi="Times New Roman"/>
          <w:b/>
          <w:lang w:eastAsia="ko-KR"/>
        </w:rPr>
      </w:pPr>
    </w:p>
    <w:p w14:paraId="5F0DAEA4" w14:textId="77777777" w:rsidR="003216BE" w:rsidRDefault="003216BE" w:rsidP="003216BE">
      <w:pPr>
        <w:autoSpaceDE w:val="0"/>
        <w:autoSpaceDN w:val="0"/>
        <w:adjustRightInd w:val="0"/>
        <w:snapToGrid w:val="0"/>
        <w:spacing w:after="0"/>
        <w:rPr>
          <w:rFonts w:ascii="Times New Roman" w:eastAsia="바탕" w:hAnsi="Times New Roman"/>
          <w:lang w:eastAsia="ko-KR" w:bidi="th-TH"/>
        </w:rPr>
      </w:pPr>
      <w:proofErr w:type="gramStart"/>
      <w:r w:rsidRPr="009C2ADD">
        <w:rPr>
          <w:rFonts w:ascii="Times New Roman" w:eastAsia="바탕" w:hAnsi="Times New Roman"/>
          <w:b/>
          <w:lang w:eastAsia="ko-KR" w:bidi="th-TH"/>
        </w:rPr>
        <w:t>Table NPALB-1</w:t>
      </w:r>
      <w:r w:rsidRPr="009C2ADD">
        <w:rPr>
          <w:rFonts w:ascii="Times New Roman" w:eastAsia="바탕" w:hAnsi="Times New Roman"/>
          <w:lang w:eastAsia="ko-KR" w:bidi="th-TH"/>
        </w:rPr>
        <w:t>.</w:t>
      </w:r>
      <w:proofErr w:type="gramEnd"/>
      <w:r w:rsidRPr="009C2ADD">
        <w:rPr>
          <w:rFonts w:ascii="Times New Roman" w:eastAsia="바탕" w:hAnsi="Times New Roman"/>
          <w:lang w:eastAsia="ko-KR" w:bidi="th-TH"/>
        </w:rPr>
        <w:t xml:space="preserve"> Estimates of maximum sustainable yield (MSY), female spawning biomass (SSB) quantities, and fishing intensity (F) based reference point ratios for north Pacific albacore tuna for the base case assessment and important sensitivity analyses. SSB</w:t>
      </w:r>
      <w:r w:rsidRPr="0070772D">
        <w:rPr>
          <w:rFonts w:ascii="Times New Roman" w:eastAsia="바탕" w:hAnsi="Times New Roman"/>
          <w:i/>
          <w:vertAlign w:val="subscript"/>
          <w:lang w:eastAsia="ko-KR" w:bidi="th-TH"/>
        </w:rPr>
        <w:t>0</w:t>
      </w:r>
      <w:r w:rsidRPr="009C2ADD">
        <w:rPr>
          <w:rFonts w:ascii="Times New Roman" w:eastAsia="바탕" w:hAnsi="Times New Roman"/>
          <w:lang w:eastAsia="ko-KR" w:bidi="th-TH"/>
        </w:rPr>
        <w:t xml:space="preserve"> and SSB</w:t>
      </w:r>
      <w:r w:rsidRPr="00104C78">
        <w:rPr>
          <w:rFonts w:ascii="Times New Roman" w:hAnsi="Times New Roman"/>
          <w:vertAlign w:val="subscript"/>
          <w:lang w:val="en-AU"/>
        </w:rPr>
        <w:t>MSY</w:t>
      </w:r>
      <w:r w:rsidRPr="009C2ADD">
        <w:rPr>
          <w:rFonts w:ascii="Times New Roman" w:eastAsia="바탕" w:hAnsi="Times New Roman"/>
          <w:lang w:eastAsia="ko-KR" w:bidi="th-TH"/>
        </w:rPr>
        <w:t xml:space="preserve"> are the unfished biomass of mature female fish and at MSY, respectively. The Fs in this table are not based on instantaneous fishing mortality. Instead, the Fs are indicators of fishing intensity based on SPR and calculated </w:t>
      </w:r>
      <w:r>
        <w:rPr>
          <w:rFonts w:ascii="Times New Roman" w:eastAsia="바탕" w:hAnsi="Times New Roman"/>
          <w:lang w:eastAsia="ko-KR" w:bidi="th-TH"/>
        </w:rPr>
        <w:t>as 1-SPR so that the Fs reflect</w:t>
      </w:r>
      <w:r w:rsidRPr="009C2ADD">
        <w:rPr>
          <w:rFonts w:ascii="Times New Roman" w:eastAsia="바탕" w:hAnsi="Times New Roman"/>
          <w:lang w:eastAsia="ko-KR" w:bidi="th-TH"/>
        </w:rPr>
        <w:t xml:space="preserve"> changes in fishing mortality. SPR is the equilibrium SSB per recruit that would result from the current year’s pattern and intensity of fishing mortality. Current fishing intensity is based on the average fishing intensity during 2012-2014 (F</w:t>
      </w:r>
      <w:r w:rsidRPr="00007081">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w:t>
      </w:r>
    </w:p>
    <w:p w14:paraId="2AF1C1D7" w14:textId="77777777" w:rsidR="003216BE" w:rsidRDefault="003216BE" w:rsidP="003216BE">
      <w:pPr>
        <w:autoSpaceDE w:val="0"/>
        <w:autoSpaceDN w:val="0"/>
        <w:adjustRightInd w:val="0"/>
        <w:snapToGrid w:val="0"/>
        <w:spacing w:after="0"/>
        <w:rPr>
          <w:rFonts w:ascii="Times New Roman" w:eastAsia="바탕" w:hAnsi="Times New Roman"/>
          <w:lang w:eastAsia="ko-KR" w:bidi="th-TH"/>
        </w:rPr>
      </w:pPr>
    </w:p>
    <w:tbl>
      <w:tblPr>
        <w:tblW w:w="0" w:type="auto"/>
        <w:jc w:val="center"/>
        <w:tblInd w:w="-2682" w:type="dxa"/>
        <w:tblLook w:val="04A0" w:firstRow="1" w:lastRow="0" w:firstColumn="1" w:lastColumn="0" w:noHBand="0" w:noVBand="1"/>
      </w:tblPr>
      <w:tblGrid>
        <w:gridCol w:w="3782"/>
        <w:gridCol w:w="1350"/>
        <w:gridCol w:w="1350"/>
        <w:gridCol w:w="1869"/>
      </w:tblGrid>
      <w:tr w:rsidR="003216BE" w:rsidRPr="009C2ADD" w14:paraId="0FB2AC68" w14:textId="77777777" w:rsidTr="0079145C">
        <w:trPr>
          <w:jc w:val="center"/>
        </w:trPr>
        <w:tc>
          <w:tcPr>
            <w:tcW w:w="3782" w:type="dxa"/>
            <w:tcBorders>
              <w:top w:val="single" w:sz="12" w:space="0" w:color="auto"/>
              <w:bottom w:val="single" w:sz="12" w:space="0" w:color="auto"/>
            </w:tcBorders>
            <w:shd w:val="clear" w:color="auto" w:fill="auto"/>
            <w:vAlign w:val="center"/>
          </w:tcPr>
          <w:p w14:paraId="17A61D0A"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Quantity</w:t>
            </w:r>
          </w:p>
        </w:tc>
        <w:tc>
          <w:tcPr>
            <w:tcW w:w="1350" w:type="dxa"/>
            <w:tcBorders>
              <w:top w:val="single" w:sz="12" w:space="0" w:color="auto"/>
              <w:bottom w:val="single" w:sz="12" w:space="0" w:color="auto"/>
            </w:tcBorders>
            <w:shd w:val="clear" w:color="auto" w:fill="auto"/>
            <w:vAlign w:val="center"/>
          </w:tcPr>
          <w:p w14:paraId="5AB4CA7E" w14:textId="77777777" w:rsidR="003216BE" w:rsidRPr="009C2ADD" w:rsidRDefault="003216BE"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Base Case</w:t>
            </w:r>
          </w:p>
        </w:tc>
        <w:tc>
          <w:tcPr>
            <w:tcW w:w="1350" w:type="dxa"/>
            <w:tcBorders>
              <w:top w:val="single" w:sz="12" w:space="0" w:color="auto"/>
              <w:bottom w:val="single" w:sz="12" w:space="0" w:color="auto"/>
            </w:tcBorders>
            <w:shd w:val="clear" w:color="auto" w:fill="auto"/>
            <w:vAlign w:val="center"/>
          </w:tcPr>
          <w:p w14:paraId="64C93703" w14:textId="77777777" w:rsidR="003216BE" w:rsidRPr="009C2ADD" w:rsidRDefault="003216BE"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M = 0.3 y</w:t>
            </w:r>
            <w:r w:rsidRPr="009C2ADD">
              <w:rPr>
                <w:rFonts w:ascii="Times New Roman" w:eastAsia="바탕" w:hAnsi="Times New Roman"/>
                <w:vertAlign w:val="superscript"/>
                <w:lang w:eastAsia="ko-KR" w:bidi="th-TH"/>
              </w:rPr>
              <w:t>-1</w:t>
            </w:r>
          </w:p>
        </w:tc>
        <w:tc>
          <w:tcPr>
            <w:tcW w:w="1869" w:type="dxa"/>
            <w:tcBorders>
              <w:top w:val="single" w:sz="12" w:space="0" w:color="auto"/>
              <w:bottom w:val="single" w:sz="12" w:space="0" w:color="auto"/>
            </w:tcBorders>
            <w:shd w:val="clear" w:color="auto" w:fill="auto"/>
            <w:vAlign w:val="center"/>
          </w:tcPr>
          <w:p w14:paraId="165055DE" w14:textId="77777777" w:rsidR="003216BE" w:rsidRPr="009C2ADD" w:rsidRDefault="003216BE"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Growth</w:t>
            </w:r>
          </w:p>
          <w:p w14:paraId="22FAEF15" w14:textId="77777777" w:rsidR="003216BE" w:rsidRPr="009C2ADD" w:rsidRDefault="003216BE" w:rsidP="0079145C">
            <w:pPr>
              <w:adjustRightInd w:val="0"/>
              <w:snapToGrid w:val="0"/>
              <w:spacing w:after="0"/>
              <w:jc w:val="center"/>
              <w:rPr>
                <w:rFonts w:ascii="Times New Roman" w:eastAsia="바탕" w:hAnsi="Times New Roman"/>
                <w:lang w:eastAsia="ko-KR" w:bidi="th-TH"/>
              </w:rPr>
            </w:pPr>
            <w:r w:rsidRPr="009C2ADD">
              <w:rPr>
                <w:rFonts w:ascii="Times New Roman" w:eastAsia="바탕" w:hAnsi="Times New Roman"/>
                <w:lang w:eastAsia="ko-KR" w:bidi="th-TH"/>
              </w:rPr>
              <w:t xml:space="preserve"> CV = 0.06 for L</w:t>
            </w:r>
            <w:r w:rsidRPr="009C2ADD">
              <w:rPr>
                <w:rFonts w:ascii="Times New Roman" w:eastAsia="바탕" w:hAnsi="Times New Roman"/>
                <w:vertAlign w:val="subscript"/>
                <w:lang w:eastAsia="ko-KR" w:bidi="th-TH"/>
              </w:rPr>
              <w:t>inf</w:t>
            </w:r>
            <w:r w:rsidRPr="009C2ADD">
              <w:rPr>
                <w:rFonts w:ascii="Times New Roman" w:eastAsia="바탕" w:hAnsi="Times New Roman"/>
                <w:lang w:eastAsia="ko-KR" w:bidi="th-TH"/>
              </w:rPr>
              <w:t xml:space="preserve"> </w:t>
            </w:r>
          </w:p>
        </w:tc>
      </w:tr>
      <w:tr w:rsidR="003216BE" w:rsidRPr="009C2ADD" w14:paraId="131C29A1" w14:textId="77777777" w:rsidTr="0079145C">
        <w:trPr>
          <w:jc w:val="center"/>
        </w:trPr>
        <w:tc>
          <w:tcPr>
            <w:tcW w:w="3782" w:type="dxa"/>
            <w:tcBorders>
              <w:top w:val="single" w:sz="12" w:space="0" w:color="auto"/>
            </w:tcBorders>
            <w:shd w:val="clear" w:color="auto" w:fill="auto"/>
          </w:tcPr>
          <w:p w14:paraId="548CD8F6"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 xml:space="preserve">MSY (t) </w:t>
            </w:r>
            <w:r w:rsidRPr="009C2ADD">
              <w:rPr>
                <w:rFonts w:ascii="Times New Roman" w:eastAsia="바탕" w:hAnsi="Times New Roman"/>
                <w:vertAlign w:val="superscript"/>
                <w:lang w:eastAsia="ko-KR" w:bidi="th-TH"/>
              </w:rPr>
              <w:t>A</w:t>
            </w:r>
          </w:p>
        </w:tc>
        <w:tc>
          <w:tcPr>
            <w:tcW w:w="1350" w:type="dxa"/>
            <w:tcBorders>
              <w:top w:val="single" w:sz="12" w:space="0" w:color="auto"/>
            </w:tcBorders>
            <w:shd w:val="clear" w:color="auto" w:fill="auto"/>
          </w:tcPr>
          <w:p w14:paraId="3A6C44A3" w14:textId="77777777" w:rsidR="003216BE" w:rsidRPr="009C2ADD" w:rsidRDefault="003216BE"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132,072</w:t>
            </w:r>
          </w:p>
        </w:tc>
        <w:tc>
          <w:tcPr>
            <w:tcW w:w="1350" w:type="dxa"/>
            <w:tcBorders>
              <w:top w:val="single" w:sz="12" w:space="0" w:color="auto"/>
            </w:tcBorders>
            <w:shd w:val="clear" w:color="auto" w:fill="auto"/>
          </w:tcPr>
          <w:p w14:paraId="6691F0F0"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92,027</w:t>
            </w:r>
          </w:p>
        </w:tc>
        <w:tc>
          <w:tcPr>
            <w:tcW w:w="1869" w:type="dxa"/>
            <w:tcBorders>
              <w:top w:val="single" w:sz="12" w:space="0" w:color="auto"/>
            </w:tcBorders>
            <w:shd w:val="clear" w:color="auto" w:fill="auto"/>
          </w:tcPr>
          <w:p w14:paraId="07D50B38"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118,836</w:t>
            </w:r>
          </w:p>
        </w:tc>
      </w:tr>
      <w:tr w:rsidR="003216BE" w:rsidRPr="009C2ADD" w14:paraId="001EE6F1" w14:textId="77777777" w:rsidTr="0079145C">
        <w:trPr>
          <w:jc w:val="center"/>
        </w:trPr>
        <w:tc>
          <w:tcPr>
            <w:tcW w:w="3782" w:type="dxa"/>
            <w:shd w:val="clear" w:color="auto" w:fill="auto"/>
          </w:tcPr>
          <w:p w14:paraId="3A75C780"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MSY</w:t>
            </w:r>
            <w:r w:rsidRPr="009C2ADD">
              <w:rPr>
                <w:rFonts w:ascii="Times New Roman" w:eastAsia="바탕" w:hAnsi="Times New Roman"/>
                <w:lang w:eastAsia="ko-KR" w:bidi="th-TH"/>
              </w:rPr>
              <w:t xml:space="preserve"> (t)</w:t>
            </w:r>
            <w:r w:rsidRPr="009C2ADD">
              <w:rPr>
                <w:rFonts w:ascii="Times New Roman" w:eastAsia="바탕" w:hAnsi="Times New Roman"/>
                <w:vertAlign w:val="subscript"/>
                <w:lang w:eastAsia="ko-KR" w:bidi="th-TH"/>
              </w:rPr>
              <w:t xml:space="preserve"> </w:t>
            </w:r>
            <w:r w:rsidRPr="009C2ADD">
              <w:rPr>
                <w:rFonts w:ascii="Times New Roman" w:eastAsia="바탕" w:hAnsi="Times New Roman"/>
                <w:vertAlign w:val="superscript"/>
                <w:lang w:eastAsia="ko-KR" w:bidi="th-TH"/>
              </w:rPr>
              <w:t>B</w:t>
            </w:r>
          </w:p>
        </w:tc>
        <w:tc>
          <w:tcPr>
            <w:tcW w:w="1350" w:type="dxa"/>
            <w:shd w:val="clear" w:color="auto" w:fill="auto"/>
          </w:tcPr>
          <w:p w14:paraId="53735450" w14:textId="77777777" w:rsidR="003216BE" w:rsidRPr="009C2ADD" w:rsidRDefault="003216BE"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24,770</w:t>
            </w:r>
          </w:p>
        </w:tc>
        <w:tc>
          <w:tcPr>
            <w:tcW w:w="1350" w:type="dxa"/>
            <w:shd w:val="clear" w:color="auto" w:fill="auto"/>
          </w:tcPr>
          <w:p w14:paraId="0A76609A"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42,098</w:t>
            </w:r>
          </w:p>
        </w:tc>
        <w:tc>
          <w:tcPr>
            <w:tcW w:w="1869" w:type="dxa"/>
            <w:shd w:val="clear" w:color="auto" w:fill="auto"/>
          </w:tcPr>
          <w:p w14:paraId="7A6497C2"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22,351</w:t>
            </w:r>
          </w:p>
        </w:tc>
      </w:tr>
      <w:tr w:rsidR="003216BE" w:rsidRPr="009C2ADD" w14:paraId="324A83E3" w14:textId="77777777" w:rsidTr="0079145C">
        <w:trPr>
          <w:jc w:val="center"/>
        </w:trPr>
        <w:tc>
          <w:tcPr>
            <w:tcW w:w="3782" w:type="dxa"/>
            <w:shd w:val="clear" w:color="auto" w:fill="auto"/>
          </w:tcPr>
          <w:p w14:paraId="3C8E4999" w14:textId="77777777" w:rsidR="003216BE" w:rsidRPr="009C2ADD" w:rsidRDefault="003216BE" w:rsidP="0079145C">
            <w:pPr>
              <w:adjustRightInd w:val="0"/>
              <w:snapToGrid w:val="0"/>
              <w:spacing w:after="0"/>
              <w:rPr>
                <w:rFonts w:ascii="Times New Roman" w:eastAsia="바탕" w:hAnsi="Times New Roman"/>
                <w:vertAlign w:val="subscript"/>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0</w:t>
            </w:r>
            <w:r w:rsidRPr="009C2ADD">
              <w:rPr>
                <w:rFonts w:ascii="Times New Roman" w:eastAsia="바탕" w:hAnsi="Times New Roman"/>
                <w:lang w:eastAsia="ko-KR" w:bidi="th-TH"/>
              </w:rPr>
              <w:t xml:space="preserve"> (t)</w:t>
            </w:r>
            <w:r w:rsidRPr="009C2ADD">
              <w:rPr>
                <w:rFonts w:ascii="Times New Roman" w:eastAsia="바탕" w:hAnsi="Times New Roman"/>
                <w:vertAlign w:val="subscript"/>
                <w:lang w:eastAsia="ko-KR" w:bidi="th-TH"/>
              </w:rPr>
              <w:t xml:space="preserve"> </w:t>
            </w:r>
            <w:r w:rsidRPr="009C2ADD">
              <w:rPr>
                <w:rFonts w:ascii="Times New Roman" w:eastAsia="바탕" w:hAnsi="Times New Roman"/>
                <w:vertAlign w:val="superscript"/>
                <w:lang w:eastAsia="ko-KR" w:bidi="th-TH"/>
              </w:rPr>
              <w:t>B</w:t>
            </w:r>
          </w:p>
        </w:tc>
        <w:tc>
          <w:tcPr>
            <w:tcW w:w="1350" w:type="dxa"/>
            <w:shd w:val="clear" w:color="auto" w:fill="auto"/>
          </w:tcPr>
          <w:p w14:paraId="39AA4634" w14:textId="77777777" w:rsidR="003216BE" w:rsidRPr="009C2ADD" w:rsidRDefault="003216BE"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171,869</w:t>
            </w:r>
          </w:p>
        </w:tc>
        <w:tc>
          <w:tcPr>
            <w:tcW w:w="1350" w:type="dxa"/>
            <w:shd w:val="clear" w:color="auto" w:fill="auto"/>
          </w:tcPr>
          <w:p w14:paraId="54541607"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270,879</w:t>
            </w:r>
          </w:p>
        </w:tc>
        <w:tc>
          <w:tcPr>
            <w:tcW w:w="1869" w:type="dxa"/>
            <w:shd w:val="clear" w:color="auto" w:fill="auto"/>
          </w:tcPr>
          <w:p w14:paraId="38DDDBEA"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156,336</w:t>
            </w:r>
          </w:p>
        </w:tc>
      </w:tr>
      <w:tr w:rsidR="003216BE" w:rsidRPr="009C2ADD" w14:paraId="5C158E40" w14:textId="77777777" w:rsidTr="0079145C">
        <w:trPr>
          <w:jc w:val="center"/>
        </w:trPr>
        <w:tc>
          <w:tcPr>
            <w:tcW w:w="3782" w:type="dxa"/>
            <w:shd w:val="clear" w:color="auto" w:fill="auto"/>
          </w:tcPr>
          <w:p w14:paraId="6FB27A2C"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2015</w:t>
            </w:r>
            <w:r w:rsidRPr="009C2ADD">
              <w:rPr>
                <w:rFonts w:ascii="Times New Roman" w:eastAsia="바탕" w:hAnsi="Times New Roman"/>
                <w:lang w:eastAsia="ko-KR" w:bidi="th-TH"/>
              </w:rPr>
              <w:t xml:space="preserve"> (t) </w:t>
            </w:r>
            <w:r w:rsidRPr="009C2ADD">
              <w:rPr>
                <w:rFonts w:ascii="Times New Roman" w:eastAsia="바탕" w:hAnsi="Times New Roman"/>
                <w:vertAlign w:val="superscript"/>
                <w:lang w:eastAsia="ko-KR" w:bidi="th-TH"/>
              </w:rPr>
              <w:t>B</w:t>
            </w:r>
          </w:p>
        </w:tc>
        <w:tc>
          <w:tcPr>
            <w:tcW w:w="1350" w:type="dxa"/>
            <w:shd w:val="clear" w:color="auto" w:fill="auto"/>
          </w:tcPr>
          <w:p w14:paraId="2D05DA9A" w14:textId="77777777" w:rsidR="003216BE" w:rsidRPr="009C2ADD" w:rsidRDefault="003216BE"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80,618</w:t>
            </w:r>
          </w:p>
        </w:tc>
        <w:tc>
          <w:tcPr>
            <w:tcW w:w="1350" w:type="dxa"/>
            <w:shd w:val="clear" w:color="auto" w:fill="auto"/>
          </w:tcPr>
          <w:p w14:paraId="54A02015"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68,169</w:t>
            </w:r>
          </w:p>
        </w:tc>
        <w:tc>
          <w:tcPr>
            <w:tcW w:w="1869" w:type="dxa"/>
            <w:shd w:val="clear" w:color="auto" w:fill="auto"/>
          </w:tcPr>
          <w:p w14:paraId="1DFBB32D"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63,719</w:t>
            </w:r>
          </w:p>
        </w:tc>
      </w:tr>
      <w:tr w:rsidR="003216BE" w:rsidRPr="009C2ADD" w14:paraId="76A08395" w14:textId="77777777" w:rsidTr="0079145C">
        <w:trPr>
          <w:jc w:val="center"/>
        </w:trPr>
        <w:tc>
          <w:tcPr>
            <w:tcW w:w="3782" w:type="dxa"/>
            <w:shd w:val="clear" w:color="auto" w:fill="auto"/>
          </w:tcPr>
          <w:p w14:paraId="41FF2356"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SSB</w:t>
            </w:r>
            <w:r w:rsidRPr="009C2ADD">
              <w:rPr>
                <w:rFonts w:ascii="Times New Roman" w:eastAsia="바탕" w:hAnsi="Times New Roman"/>
                <w:vertAlign w:val="subscript"/>
                <w:lang w:eastAsia="ko-KR" w:bidi="th-TH"/>
              </w:rPr>
              <w:t>2015</w:t>
            </w:r>
            <w:r w:rsidRPr="009C2ADD">
              <w:rPr>
                <w:rFonts w:ascii="Times New Roman" w:eastAsia="바탕" w:hAnsi="Times New Roman"/>
                <w:lang w:eastAsia="ko-KR" w:bidi="th-TH"/>
              </w:rPr>
              <w:t>/20%SSB</w:t>
            </w:r>
            <w:r w:rsidRPr="009C2ADD">
              <w:rPr>
                <w:rFonts w:ascii="Times New Roman" w:eastAsia="바탕" w:hAnsi="Times New Roman"/>
                <w:vertAlign w:val="subscript"/>
                <w:lang w:eastAsia="ko-KR" w:bidi="th-TH"/>
              </w:rPr>
              <w:t xml:space="preserve">current, F=0 </w:t>
            </w:r>
            <w:r w:rsidRPr="009C2ADD">
              <w:rPr>
                <w:rFonts w:ascii="Times New Roman" w:eastAsia="바탕" w:hAnsi="Times New Roman"/>
                <w:vertAlign w:val="superscript"/>
                <w:lang w:eastAsia="ko-KR" w:bidi="th-TH"/>
              </w:rPr>
              <w:t>B</w:t>
            </w:r>
          </w:p>
        </w:tc>
        <w:tc>
          <w:tcPr>
            <w:tcW w:w="1350" w:type="dxa"/>
            <w:shd w:val="clear" w:color="auto" w:fill="auto"/>
          </w:tcPr>
          <w:p w14:paraId="73FB7E45" w14:textId="77777777" w:rsidR="003216BE" w:rsidRPr="009C2ADD" w:rsidRDefault="003216BE" w:rsidP="0079145C">
            <w:pPr>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2.47</w:t>
            </w:r>
          </w:p>
        </w:tc>
        <w:tc>
          <w:tcPr>
            <w:tcW w:w="1350" w:type="dxa"/>
            <w:shd w:val="clear" w:color="auto" w:fill="auto"/>
          </w:tcPr>
          <w:p w14:paraId="122809B7"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1.31</w:t>
            </w:r>
          </w:p>
        </w:tc>
        <w:tc>
          <w:tcPr>
            <w:tcW w:w="1869" w:type="dxa"/>
            <w:shd w:val="clear" w:color="auto" w:fill="auto"/>
          </w:tcPr>
          <w:p w14:paraId="2509737F"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2.15</w:t>
            </w:r>
          </w:p>
        </w:tc>
      </w:tr>
      <w:tr w:rsidR="003216BE" w:rsidRPr="009C2ADD" w14:paraId="6413E256" w14:textId="77777777" w:rsidTr="0079145C">
        <w:trPr>
          <w:jc w:val="center"/>
        </w:trPr>
        <w:tc>
          <w:tcPr>
            <w:tcW w:w="3782" w:type="dxa"/>
            <w:shd w:val="clear" w:color="auto" w:fill="auto"/>
          </w:tcPr>
          <w:p w14:paraId="06E4F108"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p>
        </w:tc>
        <w:tc>
          <w:tcPr>
            <w:tcW w:w="1350" w:type="dxa"/>
            <w:shd w:val="clear" w:color="auto" w:fill="auto"/>
          </w:tcPr>
          <w:p w14:paraId="17FF63CD" w14:textId="77777777" w:rsidR="003216BE" w:rsidRPr="009C2ADD" w:rsidRDefault="003216BE" w:rsidP="0079145C">
            <w:pPr>
              <w:widowControl w:val="0"/>
              <w:adjustRightInd w:val="0"/>
              <w:snapToGrid w:val="0"/>
              <w:spacing w:after="0"/>
              <w:ind w:right="162"/>
              <w:jc w:val="right"/>
              <w:rPr>
                <w:rFonts w:ascii="Times New Roman" w:eastAsia="바탕" w:hAnsi="Times New Roman"/>
                <w:lang w:eastAsia="ko-KR" w:bidi="th-TH"/>
              </w:rPr>
            </w:pPr>
            <w:r w:rsidRPr="009C2ADD">
              <w:rPr>
                <w:rFonts w:ascii="Times New Roman" w:eastAsia="바탕" w:hAnsi="Times New Roman"/>
                <w:lang w:eastAsia="ko-KR" w:bidi="th-TH"/>
              </w:rPr>
              <w:t>0.51</w:t>
            </w:r>
          </w:p>
        </w:tc>
        <w:tc>
          <w:tcPr>
            <w:tcW w:w="1350" w:type="dxa"/>
            <w:shd w:val="clear" w:color="auto" w:fill="auto"/>
          </w:tcPr>
          <w:p w14:paraId="3BA4632C"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0.74</w:t>
            </w:r>
          </w:p>
        </w:tc>
        <w:tc>
          <w:tcPr>
            <w:tcW w:w="1869" w:type="dxa"/>
            <w:shd w:val="clear" w:color="auto" w:fill="auto"/>
          </w:tcPr>
          <w:p w14:paraId="2C7D7590"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0.57</w:t>
            </w:r>
          </w:p>
        </w:tc>
      </w:tr>
      <w:tr w:rsidR="003216BE" w:rsidRPr="009C2ADD" w14:paraId="3EA44F1C" w14:textId="77777777" w:rsidTr="0079145C">
        <w:trPr>
          <w:jc w:val="center"/>
        </w:trPr>
        <w:tc>
          <w:tcPr>
            <w:tcW w:w="3782" w:type="dxa"/>
            <w:shd w:val="clear" w:color="auto" w:fill="auto"/>
          </w:tcPr>
          <w:p w14:paraId="69DEF2F4"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MSY</w:t>
            </w:r>
            <w:r w:rsidRPr="009C2ADD">
              <w:rPr>
                <w:rFonts w:ascii="Times New Roman" w:eastAsia="바탕" w:hAnsi="Times New Roman"/>
                <w:lang w:eastAsia="ko-KR" w:bidi="th-TH"/>
              </w:rPr>
              <w:t xml:space="preserve"> </w:t>
            </w:r>
          </w:p>
        </w:tc>
        <w:tc>
          <w:tcPr>
            <w:tcW w:w="1350" w:type="dxa"/>
            <w:shd w:val="clear" w:color="auto" w:fill="auto"/>
          </w:tcPr>
          <w:p w14:paraId="291B6231"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0.61</w:t>
            </w:r>
          </w:p>
        </w:tc>
        <w:tc>
          <w:tcPr>
            <w:tcW w:w="1350" w:type="dxa"/>
            <w:shd w:val="clear" w:color="auto" w:fill="auto"/>
          </w:tcPr>
          <w:p w14:paraId="1A92CCB1"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0.89</w:t>
            </w:r>
          </w:p>
        </w:tc>
        <w:tc>
          <w:tcPr>
            <w:tcW w:w="1869" w:type="dxa"/>
            <w:shd w:val="clear" w:color="auto" w:fill="auto"/>
          </w:tcPr>
          <w:p w14:paraId="0CC36271"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0.68</w:t>
            </w:r>
          </w:p>
        </w:tc>
      </w:tr>
      <w:tr w:rsidR="003216BE" w:rsidRPr="009C2ADD" w14:paraId="05ADF2C9" w14:textId="77777777" w:rsidTr="0079145C">
        <w:trPr>
          <w:jc w:val="center"/>
        </w:trPr>
        <w:tc>
          <w:tcPr>
            <w:tcW w:w="3782" w:type="dxa"/>
            <w:shd w:val="clear" w:color="auto" w:fill="auto"/>
          </w:tcPr>
          <w:p w14:paraId="407BB8A4"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0.1</w:t>
            </w:r>
          </w:p>
        </w:tc>
        <w:tc>
          <w:tcPr>
            <w:tcW w:w="1350" w:type="dxa"/>
            <w:shd w:val="clear" w:color="auto" w:fill="auto"/>
          </w:tcPr>
          <w:p w14:paraId="656752C1"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0.58</w:t>
            </w:r>
          </w:p>
        </w:tc>
        <w:tc>
          <w:tcPr>
            <w:tcW w:w="1350" w:type="dxa"/>
            <w:shd w:val="clear" w:color="auto" w:fill="auto"/>
          </w:tcPr>
          <w:p w14:paraId="47DE9486"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0.90</w:t>
            </w:r>
          </w:p>
        </w:tc>
        <w:tc>
          <w:tcPr>
            <w:tcW w:w="1869" w:type="dxa"/>
            <w:shd w:val="clear" w:color="auto" w:fill="auto"/>
          </w:tcPr>
          <w:p w14:paraId="40F4AD6D"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0.65</w:t>
            </w:r>
          </w:p>
        </w:tc>
      </w:tr>
      <w:tr w:rsidR="003216BE" w:rsidRPr="009C2ADD" w14:paraId="5E5A7CBB" w14:textId="77777777" w:rsidTr="0079145C">
        <w:trPr>
          <w:jc w:val="center"/>
        </w:trPr>
        <w:tc>
          <w:tcPr>
            <w:tcW w:w="3782" w:type="dxa"/>
            <w:shd w:val="clear" w:color="auto" w:fill="auto"/>
          </w:tcPr>
          <w:p w14:paraId="7D47C7BB"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10%</w:t>
            </w:r>
          </w:p>
        </w:tc>
        <w:tc>
          <w:tcPr>
            <w:tcW w:w="1350" w:type="dxa"/>
            <w:shd w:val="clear" w:color="auto" w:fill="auto"/>
          </w:tcPr>
          <w:p w14:paraId="45C65269"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0.56</w:t>
            </w:r>
          </w:p>
        </w:tc>
        <w:tc>
          <w:tcPr>
            <w:tcW w:w="1350" w:type="dxa"/>
            <w:shd w:val="clear" w:color="auto" w:fill="auto"/>
          </w:tcPr>
          <w:p w14:paraId="64545B30"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0.81</w:t>
            </w:r>
          </w:p>
        </w:tc>
        <w:tc>
          <w:tcPr>
            <w:tcW w:w="1869" w:type="dxa"/>
            <w:shd w:val="clear" w:color="auto" w:fill="auto"/>
          </w:tcPr>
          <w:p w14:paraId="133B2080"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0.63</w:t>
            </w:r>
          </w:p>
        </w:tc>
      </w:tr>
      <w:tr w:rsidR="003216BE" w:rsidRPr="009C2ADD" w14:paraId="348F9600" w14:textId="77777777" w:rsidTr="0079145C">
        <w:trPr>
          <w:jc w:val="center"/>
        </w:trPr>
        <w:tc>
          <w:tcPr>
            <w:tcW w:w="3782" w:type="dxa"/>
            <w:shd w:val="clear" w:color="auto" w:fill="auto"/>
          </w:tcPr>
          <w:p w14:paraId="506FEE8B"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w:t>
            </w:r>
          </w:p>
        </w:tc>
        <w:tc>
          <w:tcPr>
            <w:tcW w:w="1350" w:type="dxa"/>
            <w:shd w:val="clear" w:color="auto" w:fill="auto"/>
          </w:tcPr>
          <w:p w14:paraId="711F37D0"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0.63</w:t>
            </w:r>
          </w:p>
        </w:tc>
        <w:tc>
          <w:tcPr>
            <w:tcW w:w="1350" w:type="dxa"/>
            <w:shd w:val="clear" w:color="auto" w:fill="auto"/>
          </w:tcPr>
          <w:p w14:paraId="55AD274A"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0.91</w:t>
            </w:r>
          </w:p>
        </w:tc>
        <w:tc>
          <w:tcPr>
            <w:tcW w:w="1869" w:type="dxa"/>
            <w:shd w:val="clear" w:color="auto" w:fill="auto"/>
          </w:tcPr>
          <w:p w14:paraId="6EC91DF8"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0.71</w:t>
            </w:r>
          </w:p>
        </w:tc>
      </w:tr>
      <w:tr w:rsidR="003216BE" w:rsidRPr="009C2ADD" w14:paraId="238891F3" w14:textId="77777777" w:rsidTr="0079145C">
        <w:trPr>
          <w:jc w:val="center"/>
        </w:trPr>
        <w:tc>
          <w:tcPr>
            <w:tcW w:w="3782" w:type="dxa"/>
            <w:shd w:val="clear" w:color="auto" w:fill="auto"/>
          </w:tcPr>
          <w:p w14:paraId="037A4EDA"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30%</w:t>
            </w:r>
          </w:p>
        </w:tc>
        <w:tc>
          <w:tcPr>
            <w:tcW w:w="1350" w:type="dxa"/>
            <w:shd w:val="clear" w:color="auto" w:fill="auto"/>
          </w:tcPr>
          <w:p w14:paraId="062FB44D"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0.72</w:t>
            </w:r>
          </w:p>
        </w:tc>
        <w:tc>
          <w:tcPr>
            <w:tcW w:w="1350" w:type="dxa"/>
            <w:shd w:val="clear" w:color="auto" w:fill="auto"/>
          </w:tcPr>
          <w:p w14:paraId="6F249CCD"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1.04</w:t>
            </w:r>
          </w:p>
        </w:tc>
        <w:tc>
          <w:tcPr>
            <w:tcW w:w="1869" w:type="dxa"/>
            <w:shd w:val="clear" w:color="auto" w:fill="auto"/>
          </w:tcPr>
          <w:p w14:paraId="6AA05277"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0.81</w:t>
            </w:r>
          </w:p>
        </w:tc>
      </w:tr>
      <w:tr w:rsidR="003216BE" w:rsidRPr="009C2ADD" w14:paraId="3C78079C" w14:textId="77777777" w:rsidTr="0079145C">
        <w:trPr>
          <w:jc w:val="center"/>
        </w:trPr>
        <w:tc>
          <w:tcPr>
            <w:tcW w:w="3782" w:type="dxa"/>
            <w:shd w:val="clear" w:color="auto" w:fill="auto"/>
          </w:tcPr>
          <w:p w14:paraId="4953CE46"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40%</w:t>
            </w:r>
          </w:p>
        </w:tc>
        <w:tc>
          <w:tcPr>
            <w:tcW w:w="1350" w:type="dxa"/>
            <w:shd w:val="clear" w:color="auto" w:fill="auto"/>
          </w:tcPr>
          <w:p w14:paraId="2F1D39B5"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0.85</w:t>
            </w:r>
          </w:p>
        </w:tc>
        <w:tc>
          <w:tcPr>
            <w:tcW w:w="1350" w:type="dxa"/>
            <w:shd w:val="clear" w:color="auto" w:fill="auto"/>
          </w:tcPr>
          <w:p w14:paraId="0F3BAC46"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1.21</w:t>
            </w:r>
          </w:p>
        </w:tc>
        <w:tc>
          <w:tcPr>
            <w:tcW w:w="1869" w:type="dxa"/>
            <w:shd w:val="clear" w:color="auto" w:fill="auto"/>
          </w:tcPr>
          <w:p w14:paraId="7F4CB2E5"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0.96</w:t>
            </w:r>
          </w:p>
        </w:tc>
      </w:tr>
      <w:tr w:rsidR="003216BE" w:rsidRPr="009C2ADD" w14:paraId="11D07743" w14:textId="77777777" w:rsidTr="0079145C">
        <w:trPr>
          <w:jc w:val="center"/>
        </w:trPr>
        <w:tc>
          <w:tcPr>
            <w:tcW w:w="3782" w:type="dxa"/>
            <w:tcBorders>
              <w:bottom w:val="single" w:sz="12" w:space="0" w:color="auto"/>
            </w:tcBorders>
            <w:shd w:val="clear" w:color="auto" w:fill="auto"/>
          </w:tcPr>
          <w:p w14:paraId="63C8AE48"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2012-2014</w:t>
            </w:r>
            <w:r w:rsidRPr="009C2ADD">
              <w:rPr>
                <w:rFonts w:ascii="Times New Roman" w:eastAsia="바탕" w:hAnsi="Times New Roman"/>
                <w:lang w:eastAsia="ko-KR" w:bidi="th-TH"/>
              </w:rPr>
              <w:t>/F</w:t>
            </w:r>
            <w:r w:rsidRPr="009C2ADD">
              <w:rPr>
                <w:rFonts w:ascii="Times New Roman" w:eastAsia="바탕" w:hAnsi="Times New Roman"/>
                <w:vertAlign w:val="subscript"/>
                <w:lang w:eastAsia="ko-KR" w:bidi="th-TH"/>
              </w:rPr>
              <w:t>50%</w:t>
            </w:r>
          </w:p>
        </w:tc>
        <w:tc>
          <w:tcPr>
            <w:tcW w:w="1350" w:type="dxa"/>
            <w:tcBorders>
              <w:bottom w:val="single" w:sz="12" w:space="0" w:color="auto"/>
            </w:tcBorders>
            <w:shd w:val="clear" w:color="auto" w:fill="auto"/>
          </w:tcPr>
          <w:p w14:paraId="24D2EC5B" w14:textId="77777777" w:rsidR="003216BE" w:rsidRPr="009C2ADD" w:rsidRDefault="003216BE" w:rsidP="0079145C">
            <w:pPr>
              <w:widowControl w:val="0"/>
              <w:adjustRightInd w:val="0"/>
              <w:snapToGrid w:val="0"/>
              <w:spacing w:after="0"/>
              <w:ind w:right="162"/>
              <w:jc w:val="right"/>
              <w:rPr>
                <w:rFonts w:ascii="Times New Roman" w:eastAsia="바탕" w:hAnsi="Times New Roman"/>
                <w:kern w:val="2"/>
                <w:lang w:eastAsia="ja-JP" w:bidi="th-TH"/>
              </w:rPr>
            </w:pPr>
            <w:r w:rsidRPr="009C2ADD">
              <w:rPr>
                <w:rFonts w:ascii="Times New Roman" w:eastAsia="바탕" w:hAnsi="Times New Roman"/>
                <w:lang w:eastAsia="ko-KR" w:bidi="th-TH"/>
              </w:rPr>
              <w:t>1.01</w:t>
            </w:r>
          </w:p>
        </w:tc>
        <w:tc>
          <w:tcPr>
            <w:tcW w:w="1350" w:type="dxa"/>
            <w:tcBorders>
              <w:bottom w:val="single" w:sz="12" w:space="0" w:color="auto"/>
            </w:tcBorders>
            <w:shd w:val="clear" w:color="auto" w:fill="auto"/>
          </w:tcPr>
          <w:p w14:paraId="4AC21DA0" w14:textId="77777777" w:rsidR="003216BE" w:rsidRPr="009C2ADD" w:rsidRDefault="003216BE" w:rsidP="0079145C">
            <w:pPr>
              <w:adjustRightInd w:val="0"/>
              <w:snapToGrid w:val="0"/>
              <w:spacing w:after="0"/>
              <w:ind w:right="306"/>
              <w:jc w:val="right"/>
              <w:rPr>
                <w:rFonts w:ascii="Times New Roman" w:eastAsia="바탕" w:hAnsi="Times New Roman"/>
                <w:lang w:eastAsia="ko-KR" w:bidi="th-TH"/>
              </w:rPr>
            </w:pPr>
            <w:r w:rsidRPr="009C2ADD">
              <w:rPr>
                <w:rFonts w:ascii="Times New Roman" w:eastAsia="바탕" w:hAnsi="Times New Roman"/>
                <w:lang w:eastAsia="ko-KR" w:bidi="th-TH"/>
              </w:rPr>
              <w:t>1.47</w:t>
            </w:r>
          </w:p>
        </w:tc>
        <w:tc>
          <w:tcPr>
            <w:tcW w:w="1869" w:type="dxa"/>
            <w:tcBorders>
              <w:bottom w:val="single" w:sz="12" w:space="0" w:color="auto"/>
            </w:tcBorders>
            <w:shd w:val="clear" w:color="auto" w:fill="auto"/>
          </w:tcPr>
          <w:p w14:paraId="13F7504E" w14:textId="77777777" w:rsidR="003216BE" w:rsidRPr="009C2ADD" w:rsidRDefault="003216BE" w:rsidP="0079145C">
            <w:pPr>
              <w:adjustRightInd w:val="0"/>
              <w:snapToGrid w:val="0"/>
              <w:spacing w:after="0"/>
              <w:ind w:right="214"/>
              <w:jc w:val="right"/>
              <w:rPr>
                <w:rFonts w:ascii="Times New Roman" w:eastAsia="바탕" w:hAnsi="Times New Roman"/>
                <w:lang w:eastAsia="ko-KR" w:bidi="th-TH"/>
              </w:rPr>
            </w:pPr>
            <w:r w:rsidRPr="009C2ADD">
              <w:rPr>
                <w:rFonts w:ascii="Times New Roman" w:eastAsia="바탕" w:hAnsi="Times New Roman"/>
                <w:lang w:eastAsia="ko-KR" w:bidi="th-TH"/>
              </w:rPr>
              <w:t>1.16</w:t>
            </w:r>
          </w:p>
        </w:tc>
      </w:tr>
      <w:tr w:rsidR="003216BE" w:rsidRPr="009C2ADD" w14:paraId="55E067FD" w14:textId="77777777" w:rsidTr="0079145C">
        <w:trPr>
          <w:jc w:val="center"/>
        </w:trPr>
        <w:tc>
          <w:tcPr>
            <w:tcW w:w="8351" w:type="dxa"/>
            <w:gridSpan w:val="4"/>
            <w:tcBorders>
              <w:top w:val="single" w:sz="12" w:space="0" w:color="auto"/>
            </w:tcBorders>
            <w:shd w:val="clear" w:color="auto" w:fill="auto"/>
          </w:tcPr>
          <w:p w14:paraId="057BFE4A"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 xml:space="preserve">A – MSY includes male and female juvenile and adult fish </w:t>
            </w:r>
          </w:p>
          <w:p w14:paraId="00D71229" w14:textId="77777777" w:rsidR="003216BE" w:rsidRPr="009C2ADD" w:rsidRDefault="003216BE" w:rsidP="0079145C">
            <w:pPr>
              <w:adjustRightInd w:val="0"/>
              <w:snapToGrid w:val="0"/>
              <w:spacing w:after="0"/>
              <w:rPr>
                <w:rFonts w:ascii="Times New Roman" w:eastAsia="바탕" w:hAnsi="Times New Roman"/>
                <w:lang w:eastAsia="ko-KR" w:bidi="th-TH"/>
              </w:rPr>
            </w:pPr>
            <w:r w:rsidRPr="009C2ADD">
              <w:rPr>
                <w:rFonts w:ascii="Times New Roman" w:eastAsia="바탕" w:hAnsi="Times New Roman"/>
                <w:lang w:eastAsia="ko-KR" w:bidi="th-TH"/>
              </w:rPr>
              <w:t>B – Spawning stock biomass (SSB) in this assessment refers to mature female biomass only.</w:t>
            </w:r>
          </w:p>
        </w:tc>
      </w:tr>
    </w:tbl>
    <w:p w14:paraId="090D51F4" w14:textId="77777777" w:rsidR="003216BE" w:rsidRDefault="003216BE" w:rsidP="009C2ADD">
      <w:pPr>
        <w:adjustRightInd w:val="0"/>
        <w:snapToGrid w:val="0"/>
        <w:spacing w:after="0"/>
        <w:rPr>
          <w:rFonts w:ascii="Times New Roman" w:eastAsia="바탕" w:hAnsi="Times New Roman"/>
          <w:b/>
          <w:lang w:eastAsia="ko-KR"/>
        </w:rPr>
      </w:pPr>
    </w:p>
    <w:p w14:paraId="1D023E7D" w14:textId="77777777" w:rsidR="003216BE" w:rsidRPr="009C2ADD" w:rsidRDefault="003216BE" w:rsidP="009C2ADD">
      <w:pPr>
        <w:adjustRightInd w:val="0"/>
        <w:snapToGrid w:val="0"/>
        <w:spacing w:after="0"/>
        <w:rPr>
          <w:rFonts w:ascii="Times New Roman" w:eastAsia="바탕" w:hAnsi="Times New Roman"/>
          <w:b/>
          <w:lang w:eastAsia="ko-KR"/>
        </w:rPr>
      </w:pPr>
    </w:p>
    <w:p w14:paraId="7D27CCCA" w14:textId="4268B2FB" w:rsidR="002C205C" w:rsidRPr="009C2ADD" w:rsidRDefault="002C205C" w:rsidP="00766C07">
      <w:pPr>
        <w:pStyle w:val="ListParagraph"/>
        <w:numPr>
          <w:ilvl w:val="0"/>
          <w:numId w:val="190"/>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 xml:space="preserve">Management advice and implications </w:t>
      </w:r>
    </w:p>
    <w:p w14:paraId="7AE84C01" w14:textId="77777777" w:rsidR="002C205C" w:rsidRPr="009C2ADD" w:rsidRDefault="002C205C" w:rsidP="009C2ADD">
      <w:pPr>
        <w:adjustRightInd w:val="0"/>
        <w:snapToGrid w:val="0"/>
        <w:spacing w:after="0"/>
        <w:rPr>
          <w:rFonts w:ascii="Times New Roman" w:eastAsia="맑은 고딕" w:hAnsi="Times New Roman"/>
          <w:lang w:eastAsia="ko-KR"/>
        </w:rPr>
      </w:pPr>
    </w:p>
    <w:p w14:paraId="3CB8AE7C" w14:textId="77777777" w:rsidR="002C205C" w:rsidRPr="00007081" w:rsidRDefault="002C205C" w:rsidP="009C2ADD">
      <w:pPr>
        <w:numPr>
          <w:ilvl w:val="0"/>
          <w:numId w:val="1"/>
        </w:numPr>
        <w:autoSpaceDE w:val="0"/>
        <w:autoSpaceDN w:val="0"/>
        <w:adjustRightInd w:val="0"/>
        <w:snapToGrid w:val="0"/>
        <w:spacing w:after="0"/>
        <w:ind w:left="0" w:firstLine="0"/>
        <w:rPr>
          <w:rFonts w:ascii="Times New Roman" w:hAnsi="Times New Roman"/>
          <w:b/>
          <w:bCs/>
          <w:lang w:val="en-AU"/>
        </w:rPr>
      </w:pPr>
      <w:r w:rsidRPr="00007081">
        <w:rPr>
          <w:rFonts w:ascii="Times New Roman" w:hAnsi="Times New Roman"/>
          <w:b/>
          <w:bCs/>
          <w:lang w:val="en-AU"/>
        </w:rPr>
        <w:t>SC13 noted the following conservation information from the ISC.</w:t>
      </w:r>
    </w:p>
    <w:p w14:paraId="4C4E316F" w14:textId="77777777" w:rsidR="00586577" w:rsidRPr="009C2ADD" w:rsidRDefault="00586577" w:rsidP="009C2ADD">
      <w:pPr>
        <w:autoSpaceDE w:val="0"/>
        <w:autoSpaceDN w:val="0"/>
        <w:adjustRightInd w:val="0"/>
        <w:snapToGrid w:val="0"/>
        <w:spacing w:after="0"/>
        <w:rPr>
          <w:rFonts w:ascii="Times New Roman" w:hAnsi="Times New Roman"/>
          <w:lang w:val="en-AU"/>
        </w:rPr>
      </w:pPr>
    </w:p>
    <w:p w14:paraId="0350BEB1" w14:textId="7AC00420" w:rsidR="009927B2" w:rsidRPr="0087299A" w:rsidRDefault="009927B2" w:rsidP="00971647">
      <w:pPr>
        <w:numPr>
          <w:ilvl w:val="0"/>
          <w:numId w:val="1"/>
        </w:numPr>
        <w:autoSpaceDE w:val="0"/>
        <w:autoSpaceDN w:val="0"/>
        <w:adjustRightInd w:val="0"/>
        <w:snapToGrid w:val="0"/>
        <w:spacing w:after="0"/>
        <w:ind w:left="0" w:firstLine="0"/>
        <w:rPr>
          <w:rFonts w:ascii="Times New Roman" w:hAnsi="Times New Roman"/>
          <w:lang w:eastAsia="ko-KR"/>
        </w:rPr>
      </w:pPr>
      <w:r w:rsidRPr="0087299A">
        <w:rPr>
          <w:rFonts w:ascii="Times New Roman" w:hAnsi="Times New Roman"/>
        </w:rPr>
        <w:t>Two harvest scenarios were projected to evaluate impacts on future female SSB: F at the 2012-2014 rate over 10 years (F</w:t>
      </w:r>
      <w:r w:rsidRPr="0087299A">
        <w:rPr>
          <w:rFonts w:ascii="Times New Roman" w:hAnsi="Times New Roman"/>
          <w:vertAlign w:val="subscript"/>
        </w:rPr>
        <w:t>2012-2014</w:t>
      </w:r>
      <w:r w:rsidRPr="0087299A">
        <w:rPr>
          <w:rFonts w:ascii="Times New Roman" w:hAnsi="Times New Roman"/>
        </w:rPr>
        <w:t>) and constant catch</w:t>
      </w:r>
      <w:r w:rsidRPr="00644BAC">
        <w:rPr>
          <w:rStyle w:val="FootnoteReference"/>
          <w:rFonts w:ascii="Times New Roman" w:hAnsi="Times New Roman"/>
        </w:rPr>
        <w:footnoteReference w:id="4"/>
      </w:r>
      <w:r w:rsidRPr="0087299A">
        <w:rPr>
          <w:rFonts w:ascii="Times New Roman" w:hAnsi="Times New Roman"/>
        </w:rPr>
        <w:t xml:space="preserve"> (average of 2010-2014 = 82,432 </w:t>
      </w:r>
      <w:r w:rsidRPr="0087299A">
        <w:rPr>
          <w:rFonts w:ascii="Times New Roman" w:eastAsia="맑은 고딕" w:hAnsi="Times New Roman" w:hint="eastAsia"/>
          <w:lang w:eastAsia="ko-KR"/>
        </w:rPr>
        <w:t>m</w:t>
      </w:r>
      <w:r w:rsidRPr="0087299A">
        <w:rPr>
          <w:rFonts w:ascii="Times New Roman" w:hAnsi="Times New Roman"/>
        </w:rPr>
        <w:t xml:space="preserve">t) over 10 years. Median female SSB is expected to decline to 63,483 </w:t>
      </w:r>
      <w:r w:rsidRPr="0087299A">
        <w:rPr>
          <w:rFonts w:ascii="Times New Roman" w:eastAsia="맑은 고딕" w:hAnsi="Times New Roman" w:hint="eastAsia"/>
          <w:lang w:eastAsia="ko-KR"/>
        </w:rPr>
        <w:t>m</w:t>
      </w:r>
      <w:r w:rsidRPr="0087299A">
        <w:rPr>
          <w:rFonts w:ascii="Times New Roman" w:hAnsi="Times New Roman"/>
        </w:rPr>
        <w:t xml:space="preserve">t (95% CI: 36,046 - 90,921 </w:t>
      </w:r>
      <w:r w:rsidRPr="0087299A">
        <w:rPr>
          <w:rFonts w:ascii="Times New Roman" w:eastAsia="맑은 고딕" w:hAnsi="Times New Roman" w:hint="eastAsia"/>
          <w:lang w:eastAsia="ko-KR"/>
        </w:rPr>
        <w:t>m</w:t>
      </w:r>
      <w:r w:rsidRPr="0087299A">
        <w:rPr>
          <w:rFonts w:ascii="Times New Roman" w:hAnsi="Times New Roman"/>
        </w:rPr>
        <w:t>t) by 2025, with a 0.2 and &lt;0.01 % probability of being below the LRP by 2020 and 2025, respectively, if fishing intensity remains at the 2012-2014 level</w:t>
      </w:r>
      <w:r w:rsidRPr="00644BAC">
        <w:rPr>
          <w:rStyle w:val="FootnoteReference"/>
          <w:rFonts w:ascii="Times New Roman" w:hAnsi="Times New Roman"/>
        </w:rPr>
        <w:footnoteReference w:id="5"/>
      </w:r>
      <w:r w:rsidRPr="0087299A">
        <w:rPr>
          <w:rFonts w:ascii="Times New Roman" w:hAnsi="Times New Roman"/>
        </w:rPr>
        <w:t xml:space="preserve"> (Figure </w:t>
      </w:r>
      <w:r w:rsidRPr="0087299A">
        <w:rPr>
          <w:rFonts w:ascii="Times New Roman" w:eastAsia="맑은 고딕" w:hAnsi="Times New Roman" w:hint="eastAsia"/>
          <w:lang w:eastAsia="ko-KR"/>
        </w:rPr>
        <w:t>NPALB-2</w:t>
      </w:r>
      <w:r w:rsidRPr="0087299A">
        <w:rPr>
          <w:rFonts w:ascii="Times New Roman" w:hAnsi="Times New Roman"/>
        </w:rPr>
        <w:t xml:space="preserve">). In contrast, employing the constant catch harvest scenario is expected to reduce female SSB to 47,591 t (95% CI: 5,223 - 89,958 t) by 2025 and increases the probability that female SSB will be below the LRP to about 3.5 and 30 % in 2020 and 2025, respectively (Figure </w:t>
      </w:r>
      <w:r w:rsidRPr="0087299A">
        <w:rPr>
          <w:rFonts w:ascii="Times New Roman" w:eastAsia="맑은 고딕" w:hAnsi="Times New Roman" w:hint="eastAsia"/>
          <w:lang w:eastAsia="ko-KR"/>
        </w:rPr>
        <w:t>NPALB-3</w:t>
      </w:r>
      <w:r w:rsidRPr="0087299A">
        <w:rPr>
          <w:rFonts w:ascii="Times New Roman" w:hAnsi="Times New Roman"/>
        </w:rPr>
        <w:t>). In addition, as biomass declines during the projection period the fishing intensity approximately doubles by 2025. The probabilities of declining below the LRP in both harvest scenarios are likely higher in the future because projection results did not capture the full envelope of uncerta</w:t>
      </w:r>
      <w:r w:rsidR="00644BAC" w:rsidRPr="0087299A">
        <w:rPr>
          <w:rFonts w:ascii="Times New Roman" w:hAnsi="Times New Roman"/>
        </w:rPr>
        <w:t xml:space="preserve">inty. </w:t>
      </w:r>
      <w:r w:rsidRPr="0087299A">
        <w:rPr>
          <w:rFonts w:ascii="Times New Roman" w:hAnsi="Times New Roman"/>
        </w:rPr>
        <w:t xml:space="preserve">The ALBWG notes that the lack of sex-specific size data, uncertainty in growth and natural mortality, and the simplified treatment of the spatial structure of </w:t>
      </w:r>
      <w:r w:rsidRPr="0087299A">
        <w:rPr>
          <w:rFonts w:ascii="Times New Roman" w:eastAsia="맑은 고딕" w:hAnsi="Times New Roman" w:hint="eastAsia"/>
          <w:lang w:eastAsia="ko-KR"/>
        </w:rPr>
        <w:t>N</w:t>
      </w:r>
      <w:r w:rsidRPr="0087299A">
        <w:rPr>
          <w:rFonts w:ascii="Times New Roman" w:hAnsi="Times New Roman"/>
        </w:rPr>
        <w:t>orth Pacific albacore population dynamics are important sources of uncertainty in the assessment.</w:t>
      </w:r>
      <w:r w:rsidR="0087299A" w:rsidRPr="0087299A">
        <w:rPr>
          <w:rFonts w:ascii="Times New Roman" w:hAnsi="Times New Roman"/>
        </w:rPr>
        <w:t xml:space="preserve"> </w:t>
      </w:r>
      <w:r w:rsidRPr="0087299A">
        <w:rPr>
          <w:rFonts w:ascii="Times New Roman" w:hAnsi="Times New Roman"/>
        </w:rPr>
        <w:t>Based on these findings, the following information is provided:</w:t>
      </w:r>
    </w:p>
    <w:p w14:paraId="77A242D9" w14:textId="77777777" w:rsidR="009927B2" w:rsidRPr="00644BAC" w:rsidRDefault="009927B2" w:rsidP="009927B2">
      <w:pPr>
        <w:pStyle w:val="Default"/>
        <w:numPr>
          <w:ilvl w:val="0"/>
          <w:numId w:val="198"/>
        </w:numPr>
        <w:adjustRightInd w:val="0"/>
        <w:snapToGrid w:val="0"/>
        <w:jc w:val="left"/>
        <w:rPr>
          <w:rFonts w:ascii="Times New Roman" w:hAnsi="Times New Roman" w:cs="Times New Roman"/>
          <w:sz w:val="22"/>
          <w:szCs w:val="22"/>
        </w:rPr>
      </w:pPr>
      <w:r w:rsidRPr="00644BAC">
        <w:rPr>
          <w:rFonts w:ascii="Times New Roman" w:hAnsi="Times New Roman" w:cs="Times New Roman"/>
          <w:sz w:val="22"/>
          <w:szCs w:val="22"/>
        </w:rPr>
        <w:t>If a constant fishing intensity (F</w:t>
      </w:r>
      <w:r w:rsidRPr="00644BAC">
        <w:rPr>
          <w:rFonts w:ascii="Times New Roman" w:hAnsi="Times New Roman" w:cs="Times New Roman"/>
          <w:sz w:val="22"/>
          <w:szCs w:val="22"/>
          <w:vertAlign w:val="subscript"/>
        </w:rPr>
        <w:t>2012-2014</w:t>
      </w:r>
      <w:r w:rsidRPr="00644BAC">
        <w:rPr>
          <w:rFonts w:ascii="Times New Roman" w:hAnsi="Times New Roman" w:cs="Times New Roman"/>
          <w:sz w:val="22"/>
          <w:szCs w:val="22"/>
        </w:rPr>
        <w:t xml:space="preserve">) is applied to the stock, then median female spawning biomass is expected to undergo a moderate decline, with a &lt; 0.01% probability of falling below the limit reference point established by the WCPFC by 2025. However, expected catches in this scenario will be below the recent average catch level for this stock. </w:t>
      </w:r>
    </w:p>
    <w:p w14:paraId="3480A1EA" w14:textId="77777777" w:rsidR="009927B2" w:rsidRPr="00644BAC" w:rsidRDefault="009927B2" w:rsidP="009927B2">
      <w:pPr>
        <w:pStyle w:val="ListParagraph"/>
        <w:numPr>
          <w:ilvl w:val="0"/>
          <w:numId w:val="198"/>
        </w:numPr>
        <w:adjustRightInd w:val="0"/>
        <w:snapToGrid w:val="0"/>
        <w:rPr>
          <w:rFonts w:ascii="Times New Roman" w:eastAsia="맑은 고딕" w:hAnsi="Times New Roman"/>
          <w:lang w:eastAsia="ko-KR"/>
        </w:rPr>
      </w:pPr>
      <w:r w:rsidRPr="00644BAC">
        <w:rPr>
          <w:rFonts w:ascii="Times New Roman" w:hAnsi="Times New Roman"/>
        </w:rPr>
        <w:t>If a constant average catch (C</w:t>
      </w:r>
      <w:r w:rsidRPr="00644BAC">
        <w:rPr>
          <w:rFonts w:ascii="Times New Roman" w:hAnsi="Times New Roman"/>
          <w:vertAlign w:val="subscript"/>
        </w:rPr>
        <w:t>2010-2014</w:t>
      </w:r>
      <w:r w:rsidRPr="00644BAC">
        <w:rPr>
          <w:rFonts w:ascii="Times New Roman" w:hAnsi="Times New Roman"/>
        </w:rPr>
        <w:t xml:space="preserve"> = 82,432 </w:t>
      </w:r>
      <w:r w:rsidRPr="00644BAC">
        <w:rPr>
          <w:rFonts w:ascii="Times New Roman" w:eastAsia="맑은 고딕" w:hAnsi="Times New Roman" w:hint="eastAsia"/>
          <w:lang w:eastAsia="ko-KR"/>
        </w:rPr>
        <w:t>m</w:t>
      </w:r>
      <w:r w:rsidRPr="00644BAC">
        <w:rPr>
          <w:rFonts w:ascii="Times New Roman" w:hAnsi="Times New Roman"/>
        </w:rPr>
        <w:t>t) is removed from the stock in the future, then the decline in median female spawning biomass will be greater than in the constant F intensity scenario and the probability that SSB falls below the LRP will be greater by 2025 (30%). Additionally, the estimated fishing intensity will double relative to the current level (F</w:t>
      </w:r>
      <w:r w:rsidRPr="00644BAC">
        <w:rPr>
          <w:rFonts w:ascii="Times New Roman" w:hAnsi="Times New Roman"/>
          <w:vertAlign w:val="subscript"/>
        </w:rPr>
        <w:t>2012-2014</w:t>
      </w:r>
      <w:r w:rsidRPr="00644BAC">
        <w:rPr>
          <w:rFonts w:ascii="Times New Roman" w:hAnsi="Times New Roman"/>
        </w:rPr>
        <w:t>) by 2025 as spawning biomass declines.</w:t>
      </w:r>
    </w:p>
    <w:p w14:paraId="48E5F6F4" w14:textId="77777777" w:rsidR="009927B2" w:rsidRDefault="009927B2" w:rsidP="00971647">
      <w:pPr>
        <w:autoSpaceDE w:val="0"/>
        <w:autoSpaceDN w:val="0"/>
        <w:adjustRightInd w:val="0"/>
        <w:snapToGrid w:val="0"/>
        <w:spacing w:after="0"/>
        <w:rPr>
          <w:rFonts w:ascii="Times New Roman" w:hAnsi="Times New Roman"/>
          <w:lang w:val="en-AU" w:eastAsia="ko-KR"/>
        </w:rPr>
      </w:pPr>
    </w:p>
    <w:p w14:paraId="45D067C6" w14:textId="064DB278" w:rsidR="009927B2" w:rsidRDefault="00D04F86" w:rsidP="00644BAC">
      <w:pPr>
        <w:autoSpaceDE w:val="0"/>
        <w:autoSpaceDN w:val="0"/>
        <w:adjustRightInd w:val="0"/>
        <w:snapToGrid w:val="0"/>
        <w:spacing w:after="0"/>
        <w:jc w:val="center"/>
        <w:rPr>
          <w:rFonts w:ascii="Times New Roman" w:hAnsi="Times New Roman"/>
          <w:lang w:val="en-AU" w:eastAsia="ko-KR"/>
        </w:rPr>
      </w:pPr>
      <w:r>
        <w:rPr>
          <w:rFonts w:ascii="Times New Roman" w:hAnsi="Times New Roman" w:hint="eastAsia"/>
          <w:noProof/>
          <w:lang w:val="en-US" w:eastAsia="ko-KR"/>
        </w:rPr>
        <w:drawing>
          <wp:inline distT="0" distB="0" distL="0" distR="0" wp14:anchorId="6DC46A27" wp14:editId="75346E56">
            <wp:extent cx="3691481" cy="2475186"/>
            <wp:effectExtent l="0" t="0" r="4445"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2.jpg"/>
                    <pic:cNvPicPr/>
                  </pic:nvPicPr>
                  <pic:blipFill>
                    <a:blip r:embed="rId41">
                      <a:extLst>
                        <a:ext uri="{28A0092B-C50C-407E-A947-70E740481C1C}">
                          <a14:useLocalDpi xmlns:a14="http://schemas.microsoft.com/office/drawing/2010/main" val="0"/>
                        </a:ext>
                      </a:extLst>
                    </a:blip>
                    <a:stretch>
                      <a:fillRect/>
                    </a:stretch>
                  </pic:blipFill>
                  <pic:spPr>
                    <a:xfrm>
                      <a:off x="0" y="0"/>
                      <a:ext cx="3697580" cy="2479275"/>
                    </a:xfrm>
                    <a:prstGeom prst="rect">
                      <a:avLst/>
                    </a:prstGeom>
                  </pic:spPr>
                </pic:pic>
              </a:graphicData>
            </a:graphic>
          </wp:inline>
        </w:drawing>
      </w:r>
    </w:p>
    <w:p w14:paraId="0C62D68A" w14:textId="44DB3956" w:rsidR="009927B2" w:rsidRDefault="00D04F86" w:rsidP="00971647">
      <w:pPr>
        <w:autoSpaceDE w:val="0"/>
        <w:autoSpaceDN w:val="0"/>
        <w:adjustRightInd w:val="0"/>
        <w:snapToGrid w:val="0"/>
        <w:spacing w:after="0"/>
        <w:rPr>
          <w:rFonts w:ascii="Times New Roman" w:hAnsi="Times New Roman"/>
          <w:lang w:eastAsia="ko-KR"/>
        </w:rPr>
      </w:pPr>
      <w:r w:rsidRPr="00AE4455">
        <w:rPr>
          <w:rFonts w:ascii="Times New Roman" w:hAnsi="Times New Roman"/>
          <w:b/>
          <w:bCs/>
        </w:rPr>
        <w:t>Figure</w:t>
      </w:r>
      <w:r w:rsidRPr="00AE4455">
        <w:rPr>
          <w:rFonts w:ascii="Times New Roman" w:eastAsia="맑은 고딕" w:hAnsi="Times New Roman" w:hint="eastAsia"/>
          <w:b/>
          <w:bCs/>
          <w:lang w:eastAsia="ko-KR"/>
        </w:rPr>
        <w:t xml:space="preserve"> NPALB-2</w:t>
      </w:r>
      <w:r w:rsidRPr="00AE4455">
        <w:rPr>
          <w:rFonts w:ascii="Times New Roman" w:hAnsi="Times New Roman"/>
          <w:b/>
          <w:bCs/>
        </w:rPr>
        <w:t>.</w:t>
      </w:r>
      <w:r w:rsidRPr="00AE4455">
        <w:rPr>
          <w:rFonts w:ascii="Times New Roman" w:hAnsi="Times New Roman"/>
        </w:rPr>
        <w:t xml:space="preserve"> (A) Historical and future trajectory of </w:t>
      </w:r>
      <w:r>
        <w:rPr>
          <w:rFonts w:ascii="Times New Roman" w:eastAsia="맑은 고딕" w:hAnsi="Times New Roman" w:hint="eastAsia"/>
          <w:lang w:eastAsia="ko-KR"/>
        </w:rPr>
        <w:t>N</w:t>
      </w:r>
      <w:r w:rsidRPr="00AE4455">
        <w:rPr>
          <w:rFonts w:ascii="Times New Roman" w:hAnsi="Times New Roman"/>
        </w:rPr>
        <w:t>orth Pacific albacore (</w:t>
      </w:r>
      <w:r w:rsidRPr="00AE4455">
        <w:rPr>
          <w:rFonts w:ascii="Times New Roman" w:hAnsi="Times New Roman"/>
          <w:i/>
          <w:iCs/>
        </w:rPr>
        <w:t>Thunnus alalunga</w:t>
      </w:r>
      <w:r w:rsidRPr="00AE4455">
        <w:rPr>
          <w:rFonts w:ascii="Times New Roman" w:hAnsi="Times New Roman"/>
        </w:rPr>
        <w:t>) female spawning biomass (SSB) under a constant fishing intensity (F</w:t>
      </w:r>
      <w:r w:rsidRPr="00AE4455">
        <w:rPr>
          <w:rFonts w:ascii="Times New Roman" w:hAnsi="Times New Roman"/>
          <w:vertAlign w:val="subscript"/>
        </w:rPr>
        <w:t>2012-2014</w:t>
      </w:r>
      <w:r w:rsidRPr="00AE4455">
        <w:rPr>
          <w:rFonts w:ascii="Times New Roman" w:hAnsi="Times New Roman"/>
        </w:rPr>
        <w:t>) harvest scenario. Future recruitment was based on the expected recruitment variability and autocorrelation. Black line and blue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(B) Expected annual catch under a constant fishing intensity (F</w:t>
      </w:r>
      <w:r w:rsidRPr="00AE4455">
        <w:rPr>
          <w:rFonts w:ascii="Times New Roman" w:hAnsi="Times New Roman"/>
          <w:vertAlign w:val="subscript"/>
        </w:rPr>
        <w:t>2012-2014</w:t>
      </w:r>
      <w:r w:rsidRPr="00AE4455">
        <w:rPr>
          <w:rFonts w:ascii="Times New Roman" w:hAnsi="Times New Roman"/>
        </w:rPr>
        <w:t xml:space="preserve">) harvest scenario (2016-2025). The red line is the current average catch (2010-2014 = 82,432 </w:t>
      </w:r>
      <w:r>
        <w:rPr>
          <w:rFonts w:ascii="Times New Roman" w:eastAsia="맑은 고딕" w:hAnsi="Times New Roman" w:hint="eastAsia"/>
          <w:lang w:eastAsia="ko-KR"/>
        </w:rPr>
        <w:t>m</w:t>
      </w:r>
      <w:r w:rsidRPr="00AE4455">
        <w:rPr>
          <w:rFonts w:ascii="Times New Roman" w:hAnsi="Times New Roman"/>
        </w:rPr>
        <w:t>t).</w:t>
      </w:r>
    </w:p>
    <w:p w14:paraId="29337E39" w14:textId="77777777" w:rsidR="00D04F86" w:rsidRDefault="00D04F86" w:rsidP="00971647">
      <w:pPr>
        <w:autoSpaceDE w:val="0"/>
        <w:autoSpaceDN w:val="0"/>
        <w:adjustRightInd w:val="0"/>
        <w:snapToGrid w:val="0"/>
        <w:spacing w:after="0"/>
        <w:rPr>
          <w:rFonts w:ascii="Times New Roman" w:hAnsi="Times New Roman"/>
          <w:lang w:eastAsia="ko-KR"/>
        </w:rPr>
      </w:pPr>
    </w:p>
    <w:p w14:paraId="377E0C5A" w14:textId="6EE89EDB" w:rsidR="00D04F86" w:rsidRDefault="00D04F86" w:rsidP="00644BAC">
      <w:pPr>
        <w:autoSpaceDE w:val="0"/>
        <w:autoSpaceDN w:val="0"/>
        <w:adjustRightInd w:val="0"/>
        <w:snapToGrid w:val="0"/>
        <w:spacing w:after="0"/>
        <w:jc w:val="center"/>
        <w:rPr>
          <w:rFonts w:ascii="Times New Roman" w:hAnsi="Times New Roman"/>
          <w:lang w:val="en-AU" w:eastAsia="ko-KR"/>
        </w:rPr>
      </w:pPr>
      <w:r>
        <w:rPr>
          <w:rFonts w:ascii="Times New Roman" w:hAnsi="Times New Roman" w:hint="eastAsia"/>
          <w:noProof/>
          <w:lang w:val="en-US" w:eastAsia="ko-KR"/>
        </w:rPr>
        <w:drawing>
          <wp:inline distT="0" distB="0" distL="0" distR="0" wp14:anchorId="6D232E9E" wp14:editId="62A83C5C">
            <wp:extent cx="3704896" cy="2515054"/>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ALB-3.jpg"/>
                    <pic:cNvPicPr/>
                  </pic:nvPicPr>
                  <pic:blipFill>
                    <a:blip r:embed="rId42">
                      <a:extLst>
                        <a:ext uri="{28A0092B-C50C-407E-A947-70E740481C1C}">
                          <a14:useLocalDpi xmlns:a14="http://schemas.microsoft.com/office/drawing/2010/main" val="0"/>
                        </a:ext>
                      </a:extLst>
                    </a:blip>
                    <a:stretch>
                      <a:fillRect/>
                    </a:stretch>
                  </pic:blipFill>
                  <pic:spPr>
                    <a:xfrm>
                      <a:off x="0" y="0"/>
                      <a:ext cx="3703410" cy="2514046"/>
                    </a:xfrm>
                    <a:prstGeom prst="rect">
                      <a:avLst/>
                    </a:prstGeom>
                  </pic:spPr>
                </pic:pic>
              </a:graphicData>
            </a:graphic>
          </wp:inline>
        </w:drawing>
      </w:r>
    </w:p>
    <w:p w14:paraId="7850C1EB" w14:textId="4D2C5F36" w:rsidR="00D04F86" w:rsidRDefault="00D04F86" w:rsidP="00971647">
      <w:pPr>
        <w:autoSpaceDE w:val="0"/>
        <w:autoSpaceDN w:val="0"/>
        <w:adjustRightInd w:val="0"/>
        <w:snapToGrid w:val="0"/>
        <w:spacing w:after="0"/>
        <w:rPr>
          <w:rFonts w:ascii="Times New Roman" w:hAnsi="Times New Roman"/>
          <w:lang w:val="en-AU" w:eastAsia="ko-KR"/>
        </w:rPr>
      </w:pPr>
      <w:r w:rsidRPr="00AE4455">
        <w:rPr>
          <w:rFonts w:ascii="Times New Roman" w:hAnsi="Times New Roman"/>
          <w:b/>
          <w:bCs/>
        </w:rPr>
        <w:t xml:space="preserve">Figure </w:t>
      </w:r>
      <w:r w:rsidRPr="00AE4455">
        <w:rPr>
          <w:rFonts w:ascii="Times New Roman" w:eastAsia="맑은 고딕" w:hAnsi="Times New Roman" w:hint="eastAsia"/>
          <w:b/>
          <w:bCs/>
          <w:lang w:eastAsia="ko-KR"/>
        </w:rPr>
        <w:t>NPALB-3</w:t>
      </w:r>
      <w:r w:rsidRPr="00AE4455">
        <w:rPr>
          <w:rFonts w:ascii="Times New Roman" w:hAnsi="Times New Roman"/>
          <w:b/>
          <w:bCs/>
        </w:rPr>
        <w:t>.</w:t>
      </w:r>
      <w:r w:rsidRPr="00AE4455">
        <w:rPr>
          <w:rFonts w:ascii="Times New Roman" w:hAnsi="Times New Roman"/>
        </w:rPr>
        <w:t xml:space="preserve"> (A) Histo</w:t>
      </w:r>
      <w:r>
        <w:rPr>
          <w:rFonts w:ascii="Times New Roman" w:hAnsi="Times New Roman"/>
        </w:rPr>
        <w:t xml:space="preserve">rical and future trajectory of </w:t>
      </w:r>
      <w:r>
        <w:rPr>
          <w:rFonts w:ascii="Times New Roman" w:eastAsia="맑은 고딕" w:hAnsi="Times New Roman" w:hint="eastAsia"/>
          <w:lang w:eastAsia="ko-KR"/>
        </w:rPr>
        <w:t>N</w:t>
      </w:r>
      <w:r w:rsidRPr="00AE4455">
        <w:rPr>
          <w:rFonts w:ascii="Times New Roman" w:hAnsi="Times New Roman"/>
        </w:rPr>
        <w:t>orth Pacific albacore (</w:t>
      </w:r>
      <w:r w:rsidRPr="00AE4455">
        <w:rPr>
          <w:rFonts w:ascii="Times New Roman" w:hAnsi="Times New Roman"/>
          <w:i/>
          <w:iCs/>
        </w:rPr>
        <w:t>Thunnus alalunga</w:t>
      </w:r>
      <w:r w:rsidRPr="00AE4455">
        <w:rPr>
          <w:rFonts w:ascii="Times New Roman" w:hAnsi="Times New Roman"/>
        </w:rPr>
        <w:t xml:space="preserve">) female spawning biomass (SSB) under a constant catch (average 2010-2014 = 82,432 </w:t>
      </w:r>
      <w:r>
        <w:rPr>
          <w:rFonts w:ascii="Times New Roman" w:eastAsia="맑은 고딕" w:hAnsi="Times New Roman" w:hint="eastAsia"/>
          <w:lang w:eastAsia="ko-KR"/>
        </w:rPr>
        <w:t>m</w:t>
      </w:r>
      <w:r w:rsidRPr="00AE4455">
        <w:rPr>
          <w:rFonts w:ascii="Times New Roman" w:hAnsi="Times New Roman"/>
        </w:rPr>
        <w:t>t) harvest scenario. Future recruitment was based on the expected recruitment variability and autocorrelation. Dashed line indicates the average limit reference point threshold for 2012-2014. Black line and blue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(B) Projected fishing intensity relative to the current fishing intensity (2012-2014) (red line) under a constant catch scenario (average 2010-2014).</w:t>
      </w:r>
    </w:p>
    <w:p w14:paraId="3DDF8C74" w14:textId="16B159AA" w:rsidR="003216BE" w:rsidRDefault="003216BE" w:rsidP="009C2ADD">
      <w:pPr>
        <w:adjustRightInd w:val="0"/>
        <w:snapToGrid w:val="0"/>
        <w:spacing w:after="0"/>
        <w:rPr>
          <w:rFonts w:ascii="Times New Roman" w:hAnsi="Times New Roman"/>
          <w:lang w:eastAsia="ko-KR"/>
        </w:rPr>
      </w:pPr>
    </w:p>
    <w:p w14:paraId="2CC9987D" w14:textId="77777777" w:rsidR="003216BE" w:rsidRDefault="003216BE">
      <w:pPr>
        <w:spacing w:after="0"/>
        <w:jc w:val="left"/>
        <w:rPr>
          <w:rFonts w:ascii="Times New Roman" w:hAnsi="Times New Roman"/>
          <w:lang w:eastAsia="ko-KR"/>
        </w:rPr>
      </w:pPr>
      <w:r>
        <w:rPr>
          <w:rFonts w:ascii="Times New Roman" w:hAnsi="Times New Roman"/>
          <w:lang w:eastAsia="ko-KR"/>
        </w:rPr>
        <w:br w:type="page"/>
      </w:r>
    </w:p>
    <w:p w14:paraId="5980A1DF" w14:textId="24DDA728" w:rsidR="002C205C" w:rsidRPr="009C2ADD" w:rsidRDefault="004F2F5A"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4.2.2 </w:t>
      </w:r>
      <w:r w:rsidR="00F36432" w:rsidRPr="009C2ADD">
        <w:rPr>
          <w:rFonts w:ascii="Times New Roman" w:eastAsia="바탕" w:hAnsi="Times New Roman" w:cs="Times New Roman"/>
          <w:lang w:eastAsia="ko-KR"/>
        </w:rPr>
        <w:tab/>
      </w:r>
      <w:r w:rsidR="002C205C" w:rsidRPr="009C2ADD">
        <w:rPr>
          <w:rFonts w:ascii="Times New Roman" w:eastAsia="바탕" w:hAnsi="Times New Roman" w:cs="Times New Roman"/>
          <w:lang w:eastAsia="ko-KR"/>
        </w:rPr>
        <w:t>Pacific bluefin tuna (</w:t>
      </w:r>
      <w:r w:rsidR="002C205C" w:rsidRPr="009C2ADD">
        <w:rPr>
          <w:rFonts w:ascii="Times New Roman" w:eastAsia="바탕" w:hAnsi="Times New Roman" w:cs="Times New Roman"/>
          <w:i/>
          <w:lang w:eastAsia="ko-KR"/>
        </w:rPr>
        <w:t>Thunnus orientalis</w:t>
      </w:r>
      <w:r w:rsidR="002C205C" w:rsidRPr="009C2ADD">
        <w:rPr>
          <w:rFonts w:ascii="Times New Roman" w:eastAsia="바탕" w:hAnsi="Times New Roman" w:cs="Times New Roman"/>
          <w:lang w:eastAsia="ko-KR"/>
        </w:rPr>
        <w:t xml:space="preserve">) </w:t>
      </w:r>
    </w:p>
    <w:p w14:paraId="63015BAB" w14:textId="77777777" w:rsidR="004F2F5A" w:rsidRPr="009C2ADD" w:rsidRDefault="004F2F5A" w:rsidP="009C2ADD">
      <w:pPr>
        <w:adjustRightInd w:val="0"/>
        <w:snapToGrid w:val="0"/>
        <w:spacing w:after="0"/>
        <w:ind w:left="720"/>
        <w:rPr>
          <w:rFonts w:ascii="Times New Roman" w:eastAsia="바탕" w:hAnsi="Times New Roman"/>
          <w:b/>
          <w:bCs/>
          <w:lang w:eastAsia="ko-KR"/>
        </w:rPr>
      </w:pPr>
    </w:p>
    <w:p w14:paraId="36CEBF01" w14:textId="66627821" w:rsidR="00872A54" w:rsidRPr="009C2ADD" w:rsidRDefault="00851B91"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4.2.2.1 </w:t>
      </w:r>
      <w:r w:rsidR="00F36432" w:rsidRPr="009C2ADD">
        <w:rPr>
          <w:rFonts w:ascii="Times New Roman" w:eastAsia="바탕" w:hAnsi="Times New Roman"/>
          <w:b/>
          <w:bCs/>
          <w:lang w:eastAsia="ko-KR"/>
        </w:rPr>
        <w:tab/>
      </w:r>
      <w:r w:rsidR="00872A54" w:rsidRPr="009C2ADD">
        <w:rPr>
          <w:rFonts w:ascii="Times New Roman" w:eastAsia="바탕" w:hAnsi="Times New Roman"/>
          <w:b/>
          <w:bCs/>
          <w:lang w:eastAsia="ko-KR"/>
        </w:rPr>
        <w:t>Review of research and information</w:t>
      </w:r>
    </w:p>
    <w:p w14:paraId="056D4B38" w14:textId="77777777" w:rsidR="00D537A1" w:rsidRPr="009C2ADD" w:rsidRDefault="00D537A1" w:rsidP="009C2ADD">
      <w:pPr>
        <w:adjustRightInd w:val="0"/>
        <w:snapToGrid w:val="0"/>
        <w:spacing w:after="0"/>
        <w:rPr>
          <w:rFonts w:ascii="Times New Roman" w:eastAsia="바탕" w:hAnsi="Times New Roman"/>
          <w:b/>
          <w:bCs/>
          <w:lang w:eastAsia="ko-KR"/>
        </w:rPr>
      </w:pPr>
    </w:p>
    <w:p w14:paraId="34825EC8" w14:textId="77777777"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last stock assessment was conducted in 2016. No updated information was presented on the status of Pacific bluefin tuna.</w:t>
      </w:r>
    </w:p>
    <w:p w14:paraId="4CEB5180"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087AFB32" w14:textId="48C82FDF"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New Zealand noted that FFA members remained extremely concerned about the status of the Pacific bluefin tuna stock, noting the 2016 assessment concluded the spawning biomass was at just 2.6% of unfished levels, and that no updated information has been tabled at SC13. Given the very low status of t</w:t>
      </w:r>
      <w:r w:rsidR="009C216F" w:rsidRPr="009C2ADD">
        <w:rPr>
          <w:rFonts w:ascii="Times New Roman" w:hAnsi="Times New Roman"/>
          <w:lang w:val="en-AU"/>
        </w:rPr>
        <w:t>he stock, there was</w:t>
      </w:r>
      <w:r w:rsidRPr="009C2ADD">
        <w:rPr>
          <w:rFonts w:ascii="Times New Roman" w:hAnsi="Times New Roman"/>
          <w:lang w:val="en-AU"/>
        </w:rPr>
        <w:t xml:space="preserve"> a pressing need to formally implement </w:t>
      </w:r>
      <w:r w:rsidR="009C216F" w:rsidRPr="009C2ADD">
        <w:rPr>
          <w:rFonts w:ascii="Times New Roman" w:hAnsi="Times New Roman"/>
          <w:lang w:val="en-AU"/>
        </w:rPr>
        <w:t xml:space="preserve">a long-term rebuilding strategy. </w:t>
      </w:r>
      <w:r w:rsidRPr="009C2ADD">
        <w:rPr>
          <w:rFonts w:ascii="Times New Roman" w:hAnsi="Times New Roman"/>
          <w:lang w:val="en-AU"/>
        </w:rPr>
        <w:t xml:space="preserve">New Zealand noted that WCPFC 13 </w:t>
      </w:r>
      <w:r w:rsidR="009C216F" w:rsidRPr="009C2ADD">
        <w:rPr>
          <w:rFonts w:ascii="Times New Roman" w:hAnsi="Times New Roman"/>
          <w:lang w:val="en-AU"/>
        </w:rPr>
        <w:t xml:space="preserve">had </w:t>
      </w:r>
      <w:r w:rsidRPr="009C2ADD">
        <w:rPr>
          <w:rFonts w:ascii="Times New Roman" w:hAnsi="Times New Roman"/>
          <w:lang w:val="en-AU"/>
        </w:rPr>
        <w:t>requested that the Northern Committee develop a conservation and management measure for adoption at WCPFC 14 to rebuild the stock to 20% of unfished levels at the latest by 2034. It would be appropriate for the SC to provide advice to W</w:t>
      </w:r>
      <w:r w:rsidR="009C216F" w:rsidRPr="009C2ADD">
        <w:rPr>
          <w:rFonts w:ascii="Times New Roman" w:hAnsi="Times New Roman"/>
          <w:lang w:val="en-AU"/>
        </w:rPr>
        <w:t>CPFC on whether a proposed CMM was</w:t>
      </w:r>
      <w:r w:rsidRPr="009C2ADD">
        <w:rPr>
          <w:rFonts w:ascii="Times New Roman" w:hAnsi="Times New Roman"/>
          <w:lang w:val="en-AU"/>
        </w:rPr>
        <w:t xml:space="preserve"> likely to achieve the necessary rebuilding of the stock, but in the absence of any updated information or an outline of the draft rebuilding plan, </w:t>
      </w:r>
      <w:r w:rsidR="009C216F" w:rsidRPr="009C2ADD">
        <w:rPr>
          <w:rFonts w:ascii="Times New Roman" w:hAnsi="Times New Roman"/>
          <w:lang w:val="en-AU"/>
        </w:rPr>
        <w:t xml:space="preserve">the SC would be </w:t>
      </w:r>
      <w:r w:rsidRPr="009C2ADD">
        <w:rPr>
          <w:rFonts w:ascii="Times New Roman" w:hAnsi="Times New Roman"/>
          <w:lang w:val="en-AU"/>
        </w:rPr>
        <w:t xml:space="preserve">unable to provide such advice. As such, </w:t>
      </w:r>
      <w:r w:rsidR="009C216F" w:rsidRPr="009C2ADD">
        <w:rPr>
          <w:rFonts w:ascii="Times New Roman" w:hAnsi="Times New Roman"/>
          <w:lang w:val="en-AU"/>
        </w:rPr>
        <w:t xml:space="preserve">FFA members </w:t>
      </w:r>
      <w:r w:rsidRPr="009C2ADD">
        <w:rPr>
          <w:rFonts w:ascii="Times New Roman" w:hAnsi="Times New Roman"/>
          <w:lang w:val="en-AU"/>
        </w:rPr>
        <w:t>ask</w:t>
      </w:r>
      <w:r w:rsidR="009C216F" w:rsidRPr="009C2ADD">
        <w:rPr>
          <w:rFonts w:ascii="Times New Roman" w:hAnsi="Times New Roman"/>
          <w:lang w:val="en-AU"/>
        </w:rPr>
        <w:t>ed</w:t>
      </w:r>
      <w:r w:rsidRPr="009C2ADD">
        <w:rPr>
          <w:rFonts w:ascii="Times New Roman" w:hAnsi="Times New Roman"/>
          <w:lang w:val="en-AU"/>
        </w:rPr>
        <w:t xml:space="preserve"> that the scientific committee be provided with a report on the current status of the stock by a representative of the Northern committee such that updated scientific advice </w:t>
      </w:r>
      <w:r w:rsidR="009C216F" w:rsidRPr="009C2ADD">
        <w:rPr>
          <w:rFonts w:ascii="Times New Roman" w:hAnsi="Times New Roman"/>
          <w:lang w:val="en-AU"/>
        </w:rPr>
        <w:t xml:space="preserve">could be provided </w:t>
      </w:r>
      <w:r w:rsidRPr="009C2ADD">
        <w:rPr>
          <w:rFonts w:ascii="Times New Roman" w:hAnsi="Times New Roman"/>
          <w:lang w:val="en-AU"/>
        </w:rPr>
        <w:t>to the Commission under this agenda item. WCPFC13 had also requested the ISC to define the meaning of a “drastic drop in recruitment” and the associated risks. FFA members wonder</w:t>
      </w:r>
      <w:r w:rsidR="009C216F" w:rsidRPr="009C2ADD">
        <w:rPr>
          <w:rFonts w:ascii="Times New Roman" w:hAnsi="Times New Roman"/>
          <w:lang w:val="en-AU"/>
        </w:rPr>
        <w:t>ed</w:t>
      </w:r>
      <w:r w:rsidR="00AB0561" w:rsidRPr="009C2ADD">
        <w:rPr>
          <w:rFonts w:ascii="Times New Roman" w:hAnsi="Times New Roman"/>
          <w:lang w:val="en-AU"/>
        </w:rPr>
        <w:t xml:space="preserve"> if this definition was</w:t>
      </w:r>
      <w:r w:rsidRPr="009C2ADD">
        <w:rPr>
          <w:rFonts w:ascii="Times New Roman" w:hAnsi="Times New Roman"/>
          <w:lang w:val="en-AU"/>
        </w:rPr>
        <w:t xml:space="preserve"> available yet, and how it might inform discussion of the emergency rule at NC13 later this month.</w:t>
      </w:r>
      <w:r w:rsidR="00FE57BD" w:rsidRPr="009C2ADD">
        <w:rPr>
          <w:rFonts w:ascii="Times New Roman" w:hAnsi="Times New Roman"/>
          <w:lang w:val="en-AU"/>
        </w:rPr>
        <w:t xml:space="preserve"> </w:t>
      </w:r>
      <w:r w:rsidRPr="009C2ADD">
        <w:rPr>
          <w:rFonts w:ascii="Times New Roman" w:hAnsi="Times New Roman"/>
          <w:lang w:val="en-AU"/>
        </w:rPr>
        <w:t xml:space="preserve">More broadly </w:t>
      </w:r>
      <w:r w:rsidR="009C216F" w:rsidRPr="009C2ADD">
        <w:rPr>
          <w:rFonts w:ascii="Times New Roman" w:hAnsi="Times New Roman"/>
          <w:lang w:val="en-AU"/>
        </w:rPr>
        <w:t xml:space="preserve">FFA members noted their concern that the Northern Committee had </w:t>
      </w:r>
      <w:r w:rsidRPr="009C2ADD">
        <w:rPr>
          <w:rFonts w:ascii="Times New Roman" w:hAnsi="Times New Roman"/>
          <w:lang w:val="en-AU"/>
        </w:rPr>
        <w:t>not provided updated information about this critically overfis</w:t>
      </w:r>
      <w:r w:rsidR="009C216F" w:rsidRPr="009C2ADD">
        <w:rPr>
          <w:rFonts w:ascii="Times New Roman" w:hAnsi="Times New Roman"/>
          <w:lang w:val="en-AU"/>
        </w:rPr>
        <w:t>hed stock to the SC. While ISC wa</w:t>
      </w:r>
      <w:r w:rsidRPr="009C2ADD">
        <w:rPr>
          <w:rFonts w:ascii="Times New Roman" w:hAnsi="Times New Roman"/>
          <w:lang w:val="en-AU"/>
        </w:rPr>
        <w:t xml:space="preserve">s the scientific provider to the NC, </w:t>
      </w:r>
      <w:r w:rsidR="009C216F" w:rsidRPr="009C2ADD">
        <w:rPr>
          <w:rFonts w:ascii="Times New Roman" w:hAnsi="Times New Roman"/>
          <w:lang w:val="en-AU"/>
        </w:rPr>
        <w:t xml:space="preserve">the WCPFC Scientific </w:t>
      </w:r>
      <w:r w:rsidR="0064346A">
        <w:rPr>
          <w:rFonts w:ascii="Times New Roman" w:hAnsi="Times New Roman" w:hint="eastAsia"/>
          <w:lang w:val="en-AU" w:eastAsia="ko-KR"/>
        </w:rPr>
        <w:t>C</w:t>
      </w:r>
      <w:r w:rsidR="009C216F" w:rsidRPr="009C2ADD">
        <w:rPr>
          <w:rFonts w:ascii="Times New Roman" w:hAnsi="Times New Roman"/>
          <w:lang w:val="en-AU"/>
        </w:rPr>
        <w:t>ommittee wa</w:t>
      </w:r>
      <w:r w:rsidRPr="009C2ADD">
        <w:rPr>
          <w:rFonts w:ascii="Times New Roman" w:hAnsi="Times New Roman"/>
          <w:lang w:val="en-AU"/>
        </w:rPr>
        <w:t>s responsible for providing scientific advice to the Commis</w:t>
      </w:r>
      <w:r w:rsidR="009C216F" w:rsidRPr="009C2ADD">
        <w:rPr>
          <w:rFonts w:ascii="Times New Roman" w:hAnsi="Times New Roman"/>
          <w:lang w:val="en-AU"/>
        </w:rPr>
        <w:t>sion on all</w:t>
      </w:r>
      <w:r w:rsidR="0064346A">
        <w:rPr>
          <w:rFonts w:ascii="Times New Roman" w:hAnsi="Times New Roman" w:hint="eastAsia"/>
          <w:lang w:val="en-AU" w:eastAsia="ko-KR"/>
        </w:rPr>
        <w:t xml:space="preserve"> </w:t>
      </w:r>
      <w:r w:rsidR="009C216F" w:rsidRPr="009C2ADD">
        <w:rPr>
          <w:rFonts w:ascii="Times New Roman" w:hAnsi="Times New Roman"/>
          <w:lang w:val="en-AU"/>
        </w:rPr>
        <w:t xml:space="preserve">of the stocks that </w:t>
      </w:r>
      <w:r w:rsidR="0064346A">
        <w:rPr>
          <w:rFonts w:ascii="Times New Roman" w:hAnsi="Times New Roman" w:hint="eastAsia"/>
          <w:lang w:val="en-AU" w:eastAsia="ko-KR"/>
        </w:rPr>
        <w:t>are</w:t>
      </w:r>
      <w:r w:rsidR="0064346A" w:rsidRPr="009C2ADD">
        <w:rPr>
          <w:rFonts w:ascii="Times New Roman" w:hAnsi="Times New Roman"/>
          <w:lang w:val="en-AU"/>
        </w:rPr>
        <w:t xml:space="preserve"> </w:t>
      </w:r>
      <w:r w:rsidRPr="009C2ADD">
        <w:rPr>
          <w:rFonts w:ascii="Times New Roman" w:hAnsi="Times New Roman"/>
          <w:lang w:val="en-AU"/>
        </w:rPr>
        <w:t xml:space="preserve">managed by the Commission. To support the functions of the SC, </w:t>
      </w:r>
      <w:r w:rsidR="009C216F" w:rsidRPr="009C2ADD">
        <w:rPr>
          <w:rFonts w:ascii="Times New Roman" w:hAnsi="Times New Roman"/>
          <w:lang w:val="en-AU"/>
        </w:rPr>
        <w:t>FFA members</w:t>
      </w:r>
      <w:r w:rsidRPr="009C2ADD">
        <w:rPr>
          <w:rFonts w:ascii="Times New Roman" w:hAnsi="Times New Roman"/>
          <w:lang w:val="en-AU"/>
        </w:rPr>
        <w:t xml:space="preserve"> suggest</w:t>
      </w:r>
      <w:r w:rsidR="009C216F" w:rsidRPr="009C2ADD">
        <w:rPr>
          <w:rFonts w:ascii="Times New Roman" w:hAnsi="Times New Roman"/>
          <w:lang w:val="en-AU"/>
        </w:rPr>
        <w:t>ed</w:t>
      </w:r>
      <w:r w:rsidRPr="009C2ADD">
        <w:rPr>
          <w:rFonts w:ascii="Times New Roman" w:hAnsi="Times New Roman"/>
          <w:lang w:val="en-AU"/>
        </w:rPr>
        <w:t xml:space="preserve"> that the Northern Committee should contract ISC to provide a brief annual indicator report to SC for all species it conducts assessments for. It would be valuable if this was presented in a similar format to the indicators report provided by SPC in </w:t>
      </w:r>
      <w:r w:rsidR="009C216F" w:rsidRPr="008078D7">
        <w:rPr>
          <w:rFonts w:ascii="Times New Roman" w:hAnsi="Times New Roman"/>
          <w:bCs/>
          <w:lang w:val="en-AU"/>
        </w:rPr>
        <w:t>SC13-</w:t>
      </w:r>
      <w:r w:rsidRPr="008078D7">
        <w:rPr>
          <w:rFonts w:ascii="Times New Roman" w:hAnsi="Times New Roman"/>
          <w:bCs/>
          <w:lang w:val="en-AU"/>
        </w:rPr>
        <w:t>SA-WP-02</w:t>
      </w:r>
      <w:r w:rsidRPr="009C2ADD">
        <w:rPr>
          <w:rFonts w:ascii="Times New Roman" w:hAnsi="Times New Roman"/>
          <w:lang w:val="en-AU"/>
        </w:rPr>
        <w:t xml:space="preserve">. </w:t>
      </w:r>
    </w:p>
    <w:p w14:paraId="7AA27124"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71036D26" w14:textId="42E15A40"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EU also </w:t>
      </w:r>
      <w:r w:rsidR="00AB0561" w:rsidRPr="009C2ADD">
        <w:rPr>
          <w:rFonts w:ascii="Times New Roman" w:hAnsi="Times New Roman"/>
          <w:lang w:val="en-AU"/>
        </w:rPr>
        <w:t xml:space="preserve">expressed its regrets that SC13 had not received any information </w:t>
      </w:r>
      <w:r w:rsidRPr="009C2ADD">
        <w:rPr>
          <w:rFonts w:ascii="Times New Roman" w:hAnsi="Times New Roman"/>
          <w:lang w:val="en-AU"/>
        </w:rPr>
        <w:t xml:space="preserve">about Pacific bluefin tuna given the extensive discussion </w:t>
      </w:r>
      <w:r w:rsidR="00AB0561" w:rsidRPr="009C2ADD">
        <w:rPr>
          <w:rFonts w:ascii="Times New Roman" w:hAnsi="Times New Roman"/>
          <w:lang w:val="en-AU"/>
        </w:rPr>
        <w:t xml:space="preserve">at SC12 and </w:t>
      </w:r>
      <w:r w:rsidR="00B33CDD">
        <w:rPr>
          <w:rFonts w:ascii="Times New Roman" w:hAnsi="Times New Roman"/>
          <w:lang w:val="en-AU"/>
        </w:rPr>
        <w:t xml:space="preserve">the </w:t>
      </w:r>
      <w:r w:rsidRPr="009C2ADD">
        <w:rPr>
          <w:rFonts w:ascii="Times New Roman" w:hAnsi="Times New Roman"/>
          <w:lang w:val="en-AU"/>
        </w:rPr>
        <w:t>work undertaken since</w:t>
      </w:r>
      <w:r w:rsidR="00B33CDD">
        <w:rPr>
          <w:rFonts w:ascii="Times New Roman" w:hAnsi="Times New Roman"/>
          <w:lang w:val="en-AU"/>
        </w:rPr>
        <w:t xml:space="preserve"> then</w:t>
      </w:r>
      <w:r w:rsidRPr="009C2ADD">
        <w:rPr>
          <w:rFonts w:ascii="Times New Roman" w:hAnsi="Times New Roman"/>
          <w:lang w:val="en-AU"/>
        </w:rPr>
        <w:t xml:space="preserve">, and </w:t>
      </w:r>
      <w:r w:rsidR="003C61E2">
        <w:rPr>
          <w:rFonts w:ascii="Times New Roman" w:hAnsi="Times New Roman"/>
          <w:lang w:val="en-AU"/>
        </w:rPr>
        <w:t>requested</w:t>
      </w:r>
      <w:r w:rsidR="003C61E2" w:rsidRPr="009C2ADD">
        <w:rPr>
          <w:rFonts w:ascii="Times New Roman" w:hAnsi="Times New Roman"/>
          <w:lang w:val="en-AU"/>
        </w:rPr>
        <w:t xml:space="preserve"> </w:t>
      </w:r>
      <w:r w:rsidRPr="009C2ADD">
        <w:rPr>
          <w:rFonts w:ascii="Times New Roman" w:hAnsi="Times New Roman"/>
          <w:lang w:val="en-AU"/>
        </w:rPr>
        <w:t>that a progress report from IS</w:t>
      </w:r>
      <w:r w:rsidR="00B33CDD">
        <w:rPr>
          <w:rFonts w:ascii="Times New Roman" w:hAnsi="Times New Roman"/>
          <w:lang w:val="en-AU"/>
        </w:rPr>
        <w:t>C</w:t>
      </w:r>
      <w:r w:rsidRPr="009C2ADD">
        <w:rPr>
          <w:rFonts w:ascii="Times New Roman" w:hAnsi="Times New Roman"/>
          <w:lang w:val="en-AU"/>
        </w:rPr>
        <w:t xml:space="preserve"> would </w:t>
      </w:r>
      <w:r w:rsidR="00AB0561" w:rsidRPr="009C2ADD">
        <w:rPr>
          <w:rFonts w:ascii="Times New Roman" w:hAnsi="Times New Roman"/>
          <w:lang w:val="en-AU"/>
        </w:rPr>
        <w:t xml:space="preserve">be available for discussion at </w:t>
      </w:r>
      <w:r w:rsidRPr="009C2ADD">
        <w:rPr>
          <w:rFonts w:ascii="Times New Roman" w:hAnsi="Times New Roman"/>
          <w:lang w:val="en-AU"/>
        </w:rPr>
        <w:t xml:space="preserve">SC14. </w:t>
      </w:r>
    </w:p>
    <w:p w14:paraId="3908F2F2"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2B7F4FA7" w14:textId="3B6E4959"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clarified that ISC did not conduct an assessment of PBF in 2017 but reviewed indicators. Adult abundance indices by Japanese and Taiwanese longline showed slow but continuous increasing trend while juvenile abundance index by Japanese troll showed a slight increase from 2014, which was one of the lowest. In addition, </w:t>
      </w:r>
      <w:r w:rsidR="0064346A">
        <w:rPr>
          <w:rFonts w:ascii="Times New Roman" w:hAnsi="Times New Roman" w:hint="eastAsia"/>
          <w:lang w:val="en-AU" w:eastAsia="ko-KR"/>
        </w:rPr>
        <w:t>recent</w:t>
      </w:r>
      <w:r w:rsidR="0064346A" w:rsidRPr="009C2ADD">
        <w:rPr>
          <w:rFonts w:ascii="Times New Roman" w:hAnsi="Times New Roman"/>
          <w:lang w:val="en-AU"/>
        </w:rPr>
        <w:t xml:space="preserve"> </w:t>
      </w:r>
      <w:r w:rsidR="009C216F" w:rsidRPr="009C2ADD">
        <w:rPr>
          <w:rFonts w:ascii="Times New Roman" w:hAnsi="Times New Roman"/>
          <w:lang w:val="en-AU"/>
        </w:rPr>
        <w:t>monitoring by Japan suggested</w:t>
      </w:r>
      <w:r w:rsidRPr="009C2ADD">
        <w:rPr>
          <w:rFonts w:ascii="Times New Roman" w:hAnsi="Times New Roman"/>
          <w:lang w:val="en-AU"/>
        </w:rPr>
        <w:t xml:space="preserve"> </w:t>
      </w:r>
      <w:r w:rsidR="009C216F" w:rsidRPr="009C2ADD">
        <w:rPr>
          <w:rFonts w:ascii="Times New Roman" w:hAnsi="Times New Roman"/>
          <w:lang w:val="en-AU"/>
        </w:rPr>
        <w:t xml:space="preserve">a </w:t>
      </w:r>
      <w:r w:rsidRPr="009C2ADD">
        <w:rPr>
          <w:rFonts w:ascii="Times New Roman" w:hAnsi="Times New Roman"/>
          <w:lang w:val="en-AU"/>
        </w:rPr>
        <w:t xml:space="preserve">further increase in recruitment in 2016, </w:t>
      </w:r>
      <w:r w:rsidR="009C216F" w:rsidRPr="009C2ADD">
        <w:rPr>
          <w:rFonts w:ascii="Times New Roman" w:hAnsi="Times New Roman"/>
          <w:lang w:val="en-AU"/>
        </w:rPr>
        <w:t xml:space="preserve">which </w:t>
      </w:r>
      <w:r w:rsidRPr="009C2ADD">
        <w:rPr>
          <w:rFonts w:ascii="Times New Roman" w:hAnsi="Times New Roman"/>
          <w:lang w:val="en-AU"/>
        </w:rPr>
        <w:t>indicat</w:t>
      </w:r>
      <w:r w:rsidR="009C216F" w:rsidRPr="009C2ADD">
        <w:rPr>
          <w:rFonts w:ascii="Times New Roman" w:hAnsi="Times New Roman"/>
          <w:lang w:val="en-AU"/>
        </w:rPr>
        <w:t>ed that recruitment collapse wa</w:t>
      </w:r>
      <w:r w:rsidRPr="009C2ADD">
        <w:rPr>
          <w:rFonts w:ascii="Times New Roman" w:hAnsi="Times New Roman"/>
          <w:lang w:val="en-AU"/>
        </w:rPr>
        <w:t xml:space="preserve">s not occurring. ISC also discussed the definition of "drastic drop of recruitment" as requested by the Commission but </w:t>
      </w:r>
      <w:r w:rsidR="009C216F" w:rsidRPr="009C2ADD">
        <w:rPr>
          <w:rFonts w:ascii="Times New Roman" w:hAnsi="Times New Roman"/>
          <w:lang w:val="en-AU"/>
        </w:rPr>
        <w:t>did no</w:t>
      </w:r>
      <w:r w:rsidR="0064346A">
        <w:rPr>
          <w:rFonts w:ascii="Times New Roman" w:hAnsi="Times New Roman" w:hint="eastAsia"/>
          <w:lang w:val="en-AU" w:eastAsia="ko-KR"/>
        </w:rPr>
        <w:t>t</w:t>
      </w:r>
      <w:r w:rsidR="009C216F" w:rsidRPr="009C2ADD">
        <w:rPr>
          <w:rFonts w:ascii="Times New Roman" w:hAnsi="Times New Roman"/>
          <w:lang w:val="en-AU"/>
        </w:rPr>
        <w:t xml:space="preserve"> </w:t>
      </w:r>
      <w:r w:rsidRPr="009C2ADD">
        <w:rPr>
          <w:rFonts w:ascii="Times New Roman" w:hAnsi="Times New Roman"/>
          <w:lang w:val="en-AU"/>
        </w:rPr>
        <w:t xml:space="preserve">come up with </w:t>
      </w:r>
      <w:r w:rsidR="009C216F" w:rsidRPr="009C2ADD">
        <w:rPr>
          <w:rFonts w:ascii="Times New Roman" w:hAnsi="Times New Roman"/>
          <w:lang w:val="en-AU"/>
        </w:rPr>
        <w:t xml:space="preserve">any </w:t>
      </w:r>
      <w:r w:rsidRPr="009C2ADD">
        <w:rPr>
          <w:rFonts w:ascii="Times New Roman" w:hAnsi="Times New Roman"/>
          <w:lang w:val="en-AU"/>
        </w:rPr>
        <w:t xml:space="preserve">good scientific advice. Furthermore, ISC considered that </w:t>
      </w:r>
      <w:r w:rsidR="009C216F" w:rsidRPr="009C2ADD">
        <w:rPr>
          <w:rFonts w:ascii="Times New Roman" w:hAnsi="Times New Roman"/>
          <w:lang w:val="en-AU"/>
        </w:rPr>
        <w:t xml:space="preserve">the </w:t>
      </w:r>
      <w:r w:rsidRPr="009C2ADD">
        <w:rPr>
          <w:rFonts w:ascii="Times New Roman" w:hAnsi="Times New Roman"/>
          <w:lang w:val="en-AU"/>
        </w:rPr>
        <w:t xml:space="preserve">emergency rule might not be critical given </w:t>
      </w:r>
      <w:r w:rsidR="009C216F" w:rsidRPr="009C2ADD">
        <w:rPr>
          <w:rFonts w:ascii="Times New Roman" w:hAnsi="Times New Roman"/>
          <w:lang w:val="en-AU"/>
        </w:rPr>
        <w:t>that assessment wa</w:t>
      </w:r>
      <w:r w:rsidRPr="009C2ADD">
        <w:rPr>
          <w:rFonts w:ascii="Times New Roman" w:hAnsi="Times New Roman"/>
          <w:lang w:val="en-AU"/>
        </w:rPr>
        <w:t>s planned to be conducted every two years, incorporating good recruitment index. However, ISC c</w:t>
      </w:r>
      <w:r w:rsidR="009C216F" w:rsidRPr="009C2ADD">
        <w:rPr>
          <w:rFonts w:ascii="Times New Roman" w:hAnsi="Times New Roman"/>
          <w:lang w:val="en-AU"/>
        </w:rPr>
        <w:t>ould</w:t>
      </w:r>
      <w:r w:rsidRPr="009C2ADD">
        <w:rPr>
          <w:rFonts w:ascii="Times New Roman" w:hAnsi="Times New Roman"/>
          <w:lang w:val="en-AU"/>
        </w:rPr>
        <w:t xml:space="preserve"> consider a framework of emergency rule if requested by the Commissio</w:t>
      </w:r>
      <w:r w:rsidR="009C216F" w:rsidRPr="009C2ADD">
        <w:rPr>
          <w:rFonts w:ascii="Times New Roman" w:hAnsi="Times New Roman"/>
          <w:lang w:val="en-AU"/>
        </w:rPr>
        <w:t>n</w:t>
      </w:r>
      <w:r w:rsidRPr="009C2ADD">
        <w:rPr>
          <w:rFonts w:ascii="Times New Roman" w:hAnsi="Times New Roman"/>
          <w:lang w:val="en-AU"/>
        </w:rPr>
        <w:t>. Those results, including the results of ISC PBF stakeholder meeting in April w</w:t>
      </w:r>
      <w:r w:rsidR="009C216F" w:rsidRPr="009C2ADD">
        <w:rPr>
          <w:rFonts w:ascii="Times New Roman" w:hAnsi="Times New Roman"/>
          <w:lang w:val="en-AU"/>
        </w:rPr>
        <w:t>ould</w:t>
      </w:r>
      <w:r w:rsidRPr="009C2ADD">
        <w:rPr>
          <w:rFonts w:ascii="Times New Roman" w:hAnsi="Times New Roman"/>
          <w:lang w:val="en-AU"/>
        </w:rPr>
        <w:t xml:space="preserve"> be reported to NC13 for discussion. </w:t>
      </w:r>
    </w:p>
    <w:p w14:paraId="44DB6385"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4E1F9574" w14:textId="6172BED4"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EU </w:t>
      </w:r>
      <w:r w:rsidR="003C61E2">
        <w:rPr>
          <w:rFonts w:ascii="Times New Roman" w:hAnsi="Times New Roman"/>
          <w:lang w:val="en-AU"/>
        </w:rPr>
        <w:t xml:space="preserve">noted that at the last IATTC SAG meeting more comprehensive information was provided and </w:t>
      </w:r>
      <w:r w:rsidRPr="009C2ADD">
        <w:rPr>
          <w:rFonts w:ascii="Times New Roman" w:hAnsi="Times New Roman"/>
          <w:lang w:val="en-AU"/>
        </w:rPr>
        <w:t>also requested that the comprehensive report to Northern Committee provided by Japan on their PBF work be made available to SC14.</w:t>
      </w:r>
    </w:p>
    <w:p w14:paraId="35B1D7CA"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2CB5708A" w14:textId="197E45D5"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noted </w:t>
      </w:r>
      <w:r w:rsidRPr="00C14319">
        <w:rPr>
          <w:rFonts w:ascii="Times New Roman" w:hAnsi="Times New Roman"/>
          <w:lang w:val="en-AU"/>
        </w:rPr>
        <w:t xml:space="preserve">that </w:t>
      </w:r>
      <w:r w:rsidRPr="0070772D">
        <w:rPr>
          <w:rFonts w:ascii="Times New Roman" w:hAnsi="Times New Roman"/>
          <w:lang w:val="en-AU"/>
        </w:rPr>
        <w:t>SC13-GN-IP-</w:t>
      </w:r>
      <w:r w:rsidR="00C14319">
        <w:rPr>
          <w:rFonts w:ascii="Times New Roman" w:hAnsi="Times New Roman" w:hint="eastAsia"/>
          <w:lang w:val="en-AU" w:eastAsia="ko-KR"/>
        </w:rPr>
        <w:t>0</w:t>
      </w:r>
      <w:r w:rsidRPr="0070772D">
        <w:rPr>
          <w:rFonts w:ascii="Times New Roman" w:hAnsi="Times New Roman"/>
          <w:lang w:val="en-AU"/>
        </w:rPr>
        <w:t>2</w:t>
      </w:r>
      <w:r w:rsidRPr="009C2ADD">
        <w:rPr>
          <w:rFonts w:ascii="Times New Roman" w:hAnsi="Times New Roman"/>
          <w:lang w:val="en-AU"/>
        </w:rPr>
        <w:t xml:space="preserve"> provided a draft report from ISC.</w:t>
      </w:r>
    </w:p>
    <w:p w14:paraId="3A8BD2D9"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47AB191A" w14:textId="7C47374D"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Pew Charitable Trusts encouraged SC13 to make a clear statement on the status of these stocks.  Despite the reassurances by Japan, they noted there was no evidence yet of the promised recovery.  They noted that both Japan and Mexico overran their quotas in </w:t>
      </w:r>
      <w:r w:rsidR="00B33CDD">
        <w:rPr>
          <w:rFonts w:ascii="Times New Roman" w:hAnsi="Times New Roman"/>
          <w:lang w:val="en-AU"/>
        </w:rPr>
        <w:t>2016</w:t>
      </w:r>
      <w:r w:rsidRPr="009C2ADD">
        <w:rPr>
          <w:rFonts w:ascii="Times New Roman" w:hAnsi="Times New Roman"/>
          <w:lang w:val="en-AU"/>
        </w:rPr>
        <w:t>, making it even more important that clear action be taken. Pew stated that it was critical that that WCPFC make it clear that it is committed to a 20% recovery target by 2034 at the upcoming meeting of the IATTC and prior to the Northern Committee meeting</w:t>
      </w:r>
      <w:r w:rsidR="007B0B09">
        <w:rPr>
          <w:rFonts w:ascii="Times New Roman" w:hAnsi="Times New Roman" w:hint="eastAsia"/>
          <w:lang w:val="en-AU" w:eastAsia="ko-KR"/>
        </w:rPr>
        <w:t>.</w:t>
      </w:r>
      <w:r w:rsidRPr="009C2ADD">
        <w:rPr>
          <w:rFonts w:ascii="Times New Roman" w:hAnsi="Times New Roman"/>
          <w:lang w:val="en-AU"/>
        </w:rPr>
        <w:t> Pew supported the statements made by the EU and by New Zealand on behalf of FFA on this matter.</w:t>
      </w:r>
    </w:p>
    <w:p w14:paraId="09EED26A" w14:textId="77777777" w:rsidR="00872A54" w:rsidRDefault="00872A54" w:rsidP="009C2ADD">
      <w:pPr>
        <w:autoSpaceDE w:val="0"/>
        <w:autoSpaceDN w:val="0"/>
        <w:adjustRightInd w:val="0"/>
        <w:snapToGrid w:val="0"/>
        <w:spacing w:after="0"/>
        <w:rPr>
          <w:rFonts w:ascii="Times New Roman" w:hAnsi="Times New Roman"/>
          <w:lang w:val="en-AU"/>
        </w:rPr>
      </w:pPr>
    </w:p>
    <w:p w14:paraId="5FF87F87" w14:textId="52FC6653" w:rsidR="00BB313F" w:rsidRPr="00BB313F" w:rsidRDefault="00BB313F" w:rsidP="00BB313F">
      <w:pPr>
        <w:adjustRightInd w:val="0"/>
        <w:snapToGrid w:val="0"/>
        <w:spacing w:after="0"/>
        <w:rPr>
          <w:rFonts w:ascii="Times New Roman" w:eastAsia="바탕" w:hAnsi="Times New Roman"/>
          <w:b/>
          <w:bCs/>
          <w:lang w:eastAsia="ko-KR"/>
        </w:rPr>
      </w:pPr>
      <w:r w:rsidRPr="00BB313F">
        <w:rPr>
          <w:rFonts w:ascii="Times New Roman" w:eastAsia="바탕" w:hAnsi="Times New Roman"/>
          <w:b/>
          <w:bCs/>
          <w:lang w:eastAsia="ko-KR"/>
        </w:rPr>
        <w:t xml:space="preserve">4.2.2.2 </w:t>
      </w:r>
      <w:r w:rsidRPr="00BB313F">
        <w:rPr>
          <w:rFonts w:ascii="Times New Roman" w:eastAsia="바탕" w:hAnsi="Times New Roman"/>
          <w:b/>
          <w:bCs/>
          <w:lang w:eastAsia="ko-KR"/>
        </w:rPr>
        <w:tab/>
        <w:t>Provision of scientific information</w:t>
      </w:r>
    </w:p>
    <w:p w14:paraId="68F02641" w14:textId="77777777" w:rsidR="00BB313F" w:rsidRPr="009C2ADD" w:rsidRDefault="00BB313F" w:rsidP="009C2ADD">
      <w:pPr>
        <w:autoSpaceDE w:val="0"/>
        <w:autoSpaceDN w:val="0"/>
        <w:adjustRightInd w:val="0"/>
        <w:snapToGrid w:val="0"/>
        <w:spacing w:after="0"/>
        <w:rPr>
          <w:rFonts w:ascii="Times New Roman" w:hAnsi="Times New Roman"/>
          <w:lang w:val="en-AU"/>
        </w:rPr>
      </w:pPr>
    </w:p>
    <w:p w14:paraId="2A0AE96D" w14:textId="4AF9997A" w:rsidR="002C205C" w:rsidRPr="00464B7F" w:rsidRDefault="002C205C" w:rsidP="00766C07">
      <w:pPr>
        <w:pStyle w:val="ListParagraph"/>
        <w:numPr>
          <w:ilvl w:val="0"/>
          <w:numId w:val="191"/>
        </w:numPr>
        <w:adjustRightInd w:val="0"/>
        <w:snapToGrid w:val="0"/>
        <w:ind w:left="0" w:firstLine="0"/>
        <w:contextualSpacing w:val="0"/>
        <w:rPr>
          <w:rFonts w:ascii="Times New Roman" w:hAnsi="Times New Roman"/>
          <w:b/>
          <w:lang w:eastAsia="ko-KR"/>
        </w:rPr>
      </w:pPr>
      <w:r w:rsidRPr="00464B7F">
        <w:rPr>
          <w:rFonts w:ascii="Times New Roman" w:hAnsi="Times New Roman"/>
          <w:b/>
        </w:rPr>
        <w:t>S</w:t>
      </w:r>
      <w:r w:rsidRPr="00464B7F">
        <w:rPr>
          <w:rFonts w:ascii="Times New Roman" w:hAnsi="Times New Roman"/>
          <w:b/>
          <w:lang w:eastAsia="ko-KR"/>
        </w:rPr>
        <w:t>tock s</w:t>
      </w:r>
      <w:r w:rsidRPr="00464B7F">
        <w:rPr>
          <w:rFonts w:ascii="Times New Roman" w:hAnsi="Times New Roman"/>
          <w:b/>
        </w:rPr>
        <w:t>tatus and trends</w:t>
      </w:r>
    </w:p>
    <w:p w14:paraId="7856ED78" w14:textId="77777777" w:rsidR="00851B91" w:rsidRPr="00464B7F" w:rsidRDefault="00851B91" w:rsidP="009C2ADD">
      <w:pPr>
        <w:pStyle w:val="ListParagraph"/>
        <w:adjustRightInd w:val="0"/>
        <w:snapToGrid w:val="0"/>
        <w:ind w:left="420" w:firstLine="0"/>
        <w:contextualSpacing w:val="0"/>
        <w:rPr>
          <w:rFonts w:ascii="Times New Roman" w:hAnsi="Times New Roman"/>
          <w:b/>
          <w:lang w:eastAsia="ko-KR"/>
        </w:rPr>
      </w:pPr>
    </w:p>
    <w:p w14:paraId="7FA9C7EC" w14:textId="0E54E122" w:rsidR="002C205C" w:rsidRPr="008078D7" w:rsidRDefault="00B33CDD" w:rsidP="009C2ADD">
      <w:pPr>
        <w:pStyle w:val="WCPFC"/>
        <w:adjustRightInd w:val="0"/>
        <w:spacing w:after="0"/>
        <w:ind w:left="0" w:firstLine="0"/>
        <w:rPr>
          <w:b/>
          <w:bCs/>
          <w:lang w:val="en-AU"/>
        </w:rPr>
      </w:pPr>
      <w:r w:rsidRPr="008078D7">
        <w:rPr>
          <w:b/>
          <w:bCs/>
          <w:lang w:val="en-AU"/>
        </w:rPr>
        <w:t xml:space="preserve">SC13 noted that no stock assessments were conducted for Pacific bluefin tuna in 2017. Therefore, the stock status descriptions from SC12 are still current. </w:t>
      </w:r>
      <w:r w:rsidR="002C205C" w:rsidRPr="008078D7">
        <w:rPr>
          <w:b/>
          <w:bCs/>
          <w:lang w:val="en-AU"/>
        </w:rPr>
        <w:t xml:space="preserve">For further information on the stock status and trends from SC12, please see </w:t>
      </w:r>
      <w:hyperlink r:id="rId86" w:history="1">
        <w:r w:rsidR="00D54680" w:rsidRPr="008078D7">
          <w:rPr>
            <w:rStyle w:val="Hyperlink"/>
            <w:b/>
            <w:bCs/>
          </w:rPr>
          <w:t>https://www.wcpfc.int/node/27769</w:t>
        </w:r>
      </w:hyperlink>
      <w:r w:rsidR="00D54680" w:rsidRPr="008078D7">
        <w:rPr>
          <w:rFonts w:hint="eastAsia"/>
          <w:b/>
          <w:bCs/>
          <w:lang w:val="en-AU" w:eastAsia="ko-KR"/>
        </w:rPr>
        <w:t xml:space="preserve"> </w:t>
      </w:r>
    </w:p>
    <w:p w14:paraId="64D83DDE" w14:textId="3275903B" w:rsidR="008D3E6A" w:rsidRPr="009C2ADD" w:rsidRDefault="008D3E6A" w:rsidP="009C2ADD">
      <w:pPr>
        <w:pStyle w:val="ListParagraph"/>
        <w:adjustRightInd w:val="0"/>
        <w:snapToGrid w:val="0"/>
        <w:ind w:left="1080"/>
        <w:contextualSpacing w:val="0"/>
        <w:rPr>
          <w:rFonts w:ascii="Times New Roman" w:eastAsia="바탕" w:hAnsi="Times New Roman"/>
          <w:lang w:eastAsia="ko-KR"/>
        </w:rPr>
      </w:pPr>
    </w:p>
    <w:p w14:paraId="33A3F526" w14:textId="08864347" w:rsidR="002C205C" w:rsidRPr="009C2ADD" w:rsidRDefault="002C205C" w:rsidP="00766C07">
      <w:pPr>
        <w:pStyle w:val="ListParagraph"/>
        <w:numPr>
          <w:ilvl w:val="0"/>
          <w:numId w:val="191"/>
        </w:numPr>
        <w:adjustRightInd w:val="0"/>
        <w:snapToGrid w:val="0"/>
        <w:contextualSpacing w:val="0"/>
        <w:rPr>
          <w:rFonts w:ascii="Times New Roman" w:eastAsia="바탕" w:hAnsi="Times New Roman"/>
          <w:b/>
          <w:lang w:eastAsia="ko-KR"/>
        </w:rPr>
      </w:pPr>
      <w:r w:rsidRPr="009C2ADD">
        <w:rPr>
          <w:rFonts w:ascii="Times New Roman" w:eastAsia="바탕" w:hAnsi="Times New Roman"/>
          <w:b/>
          <w:lang w:eastAsia="ko-KR"/>
        </w:rPr>
        <w:t xml:space="preserve">Management advice and implications </w:t>
      </w:r>
    </w:p>
    <w:p w14:paraId="34006FCC" w14:textId="77777777" w:rsidR="002C205C" w:rsidRPr="009C2ADD" w:rsidRDefault="002C205C" w:rsidP="009C2ADD">
      <w:pPr>
        <w:adjustRightInd w:val="0"/>
        <w:snapToGrid w:val="0"/>
        <w:spacing w:after="0"/>
        <w:ind w:left="720"/>
        <w:rPr>
          <w:rFonts w:ascii="Times New Roman" w:hAnsi="Times New Roman"/>
          <w:b/>
        </w:rPr>
      </w:pPr>
    </w:p>
    <w:p w14:paraId="0FCDB968" w14:textId="694D97BC" w:rsidR="002C205C" w:rsidRPr="008078D7" w:rsidRDefault="002C205C" w:rsidP="009C2ADD">
      <w:pPr>
        <w:pStyle w:val="WCPFC"/>
        <w:adjustRightInd w:val="0"/>
        <w:spacing w:after="0"/>
        <w:ind w:left="0" w:firstLine="0"/>
        <w:rPr>
          <w:b/>
          <w:bCs/>
          <w:lang w:val="en-AU"/>
        </w:rPr>
      </w:pPr>
      <w:r w:rsidRPr="008078D7">
        <w:rPr>
          <w:b/>
          <w:bCs/>
          <w:lang w:val="en-AU"/>
        </w:rPr>
        <w:t xml:space="preserve">SC13 noted that no management advice has been provided since SC12. Therefore, the advice from SC12 should be maintained, pending a new assessment or other new information. For further information on the management advice and implications from SC12, please see </w:t>
      </w:r>
      <w:hyperlink r:id="rId87" w:history="1">
        <w:r w:rsidR="00D54680" w:rsidRPr="008078D7">
          <w:rPr>
            <w:rStyle w:val="Hyperlink"/>
            <w:b/>
            <w:bCs/>
          </w:rPr>
          <w:t>https://www.wcpfc.int/node/27769</w:t>
        </w:r>
      </w:hyperlink>
      <w:r w:rsidR="00D54680" w:rsidRPr="008078D7">
        <w:rPr>
          <w:rFonts w:hint="eastAsia"/>
          <w:b/>
          <w:bCs/>
          <w:lang w:val="en-AU" w:eastAsia="ko-KR"/>
        </w:rPr>
        <w:t xml:space="preserve"> </w:t>
      </w:r>
    </w:p>
    <w:p w14:paraId="624E8B84" w14:textId="77777777" w:rsidR="002C205C" w:rsidRPr="00F97D23" w:rsidRDefault="002C205C" w:rsidP="009C2ADD">
      <w:pPr>
        <w:adjustRightInd w:val="0"/>
        <w:snapToGrid w:val="0"/>
        <w:spacing w:after="0"/>
        <w:rPr>
          <w:rFonts w:ascii="Times New Roman" w:hAnsi="Times New Roman"/>
          <w:bCs/>
          <w:lang w:eastAsia="ko-KR"/>
        </w:rPr>
      </w:pPr>
    </w:p>
    <w:p w14:paraId="7A4B44C1" w14:textId="6AA77895" w:rsidR="002C205C" w:rsidRPr="009C2ADD" w:rsidRDefault="004F2F5A" w:rsidP="009C2ADD">
      <w:pPr>
        <w:adjustRightInd w:val="0"/>
        <w:snapToGrid w:val="0"/>
        <w:spacing w:after="0"/>
        <w:rPr>
          <w:rFonts w:ascii="Times New Roman" w:eastAsia="바탕" w:hAnsi="Times New Roman"/>
          <w:b/>
          <w:bCs/>
          <w:i/>
          <w:lang w:eastAsia="ko-KR"/>
        </w:rPr>
      </w:pPr>
      <w:r w:rsidRPr="009C2ADD">
        <w:rPr>
          <w:rFonts w:ascii="Times New Roman" w:eastAsia="바탕" w:hAnsi="Times New Roman"/>
          <w:b/>
          <w:bCs/>
          <w:lang w:eastAsia="ko-KR"/>
        </w:rPr>
        <w:t xml:space="preserve">4.2.3 </w:t>
      </w:r>
      <w:r w:rsidR="00F36432" w:rsidRPr="009C2ADD">
        <w:rPr>
          <w:rFonts w:ascii="Times New Roman" w:eastAsia="바탕" w:hAnsi="Times New Roman"/>
          <w:b/>
          <w:bCs/>
          <w:lang w:eastAsia="ko-KR"/>
        </w:rPr>
        <w:tab/>
      </w:r>
      <w:r w:rsidR="002C205C" w:rsidRPr="009C2ADD">
        <w:rPr>
          <w:rFonts w:ascii="Times New Roman" w:eastAsia="바탕" w:hAnsi="Times New Roman"/>
          <w:b/>
          <w:bCs/>
          <w:lang w:eastAsia="ko-KR"/>
        </w:rPr>
        <w:t>North Pacific swordfish (</w:t>
      </w:r>
      <w:r w:rsidR="002C205C" w:rsidRPr="009C2ADD">
        <w:rPr>
          <w:rFonts w:ascii="Times New Roman" w:eastAsia="바탕" w:hAnsi="Times New Roman"/>
          <w:b/>
          <w:bCs/>
          <w:i/>
          <w:lang w:eastAsia="ko-KR"/>
        </w:rPr>
        <w:t>Xiphias gladius)</w:t>
      </w:r>
    </w:p>
    <w:p w14:paraId="34999F58" w14:textId="77777777" w:rsidR="00EA673A" w:rsidRPr="009C2ADD" w:rsidRDefault="00EA673A" w:rsidP="009C2ADD">
      <w:pPr>
        <w:adjustRightInd w:val="0"/>
        <w:snapToGrid w:val="0"/>
        <w:spacing w:after="0"/>
        <w:ind w:left="720"/>
        <w:rPr>
          <w:rFonts w:ascii="Times New Roman" w:eastAsia="바탕" w:hAnsi="Times New Roman"/>
          <w:b/>
          <w:bCs/>
          <w:lang w:eastAsia="ko-KR"/>
        </w:rPr>
      </w:pPr>
    </w:p>
    <w:p w14:paraId="0482B6EF" w14:textId="35C9C9DD" w:rsidR="00EA673A" w:rsidRPr="009C2ADD" w:rsidRDefault="00851B91"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4.2.3.1 </w:t>
      </w:r>
      <w:r w:rsidR="00F36432" w:rsidRPr="009C2ADD">
        <w:rPr>
          <w:rFonts w:ascii="Times New Roman" w:eastAsia="바탕" w:hAnsi="Times New Roman"/>
          <w:b/>
          <w:bCs/>
          <w:lang w:eastAsia="ko-KR"/>
        </w:rPr>
        <w:tab/>
      </w:r>
      <w:r w:rsidR="00EA673A" w:rsidRPr="009C2ADD">
        <w:rPr>
          <w:rFonts w:ascii="Times New Roman" w:eastAsia="바탕" w:hAnsi="Times New Roman"/>
          <w:b/>
          <w:bCs/>
          <w:lang w:eastAsia="ko-KR"/>
        </w:rPr>
        <w:t>Review of research and information</w:t>
      </w:r>
    </w:p>
    <w:p w14:paraId="25B098A3" w14:textId="77777777" w:rsidR="002C205C" w:rsidRPr="009C2ADD" w:rsidRDefault="002C205C" w:rsidP="009C2ADD">
      <w:pPr>
        <w:adjustRightInd w:val="0"/>
        <w:snapToGrid w:val="0"/>
        <w:spacing w:after="0"/>
        <w:rPr>
          <w:rFonts w:ascii="Times New Roman" w:eastAsia="바탕" w:hAnsi="Times New Roman"/>
          <w:bCs/>
          <w:lang w:eastAsia="ko-KR"/>
        </w:rPr>
      </w:pPr>
    </w:p>
    <w:p w14:paraId="0350EDB4" w14:textId="77777777" w:rsidR="00B33CDD" w:rsidRPr="00B33CDD" w:rsidRDefault="002C205C" w:rsidP="009C2ADD">
      <w:pPr>
        <w:pStyle w:val="WCPFC"/>
        <w:adjustRightInd w:val="0"/>
        <w:spacing w:after="0"/>
        <w:ind w:left="0" w:firstLine="0"/>
        <w:rPr>
          <w:rFonts w:eastAsia="바탕"/>
          <w:lang w:eastAsia="ko-KR"/>
        </w:rPr>
      </w:pPr>
      <w:r w:rsidRPr="009C2ADD">
        <w:rPr>
          <w:lang w:val="en-AU"/>
        </w:rPr>
        <w:t>The last stock assessment was conducted in 2014.  No updated information w</w:t>
      </w:r>
      <w:r w:rsidR="0005487E" w:rsidRPr="009C2ADD">
        <w:rPr>
          <w:lang w:val="en-AU"/>
        </w:rPr>
        <w:t>as presented on the status of</w:t>
      </w:r>
      <w:r w:rsidRPr="009C2ADD">
        <w:rPr>
          <w:lang w:val="en-AU"/>
        </w:rPr>
        <w:t xml:space="preserve"> North Pacific swordfish.</w:t>
      </w:r>
    </w:p>
    <w:p w14:paraId="0635C343" w14:textId="77777777" w:rsidR="00B33CDD" w:rsidRDefault="00B33CDD" w:rsidP="00B33CDD">
      <w:pPr>
        <w:pStyle w:val="WCPFC"/>
        <w:numPr>
          <w:ilvl w:val="0"/>
          <w:numId w:val="0"/>
        </w:numPr>
        <w:adjustRightInd w:val="0"/>
        <w:spacing w:after="0"/>
        <w:rPr>
          <w:lang w:val="en-AU"/>
        </w:rPr>
      </w:pPr>
    </w:p>
    <w:p w14:paraId="74FD8A7E" w14:textId="57908CCC" w:rsidR="00851B91" w:rsidRPr="00B33CDD" w:rsidRDefault="00851B91" w:rsidP="00B33CDD">
      <w:pPr>
        <w:pStyle w:val="WCPFC"/>
        <w:numPr>
          <w:ilvl w:val="0"/>
          <w:numId w:val="0"/>
        </w:numPr>
        <w:adjustRightInd w:val="0"/>
        <w:spacing w:after="0"/>
        <w:rPr>
          <w:rFonts w:eastAsia="바탕"/>
          <w:b/>
          <w:lang w:eastAsia="ko-KR"/>
        </w:rPr>
      </w:pPr>
      <w:r w:rsidRPr="00B33CDD">
        <w:rPr>
          <w:b/>
          <w:lang w:eastAsia="ko-KR"/>
        </w:rPr>
        <w:t xml:space="preserve">4.2.3.2 </w:t>
      </w:r>
      <w:r w:rsidR="00B33CDD">
        <w:rPr>
          <w:b/>
          <w:lang w:eastAsia="ko-KR"/>
        </w:rPr>
        <w:tab/>
      </w:r>
      <w:r w:rsidRPr="00B33CDD">
        <w:rPr>
          <w:rFonts w:eastAsia="바탕"/>
          <w:b/>
          <w:lang w:eastAsia="ko-KR"/>
        </w:rPr>
        <w:t>Provision of scientific information</w:t>
      </w:r>
    </w:p>
    <w:p w14:paraId="5C4E786F" w14:textId="2CD7FC79" w:rsidR="002C205C" w:rsidRPr="009C2ADD" w:rsidRDefault="002C205C" w:rsidP="009C2ADD">
      <w:pPr>
        <w:pStyle w:val="Heading7"/>
        <w:adjustRightInd w:val="0"/>
        <w:snapToGrid w:val="0"/>
        <w:spacing w:before="0"/>
        <w:rPr>
          <w:rFonts w:ascii="Times New Roman" w:eastAsiaTheme="minorEastAsia" w:hAnsi="Times New Roman"/>
          <w:b/>
          <w:i w:val="0"/>
          <w:color w:val="auto"/>
          <w:lang w:eastAsia="ko-KR"/>
        </w:rPr>
      </w:pPr>
    </w:p>
    <w:p w14:paraId="496F24F3" w14:textId="2CA84081" w:rsidR="002C205C" w:rsidRPr="009C2ADD" w:rsidRDefault="002C205C" w:rsidP="00766C07">
      <w:pPr>
        <w:pStyle w:val="Heading7"/>
        <w:numPr>
          <w:ilvl w:val="0"/>
          <w:numId w:val="192"/>
        </w:numPr>
        <w:adjustRightInd w:val="0"/>
        <w:snapToGrid w:val="0"/>
        <w:spacing w:before="0"/>
        <w:ind w:left="0" w:firstLine="0"/>
        <w:rPr>
          <w:rFonts w:ascii="Times New Roman" w:eastAsia="바탕" w:hAnsi="Times New Roman"/>
          <w:b/>
          <w:bCs/>
          <w:i w:val="0"/>
          <w:iCs w:val="0"/>
          <w:color w:val="auto"/>
          <w:lang w:eastAsia="ko-KR"/>
        </w:rPr>
      </w:pPr>
      <w:r w:rsidRPr="009C2ADD">
        <w:rPr>
          <w:rFonts w:ascii="Times New Roman" w:eastAsia="바탕" w:hAnsi="Times New Roman"/>
          <w:b/>
          <w:bCs/>
          <w:i w:val="0"/>
          <w:iCs w:val="0"/>
          <w:color w:val="auto"/>
          <w:lang w:eastAsia="ko-KR"/>
        </w:rPr>
        <w:t>Stock status and trends</w:t>
      </w:r>
    </w:p>
    <w:p w14:paraId="720E5D14" w14:textId="77777777" w:rsidR="00D537A1" w:rsidRPr="009C2ADD" w:rsidRDefault="00D537A1" w:rsidP="009C2ADD">
      <w:pPr>
        <w:adjustRightInd w:val="0"/>
        <w:snapToGrid w:val="0"/>
        <w:spacing w:after="0"/>
        <w:rPr>
          <w:rFonts w:ascii="Times New Roman" w:hAnsi="Times New Roman"/>
          <w:lang w:eastAsia="ko-KR"/>
        </w:rPr>
      </w:pPr>
    </w:p>
    <w:p w14:paraId="47E95AF7" w14:textId="1C49AE0F" w:rsidR="002C205C" w:rsidRPr="00464B7F" w:rsidRDefault="002C205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w:t>
      </w:r>
      <w:r w:rsidRPr="00464B7F">
        <w:rPr>
          <w:rFonts w:ascii="Times New Roman" w:hAnsi="Times New Roman"/>
          <w:b/>
          <w:lang w:val="en-AU"/>
        </w:rPr>
        <w:t>conducted for these species in 2017. Therefore, the stock status descriptions from SC10 are still current. Updated information on North Pacific swordfish catches is avai</w:t>
      </w:r>
      <w:r w:rsidR="00AB0561" w:rsidRPr="00464B7F">
        <w:rPr>
          <w:rFonts w:ascii="Times New Roman" w:hAnsi="Times New Roman"/>
          <w:b/>
          <w:lang w:val="en-AU"/>
        </w:rPr>
        <w:t>lable in the ISC Plenary Report</w:t>
      </w:r>
      <w:r w:rsidRPr="00464B7F">
        <w:rPr>
          <w:rFonts w:ascii="Times New Roman" w:hAnsi="Times New Roman"/>
          <w:b/>
          <w:lang w:val="en-AU"/>
        </w:rPr>
        <w:t xml:space="preserve"> but was not compiled for and reviewed by SC13. For further information on the stock status and trends from SC10, please see </w:t>
      </w:r>
      <w:hyperlink r:id="rId88" w:history="1">
        <w:r w:rsidR="00D54680" w:rsidRPr="00AC6A32">
          <w:rPr>
            <w:rStyle w:val="Hyperlink"/>
            <w:rFonts w:ascii="Times New Roman" w:hAnsi="Times New Roman"/>
            <w:b/>
            <w:lang w:val="en-AU"/>
          </w:rPr>
          <w:t>http://www.wcpfc.int/node/19472</w:t>
        </w:r>
      </w:hyperlink>
      <w:r w:rsidRPr="00464B7F">
        <w:rPr>
          <w:rFonts w:ascii="Times New Roman" w:hAnsi="Times New Roman"/>
          <w:b/>
          <w:lang w:val="en-AU"/>
        </w:rPr>
        <w:t xml:space="preserve"> </w:t>
      </w:r>
    </w:p>
    <w:p w14:paraId="5E5383A8" w14:textId="77777777" w:rsidR="002C205C" w:rsidRPr="00464B7F" w:rsidRDefault="002C205C" w:rsidP="009C2ADD">
      <w:pPr>
        <w:pStyle w:val="WCPFC"/>
        <w:numPr>
          <w:ilvl w:val="0"/>
          <w:numId w:val="0"/>
        </w:numPr>
        <w:adjustRightInd w:val="0"/>
        <w:spacing w:after="0"/>
        <w:rPr>
          <w:b/>
        </w:rPr>
      </w:pPr>
    </w:p>
    <w:p w14:paraId="44EE9A46" w14:textId="2913AFE1" w:rsidR="007F3076" w:rsidRPr="00464B7F" w:rsidRDefault="002C205C" w:rsidP="00766C07">
      <w:pPr>
        <w:pStyle w:val="Heading7"/>
        <w:numPr>
          <w:ilvl w:val="0"/>
          <w:numId w:val="192"/>
        </w:numPr>
        <w:adjustRightInd w:val="0"/>
        <w:snapToGrid w:val="0"/>
        <w:spacing w:before="0"/>
        <w:ind w:left="0" w:firstLine="0"/>
        <w:rPr>
          <w:rFonts w:ascii="Times New Roman" w:eastAsia="바탕" w:hAnsi="Times New Roman"/>
          <w:b/>
          <w:bCs/>
          <w:i w:val="0"/>
          <w:iCs w:val="0"/>
          <w:color w:val="auto"/>
          <w:lang w:eastAsia="ko-KR"/>
        </w:rPr>
      </w:pPr>
      <w:r w:rsidRPr="00464B7F">
        <w:rPr>
          <w:rFonts w:ascii="Times New Roman" w:eastAsia="바탕" w:hAnsi="Times New Roman"/>
          <w:b/>
          <w:bCs/>
          <w:i w:val="0"/>
          <w:iCs w:val="0"/>
          <w:color w:val="auto"/>
          <w:lang w:eastAsia="ko-KR"/>
        </w:rPr>
        <w:t>Management advice and implications</w:t>
      </w:r>
      <w:r w:rsidRPr="00464B7F">
        <w:rPr>
          <w:rFonts w:ascii="Times New Roman" w:eastAsia="바탕" w:hAnsi="Times New Roman"/>
          <w:b/>
          <w:bCs/>
          <w:i w:val="0"/>
          <w:iCs w:val="0"/>
          <w:color w:val="auto"/>
          <w:lang w:eastAsia="ko-KR"/>
        </w:rPr>
        <w:tab/>
      </w:r>
    </w:p>
    <w:p w14:paraId="2C15B8CF" w14:textId="77777777" w:rsidR="00D537A1" w:rsidRPr="00464B7F" w:rsidRDefault="00D537A1" w:rsidP="009C2ADD">
      <w:pPr>
        <w:adjustRightInd w:val="0"/>
        <w:snapToGrid w:val="0"/>
        <w:spacing w:after="0"/>
        <w:rPr>
          <w:rFonts w:ascii="Times New Roman" w:hAnsi="Times New Roman"/>
          <w:lang w:eastAsia="ko-KR"/>
        </w:rPr>
      </w:pPr>
    </w:p>
    <w:p w14:paraId="10A14BE5" w14:textId="51A73955" w:rsidR="002C205C" w:rsidRPr="009C2ADD" w:rsidRDefault="002C205C" w:rsidP="009C2ADD">
      <w:pPr>
        <w:numPr>
          <w:ilvl w:val="0"/>
          <w:numId w:val="1"/>
        </w:numPr>
        <w:autoSpaceDE w:val="0"/>
        <w:autoSpaceDN w:val="0"/>
        <w:adjustRightInd w:val="0"/>
        <w:snapToGrid w:val="0"/>
        <w:spacing w:after="0"/>
        <w:ind w:left="0" w:firstLine="0"/>
        <w:rPr>
          <w:rFonts w:ascii="Times New Roman" w:hAnsi="Times New Roman"/>
          <w:b/>
          <w:lang w:val="en-AU"/>
        </w:rPr>
      </w:pPr>
      <w:r w:rsidRPr="00464B7F">
        <w:rPr>
          <w:rFonts w:ascii="Times New Roman" w:hAnsi="Times New Roman"/>
          <w:b/>
          <w:lang w:val="en-AU"/>
        </w:rPr>
        <w:t>SC13 noted that no management advice has been provided since SC10. Therefore, the advice from SC10 should be maintained, pending a new assessment or other new information. For further information on the management advice and implications</w:t>
      </w:r>
      <w:r w:rsidRPr="009C2ADD">
        <w:rPr>
          <w:rFonts w:ascii="Times New Roman" w:hAnsi="Times New Roman"/>
          <w:b/>
          <w:lang w:val="en-AU"/>
        </w:rPr>
        <w:t xml:space="preserve"> from SC10, please see </w:t>
      </w:r>
      <w:hyperlink r:id="rId89" w:history="1">
        <w:r w:rsidR="00D54680" w:rsidRPr="00AC6A32">
          <w:rPr>
            <w:rStyle w:val="Hyperlink"/>
            <w:rFonts w:ascii="Times New Roman" w:hAnsi="Times New Roman"/>
            <w:b/>
            <w:lang w:val="en-AU"/>
          </w:rPr>
          <w:t>http://www.wcpfc.int/node/1947</w:t>
        </w:r>
        <w:r w:rsidR="00D54680" w:rsidRPr="00AC6A32">
          <w:rPr>
            <w:rStyle w:val="Hyperlink"/>
            <w:rFonts w:ascii="Times New Roman" w:hAnsi="Times New Roman" w:hint="eastAsia"/>
            <w:b/>
            <w:lang w:val="en-AU" w:eastAsia="ko-KR"/>
          </w:rPr>
          <w:t>2</w:t>
        </w:r>
      </w:hyperlink>
    </w:p>
    <w:p w14:paraId="16E94937" w14:textId="77777777" w:rsidR="001409BC" w:rsidRPr="009C2ADD" w:rsidRDefault="001409BC" w:rsidP="009C2ADD">
      <w:pPr>
        <w:pStyle w:val="WCPFC"/>
        <w:numPr>
          <w:ilvl w:val="0"/>
          <w:numId w:val="0"/>
        </w:numPr>
        <w:adjustRightInd w:val="0"/>
        <w:spacing w:after="0"/>
        <w:ind w:left="567"/>
      </w:pPr>
    </w:p>
    <w:p w14:paraId="0EAA7F3A" w14:textId="6C55DC9D" w:rsidR="001409BC" w:rsidRPr="009C2ADD" w:rsidRDefault="001409BC" w:rsidP="009C2ADD">
      <w:pPr>
        <w:pStyle w:val="Heading2"/>
        <w:numPr>
          <w:ilvl w:val="1"/>
          <w:numId w:val="31"/>
        </w:numPr>
        <w:adjustRightInd w:val="0"/>
        <w:snapToGrid w:val="0"/>
        <w:ind w:left="0" w:firstLine="0"/>
        <w:rPr>
          <w:color w:val="auto"/>
          <w:szCs w:val="22"/>
        </w:rPr>
      </w:pPr>
      <w:bookmarkStart w:id="110" w:name="_Toc491851822"/>
      <w:r w:rsidRPr="009C2ADD">
        <w:rPr>
          <w:color w:val="auto"/>
          <w:szCs w:val="22"/>
        </w:rPr>
        <w:t>WCPO Sharks</w:t>
      </w:r>
      <w:bookmarkEnd w:id="110"/>
    </w:p>
    <w:p w14:paraId="5828F3D8" w14:textId="77777777" w:rsidR="00D537A1" w:rsidRPr="009C2ADD" w:rsidRDefault="00D537A1" w:rsidP="009C2ADD">
      <w:pPr>
        <w:adjustRightInd w:val="0"/>
        <w:snapToGrid w:val="0"/>
        <w:spacing w:after="0"/>
        <w:rPr>
          <w:rFonts w:ascii="Times New Roman" w:hAnsi="Times New Roman"/>
        </w:rPr>
      </w:pPr>
    </w:p>
    <w:p w14:paraId="4AD14DB3" w14:textId="6A993155" w:rsidR="00851B91" w:rsidRPr="009C2ADD" w:rsidRDefault="00D537A1" w:rsidP="009C2ADD">
      <w:pPr>
        <w:adjustRightInd w:val="0"/>
        <w:snapToGrid w:val="0"/>
        <w:spacing w:after="0"/>
        <w:rPr>
          <w:rFonts w:ascii="Times New Roman" w:hAnsi="Times New Roman"/>
          <w:b/>
        </w:rPr>
      </w:pPr>
      <w:r w:rsidRPr="009C2ADD">
        <w:rPr>
          <w:rFonts w:ascii="Times New Roman" w:hAnsi="Times New Roman"/>
          <w:b/>
        </w:rPr>
        <w:t xml:space="preserve">4.3.1 </w:t>
      </w:r>
      <w:r w:rsidRPr="009C2ADD">
        <w:rPr>
          <w:rFonts w:ascii="Times New Roman" w:hAnsi="Times New Roman"/>
          <w:b/>
        </w:rPr>
        <w:tab/>
      </w:r>
      <w:r w:rsidR="001409BC" w:rsidRPr="009C2ADD">
        <w:rPr>
          <w:rFonts w:ascii="Times New Roman" w:hAnsi="Times New Roman"/>
          <w:b/>
        </w:rPr>
        <w:t>Oceanic whitetip shark</w:t>
      </w:r>
      <w:r w:rsidR="001409BC" w:rsidRPr="009C2ADD">
        <w:rPr>
          <w:rFonts w:ascii="Times New Roman" w:eastAsia="Times New Roman" w:hAnsi="Times New Roman"/>
          <w:b/>
          <w:lang w:eastAsia="ko-KR"/>
        </w:rPr>
        <w:t xml:space="preserve"> </w:t>
      </w:r>
      <w:r w:rsidR="001409BC" w:rsidRPr="009C2ADD">
        <w:rPr>
          <w:rFonts w:ascii="Times New Roman" w:hAnsi="Times New Roman"/>
          <w:b/>
        </w:rPr>
        <w:t>(</w:t>
      </w:r>
      <w:r w:rsidR="001409BC" w:rsidRPr="009C2ADD">
        <w:rPr>
          <w:rFonts w:ascii="Times New Roman" w:hAnsi="Times New Roman"/>
          <w:b/>
          <w:i/>
        </w:rPr>
        <w:t>Carcharhinus longimanus</w:t>
      </w:r>
      <w:r w:rsidR="001409BC" w:rsidRPr="009C2ADD">
        <w:rPr>
          <w:rFonts w:ascii="Times New Roman" w:hAnsi="Times New Roman"/>
          <w:b/>
        </w:rPr>
        <w:t>)</w:t>
      </w:r>
    </w:p>
    <w:p w14:paraId="4AD20CA7" w14:textId="77777777" w:rsidR="00D537A1" w:rsidRPr="009C2ADD" w:rsidRDefault="00D537A1" w:rsidP="009C2ADD">
      <w:pPr>
        <w:pStyle w:val="ListParagraph"/>
        <w:adjustRightInd w:val="0"/>
        <w:snapToGrid w:val="0"/>
        <w:ind w:firstLine="0"/>
        <w:contextualSpacing w:val="0"/>
        <w:rPr>
          <w:rFonts w:ascii="Times New Roman" w:hAnsi="Times New Roman"/>
          <w:lang w:eastAsia="ko-KR"/>
        </w:rPr>
      </w:pPr>
    </w:p>
    <w:p w14:paraId="0EA9CDF4" w14:textId="77777777" w:rsidR="00851B91" w:rsidRPr="009C2ADD" w:rsidRDefault="00851B91" w:rsidP="009C2ADD">
      <w:pPr>
        <w:pStyle w:val="Heading3"/>
        <w:adjustRightInd w:val="0"/>
        <w:snapToGrid w:val="0"/>
        <w:spacing w:before="0"/>
        <w:rPr>
          <w:rFonts w:ascii="Times New Roman" w:hAnsi="Times New Roman" w:cs="Times New Roman"/>
          <w:bCs/>
        </w:rPr>
      </w:pPr>
      <w:r w:rsidRPr="009C2ADD">
        <w:rPr>
          <w:rFonts w:ascii="Times New Roman" w:hAnsi="Times New Roman" w:cs="Times New Roman"/>
          <w:lang w:eastAsia="ko-KR"/>
        </w:rPr>
        <w:t xml:space="preserve">4.3.1.1 </w:t>
      </w:r>
      <w:r w:rsidRPr="009C2ADD">
        <w:rPr>
          <w:rFonts w:ascii="Times New Roman" w:hAnsi="Times New Roman" w:cs="Times New Roman"/>
          <w:bCs/>
        </w:rPr>
        <w:t>Review of research and information</w:t>
      </w:r>
    </w:p>
    <w:p w14:paraId="3DFE2351" w14:textId="599D9D56" w:rsidR="00851B91" w:rsidRPr="009C2ADD" w:rsidRDefault="00851B91" w:rsidP="009C2ADD">
      <w:pPr>
        <w:pStyle w:val="WCPFC"/>
        <w:numPr>
          <w:ilvl w:val="0"/>
          <w:numId w:val="0"/>
        </w:numPr>
        <w:adjustRightInd w:val="0"/>
        <w:spacing w:after="0"/>
        <w:ind w:left="567" w:hanging="567"/>
        <w:rPr>
          <w:lang w:eastAsia="ko-KR"/>
        </w:rPr>
      </w:pPr>
    </w:p>
    <w:p w14:paraId="4434B8B7" w14:textId="649859B7" w:rsidR="00851B91"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2012, no stock assessment has been conducted since and there was no new information. </w:t>
      </w:r>
    </w:p>
    <w:p w14:paraId="12068417"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68BBAB15" w14:textId="77777777" w:rsidR="00851B91" w:rsidRPr="009C2ADD" w:rsidRDefault="00851B91" w:rsidP="009C2ADD">
      <w:pPr>
        <w:adjustRightInd w:val="0"/>
        <w:snapToGrid w:val="0"/>
        <w:spacing w:after="0"/>
        <w:rPr>
          <w:rFonts w:ascii="Times New Roman" w:eastAsia="바탕" w:hAnsi="Times New Roman"/>
          <w:b/>
          <w:lang w:eastAsia="ko-KR"/>
        </w:rPr>
      </w:pPr>
      <w:r w:rsidRPr="009C2ADD">
        <w:rPr>
          <w:rFonts w:ascii="Times New Roman" w:hAnsi="Times New Roman"/>
          <w:b/>
          <w:lang w:val="en-AU" w:eastAsia="ko-KR"/>
        </w:rPr>
        <w:t xml:space="preserve">4.3.1.2 </w:t>
      </w:r>
      <w:r w:rsidRPr="009C2ADD">
        <w:rPr>
          <w:rFonts w:ascii="Times New Roman" w:hAnsi="Times New Roman"/>
          <w:b/>
          <w:bCs/>
        </w:rPr>
        <w:t>Provision of scientific information</w:t>
      </w:r>
    </w:p>
    <w:p w14:paraId="5414950C" w14:textId="26DAFE97" w:rsidR="00851B91" w:rsidRPr="009C2ADD" w:rsidRDefault="00851B91" w:rsidP="009C2ADD">
      <w:pPr>
        <w:autoSpaceDE w:val="0"/>
        <w:autoSpaceDN w:val="0"/>
        <w:adjustRightInd w:val="0"/>
        <w:snapToGrid w:val="0"/>
        <w:spacing w:after="0"/>
        <w:rPr>
          <w:rFonts w:ascii="Times New Roman" w:hAnsi="Times New Roman"/>
          <w:lang w:val="en-AU" w:eastAsia="ko-KR"/>
        </w:rPr>
      </w:pPr>
    </w:p>
    <w:p w14:paraId="6F6C1F5F" w14:textId="3A69BF69" w:rsidR="001409BC" w:rsidRPr="009C2ADD" w:rsidRDefault="001409BC" w:rsidP="00766C07">
      <w:pPr>
        <w:pStyle w:val="WCPFC"/>
        <w:numPr>
          <w:ilvl w:val="0"/>
          <w:numId w:val="193"/>
        </w:numPr>
        <w:adjustRightInd w:val="0"/>
        <w:spacing w:after="0"/>
        <w:ind w:left="0" w:firstLine="0"/>
        <w:rPr>
          <w:b/>
          <w:lang w:val="en-AU"/>
        </w:rPr>
      </w:pPr>
      <w:r w:rsidRPr="009C2ADD">
        <w:rPr>
          <w:b/>
          <w:lang w:val="en-AU"/>
        </w:rPr>
        <w:t>Stock status and trends</w:t>
      </w:r>
    </w:p>
    <w:p w14:paraId="1F0623A6" w14:textId="77777777" w:rsidR="00D537A1" w:rsidRPr="009C2ADD" w:rsidRDefault="00D537A1" w:rsidP="009C2ADD">
      <w:pPr>
        <w:pStyle w:val="WCPFC"/>
        <w:numPr>
          <w:ilvl w:val="0"/>
          <w:numId w:val="0"/>
        </w:numPr>
        <w:adjustRightInd w:val="0"/>
        <w:spacing w:after="0"/>
        <w:ind w:left="720"/>
        <w:rPr>
          <w:b/>
          <w:lang w:val="en-AU"/>
        </w:rPr>
      </w:pPr>
    </w:p>
    <w:p w14:paraId="21FC7BBF"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these shark species in 2017. Therefore, the stock status descriptions from SC8 are still current for oceanic whitetip shark respectively. Updated information on catches was not compiled for and reviewed by SC13. </w:t>
      </w:r>
    </w:p>
    <w:p w14:paraId="4992611C" w14:textId="77777777" w:rsidR="00D537A1" w:rsidRPr="009C2ADD" w:rsidRDefault="00D537A1" w:rsidP="009C2ADD">
      <w:pPr>
        <w:autoSpaceDE w:val="0"/>
        <w:autoSpaceDN w:val="0"/>
        <w:adjustRightInd w:val="0"/>
        <w:snapToGrid w:val="0"/>
        <w:spacing w:after="0"/>
        <w:rPr>
          <w:rFonts w:ascii="Times New Roman" w:hAnsi="Times New Roman"/>
          <w:b/>
          <w:lang w:val="en-AU"/>
        </w:rPr>
      </w:pPr>
    </w:p>
    <w:p w14:paraId="6E240827" w14:textId="4EEB7F4D" w:rsidR="001409BC" w:rsidRPr="009C2ADD" w:rsidRDefault="001409BC" w:rsidP="00766C07">
      <w:pPr>
        <w:pStyle w:val="WCPFC"/>
        <w:numPr>
          <w:ilvl w:val="0"/>
          <w:numId w:val="193"/>
        </w:numPr>
        <w:adjustRightInd w:val="0"/>
        <w:spacing w:after="0"/>
        <w:ind w:left="0" w:firstLine="0"/>
        <w:rPr>
          <w:b/>
          <w:lang w:val="en-AU"/>
        </w:rPr>
      </w:pPr>
      <w:r w:rsidRPr="009C2ADD">
        <w:rPr>
          <w:b/>
          <w:lang w:val="en-AU"/>
        </w:rPr>
        <w:t>Management advice and implications</w:t>
      </w:r>
    </w:p>
    <w:p w14:paraId="0FA445CB" w14:textId="77777777" w:rsidR="00D537A1" w:rsidRPr="009C2ADD" w:rsidRDefault="00D537A1" w:rsidP="009C2ADD">
      <w:pPr>
        <w:pStyle w:val="WCPFC"/>
        <w:numPr>
          <w:ilvl w:val="0"/>
          <w:numId w:val="0"/>
        </w:numPr>
        <w:adjustRightInd w:val="0"/>
        <w:spacing w:after="0"/>
        <w:ind w:left="720"/>
        <w:rPr>
          <w:b/>
          <w:lang w:val="en-AU"/>
        </w:rPr>
      </w:pPr>
    </w:p>
    <w:p w14:paraId="7759C217" w14:textId="77777777" w:rsidR="001409BC" w:rsidRPr="008078D7" w:rsidRDefault="001409BC" w:rsidP="009C2ADD">
      <w:pPr>
        <w:numPr>
          <w:ilvl w:val="0"/>
          <w:numId w:val="1"/>
        </w:numPr>
        <w:autoSpaceDE w:val="0"/>
        <w:autoSpaceDN w:val="0"/>
        <w:adjustRightInd w:val="0"/>
        <w:snapToGrid w:val="0"/>
        <w:spacing w:after="0"/>
        <w:ind w:left="0" w:firstLine="0"/>
        <w:rPr>
          <w:rFonts w:ascii="Times New Roman" w:hAnsi="Times New Roman"/>
          <w:b/>
          <w:bCs/>
          <w:lang w:val="en-AU"/>
        </w:rPr>
      </w:pPr>
      <w:r w:rsidRPr="008078D7">
        <w:rPr>
          <w:rFonts w:ascii="Times New Roman" w:hAnsi="Times New Roman"/>
          <w:b/>
          <w:bCs/>
          <w:lang w:val="en-AU"/>
        </w:rPr>
        <w:t>SC13 noted that no management advice has been provided since SC8 for oceanic whitetip shark. Therefore, previous advice should be maintained, pending a new assessment or other new information.</w:t>
      </w:r>
    </w:p>
    <w:p w14:paraId="4977EB5C" w14:textId="77777777" w:rsidR="001B0CC3" w:rsidRPr="009C2ADD" w:rsidRDefault="001B0CC3" w:rsidP="009C2ADD">
      <w:pPr>
        <w:pStyle w:val="WCPFC"/>
        <w:numPr>
          <w:ilvl w:val="0"/>
          <w:numId w:val="0"/>
        </w:numPr>
        <w:adjustRightInd w:val="0"/>
        <w:spacing w:after="0"/>
        <w:rPr>
          <w:b/>
        </w:rPr>
      </w:pPr>
    </w:p>
    <w:p w14:paraId="188CFDC5" w14:textId="2C162F53" w:rsidR="001409BC" w:rsidRPr="009C2ADD" w:rsidRDefault="004F2F5A"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4.3.2 </w:t>
      </w:r>
      <w:r w:rsidR="00D537A1" w:rsidRPr="009C2ADD">
        <w:rPr>
          <w:rFonts w:ascii="Times New Roman" w:eastAsia="바탕" w:hAnsi="Times New Roman" w:cs="Times New Roman"/>
          <w:lang w:eastAsia="ko-KR"/>
        </w:rPr>
        <w:tab/>
      </w:r>
      <w:r w:rsidR="001409BC" w:rsidRPr="009C2ADD">
        <w:rPr>
          <w:rFonts w:ascii="Times New Roman" w:eastAsia="바탕" w:hAnsi="Times New Roman" w:cs="Times New Roman"/>
          <w:lang w:eastAsia="ko-KR"/>
        </w:rPr>
        <w:t>Silky shark (</w:t>
      </w:r>
      <w:r w:rsidR="001409BC" w:rsidRPr="00464B7F">
        <w:rPr>
          <w:rFonts w:ascii="Times New Roman" w:eastAsia="바탕" w:hAnsi="Times New Roman" w:cs="Times New Roman"/>
          <w:i/>
          <w:lang w:eastAsia="ko-KR"/>
        </w:rPr>
        <w:t>Carcharhinus falciformis</w:t>
      </w:r>
      <w:r w:rsidR="001409BC" w:rsidRPr="009C2ADD">
        <w:rPr>
          <w:rFonts w:ascii="Times New Roman" w:eastAsia="바탕" w:hAnsi="Times New Roman" w:cs="Times New Roman"/>
          <w:lang w:eastAsia="ko-KR"/>
        </w:rPr>
        <w:t>)</w:t>
      </w:r>
    </w:p>
    <w:p w14:paraId="73F01DC5" w14:textId="77777777" w:rsidR="001409BC" w:rsidRPr="009C2ADD" w:rsidRDefault="001409BC" w:rsidP="009C2ADD">
      <w:pPr>
        <w:autoSpaceDE w:val="0"/>
        <w:autoSpaceDN w:val="0"/>
        <w:adjustRightInd w:val="0"/>
        <w:snapToGrid w:val="0"/>
        <w:spacing w:after="0"/>
        <w:rPr>
          <w:rFonts w:ascii="Times New Roman" w:hAnsi="Times New Roman"/>
          <w:b/>
          <w:lang w:eastAsia="ko-KR"/>
        </w:rPr>
      </w:pPr>
    </w:p>
    <w:p w14:paraId="79EAA002" w14:textId="20861DE7" w:rsidR="00851B91" w:rsidRPr="009C2ADD" w:rsidRDefault="006236B4" w:rsidP="009C2ADD">
      <w:pPr>
        <w:autoSpaceDE w:val="0"/>
        <w:autoSpaceDN w:val="0"/>
        <w:adjustRightInd w:val="0"/>
        <w:snapToGrid w:val="0"/>
        <w:spacing w:after="0"/>
        <w:rPr>
          <w:rFonts w:ascii="Times New Roman" w:hAnsi="Times New Roman"/>
          <w:b/>
          <w:bCs/>
        </w:rPr>
      </w:pPr>
      <w:r w:rsidRPr="009C2ADD">
        <w:rPr>
          <w:rFonts w:ascii="Times New Roman" w:hAnsi="Times New Roman"/>
          <w:b/>
          <w:lang w:eastAsia="ko-KR"/>
        </w:rPr>
        <w:t xml:space="preserve">4.3.2.1 </w:t>
      </w:r>
      <w:r w:rsidRPr="009C2ADD">
        <w:rPr>
          <w:rFonts w:ascii="Times New Roman" w:hAnsi="Times New Roman"/>
          <w:b/>
          <w:lang w:eastAsia="ko-KR"/>
        </w:rPr>
        <w:tab/>
      </w:r>
      <w:r w:rsidRPr="009C2ADD">
        <w:rPr>
          <w:rFonts w:ascii="Times New Roman" w:hAnsi="Times New Roman"/>
          <w:b/>
          <w:bCs/>
        </w:rPr>
        <w:t>Review of research and information</w:t>
      </w:r>
    </w:p>
    <w:p w14:paraId="6A224DEE" w14:textId="77777777" w:rsidR="00D537A1" w:rsidRPr="009C2ADD" w:rsidRDefault="00D537A1" w:rsidP="009C2ADD">
      <w:pPr>
        <w:autoSpaceDE w:val="0"/>
        <w:autoSpaceDN w:val="0"/>
        <w:adjustRightInd w:val="0"/>
        <w:snapToGrid w:val="0"/>
        <w:spacing w:after="0"/>
        <w:rPr>
          <w:rFonts w:ascii="Times New Roman" w:hAnsi="Times New Roman"/>
          <w:b/>
          <w:lang w:eastAsia="ko-KR"/>
        </w:rPr>
      </w:pPr>
    </w:p>
    <w:p w14:paraId="4E599505" w14:textId="174F6173" w:rsidR="006236B4"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2013 and no stock assessment has been conducted since then. There was no new information.  One </w:t>
      </w:r>
      <w:r w:rsidR="007B0B09">
        <w:rPr>
          <w:rFonts w:ascii="Times New Roman" w:hAnsi="Times New Roman" w:hint="eastAsia"/>
          <w:lang w:val="en-AU" w:eastAsia="ko-KR"/>
        </w:rPr>
        <w:t>information paper</w:t>
      </w:r>
      <w:r w:rsidR="007B0B09" w:rsidRPr="009C2ADD">
        <w:rPr>
          <w:rFonts w:ascii="Times New Roman" w:hAnsi="Times New Roman"/>
          <w:lang w:val="en-AU"/>
        </w:rPr>
        <w:t xml:space="preserve"> </w:t>
      </w:r>
      <w:r w:rsidR="007B0B09">
        <w:rPr>
          <w:rFonts w:ascii="Times New Roman" w:hAnsi="Times New Roman" w:hint="eastAsia"/>
          <w:lang w:val="en-AU" w:eastAsia="ko-KR"/>
        </w:rPr>
        <w:t>(</w:t>
      </w:r>
      <w:r w:rsidRPr="009C2ADD">
        <w:rPr>
          <w:rFonts w:ascii="Times New Roman" w:hAnsi="Times New Roman"/>
          <w:lang w:val="en-AU"/>
        </w:rPr>
        <w:t>SC13-SA-IP-12</w:t>
      </w:r>
      <w:r w:rsidR="007B0B09">
        <w:rPr>
          <w:rFonts w:ascii="Times New Roman" w:hAnsi="Times New Roman" w:hint="eastAsia"/>
          <w:lang w:val="en-AU" w:eastAsia="ko-KR"/>
        </w:rPr>
        <w:t>)</w:t>
      </w:r>
      <w:r w:rsidRPr="009C2ADD">
        <w:rPr>
          <w:rFonts w:ascii="Times New Roman" w:hAnsi="Times New Roman"/>
          <w:lang w:val="en-AU"/>
        </w:rPr>
        <w:t xml:space="preserve"> was submitted under this item.</w:t>
      </w:r>
    </w:p>
    <w:p w14:paraId="411487F1"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66463E37" w14:textId="5E2D0895" w:rsidR="006236B4" w:rsidRPr="009C2ADD" w:rsidRDefault="006236B4" w:rsidP="009C2ADD">
      <w:pPr>
        <w:autoSpaceDE w:val="0"/>
        <w:autoSpaceDN w:val="0"/>
        <w:adjustRightInd w:val="0"/>
        <w:snapToGrid w:val="0"/>
        <w:spacing w:after="0"/>
        <w:rPr>
          <w:rFonts w:ascii="Times New Roman" w:hAnsi="Times New Roman"/>
          <w:b/>
          <w:bCs/>
        </w:rPr>
      </w:pPr>
      <w:r w:rsidRPr="009C2ADD">
        <w:rPr>
          <w:rFonts w:ascii="Times New Roman" w:hAnsi="Times New Roman"/>
          <w:b/>
          <w:lang w:val="en-AU" w:eastAsia="ko-KR"/>
        </w:rPr>
        <w:t xml:space="preserve">4.3.2.2 </w:t>
      </w:r>
      <w:r w:rsidRPr="009C2ADD">
        <w:rPr>
          <w:rFonts w:ascii="Times New Roman" w:hAnsi="Times New Roman"/>
          <w:b/>
          <w:lang w:val="en-AU" w:eastAsia="ko-KR"/>
        </w:rPr>
        <w:tab/>
      </w:r>
      <w:r w:rsidRPr="009C2ADD">
        <w:rPr>
          <w:rFonts w:ascii="Times New Roman" w:hAnsi="Times New Roman"/>
          <w:b/>
          <w:bCs/>
        </w:rPr>
        <w:t>Provision of scientific information</w:t>
      </w:r>
    </w:p>
    <w:p w14:paraId="4BAFF248" w14:textId="77777777" w:rsidR="00D537A1" w:rsidRPr="009C2ADD" w:rsidRDefault="00D537A1" w:rsidP="009C2ADD">
      <w:pPr>
        <w:autoSpaceDE w:val="0"/>
        <w:autoSpaceDN w:val="0"/>
        <w:adjustRightInd w:val="0"/>
        <w:snapToGrid w:val="0"/>
        <w:spacing w:after="0"/>
        <w:rPr>
          <w:rFonts w:ascii="Times New Roman" w:hAnsi="Times New Roman"/>
          <w:b/>
          <w:lang w:val="en-AU" w:eastAsia="ko-KR"/>
        </w:rPr>
      </w:pPr>
    </w:p>
    <w:p w14:paraId="3608D2D2" w14:textId="27FBEFE0" w:rsidR="001409BC" w:rsidRPr="009C2ADD" w:rsidRDefault="001409BC" w:rsidP="00766C07">
      <w:pPr>
        <w:pStyle w:val="ListParagraph"/>
        <w:numPr>
          <w:ilvl w:val="0"/>
          <w:numId w:val="194"/>
        </w:numPr>
        <w:autoSpaceDE w:val="0"/>
        <w:autoSpaceDN w:val="0"/>
        <w:adjustRightInd w:val="0"/>
        <w:snapToGrid w:val="0"/>
        <w:ind w:left="0" w:firstLine="0"/>
        <w:contextualSpacing w:val="0"/>
        <w:rPr>
          <w:rFonts w:ascii="Times New Roman" w:hAnsi="Times New Roman"/>
          <w:b/>
          <w:i/>
          <w:lang w:eastAsia="ko-KR"/>
        </w:rPr>
      </w:pPr>
      <w:r w:rsidRPr="009C2ADD">
        <w:rPr>
          <w:rFonts w:ascii="Times New Roman" w:hAnsi="Times New Roman"/>
          <w:b/>
        </w:rPr>
        <w:t>S</w:t>
      </w:r>
      <w:r w:rsidRPr="009C2ADD">
        <w:rPr>
          <w:rFonts w:ascii="Times New Roman" w:hAnsi="Times New Roman"/>
          <w:b/>
          <w:lang w:eastAsia="ko-KR"/>
        </w:rPr>
        <w:t>tock s</w:t>
      </w:r>
      <w:r w:rsidRPr="009C2ADD">
        <w:rPr>
          <w:rFonts w:ascii="Times New Roman" w:hAnsi="Times New Roman"/>
          <w:b/>
        </w:rPr>
        <w:t>tatus and trends</w:t>
      </w:r>
    </w:p>
    <w:p w14:paraId="4E19D6AB" w14:textId="77777777" w:rsidR="00851B91" w:rsidRPr="009C2ADD" w:rsidRDefault="00851B91" w:rsidP="009C2ADD">
      <w:pPr>
        <w:pStyle w:val="ListParagraph"/>
        <w:autoSpaceDE w:val="0"/>
        <w:autoSpaceDN w:val="0"/>
        <w:adjustRightInd w:val="0"/>
        <w:snapToGrid w:val="0"/>
        <w:ind w:firstLine="0"/>
        <w:contextualSpacing w:val="0"/>
        <w:rPr>
          <w:rFonts w:ascii="Times New Roman" w:hAnsi="Times New Roman"/>
          <w:b/>
          <w:i/>
          <w:lang w:eastAsia="ko-KR"/>
        </w:rPr>
      </w:pPr>
    </w:p>
    <w:p w14:paraId="0B8C8222"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these shark species in 2017. Therefore, the stock status descriptions from SC9 are still current for silky shark. Updated information on catches was not compiled for and reviewed by SC13. </w:t>
      </w:r>
    </w:p>
    <w:p w14:paraId="37EE83CE" w14:textId="77777777" w:rsidR="00D537A1" w:rsidRPr="009C2ADD" w:rsidRDefault="00D537A1" w:rsidP="009C2ADD">
      <w:pPr>
        <w:autoSpaceDE w:val="0"/>
        <w:autoSpaceDN w:val="0"/>
        <w:adjustRightInd w:val="0"/>
        <w:snapToGrid w:val="0"/>
        <w:spacing w:after="0"/>
        <w:rPr>
          <w:rFonts w:ascii="Times New Roman" w:hAnsi="Times New Roman"/>
          <w:b/>
          <w:lang w:val="en-AU"/>
        </w:rPr>
      </w:pPr>
    </w:p>
    <w:p w14:paraId="2868FC8A" w14:textId="57DF1D48" w:rsidR="001409BC" w:rsidRPr="009C2ADD" w:rsidRDefault="001409BC" w:rsidP="00766C07">
      <w:pPr>
        <w:pStyle w:val="WCPFC"/>
        <w:numPr>
          <w:ilvl w:val="0"/>
          <w:numId w:val="194"/>
        </w:numPr>
        <w:adjustRightInd w:val="0"/>
        <w:spacing w:after="0"/>
        <w:ind w:left="0" w:firstLine="0"/>
        <w:rPr>
          <w:b/>
          <w:i/>
          <w:lang w:eastAsia="ko-KR"/>
        </w:rPr>
      </w:pPr>
      <w:r w:rsidRPr="009C2ADD">
        <w:rPr>
          <w:b/>
        </w:rPr>
        <w:t>Management advice and implications</w:t>
      </w:r>
    </w:p>
    <w:p w14:paraId="544352E5" w14:textId="77777777" w:rsidR="00D537A1" w:rsidRPr="009C2ADD" w:rsidRDefault="00D537A1" w:rsidP="009C2ADD">
      <w:pPr>
        <w:pStyle w:val="WCPFC"/>
        <w:numPr>
          <w:ilvl w:val="0"/>
          <w:numId w:val="0"/>
        </w:numPr>
        <w:adjustRightInd w:val="0"/>
        <w:spacing w:after="0"/>
        <w:ind w:left="720"/>
        <w:rPr>
          <w:b/>
          <w:i/>
          <w:lang w:eastAsia="ko-KR"/>
        </w:rPr>
      </w:pPr>
    </w:p>
    <w:p w14:paraId="5EACF7B9"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since SC9 for silky shark. Therefore, previous advice should be maintained, pending a new assessment or other new information.</w:t>
      </w:r>
    </w:p>
    <w:p w14:paraId="2CA859E3" w14:textId="77777777" w:rsidR="001409BC" w:rsidRPr="009C2ADD" w:rsidRDefault="001409BC" w:rsidP="009C2ADD">
      <w:pPr>
        <w:pStyle w:val="WCPFC"/>
        <w:numPr>
          <w:ilvl w:val="0"/>
          <w:numId w:val="0"/>
        </w:numPr>
        <w:adjustRightInd w:val="0"/>
        <w:spacing w:after="0"/>
        <w:ind w:left="567"/>
        <w:rPr>
          <w:b/>
        </w:rPr>
      </w:pPr>
    </w:p>
    <w:p w14:paraId="518D1F99" w14:textId="1952060B" w:rsidR="001409BC" w:rsidRPr="009C2ADD" w:rsidRDefault="004F2F5A"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4.3.3 </w:t>
      </w:r>
      <w:r w:rsidR="00F36432" w:rsidRPr="009C2ADD">
        <w:rPr>
          <w:rFonts w:ascii="Times New Roman" w:eastAsia="바탕" w:hAnsi="Times New Roman" w:cs="Times New Roman"/>
          <w:lang w:eastAsia="ko-KR"/>
        </w:rPr>
        <w:tab/>
      </w:r>
      <w:r w:rsidR="001409BC" w:rsidRPr="009C2ADD">
        <w:rPr>
          <w:rFonts w:ascii="Times New Roman" w:eastAsia="바탕" w:hAnsi="Times New Roman" w:cs="Times New Roman"/>
          <w:lang w:eastAsia="ko-KR"/>
        </w:rPr>
        <w:t>South Pacific blue shark (</w:t>
      </w:r>
      <w:r w:rsidR="001409BC" w:rsidRPr="009C2ADD">
        <w:rPr>
          <w:rFonts w:ascii="Times New Roman" w:eastAsia="바탕" w:hAnsi="Times New Roman" w:cs="Times New Roman"/>
          <w:i/>
          <w:lang w:eastAsia="ko-KR"/>
        </w:rPr>
        <w:t>Prionace glauca</w:t>
      </w:r>
      <w:r w:rsidR="001409BC" w:rsidRPr="009C2ADD">
        <w:rPr>
          <w:rFonts w:ascii="Times New Roman" w:eastAsia="바탕" w:hAnsi="Times New Roman" w:cs="Times New Roman"/>
          <w:lang w:eastAsia="ko-KR"/>
        </w:rPr>
        <w:t>)</w:t>
      </w:r>
    </w:p>
    <w:p w14:paraId="2E020B06" w14:textId="77777777" w:rsidR="001409BC" w:rsidRPr="009C2ADD" w:rsidRDefault="001409BC" w:rsidP="009C2ADD">
      <w:pPr>
        <w:pStyle w:val="WCPFC"/>
        <w:numPr>
          <w:ilvl w:val="0"/>
          <w:numId w:val="0"/>
        </w:numPr>
        <w:adjustRightInd w:val="0"/>
        <w:spacing w:after="0"/>
        <w:ind w:left="567" w:hanging="567"/>
        <w:rPr>
          <w:lang w:eastAsia="ko-KR"/>
        </w:rPr>
      </w:pPr>
    </w:p>
    <w:p w14:paraId="25733D08" w14:textId="09679E02" w:rsidR="006236B4" w:rsidRPr="009C2ADD" w:rsidRDefault="006236B4" w:rsidP="009C2ADD">
      <w:pPr>
        <w:pStyle w:val="WCPFC"/>
        <w:numPr>
          <w:ilvl w:val="0"/>
          <w:numId w:val="0"/>
        </w:numPr>
        <w:adjustRightInd w:val="0"/>
        <w:spacing w:after="0"/>
        <w:ind w:left="567" w:hanging="567"/>
        <w:rPr>
          <w:b/>
          <w:bCs/>
        </w:rPr>
      </w:pPr>
      <w:r w:rsidRPr="009C2ADD">
        <w:rPr>
          <w:b/>
          <w:lang w:eastAsia="ko-KR"/>
        </w:rPr>
        <w:t xml:space="preserve">4.3.3.1 </w:t>
      </w:r>
      <w:r w:rsidR="00D537A1" w:rsidRPr="009C2ADD">
        <w:rPr>
          <w:b/>
          <w:lang w:eastAsia="ko-KR"/>
        </w:rPr>
        <w:tab/>
      </w:r>
      <w:r w:rsidRPr="009C2ADD">
        <w:rPr>
          <w:b/>
          <w:bCs/>
        </w:rPr>
        <w:t>Review of research and information</w:t>
      </w:r>
    </w:p>
    <w:p w14:paraId="35D00BF6" w14:textId="77777777" w:rsidR="00D537A1" w:rsidRPr="009C2ADD" w:rsidRDefault="00D537A1" w:rsidP="009C2ADD">
      <w:pPr>
        <w:pStyle w:val="WCPFC"/>
        <w:numPr>
          <w:ilvl w:val="0"/>
          <w:numId w:val="0"/>
        </w:numPr>
        <w:adjustRightInd w:val="0"/>
        <w:spacing w:after="0"/>
        <w:ind w:left="567" w:hanging="567"/>
        <w:rPr>
          <w:lang w:eastAsia="ko-KR"/>
        </w:rPr>
      </w:pPr>
    </w:p>
    <w:p w14:paraId="1F6DA1E0"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was conducted in 2016.  SC did not receive </w:t>
      </w:r>
      <w:r w:rsidR="00F0225B" w:rsidRPr="009C2ADD">
        <w:rPr>
          <w:rFonts w:ascii="Times New Roman" w:hAnsi="Times New Roman"/>
          <w:lang w:val="en-AU"/>
        </w:rPr>
        <w:t>any updated information.  One paper,</w:t>
      </w:r>
      <w:r w:rsidRPr="009C2ADD">
        <w:rPr>
          <w:rFonts w:ascii="Times New Roman" w:hAnsi="Times New Roman"/>
          <w:lang w:val="en-AU"/>
        </w:rPr>
        <w:t xml:space="preserve"> </w:t>
      </w:r>
      <w:r w:rsidRPr="0070772D">
        <w:rPr>
          <w:rFonts w:ascii="Times New Roman" w:hAnsi="Times New Roman"/>
          <w:bCs/>
          <w:lang w:val="en-AU"/>
        </w:rPr>
        <w:t>SC13-SA-IP-13</w:t>
      </w:r>
      <w:r w:rsidR="00F0225B" w:rsidRPr="009C2ADD">
        <w:rPr>
          <w:rFonts w:ascii="Times New Roman" w:hAnsi="Times New Roman"/>
          <w:lang w:val="en-AU"/>
        </w:rPr>
        <w:t xml:space="preserve"> </w:t>
      </w:r>
      <w:r w:rsidR="00F0225B" w:rsidRPr="009C2ADD">
        <w:rPr>
          <w:rFonts w:ascii="Times New Roman" w:hAnsi="Times New Roman"/>
          <w:i/>
          <w:lang w:val="en-AU"/>
        </w:rPr>
        <w:t>Updated abundance indicators for New Zealand blue, porbeagle and shortfin mako shark</w:t>
      </w:r>
      <w:r w:rsidR="00F0225B" w:rsidRPr="009C2ADD">
        <w:rPr>
          <w:rFonts w:ascii="Times New Roman" w:hAnsi="Times New Roman"/>
          <w:lang w:val="en-AU"/>
        </w:rPr>
        <w:t>,</w:t>
      </w:r>
      <w:r w:rsidRPr="009C2ADD">
        <w:rPr>
          <w:rFonts w:ascii="Times New Roman" w:hAnsi="Times New Roman"/>
          <w:lang w:val="en-AU"/>
        </w:rPr>
        <w:t xml:space="preserve"> was submitted under this item. </w:t>
      </w:r>
    </w:p>
    <w:p w14:paraId="67256AB2"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6DF69D84" w14:textId="047FA6C9" w:rsidR="006236B4" w:rsidRPr="009C2ADD" w:rsidRDefault="006236B4" w:rsidP="009C2ADD">
      <w:pPr>
        <w:pStyle w:val="WCPFC"/>
        <w:numPr>
          <w:ilvl w:val="0"/>
          <w:numId w:val="0"/>
        </w:numPr>
        <w:adjustRightInd w:val="0"/>
        <w:spacing w:after="0"/>
        <w:ind w:left="567" w:hanging="567"/>
        <w:rPr>
          <w:b/>
          <w:bCs/>
        </w:rPr>
      </w:pPr>
      <w:r w:rsidRPr="009C2ADD">
        <w:rPr>
          <w:b/>
          <w:lang w:eastAsia="ko-KR"/>
        </w:rPr>
        <w:t xml:space="preserve">4.3.3.2 </w:t>
      </w:r>
      <w:r w:rsidR="00D537A1" w:rsidRPr="009C2ADD">
        <w:rPr>
          <w:b/>
          <w:lang w:eastAsia="ko-KR"/>
        </w:rPr>
        <w:tab/>
      </w:r>
      <w:r w:rsidRPr="009C2ADD">
        <w:rPr>
          <w:b/>
          <w:bCs/>
        </w:rPr>
        <w:t>Provision of scientific information</w:t>
      </w:r>
    </w:p>
    <w:p w14:paraId="217B22CE" w14:textId="77777777" w:rsidR="00D537A1" w:rsidRPr="009C2ADD" w:rsidRDefault="00D537A1" w:rsidP="009C2ADD">
      <w:pPr>
        <w:pStyle w:val="WCPFC"/>
        <w:numPr>
          <w:ilvl w:val="0"/>
          <w:numId w:val="0"/>
        </w:numPr>
        <w:adjustRightInd w:val="0"/>
        <w:spacing w:after="0"/>
        <w:ind w:left="567" w:hanging="567"/>
        <w:rPr>
          <w:b/>
          <w:lang w:eastAsia="ko-KR"/>
        </w:rPr>
      </w:pPr>
    </w:p>
    <w:p w14:paraId="4BE7C6CC" w14:textId="7DCA9CD6" w:rsidR="001409BC" w:rsidRPr="009C2ADD" w:rsidRDefault="001409BC" w:rsidP="00766C07">
      <w:pPr>
        <w:pStyle w:val="WCPFC"/>
        <w:numPr>
          <w:ilvl w:val="0"/>
          <w:numId w:val="195"/>
        </w:numPr>
        <w:adjustRightInd w:val="0"/>
        <w:spacing w:after="0"/>
        <w:ind w:left="0" w:firstLine="0"/>
        <w:rPr>
          <w:b/>
        </w:rPr>
      </w:pPr>
      <w:r w:rsidRPr="009C2ADD">
        <w:rPr>
          <w:b/>
        </w:rPr>
        <w:t>Stock status and trends</w:t>
      </w:r>
    </w:p>
    <w:p w14:paraId="0BF30125" w14:textId="77777777" w:rsidR="00D537A1" w:rsidRPr="009C2ADD" w:rsidRDefault="00D537A1" w:rsidP="009C2ADD">
      <w:pPr>
        <w:pStyle w:val="WCPFC"/>
        <w:numPr>
          <w:ilvl w:val="0"/>
          <w:numId w:val="0"/>
        </w:numPr>
        <w:adjustRightInd w:val="0"/>
        <w:spacing w:after="0"/>
        <w:ind w:left="720"/>
        <w:rPr>
          <w:b/>
        </w:rPr>
      </w:pPr>
    </w:p>
    <w:p w14:paraId="15C25156" w14:textId="50D89E96"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assessments were conducted for </w:t>
      </w:r>
      <w:r w:rsidR="00B33CDD">
        <w:rPr>
          <w:rFonts w:ascii="Times New Roman" w:hAnsi="Times New Roman"/>
          <w:b/>
          <w:lang w:val="en-AU"/>
        </w:rPr>
        <w:t>this</w:t>
      </w:r>
      <w:r w:rsidR="00B33CDD" w:rsidRPr="009C2ADD">
        <w:rPr>
          <w:rFonts w:ascii="Times New Roman" w:hAnsi="Times New Roman"/>
          <w:b/>
          <w:lang w:val="en-AU"/>
        </w:rPr>
        <w:t xml:space="preserve"> </w:t>
      </w:r>
      <w:r w:rsidRPr="009C2ADD">
        <w:rPr>
          <w:rFonts w:ascii="Times New Roman" w:hAnsi="Times New Roman"/>
          <w:b/>
          <w:lang w:val="en-AU"/>
        </w:rPr>
        <w:t xml:space="preserve">shark species in 2017. Therefore, the stock status descriptions from SC12 are still current for South Pacific blue shark. Updated information on catches was not compiled for and reviewed by SC13. </w:t>
      </w:r>
    </w:p>
    <w:p w14:paraId="302E254B" w14:textId="77777777" w:rsidR="00D537A1" w:rsidRPr="009C2ADD" w:rsidRDefault="00D537A1" w:rsidP="009C2ADD">
      <w:pPr>
        <w:autoSpaceDE w:val="0"/>
        <w:autoSpaceDN w:val="0"/>
        <w:adjustRightInd w:val="0"/>
        <w:snapToGrid w:val="0"/>
        <w:spacing w:after="0"/>
        <w:rPr>
          <w:rFonts w:ascii="Times New Roman" w:hAnsi="Times New Roman"/>
          <w:b/>
          <w:lang w:val="en-AU"/>
        </w:rPr>
      </w:pPr>
    </w:p>
    <w:p w14:paraId="5AB6FFD2" w14:textId="5628D7CC" w:rsidR="001409BC" w:rsidRPr="009C2ADD" w:rsidRDefault="001409BC" w:rsidP="00766C07">
      <w:pPr>
        <w:pStyle w:val="Heading7"/>
        <w:numPr>
          <w:ilvl w:val="0"/>
          <w:numId w:val="195"/>
        </w:numPr>
        <w:adjustRightInd w:val="0"/>
        <w:snapToGrid w:val="0"/>
        <w:spacing w:before="0"/>
        <w:ind w:left="0" w:firstLine="0"/>
        <w:rPr>
          <w:rFonts w:ascii="Times New Roman" w:eastAsia="바탕" w:hAnsi="Times New Roman"/>
          <w:b/>
          <w:bCs/>
          <w:i w:val="0"/>
          <w:iCs w:val="0"/>
          <w:color w:val="auto"/>
          <w:lang w:eastAsia="ko-KR"/>
        </w:rPr>
      </w:pPr>
      <w:r w:rsidRPr="009C2ADD">
        <w:rPr>
          <w:rFonts w:ascii="Times New Roman" w:eastAsia="바탕" w:hAnsi="Times New Roman"/>
          <w:b/>
          <w:bCs/>
          <w:i w:val="0"/>
          <w:iCs w:val="0"/>
          <w:color w:val="auto"/>
          <w:lang w:eastAsia="ko-KR"/>
        </w:rPr>
        <w:t>Management advice and implications</w:t>
      </w:r>
    </w:p>
    <w:p w14:paraId="75597187" w14:textId="77777777" w:rsidR="00D537A1" w:rsidRPr="009C2ADD" w:rsidRDefault="00D537A1" w:rsidP="009C2ADD">
      <w:pPr>
        <w:adjustRightInd w:val="0"/>
        <w:snapToGrid w:val="0"/>
        <w:spacing w:after="0"/>
        <w:rPr>
          <w:rFonts w:ascii="Times New Roman" w:hAnsi="Times New Roman"/>
          <w:lang w:eastAsia="ko-KR"/>
        </w:rPr>
      </w:pPr>
    </w:p>
    <w:p w14:paraId="3981023E"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for South Pacific blue shark.</w:t>
      </w:r>
    </w:p>
    <w:p w14:paraId="253FCE08" w14:textId="77777777" w:rsidR="001409BC" w:rsidRPr="009C2ADD" w:rsidRDefault="001409BC" w:rsidP="009C2ADD">
      <w:pPr>
        <w:adjustRightInd w:val="0"/>
        <w:snapToGrid w:val="0"/>
        <w:spacing w:after="0"/>
        <w:rPr>
          <w:rFonts w:ascii="Times New Roman" w:eastAsia="바탕" w:hAnsi="Times New Roman"/>
          <w:b/>
          <w:bCs/>
          <w:lang w:eastAsia="ko-KR"/>
        </w:rPr>
      </w:pPr>
      <w:bookmarkStart w:id="111" w:name="_Hlk490561566"/>
    </w:p>
    <w:p w14:paraId="1BCFC3A7" w14:textId="7CB023FC" w:rsidR="009E2E78" w:rsidRPr="009C2ADD" w:rsidRDefault="004F2F5A"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4.3.4 </w:t>
      </w:r>
      <w:r w:rsidR="00D537A1" w:rsidRPr="009C2ADD">
        <w:rPr>
          <w:rFonts w:ascii="Times New Roman" w:eastAsia="바탕" w:hAnsi="Times New Roman" w:cs="Times New Roman"/>
          <w:lang w:eastAsia="ko-KR"/>
        </w:rPr>
        <w:tab/>
      </w:r>
      <w:r w:rsidR="001409BC" w:rsidRPr="009C2ADD">
        <w:rPr>
          <w:rFonts w:ascii="Times New Roman" w:eastAsia="바탕" w:hAnsi="Times New Roman" w:cs="Times New Roman"/>
          <w:lang w:eastAsia="ko-KR"/>
        </w:rPr>
        <w:t>North Pacific blue shark (</w:t>
      </w:r>
      <w:r w:rsidR="001409BC" w:rsidRPr="009C2ADD">
        <w:rPr>
          <w:rFonts w:ascii="Times New Roman" w:eastAsia="바탕" w:hAnsi="Times New Roman" w:cs="Times New Roman"/>
          <w:i/>
          <w:lang w:eastAsia="ko-KR"/>
        </w:rPr>
        <w:t>Prionace glauca</w:t>
      </w:r>
      <w:r w:rsidR="001409BC" w:rsidRPr="009C2ADD">
        <w:rPr>
          <w:rFonts w:ascii="Times New Roman" w:eastAsia="바탕" w:hAnsi="Times New Roman" w:cs="Times New Roman"/>
          <w:lang w:eastAsia="ko-KR"/>
        </w:rPr>
        <w:t xml:space="preserve">)  </w:t>
      </w:r>
    </w:p>
    <w:p w14:paraId="0C91A0BB" w14:textId="77777777" w:rsidR="001409BC" w:rsidRPr="009C2ADD" w:rsidRDefault="001409BC"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 </w:t>
      </w:r>
    </w:p>
    <w:p w14:paraId="49CFEF37" w14:textId="77EB9FE5" w:rsidR="001409BC" w:rsidRPr="009C2ADD" w:rsidRDefault="006236B4"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4.3.4.1</w:t>
      </w:r>
      <w:r w:rsidRPr="009C2ADD">
        <w:rPr>
          <w:rFonts w:ascii="Times New Roman" w:eastAsia="바탕" w:hAnsi="Times New Roman"/>
          <w:b/>
          <w:lang w:eastAsia="ko-KR"/>
        </w:rPr>
        <w:tab/>
      </w:r>
      <w:r w:rsidR="001409BC" w:rsidRPr="009C2ADD">
        <w:rPr>
          <w:rFonts w:ascii="Times New Roman" w:eastAsia="바탕" w:hAnsi="Times New Roman"/>
          <w:b/>
          <w:lang w:eastAsia="ko-KR"/>
        </w:rPr>
        <w:t>Review of research and information</w:t>
      </w:r>
      <w:bookmarkStart w:id="112" w:name="_Hlk490474930"/>
    </w:p>
    <w:p w14:paraId="4918DD2F" w14:textId="77777777" w:rsidR="009E2E78" w:rsidRPr="009C2ADD" w:rsidRDefault="009E2E78" w:rsidP="009C2ADD">
      <w:pPr>
        <w:adjustRightInd w:val="0"/>
        <w:snapToGrid w:val="0"/>
        <w:spacing w:after="0"/>
        <w:ind w:firstLine="720"/>
        <w:rPr>
          <w:rFonts w:ascii="Times New Roman" w:eastAsia="바탕" w:hAnsi="Times New Roman"/>
          <w:b/>
          <w:lang w:eastAsia="ko-KR"/>
        </w:rPr>
      </w:pPr>
    </w:p>
    <w:p w14:paraId="59EA237F" w14:textId="4047A655" w:rsidR="001409BC" w:rsidRPr="009C2ADD" w:rsidRDefault="001409BC" w:rsidP="009C2ADD">
      <w:pPr>
        <w:pStyle w:val="ListParagraph"/>
        <w:numPr>
          <w:ilvl w:val="0"/>
          <w:numId w:val="33"/>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Review of 2017 North Pacific blue shark</w:t>
      </w:r>
      <w:r w:rsidRPr="009C2ADD">
        <w:rPr>
          <w:rFonts w:ascii="Times New Roman" w:eastAsia="바탕" w:hAnsi="Times New Roman"/>
          <w:b/>
          <w:bCs/>
          <w:lang w:eastAsia="ko-KR"/>
        </w:rPr>
        <w:t xml:space="preserve"> </w:t>
      </w:r>
      <w:r w:rsidRPr="009C2ADD">
        <w:rPr>
          <w:rFonts w:ascii="Times New Roman" w:eastAsia="바탕" w:hAnsi="Times New Roman"/>
          <w:b/>
          <w:lang w:eastAsia="ko-KR"/>
        </w:rPr>
        <w:t>stock assessment</w:t>
      </w:r>
    </w:p>
    <w:p w14:paraId="0660ADA9" w14:textId="77777777" w:rsidR="001409BC" w:rsidRPr="009C2ADD" w:rsidRDefault="001409BC" w:rsidP="009C2ADD">
      <w:pPr>
        <w:pStyle w:val="ListParagraph"/>
        <w:autoSpaceDE w:val="0"/>
        <w:autoSpaceDN w:val="0"/>
        <w:adjustRightInd w:val="0"/>
        <w:snapToGrid w:val="0"/>
        <w:ind w:left="1287"/>
        <w:contextualSpacing w:val="0"/>
        <w:rPr>
          <w:rFonts w:ascii="Times New Roman" w:eastAsia="바탕" w:hAnsi="Times New Roman"/>
          <w:lang w:eastAsia="ko-KR"/>
        </w:rPr>
      </w:pPr>
    </w:p>
    <w:p w14:paraId="45F2DCCC" w14:textId="3009CCA3"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On behalf of the </w:t>
      </w:r>
      <w:r w:rsidR="007B0B09">
        <w:rPr>
          <w:rFonts w:ascii="Times New Roman" w:hAnsi="Times New Roman" w:hint="eastAsia"/>
          <w:lang w:val="en-AU" w:eastAsia="ko-KR"/>
        </w:rPr>
        <w:t xml:space="preserve">ISC </w:t>
      </w:r>
      <w:r w:rsidRPr="009C2ADD">
        <w:rPr>
          <w:rFonts w:ascii="Times New Roman" w:hAnsi="Times New Roman"/>
          <w:lang w:val="en-AU"/>
        </w:rPr>
        <w:t>Shark Working Group</w:t>
      </w:r>
      <w:r w:rsidR="007B0B09">
        <w:rPr>
          <w:rFonts w:ascii="Times New Roman" w:hAnsi="Times New Roman" w:hint="eastAsia"/>
          <w:lang w:val="en-AU" w:eastAsia="ko-KR"/>
        </w:rPr>
        <w:t>,</w:t>
      </w:r>
      <w:r w:rsidRPr="009C2ADD">
        <w:rPr>
          <w:rFonts w:ascii="Times New Roman" w:hAnsi="Times New Roman"/>
          <w:lang w:val="en-AU"/>
        </w:rPr>
        <w:t xml:space="preserve"> F</w:t>
      </w:r>
      <w:r w:rsidR="007B0B09">
        <w:rPr>
          <w:rFonts w:ascii="Times New Roman" w:hAnsi="Times New Roman" w:hint="eastAsia"/>
          <w:lang w:val="en-AU" w:eastAsia="ko-KR"/>
        </w:rPr>
        <w:t>.</w:t>
      </w:r>
      <w:r w:rsidRPr="009C2ADD">
        <w:rPr>
          <w:rFonts w:ascii="Times New Roman" w:hAnsi="Times New Roman"/>
          <w:lang w:val="en-AU"/>
        </w:rPr>
        <w:t xml:space="preserve"> Carvalho (USA) presented </w:t>
      </w:r>
      <w:r w:rsidRPr="0070772D">
        <w:rPr>
          <w:rFonts w:ascii="Times New Roman" w:hAnsi="Times New Roman"/>
          <w:bCs/>
          <w:lang w:val="en-AU"/>
        </w:rPr>
        <w:t>SC13-SA-</w:t>
      </w:r>
      <w:bookmarkEnd w:id="112"/>
      <w:r w:rsidRPr="0070772D">
        <w:rPr>
          <w:rFonts w:ascii="Times New Roman" w:hAnsi="Times New Roman"/>
          <w:bCs/>
          <w:lang w:val="en-AU"/>
        </w:rPr>
        <w:t>WP-10</w:t>
      </w:r>
      <w:r w:rsidRPr="009C2ADD">
        <w:rPr>
          <w:rFonts w:ascii="Times New Roman" w:hAnsi="Times New Roman"/>
          <w:lang w:val="en-AU"/>
        </w:rPr>
        <w:t xml:space="preserve"> </w:t>
      </w:r>
      <w:r w:rsidRPr="009C2ADD">
        <w:rPr>
          <w:rFonts w:ascii="Times New Roman" w:hAnsi="Times New Roman"/>
          <w:i/>
          <w:lang w:val="en-AU"/>
        </w:rPr>
        <w:t>Stock Assessment and Future Projections of Blue Shark in the North Pacific Ocean through 2015</w:t>
      </w:r>
      <w:r w:rsidRPr="009C2ADD">
        <w:rPr>
          <w:rFonts w:ascii="Times New Roman" w:hAnsi="Times New Roman"/>
          <w:lang w:val="en-AU"/>
        </w:rPr>
        <w:t>.</w:t>
      </w:r>
    </w:p>
    <w:p w14:paraId="6ACC1B45" w14:textId="77777777" w:rsidR="00D537A1" w:rsidRPr="009C2ADD" w:rsidRDefault="00D537A1" w:rsidP="009C2ADD">
      <w:pPr>
        <w:autoSpaceDE w:val="0"/>
        <w:autoSpaceDN w:val="0"/>
        <w:adjustRightInd w:val="0"/>
        <w:snapToGrid w:val="0"/>
        <w:spacing w:after="0"/>
        <w:rPr>
          <w:rFonts w:ascii="Times New Roman" w:hAnsi="Times New Roman"/>
          <w:lang w:val="en-AU"/>
        </w:rPr>
      </w:pPr>
    </w:p>
    <w:p w14:paraId="6465FAA4"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North Pacific blue shark stock was assessed using an age-based statistical catch-at-length model,</w:t>
      </w:r>
      <w:r w:rsidRPr="009C2ADD" w:rsidDel="00E27881">
        <w:rPr>
          <w:rFonts w:ascii="Times New Roman" w:hAnsi="Times New Roman"/>
          <w:lang w:val="en-AU"/>
        </w:rPr>
        <w:t xml:space="preserve"> </w:t>
      </w:r>
      <w:r w:rsidRPr="009C2ADD">
        <w:rPr>
          <w:rFonts w:ascii="Times New Roman" w:hAnsi="Times New Roman"/>
          <w:lang w:val="en-AU"/>
        </w:rPr>
        <w:t xml:space="preserve">Stock Synthesis (SS), fit to time series of standardized CPUE and sex-specific size composition data. Sex-specific growth curves and natural mortality rates were used to account for the sexual dimorphism of adult blue sharks. A low fecundity stock recruitment (LFSR) relationship was used to characterize productivity of the stock based on plausible life history information available for North Pacific blue sharks. Models were fit to relative abundance indices and size composition data in a likelihood-based statistical framework. Maximum likelihood estimates of model parameters, derived outputs, and their variances were used to characterize stock status based on a reference case and to develop stock projections. </w:t>
      </w:r>
    </w:p>
    <w:p w14:paraId="342B46DE"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374D4EA1" w14:textId="45F9707C"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Input parameter values for the reference case run was chosen based on the best available information regarding the life history of Pacific blue sharks, and knowledge of the historical catch time series and existing fishery data. For example, for the reference case, initial catch was set at 40,000 mt because Japan</w:t>
      </w:r>
      <w:r w:rsidR="00B22D0D">
        <w:rPr>
          <w:rFonts w:ascii="Times New Roman" w:hAnsi="Times New Roman"/>
          <w:lang w:val="en-AU" w:eastAsia="ko-KR"/>
        </w:rPr>
        <w:t>’</w:t>
      </w:r>
      <w:r w:rsidR="00B22D0D">
        <w:rPr>
          <w:rFonts w:ascii="Times New Roman" w:hAnsi="Times New Roman" w:hint="eastAsia"/>
          <w:lang w:val="en-AU" w:eastAsia="ko-KR"/>
        </w:rPr>
        <w:t>s</w:t>
      </w:r>
      <w:r w:rsidRPr="009C2ADD">
        <w:rPr>
          <w:rFonts w:ascii="Times New Roman" w:hAnsi="Times New Roman"/>
          <w:lang w:val="en-AU"/>
        </w:rPr>
        <w:t xml:space="preserve"> longline fishing effort increased and spread rapidly in the 1950s with effort stabilizing by the late 1950s into the 1960s. Standardized CPUE from the Japanese shallow longline fleet that operates out of Hokkaido and Tohoku ports for the periods 1976-1993 and 1994-2015 were used as measures of relative population abundance in the reference case assessment. Parametrization of the LFSR was based on the most plausible life history information available for North Pacific blue sharks with </w:t>
      </w:r>
      <m:oMath>
        <m:sSub>
          <m:sSubPr>
            <m:ctrlPr>
              <w:rPr>
                <w:rFonts w:ascii="Cambria Math" w:hAnsi="Cambria Math"/>
              </w:rPr>
            </m:ctrlPr>
          </m:sSubPr>
          <m:e>
            <m:r>
              <w:rPr>
                <w:rFonts w:ascii="Cambria Math" w:hAnsi="Cambria Math"/>
              </w:rPr>
              <m:t>s</m:t>
            </m:r>
          </m:e>
          <m:sub>
            <m:r>
              <w:rPr>
                <w:rFonts w:ascii="Cambria Math" w:hAnsi="Cambria Math"/>
              </w:rPr>
              <m:t>Fra</m:t>
            </m:r>
            <m:r>
              <w:rPr>
                <w:rFonts w:ascii="Cambria Math" w:hAnsi="Cambria Math"/>
              </w:rPr>
              <m:t>c</m:t>
            </m:r>
          </m:sub>
        </m:sSub>
      </m:oMath>
      <w:r w:rsidRPr="009C2ADD">
        <w:rPr>
          <w:rFonts w:ascii="Times New Roman" w:hAnsi="Times New Roman"/>
          <w:lang w:val="en-AU"/>
        </w:rPr>
        <w:t xml:space="preserve"> = 0.391 and </w:t>
      </w:r>
      <m:oMath>
        <m:r>
          <w:rPr>
            <w:rFonts w:ascii="Cambria Math" w:hAnsi="Cambria Math"/>
          </w:rPr>
          <m:t>β</m:t>
        </m:r>
      </m:oMath>
      <w:r w:rsidRPr="009C2ADD">
        <w:rPr>
          <w:rFonts w:ascii="Times New Roman" w:hAnsi="Times New Roman"/>
          <w:lang w:val="en-AU"/>
        </w:rPr>
        <w:t xml:space="preserve"> = 2. </w:t>
      </w:r>
    </w:p>
    <w:p w14:paraId="7486B9E4"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2BCE434B" w14:textId="7171F0F2"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Stock projections of biomass and catch of </w:t>
      </w:r>
      <w:r w:rsidR="0051199F">
        <w:rPr>
          <w:rFonts w:ascii="Times New Roman" w:hAnsi="Times New Roman" w:hint="eastAsia"/>
          <w:lang w:val="en-AU" w:eastAsia="ko-KR"/>
        </w:rPr>
        <w:t>blue shark</w:t>
      </w:r>
      <w:r w:rsidR="0051199F" w:rsidRPr="009C2ADD">
        <w:rPr>
          <w:rFonts w:ascii="Times New Roman" w:hAnsi="Times New Roman"/>
          <w:lang w:val="en-AU"/>
        </w:rPr>
        <w:t xml:space="preserve"> </w:t>
      </w:r>
      <w:r w:rsidRPr="009C2ADD">
        <w:rPr>
          <w:rFonts w:ascii="Times New Roman" w:hAnsi="Times New Roman"/>
          <w:lang w:val="en-AU"/>
        </w:rPr>
        <w:t xml:space="preserve">in the North Pacific from 2015 to 2024 were conducted assuming alternative harvest scenarios. Status quo F was based on the average over the </w:t>
      </w:r>
      <w:r w:rsidR="00B22D0D">
        <w:rPr>
          <w:rFonts w:ascii="Times New Roman" w:hAnsi="Times New Roman" w:hint="eastAsia"/>
          <w:lang w:val="en-AU" w:eastAsia="ko-KR"/>
        </w:rPr>
        <w:t xml:space="preserve">most </w:t>
      </w:r>
      <w:r w:rsidRPr="009C2ADD">
        <w:rPr>
          <w:rFonts w:ascii="Times New Roman" w:hAnsi="Times New Roman"/>
          <w:lang w:val="en-AU"/>
        </w:rPr>
        <w:t xml:space="preserve">recent 3 years (2012-2014). </w:t>
      </w:r>
    </w:p>
    <w:p w14:paraId="76A9E7C1"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22F84EB1" w14:textId="3B355DA3"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Due to uncertainty in the input data and life history parameters, multiple models were run with alternative data/parameters including the abundance indices used in the analyses, initial catch level, natural mortality schedule, and the stock recruitment relationship and shape. In addition, a Bayesian State-Space Surplus Production model (BSSPM) based on the SS reference case was conducted to facilitate comparison with the 2014 assessment. In total, 14 SS models representing different combinations of input datasets and structural model hypotheses were used to assess the influence of these uncertainties on biomass trends and fishing mortality levels for North Pacific </w:t>
      </w:r>
      <w:r w:rsidR="00377F19">
        <w:rPr>
          <w:rFonts w:ascii="Times New Roman" w:hAnsi="Times New Roman" w:hint="eastAsia"/>
          <w:lang w:val="en-AU" w:eastAsia="ko-KR"/>
        </w:rPr>
        <w:t>blue shark</w:t>
      </w:r>
      <w:r w:rsidRPr="009C2ADD">
        <w:rPr>
          <w:rFonts w:ascii="Times New Roman" w:hAnsi="Times New Roman"/>
          <w:lang w:val="en-AU"/>
        </w:rPr>
        <w:t xml:space="preserve">. </w:t>
      </w:r>
    </w:p>
    <w:p w14:paraId="24DD20BA"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0B5DED65" w14:textId="3995D815" w:rsidR="00B22D0D" w:rsidRPr="0070772D" w:rsidRDefault="00B22D0D" w:rsidP="009C2ADD">
      <w:pPr>
        <w:pStyle w:val="ListParagraph"/>
        <w:adjustRightInd w:val="0"/>
        <w:snapToGrid w:val="0"/>
        <w:contextualSpacing w:val="0"/>
        <w:rPr>
          <w:rFonts w:ascii="Times New Roman" w:hAnsi="Times New Roman"/>
          <w:b/>
          <w:lang w:val="en-AU" w:eastAsia="ko-KR"/>
        </w:rPr>
      </w:pPr>
      <w:r w:rsidRPr="0070772D">
        <w:rPr>
          <w:rFonts w:ascii="Times New Roman" w:hAnsi="Times New Roman"/>
          <w:b/>
          <w:lang w:val="en-AU" w:eastAsia="ko-KR"/>
        </w:rPr>
        <w:t>Discussion</w:t>
      </w:r>
    </w:p>
    <w:p w14:paraId="2FC87DFB" w14:textId="77777777" w:rsidR="00B22D0D" w:rsidRPr="009C2ADD" w:rsidRDefault="00B22D0D" w:rsidP="009C2ADD">
      <w:pPr>
        <w:pStyle w:val="ListParagraph"/>
        <w:adjustRightInd w:val="0"/>
        <w:snapToGrid w:val="0"/>
        <w:contextualSpacing w:val="0"/>
        <w:rPr>
          <w:rFonts w:ascii="Times New Roman" w:hAnsi="Times New Roman"/>
          <w:lang w:val="en-AU" w:eastAsia="ko-KR"/>
        </w:rPr>
      </w:pPr>
    </w:p>
    <w:p w14:paraId="18A1F86F" w14:textId="26681A3A"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queried why the SPC and Hawaii longline abundance indices for north Pacific blue shark were a poor fit, given the data were derived from observer data and therefore expected to be of high quality.  </w:t>
      </w:r>
      <w:r w:rsidR="0050437C">
        <w:rPr>
          <w:rFonts w:ascii="Times New Roman" w:hAnsi="Times New Roman" w:hint="eastAsia"/>
          <w:lang w:val="en-AU" w:eastAsia="ko-KR"/>
        </w:rPr>
        <w:t>F.</w:t>
      </w:r>
      <w:r w:rsidR="0050437C" w:rsidRPr="009C2ADD">
        <w:rPr>
          <w:rFonts w:ascii="Times New Roman" w:hAnsi="Times New Roman"/>
          <w:lang w:val="en-AU"/>
        </w:rPr>
        <w:t xml:space="preserve"> </w:t>
      </w:r>
      <w:r w:rsidRPr="009C2ADD">
        <w:rPr>
          <w:rFonts w:ascii="Times New Roman" w:hAnsi="Times New Roman"/>
          <w:lang w:val="en-AU"/>
        </w:rPr>
        <w:t xml:space="preserve">Carvalho responded that the group first ranked each of the candidate indices based on several criteria, including diagnostics of standardization models, fits to the assessment model, major changes in fishery operations, data quality and location of fishery operations. </w:t>
      </w:r>
      <w:r w:rsidR="00880615">
        <w:rPr>
          <w:rFonts w:ascii="Times New Roman" w:hAnsi="Times New Roman"/>
          <w:lang w:val="en-AU"/>
        </w:rPr>
        <w:t>It was noted that for</w:t>
      </w:r>
      <w:r w:rsidR="00880615" w:rsidRPr="009C2ADD">
        <w:rPr>
          <w:rFonts w:ascii="Times New Roman" w:hAnsi="Times New Roman"/>
          <w:lang w:val="en-AU"/>
        </w:rPr>
        <w:t xml:space="preserve"> </w:t>
      </w:r>
      <w:r w:rsidRPr="009C2ADD">
        <w:rPr>
          <w:rFonts w:ascii="Times New Roman" w:hAnsi="Times New Roman"/>
          <w:lang w:val="en-AU"/>
        </w:rPr>
        <w:t>the SPC and Hawaii longline indices, the underlying observer data came primarily from relatively tropical waters which were not the primary areas for blue shark and were not consistent with the other data. In addition, there were substantial regulatory changes affecting the Hawaii longline fishery that likely had important impacts on the fishery operations.</w:t>
      </w:r>
    </w:p>
    <w:p w14:paraId="3F3EC804" w14:textId="77777777" w:rsidR="00D537A1" w:rsidRPr="009C2ADD" w:rsidRDefault="00D537A1" w:rsidP="009C2ADD">
      <w:pPr>
        <w:pStyle w:val="ListParagraph"/>
        <w:adjustRightInd w:val="0"/>
        <w:snapToGrid w:val="0"/>
        <w:contextualSpacing w:val="0"/>
        <w:rPr>
          <w:rFonts w:ascii="Times New Roman" w:hAnsi="Times New Roman"/>
          <w:lang w:val="en-AU"/>
        </w:rPr>
      </w:pPr>
    </w:p>
    <w:p w14:paraId="18C472F9" w14:textId="5706CF2E"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noted that the R0 likelihood profile and other diagnostics for the assessment model were very good and asked what model processes were used to get a model that performs so well and what process was used to facilitate model improvement over time. </w:t>
      </w:r>
      <w:r w:rsidR="0050437C">
        <w:rPr>
          <w:rFonts w:ascii="Times New Roman" w:hAnsi="Times New Roman" w:hint="eastAsia"/>
          <w:lang w:val="en-AU" w:eastAsia="ko-KR"/>
        </w:rPr>
        <w:t>F.</w:t>
      </w:r>
      <w:r w:rsidR="0050437C" w:rsidRPr="009C2ADD">
        <w:rPr>
          <w:rFonts w:ascii="Times New Roman" w:hAnsi="Times New Roman"/>
          <w:lang w:val="en-AU"/>
        </w:rPr>
        <w:t xml:space="preserve"> </w:t>
      </w:r>
      <w:r w:rsidRPr="009C2ADD">
        <w:rPr>
          <w:rFonts w:ascii="Times New Roman" w:hAnsi="Times New Roman"/>
          <w:lang w:val="en-AU"/>
        </w:rPr>
        <w:t xml:space="preserve">Carvalho noted that the development of the assessment was </w:t>
      </w:r>
      <w:r w:rsidR="00F43925" w:rsidRPr="009C2ADD">
        <w:rPr>
          <w:rFonts w:ascii="Times New Roman" w:hAnsi="Times New Roman"/>
          <w:lang w:val="en-AU" w:eastAsia="ko-KR"/>
        </w:rPr>
        <w:t xml:space="preserve">a </w:t>
      </w:r>
      <w:r w:rsidRPr="009C2ADD">
        <w:rPr>
          <w:rFonts w:ascii="Times New Roman" w:hAnsi="Times New Roman"/>
          <w:lang w:val="en-AU"/>
        </w:rPr>
        <w:t>very participatory</w:t>
      </w:r>
      <w:r w:rsidR="00F43925" w:rsidRPr="009C2ADD">
        <w:rPr>
          <w:rFonts w:ascii="Times New Roman" w:hAnsi="Times New Roman"/>
          <w:lang w:val="en-AU" w:eastAsia="ko-KR"/>
        </w:rPr>
        <w:t xml:space="preserve"> process</w:t>
      </w:r>
      <w:r w:rsidRPr="009C2ADD">
        <w:rPr>
          <w:rFonts w:ascii="Times New Roman" w:hAnsi="Times New Roman"/>
          <w:lang w:val="en-AU"/>
        </w:rPr>
        <w:t xml:space="preserve">. </w:t>
      </w:r>
      <w:r w:rsidR="00F43925" w:rsidRPr="009C2ADD">
        <w:rPr>
          <w:rFonts w:ascii="Times New Roman" w:hAnsi="Times New Roman"/>
          <w:lang w:val="en-AU"/>
        </w:rPr>
        <w:t xml:space="preserve">Initial models did not perform well and showed poor fits to the size composition data. The working group first </w:t>
      </w:r>
      <w:r w:rsidR="00F43925" w:rsidRPr="009C2ADD">
        <w:rPr>
          <w:rFonts w:ascii="Times New Roman" w:hAnsi="Times New Roman"/>
          <w:lang w:val="en-AU" w:eastAsia="ko-KR"/>
        </w:rPr>
        <w:t>looked at all</w:t>
      </w:r>
      <w:r w:rsidR="00F43925" w:rsidRPr="009C2ADD">
        <w:rPr>
          <w:rFonts w:ascii="Times New Roman" w:hAnsi="Times New Roman"/>
          <w:lang w:val="en-AU"/>
        </w:rPr>
        <w:t xml:space="preserve"> the data that were most consistent with each other, and developed a model that was as consistent as possible for these data. This process identified that the Japanese longline indices should be the primary indices for this assessment and the working group then tried to develop a consistent model based around these data. After this, the working group added model processes, where appropriate, like time-varying selectivity to the model to improve the model fits. Overall, this </w:t>
      </w:r>
      <w:r w:rsidR="00D40166">
        <w:rPr>
          <w:rFonts w:ascii="Times New Roman" w:hAnsi="Times New Roman" w:hint="eastAsia"/>
          <w:lang w:val="en-AU" w:eastAsia="ko-KR"/>
        </w:rPr>
        <w:t>additive</w:t>
      </w:r>
      <w:r w:rsidR="00D40166" w:rsidRPr="009C2ADD">
        <w:rPr>
          <w:rFonts w:ascii="Times New Roman" w:hAnsi="Times New Roman"/>
          <w:lang w:val="en-AU"/>
        </w:rPr>
        <w:t xml:space="preserve"> </w:t>
      </w:r>
      <w:r w:rsidR="00F43925" w:rsidRPr="009C2ADD">
        <w:rPr>
          <w:rFonts w:ascii="Times New Roman" w:hAnsi="Times New Roman"/>
          <w:lang w:val="en-AU"/>
        </w:rPr>
        <w:t xml:space="preserve">process resulted in </w:t>
      </w:r>
      <w:r w:rsidR="00D40166">
        <w:rPr>
          <w:rFonts w:ascii="Times New Roman" w:hAnsi="Times New Roman" w:hint="eastAsia"/>
          <w:lang w:val="en-AU" w:eastAsia="ko-KR"/>
        </w:rPr>
        <w:t>a</w:t>
      </w:r>
      <w:r w:rsidR="00D40166" w:rsidRPr="009C2ADD">
        <w:rPr>
          <w:rFonts w:ascii="Times New Roman" w:hAnsi="Times New Roman"/>
          <w:lang w:val="en-AU"/>
        </w:rPr>
        <w:t xml:space="preserve"> </w:t>
      </w:r>
      <w:r w:rsidR="00F43925" w:rsidRPr="009C2ADD">
        <w:rPr>
          <w:rFonts w:ascii="Times New Roman" w:hAnsi="Times New Roman"/>
          <w:lang w:val="en-AU"/>
        </w:rPr>
        <w:t>model with good model diagnostics</w:t>
      </w:r>
      <w:r w:rsidRPr="009C2ADD">
        <w:rPr>
          <w:rFonts w:ascii="Times New Roman" w:hAnsi="Times New Roman"/>
          <w:lang w:val="en-AU"/>
        </w:rPr>
        <w:t>.</w:t>
      </w:r>
    </w:p>
    <w:p w14:paraId="48595EEA" w14:textId="77777777" w:rsidR="00245A23" w:rsidRPr="009C2ADD" w:rsidRDefault="00245A23" w:rsidP="009C2ADD">
      <w:pPr>
        <w:pStyle w:val="ListParagraph"/>
        <w:adjustRightInd w:val="0"/>
        <w:snapToGrid w:val="0"/>
        <w:contextualSpacing w:val="0"/>
        <w:rPr>
          <w:rFonts w:ascii="Times New Roman" w:hAnsi="Times New Roman"/>
          <w:lang w:val="en-AU"/>
        </w:rPr>
      </w:pPr>
    </w:p>
    <w:p w14:paraId="437B7A39" w14:textId="3B47016F"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query from Australia regarding the sensitivity of the initial depletion levels, </w:t>
      </w:r>
      <w:r w:rsidR="0050437C">
        <w:rPr>
          <w:rFonts w:ascii="Times New Roman" w:hAnsi="Times New Roman" w:hint="eastAsia"/>
          <w:lang w:val="en-AU" w:eastAsia="ko-KR"/>
        </w:rPr>
        <w:t>F.</w:t>
      </w:r>
      <w:r w:rsidR="0050437C" w:rsidRPr="009C2ADD">
        <w:rPr>
          <w:rFonts w:ascii="Times New Roman" w:hAnsi="Times New Roman"/>
          <w:lang w:val="en-AU"/>
        </w:rPr>
        <w:t xml:space="preserve"> </w:t>
      </w:r>
      <w:r w:rsidRPr="009C2ADD">
        <w:rPr>
          <w:rFonts w:ascii="Times New Roman" w:hAnsi="Times New Roman"/>
          <w:lang w:val="en-AU"/>
        </w:rPr>
        <w:t xml:space="preserve">Carvalho noted that while he could not recall the exact initial depletion level, sensitivity analysis were done under different assumptions for the assumed initial equilibrium catch and the results showed no </w:t>
      </w:r>
      <w:r w:rsidR="00880615">
        <w:rPr>
          <w:rFonts w:ascii="Times New Roman" w:hAnsi="Times New Roman"/>
          <w:lang w:val="en-AU"/>
        </w:rPr>
        <w:t>substantial</w:t>
      </w:r>
      <w:r w:rsidR="00880615" w:rsidRPr="009C2ADD">
        <w:rPr>
          <w:rFonts w:ascii="Times New Roman" w:hAnsi="Times New Roman"/>
          <w:lang w:val="en-AU"/>
        </w:rPr>
        <w:t xml:space="preserve"> </w:t>
      </w:r>
      <w:r w:rsidRPr="009C2ADD">
        <w:rPr>
          <w:rFonts w:ascii="Times New Roman" w:hAnsi="Times New Roman"/>
          <w:lang w:val="en-AU"/>
        </w:rPr>
        <w:t>impact of those assumptions on estimated reference points.</w:t>
      </w:r>
    </w:p>
    <w:bookmarkEnd w:id="111"/>
    <w:p w14:paraId="730CA649" w14:textId="77777777" w:rsidR="001409BC" w:rsidRPr="009C2ADD" w:rsidRDefault="001409BC" w:rsidP="009C2ADD">
      <w:pPr>
        <w:pStyle w:val="ListParagraph"/>
        <w:adjustRightInd w:val="0"/>
        <w:snapToGrid w:val="0"/>
        <w:contextualSpacing w:val="0"/>
        <w:rPr>
          <w:rFonts w:ascii="Times New Roman" w:hAnsi="Times New Roman"/>
          <w:b/>
          <w:lang w:eastAsia="ko-KR"/>
        </w:rPr>
      </w:pPr>
    </w:p>
    <w:p w14:paraId="47542698" w14:textId="2E9ABF20" w:rsidR="001409BC" w:rsidRPr="009C2ADD" w:rsidRDefault="006236B4"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4.3.4.2 </w:t>
      </w:r>
      <w:r w:rsidRPr="009C2ADD">
        <w:rPr>
          <w:rFonts w:ascii="Times New Roman" w:eastAsia="바탕" w:hAnsi="Times New Roman"/>
          <w:b/>
          <w:lang w:eastAsia="ko-KR"/>
        </w:rPr>
        <w:tab/>
      </w:r>
      <w:r w:rsidR="001409BC" w:rsidRPr="009C2ADD">
        <w:rPr>
          <w:rFonts w:ascii="Times New Roman" w:eastAsia="바탕" w:hAnsi="Times New Roman"/>
          <w:b/>
          <w:lang w:eastAsia="ko-KR"/>
        </w:rPr>
        <w:t>Provision of scientific information</w:t>
      </w:r>
    </w:p>
    <w:p w14:paraId="02597A9A" w14:textId="77777777" w:rsidR="001409BC" w:rsidRPr="009C2ADD" w:rsidRDefault="001409BC" w:rsidP="009C2ADD">
      <w:pPr>
        <w:pStyle w:val="ListParagraph"/>
        <w:adjustRightInd w:val="0"/>
        <w:snapToGrid w:val="0"/>
        <w:contextualSpacing w:val="0"/>
        <w:rPr>
          <w:rFonts w:ascii="Times New Roman" w:hAnsi="Times New Roman"/>
          <w:lang w:eastAsia="ja-JP"/>
        </w:rPr>
      </w:pPr>
    </w:p>
    <w:p w14:paraId="3DC11035" w14:textId="77777777" w:rsidR="001409BC"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ISC presented working paper </w:t>
      </w:r>
      <w:r w:rsidRPr="009C2ADD">
        <w:rPr>
          <w:rFonts w:ascii="Times New Roman" w:hAnsi="Times New Roman"/>
          <w:b/>
          <w:lang w:val="en-AU"/>
        </w:rPr>
        <w:t>SC12-SA-WP-10</w:t>
      </w:r>
      <w:r w:rsidRPr="009C2ADD">
        <w:rPr>
          <w:rFonts w:ascii="Times New Roman" w:hAnsi="Times New Roman"/>
          <w:lang w:val="en-AU"/>
        </w:rPr>
        <w:t xml:space="preserve"> </w:t>
      </w:r>
      <w:r w:rsidRPr="009C2ADD">
        <w:rPr>
          <w:rFonts w:ascii="Times New Roman" w:hAnsi="Times New Roman"/>
          <w:i/>
          <w:lang w:val="en-AU"/>
        </w:rPr>
        <w:t>Stock Assessment and Future Projections of Blue Shark in the North Pacific Ocean through 2015</w:t>
      </w:r>
      <w:r w:rsidRPr="009C2ADD">
        <w:rPr>
          <w:rFonts w:ascii="Times New Roman" w:hAnsi="Times New Roman"/>
          <w:lang w:val="en-AU"/>
        </w:rPr>
        <w:t>.</w:t>
      </w:r>
    </w:p>
    <w:p w14:paraId="0F2B842B" w14:textId="285658E0" w:rsidR="006C6D33" w:rsidRDefault="006C6D33" w:rsidP="00007081">
      <w:pPr>
        <w:autoSpaceDE w:val="0"/>
        <w:autoSpaceDN w:val="0"/>
        <w:adjustRightInd w:val="0"/>
        <w:snapToGrid w:val="0"/>
        <w:spacing w:after="0"/>
        <w:rPr>
          <w:rFonts w:ascii="Times New Roman" w:hAnsi="Times New Roman"/>
          <w:lang w:val="en-AU"/>
        </w:rPr>
      </w:pPr>
    </w:p>
    <w:p w14:paraId="353AB59F" w14:textId="77777777" w:rsidR="006C6D33" w:rsidRDefault="006C6D33" w:rsidP="006C6D33">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ISC considered that t</w:t>
      </w:r>
      <w:r w:rsidRPr="009C2ADD">
        <w:rPr>
          <w:rFonts w:ascii="Times New Roman" w:hAnsi="Times New Roman"/>
          <w:lang w:val="en-AU"/>
        </w:rPr>
        <w:t xml:space="preserve">he current assessment provides the best available scientific information on North Pacific Blue shark stock status. </w:t>
      </w:r>
    </w:p>
    <w:p w14:paraId="2FFBE836"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329785D1" w14:textId="65D0972D" w:rsidR="001409BC" w:rsidRPr="009C2ADD" w:rsidRDefault="001409BC" w:rsidP="00766C07">
      <w:pPr>
        <w:pStyle w:val="ListParagraph"/>
        <w:numPr>
          <w:ilvl w:val="0"/>
          <w:numId w:val="196"/>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Stock status and trends</w:t>
      </w:r>
    </w:p>
    <w:p w14:paraId="79F5751E" w14:textId="77777777" w:rsidR="001409BC" w:rsidRPr="009C2ADD" w:rsidRDefault="001409BC" w:rsidP="009C2ADD">
      <w:pPr>
        <w:pStyle w:val="WCPFC"/>
        <w:numPr>
          <w:ilvl w:val="0"/>
          <w:numId w:val="0"/>
        </w:numPr>
        <w:adjustRightInd w:val="0"/>
        <w:spacing w:after="0"/>
        <w:ind w:left="720"/>
        <w:rPr>
          <w:b/>
        </w:rPr>
      </w:pPr>
    </w:p>
    <w:p w14:paraId="589B0A11" w14:textId="73BB77C9"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ISC provided the following conclusions on the stock sta</w:t>
      </w:r>
      <w:r w:rsidR="009F4AFA" w:rsidRPr="009C2ADD">
        <w:rPr>
          <w:rFonts w:ascii="Times New Roman" w:hAnsi="Times New Roman"/>
          <w:b/>
          <w:lang w:val="en-AU"/>
        </w:rPr>
        <w:t>tus of North Pacific blue shark.</w:t>
      </w:r>
    </w:p>
    <w:p w14:paraId="6E081E7B" w14:textId="77777777" w:rsidR="009F4AFA" w:rsidRPr="009C2ADD" w:rsidRDefault="009F4AFA" w:rsidP="009C2ADD">
      <w:pPr>
        <w:autoSpaceDE w:val="0"/>
        <w:autoSpaceDN w:val="0"/>
        <w:adjustRightInd w:val="0"/>
        <w:snapToGrid w:val="0"/>
        <w:spacing w:after="0"/>
        <w:rPr>
          <w:rFonts w:ascii="Times New Roman" w:hAnsi="Times New Roman"/>
          <w:b/>
          <w:lang w:val="en-AU"/>
        </w:rPr>
      </w:pPr>
    </w:p>
    <w:p w14:paraId="63895664" w14:textId="3D2FECB9" w:rsidR="00D63189"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assessment uses a fully integrated approach in Stock Synthesis with model inputs that have been greatly improved since the previous assessment. The main differences between the present assessment and the 2014 assessment are: 1) use of SS with a thorough examination of the size composition data and the relative weighting of CPUE and composition data; 2) improved life history information, such as growth and reproductive biology, and their contribution to productivity assumptions; 3) an improved understanding and parametrization of the </w:t>
      </w:r>
      <w:r w:rsidR="000751A9">
        <w:rPr>
          <w:rFonts w:ascii="Times New Roman" w:hAnsi="Times New Roman"/>
          <w:lang w:val="en-AU"/>
        </w:rPr>
        <w:t xml:space="preserve">low fecundity stock recruit relationship </w:t>
      </w:r>
      <w:r w:rsidR="000751A9">
        <w:rPr>
          <w:rFonts w:ascii="Times New Roman" w:hAnsi="Times New Roman" w:hint="eastAsia"/>
          <w:lang w:val="en-AU" w:eastAsia="ko-KR"/>
        </w:rPr>
        <w:t>(</w:t>
      </w:r>
      <w:r w:rsidRPr="009C2ADD">
        <w:rPr>
          <w:rFonts w:ascii="Times New Roman" w:hAnsi="Times New Roman"/>
          <w:lang w:val="en-AU"/>
        </w:rPr>
        <w:t>LFSR</w:t>
      </w:r>
      <w:r w:rsidR="000751A9">
        <w:rPr>
          <w:rFonts w:ascii="Times New Roman" w:hAnsi="Times New Roman" w:hint="eastAsia"/>
          <w:lang w:val="en-AU" w:eastAsia="ko-KR"/>
        </w:rPr>
        <w:t>)</w:t>
      </w:r>
      <w:r w:rsidRPr="009C2ADD">
        <w:rPr>
          <w:rFonts w:ascii="Times New Roman" w:hAnsi="Times New Roman"/>
          <w:lang w:val="en-AU"/>
        </w:rPr>
        <w:t xml:space="preserve">; 4) catch, CPUE and size time series updated through 2015; 5) a suite of model diagnostics including implementation of an Age Structured Production Model implemented in SS. There remain some uncertainties in the time series based on the quality (observer vs. logbook) and timespans of catch and relative abundance indices, limited size composition data for several fisheries, the potential for additional catch not accounted for in the assessment, and regarding life history parameters. </w:t>
      </w:r>
    </w:p>
    <w:p w14:paraId="4E1AE6B4" w14:textId="77777777" w:rsidR="00D63189" w:rsidRDefault="00D63189" w:rsidP="00D63189">
      <w:pPr>
        <w:autoSpaceDE w:val="0"/>
        <w:autoSpaceDN w:val="0"/>
        <w:adjustRightInd w:val="0"/>
        <w:snapToGrid w:val="0"/>
        <w:spacing w:after="0"/>
        <w:rPr>
          <w:rFonts w:ascii="Times New Roman" w:hAnsi="Times New Roman"/>
          <w:lang w:val="en-AU"/>
        </w:rPr>
      </w:pPr>
    </w:p>
    <w:p w14:paraId="4EDE05EB" w14:textId="34370B84" w:rsidR="001409BC" w:rsidRPr="009C2ADD" w:rsidRDefault="006F5A32" w:rsidP="009C2ADD">
      <w:pPr>
        <w:numPr>
          <w:ilvl w:val="0"/>
          <w:numId w:val="1"/>
        </w:numPr>
        <w:autoSpaceDE w:val="0"/>
        <w:autoSpaceDN w:val="0"/>
        <w:adjustRightInd w:val="0"/>
        <w:snapToGrid w:val="0"/>
        <w:spacing w:after="0"/>
        <w:ind w:left="0" w:firstLine="0"/>
        <w:rPr>
          <w:rFonts w:ascii="Times New Roman" w:hAnsi="Times New Roman"/>
          <w:lang w:val="en-AU"/>
        </w:rPr>
      </w:pPr>
      <w:r w:rsidRPr="00007081">
        <w:rPr>
          <w:rFonts w:ascii="Times New Roman" w:hAnsi="Times New Roman"/>
        </w:rPr>
        <w:t>Extensive model explorations showed that the reference run had the best model performance and showed fits most consistent with the data. The CPUE indices used in the reference case were considered most representative of the North Pacific blue shark stock due to their broader spatial temporal coverage in the core distribution of the stock and the statistical soundness of the standardizations. Alternate CPUE series for the latter part of the time series produced different stock trajectories depending upon the index used, but in each case, median SSB during the last three years exceeded SSBMSY. Using alternate assumptions on stock productivity (i.e., form of the stock recruitment relationship) also resulted in variation in the stock trajectories; assuming stock productivity lower than supported by current biological studies, resulted in lowered spawning stock biomass relative to MSY.</w:t>
      </w:r>
      <w:r w:rsidR="001409BC" w:rsidRPr="009C2ADD">
        <w:rPr>
          <w:rFonts w:ascii="Times New Roman" w:hAnsi="Times New Roman"/>
          <w:lang w:val="en-AU"/>
        </w:rPr>
        <w:t xml:space="preserve"> </w:t>
      </w:r>
    </w:p>
    <w:p w14:paraId="79EF4FA7"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791D261E" w14:textId="77777777" w:rsidR="009F4AFA" w:rsidRPr="009C2ADD" w:rsidRDefault="009F4AFA" w:rsidP="009C2ADD">
      <w:pPr>
        <w:pStyle w:val="ListParagraph"/>
        <w:adjustRightInd w:val="0"/>
        <w:snapToGrid w:val="0"/>
        <w:contextualSpacing w:val="0"/>
        <w:rPr>
          <w:rFonts w:ascii="Times New Roman" w:hAnsi="Times New Roman"/>
          <w:lang w:val="en-AU"/>
        </w:rPr>
      </w:pPr>
    </w:p>
    <w:p w14:paraId="138FFA0B" w14:textId="27D5BAAB" w:rsidR="009D4B93" w:rsidRPr="00007081"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Results of the reference case model showed that the spawning stock biomass was near a time-series high in the late 1970s, fell to its lowest level between 1990 to 1995, subsequently increased gradually to reach the time-series high again in 2005, and has since shown small fluctuations</w:t>
      </w:r>
      <w:r w:rsidR="00D63189">
        <w:rPr>
          <w:rFonts w:ascii="Times New Roman" w:hAnsi="Times New Roman"/>
          <w:lang w:val="en-AU"/>
        </w:rPr>
        <w:t xml:space="preserve"> with no apparent trend (Figure </w:t>
      </w:r>
      <w:r w:rsidR="00D63189" w:rsidRPr="000A477B">
        <w:rPr>
          <w:rFonts w:ascii="Times New Roman" w:hAnsi="Times New Roman"/>
          <w:bCs/>
          <w:lang w:eastAsia="ja-JP"/>
        </w:rPr>
        <w:t>NPBSH- 1</w:t>
      </w:r>
      <w:r w:rsidR="00D63189">
        <w:rPr>
          <w:rFonts w:ascii="Times New Roman" w:hAnsi="Times New Roman"/>
          <w:bCs/>
          <w:lang w:eastAsia="ja-JP"/>
        </w:rPr>
        <w:t>B</w:t>
      </w:r>
      <w:r w:rsidR="00D63189" w:rsidRPr="000A477B">
        <w:rPr>
          <w:rFonts w:ascii="Times New Roman" w:hAnsi="Times New Roman"/>
          <w:bCs/>
          <w:lang w:eastAsia="ja-JP"/>
        </w:rPr>
        <w:t>)</w:t>
      </w:r>
      <w:r w:rsidRPr="009C2ADD">
        <w:rPr>
          <w:rFonts w:ascii="Times New Roman" w:hAnsi="Times New Roman"/>
          <w:lang w:val="en-AU"/>
        </w:rPr>
        <w:t xml:space="preserve"> </w:t>
      </w:r>
      <w:r w:rsidRPr="006F5A32">
        <w:rPr>
          <w:rFonts w:ascii="Times New Roman" w:hAnsi="Times New Roman"/>
          <w:lang w:val="en-AU"/>
        </w:rPr>
        <w:t>close to the time-series high</w:t>
      </w:r>
      <w:r w:rsidR="00D63189" w:rsidRPr="006F5A32">
        <w:rPr>
          <w:rFonts w:ascii="Times New Roman" w:hAnsi="Times New Roman"/>
          <w:lang w:val="en-AU" w:eastAsia="ko-KR"/>
        </w:rPr>
        <w:t>. R</w:t>
      </w:r>
      <w:r w:rsidRPr="006F5A32">
        <w:rPr>
          <w:rFonts w:ascii="Times New Roman" w:hAnsi="Times New Roman"/>
          <w:lang w:val="en-AU"/>
        </w:rPr>
        <w:t xml:space="preserve">ecruitment has fluctuated around 37,000,000 age-0 sharks annually </w:t>
      </w:r>
      <w:r w:rsidR="00D63189" w:rsidRPr="006F5A32">
        <w:rPr>
          <w:rFonts w:ascii="Times New Roman" w:hAnsi="Times New Roman"/>
        </w:rPr>
        <w:t xml:space="preserve">with no apparent trend </w:t>
      </w:r>
      <w:r w:rsidRPr="006F5A32">
        <w:rPr>
          <w:rFonts w:ascii="Times New Roman" w:hAnsi="Times New Roman"/>
          <w:lang w:val="en-AU"/>
        </w:rPr>
        <w:t>(Figure NPBSH-1</w:t>
      </w:r>
      <w:r w:rsidR="00D63189" w:rsidRPr="006F5A32">
        <w:rPr>
          <w:rFonts w:ascii="Times New Roman" w:hAnsi="Times New Roman"/>
          <w:lang w:val="en-AU"/>
        </w:rPr>
        <w:t>A</w:t>
      </w:r>
      <w:r w:rsidRPr="006F5A32">
        <w:rPr>
          <w:rFonts w:ascii="Times New Roman" w:hAnsi="Times New Roman"/>
          <w:lang w:val="en-AU"/>
        </w:rPr>
        <w:t xml:space="preserve">). </w:t>
      </w:r>
      <w:r w:rsidR="006F5A32" w:rsidRPr="00BF308B">
        <w:rPr>
          <w:rFonts w:ascii="Times New Roman" w:hAnsi="Times New Roman"/>
          <w:lang w:val="en-AU"/>
        </w:rPr>
        <w:t xml:space="preserve"> </w:t>
      </w:r>
      <w:r w:rsidR="006F5A32" w:rsidRPr="00007081">
        <w:rPr>
          <w:rFonts w:ascii="Times New Roman" w:hAnsi="Times New Roman"/>
        </w:rPr>
        <w:t xml:space="preserve">Stock status is reported in relation to MSY based reference points. </w:t>
      </w:r>
    </w:p>
    <w:p w14:paraId="3FB540C8" w14:textId="77777777" w:rsidR="009D4B93" w:rsidRDefault="009D4B93" w:rsidP="00007081">
      <w:pPr>
        <w:pStyle w:val="ListParagraph"/>
        <w:rPr>
          <w:rFonts w:ascii="Times New Roman" w:hAnsi="Times New Roman"/>
        </w:rPr>
      </w:pPr>
    </w:p>
    <w:p w14:paraId="2D5C3714" w14:textId="157835D1" w:rsidR="001409BC" w:rsidRPr="00007081" w:rsidRDefault="006F5A32" w:rsidP="009C2ADD">
      <w:pPr>
        <w:numPr>
          <w:ilvl w:val="0"/>
          <w:numId w:val="1"/>
        </w:numPr>
        <w:autoSpaceDE w:val="0"/>
        <w:autoSpaceDN w:val="0"/>
        <w:adjustRightInd w:val="0"/>
        <w:snapToGrid w:val="0"/>
        <w:spacing w:after="0"/>
        <w:ind w:left="0" w:firstLine="0"/>
        <w:rPr>
          <w:rFonts w:ascii="Times New Roman" w:hAnsi="Times New Roman"/>
          <w:lang w:val="en-AU"/>
        </w:rPr>
      </w:pPr>
      <w:r w:rsidRPr="00007081">
        <w:rPr>
          <w:rFonts w:ascii="Times New Roman" w:hAnsi="Times New Roman"/>
        </w:rPr>
        <w:t>Based on these findings, the following information on the status of the North Pacific blue shark stock is provided:</w:t>
      </w:r>
    </w:p>
    <w:p w14:paraId="29E2E398" w14:textId="4F2D142D" w:rsidR="006F5A32" w:rsidRPr="00007081" w:rsidRDefault="006F5A32" w:rsidP="00007081">
      <w:pPr>
        <w:pStyle w:val="ListParagraph"/>
        <w:numPr>
          <w:ilvl w:val="0"/>
          <w:numId w:val="201"/>
        </w:numPr>
        <w:rPr>
          <w:rFonts w:ascii="Times New Roman" w:hAnsi="Times New Roman"/>
          <w:lang w:val="en-AU"/>
        </w:rPr>
      </w:pPr>
      <w:r w:rsidRPr="006F5A32">
        <w:rPr>
          <w:rFonts w:ascii="Times New Roman" w:hAnsi="Times New Roman"/>
        </w:rPr>
        <w:t>Female spawning biomass in 2015 (SSB</w:t>
      </w:r>
      <w:r w:rsidRPr="006F5A32">
        <w:rPr>
          <w:rFonts w:ascii="Times New Roman" w:hAnsi="Times New Roman"/>
          <w:vertAlign w:val="subscript"/>
        </w:rPr>
        <w:t>2015</w:t>
      </w:r>
      <w:r w:rsidRPr="006F5A32">
        <w:rPr>
          <w:rFonts w:ascii="Times New Roman" w:hAnsi="Times New Roman"/>
        </w:rPr>
        <w:t xml:space="preserve">) was 69% higher than at MSY and estimated to be 295,774 mt (Table </w:t>
      </w:r>
      <w:r w:rsidRPr="006F5A32">
        <w:rPr>
          <w:rFonts w:ascii="Times New Roman" w:hAnsi="Times New Roman"/>
          <w:lang w:eastAsia="ja-JP"/>
        </w:rPr>
        <w:t>NPBSH-1</w:t>
      </w:r>
      <w:r w:rsidRPr="006F5A32">
        <w:rPr>
          <w:rFonts w:ascii="Times New Roman" w:hAnsi="Times New Roman"/>
        </w:rPr>
        <w:t xml:space="preserve">; Figure </w:t>
      </w:r>
      <w:r w:rsidRPr="006F5A32">
        <w:rPr>
          <w:rFonts w:ascii="Times New Roman" w:hAnsi="Times New Roman"/>
          <w:lang w:eastAsia="ja-JP"/>
        </w:rPr>
        <w:t>NPBSH-1B</w:t>
      </w:r>
      <w:r w:rsidRPr="006F5A32">
        <w:rPr>
          <w:rFonts w:ascii="Times New Roman" w:hAnsi="Times New Roman"/>
        </w:rPr>
        <w:t>).</w:t>
      </w:r>
    </w:p>
    <w:p w14:paraId="03FC46E0" w14:textId="0037B4CE" w:rsidR="006F5A32" w:rsidRPr="00007081" w:rsidRDefault="006F5A32" w:rsidP="00007081">
      <w:pPr>
        <w:pStyle w:val="ListParagraph"/>
        <w:numPr>
          <w:ilvl w:val="0"/>
          <w:numId w:val="201"/>
        </w:numPr>
        <w:rPr>
          <w:rFonts w:ascii="Times New Roman" w:hAnsi="Times New Roman"/>
          <w:lang w:val="en-AU"/>
        </w:rPr>
      </w:pPr>
      <w:r w:rsidRPr="006F5A32">
        <w:rPr>
          <w:rFonts w:ascii="Times New Roman" w:hAnsi="Times New Roman"/>
        </w:rPr>
        <w:t>The recent annual fishing mortality (F</w:t>
      </w:r>
      <w:r w:rsidRPr="006F5A32">
        <w:rPr>
          <w:rFonts w:ascii="Times New Roman" w:hAnsi="Times New Roman"/>
          <w:vertAlign w:val="subscript"/>
        </w:rPr>
        <w:t>2012-2014</w:t>
      </w:r>
      <w:r w:rsidRPr="006F5A32">
        <w:rPr>
          <w:rFonts w:ascii="Times New Roman" w:hAnsi="Times New Roman"/>
        </w:rPr>
        <w:t>) was estimated to be well below F</w:t>
      </w:r>
      <w:r w:rsidRPr="006F5A32">
        <w:rPr>
          <w:rFonts w:ascii="Times New Roman" w:hAnsi="Times New Roman"/>
          <w:vertAlign w:val="subscript"/>
        </w:rPr>
        <w:t>MSY</w:t>
      </w:r>
      <w:r w:rsidRPr="006F5A32">
        <w:rPr>
          <w:rFonts w:ascii="Times New Roman" w:hAnsi="Times New Roman"/>
        </w:rPr>
        <w:t xml:space="preserve"> at approximately 38% of F</w:t>
      </w:r>
      <w:r w:rsidRPr="006F5A32">
        <w:rPr>
          <w:rFonts w:ascii="Times New Roman" w:hAnsi="Times New Roman"/>
          <w:vertAlign w:val="subscript"/>
        </w:rPr>
        <w:t>MSY</w:t>
      </w:r>
      <w:r w:rsidRPr="006F5A32">
        <w:rPr>
          <w:rFonts w:ascii="Times New Roman" w:hAnsi="Times New Roman"/>
        </w:rPr>
        <w:t xml:space="preserve"> (Table </w:t>
      </w:r>
      <w:r w:rsidRPr="006F5A32">
        <w:rPr>
          <w:rFonts w:ascii="Times New Roman" w:hAnsi="Times New Roman"/>
          <w:bCs/>
          <w:lang w:eastAsia="ja-JP"/>
        </w:rPr>
        <w:t>NPBSH</w:t>
      </w:r>
      <w:r w:rsidRPr="00A175FB">
        <w:rPr>
          <w:rFonts w:ascii="Times New Roman" w:hAnsi="Times New Roman"/>
          <w:bCs/>
          <w:lang w:eastAsia="ja-JP"/>
        </w:rPr>
        <w:t>-1</w:t>
      </w:r>
      <w:r w:rsidRPr="00A175FB">
        <w:rPr>
          <w:rFonts w:ascii="Times New Roman" w:hAnsi="Times New Roman"/>
        </w:rPr>
        <w:t xml:space="preserve">; Figure </w:t>
      </w:r>
      <w:r w:rsidRPr="00A175FB">
        <w:rPr>
          <w:rFonts w:ascii="Times New Roman" w:hAnsi="Times New Roman"/>
          <w:bCs/>
          <w:lang w:eastAsia="ja-JP"/>
        </w:rPr>
        <w:t>NPBSH-1</w:t>
      </w:r>
      <w:r>
        <w:rPr>
          <w:rFonts w:ascii="Times New Roman" w:hAnsi="Times New Roman"/>
          <w:bCs/>
          <w:lang w:eastAsia="ja-JP"/>
        </w:rPr>
        <w:t>C</w:t>
      </w:r>
      <w:r w:rsidRPr="00A175FB">
        <w:rPr>
          <w:rFonts w:ascii="Times New Roman" w:hAnsi="Times New Roman"/>
        </w:rPr>
        <w:t>).</w:t>
      </w:r>
    </w:p>
    <w:p w14:paraId="526C3D71" w14:textId="1D7DEF92" w:rsidR="006F5A32" w:rsidRDefault="006F5A32" w:rsidP="00007081">
      <w:pPr>
        <w:pStyle w:val="ListParagraph"/>
        <w:numPr>
          <w:ilvl w:val="0"/>
          <w:numId w:val="201"/>
        </w:numPr>
        <w:rPr>
          <w:rFonts w:ascii="Times New Roman" w:hAnsi="Times New Roman"/>
          <w:lang w:val="en-AU"/>
        </w:rPr>
      </w:pPr>
      <w:r w:rsidRPr="00A175FB">
        <w:rPr>
          <w:rFonts w:ascii="Times New Roman" w:hAnsi="Times New Roman"/>
        </w:rPr>
        <w:t xml:space="preserve">The reference run produced terminal conditions that were predominately in the lower right quadrant of the Kobe plot (not overfished and overfishing not occurring) (Figure </w:t>
      </w:r>
      <w:r w:rsidRPr="00A175FB">
        <w:rPr>
          <w:rFonts w:ascii="Times New Roman" w:hAnsi="Times New Roman"/>
          <w:bCs/>
          <w:lang w:eastAsia="ja-JP"/>
        </w:rPr>
        <w:t>NPBSH-</w:t>
      </w:r>
      <w:r>
        <w:rPr>
          <w:rFonts w:ascii="Times New Roman" w:hAnsi="Times New Roman"/>
          <w:bCs/>
          <w:lang w:eastAsia="ja-JP"/>
        </w:rPr>
        <w:t>2</w:t>
      </w:r>
      <w:r w:rsidRPr="00A175FB">
        <w:rPr>
          <w:rFonts w:ascii="Times New Roman" w:hAnsi="Times New Roman"/>
        </w:rPr>
        <w:t>).</w:t>
      </w:r>
    </w:p>
    <w:p w14:paraId="518301A4" w14:textId="77777777" w:rsidR="006F5A32" w:rsidRPr="009C2ADD" w:rsidRDefault="006F5A32" w:rsidP="00007081">
      <w:pPr>
        <w:autoSpaceDE w:val="0"/>
        <w:autoSpaceDN w:val="0"/>
        <w:adjustRightInd w:val="0"/>
        <w:snapToGrid w:val="0"/>
        <w:spacing w:after="0"/>
        <w:rPr>
          <w:rFonts w:ascii="Times New Roman" w:hAnsi="Times New Roman"/>
          <w:lang w:val="en-AU"/>
        </w:rPr>
      </w:pPr>
    </w:p>
    <w:p w14:paraId="45B9BE00" w14:textId="77777777" w:rsidR="001409BC" w:rsidRPr="009C2ADD" w:rsidRDefault="001409BC" w:rsidP="009C2ADD">
      <w:pPr>
        <w:pStyle w:val="ListParagraph"/>
        <w:adjustRightInd w:val="0"/>
        <w:snapToGrid w:val="0"/>
        <w:contextualSpacing w:val="0"/>
        <w:rPr>
          <w:rFonts w:ascii="Times New Roman" w:hAnsi="Times New Roman"/>
          <w:b/>
        </w:rPr>
      </w:pPr>
    </w:p>
    <w:p w14:paraId="7A54FF53" w14:textId="46F288B5" w:rsidR="001409BC" w:rsidRDefault="001409BC" w:rsidP="009C2ADD">
      <w:pPr>
        <w:pStyle w:val="ListParagraph"/>
        <w:adjustRightInd w:val="0"/>
        <w:snapToGrid w:val="0"/>
        <w:contextualSpacing w:val="0"/>
        <w:rPr>
          <w:rFonts w:ascii="Times New Roman" w:hAnsi="Times New Roman"/>
          <w:b/>
          <w:lang w:eastAsia="ko-KR"/>
        </w:rPr>
      </w:pPr>
    </w:p>
    <w:p w14:paraId="44D27CB1" w14:textId="44248A9A" w:rsidR="0031620E" w:rsidRPr="009C2ADD" w:rsidRDefault="0031620E" w:rsidP="0087299A">
      <w:pPr>
        <w:pStyle w:val="ListParagraph"/>
        <w:adjustRightInd w:val="0"/>
        <w:snapToGrid w:val="0"/>
        <w:contextualSpacing w:val="0"/>
        <w:jc w:val="center"/>
        <w:rPr>
          <w:rFonts w:ascii="Times New Roman" w:hAnsi="Times New Roman"/>
          <w:b/>
          <w:lang w:eastAsia="ko-KR"/>
        </w:rPr>
      </w:pPr>
      <w:r>
        <w:rPr>
          <w:rFonts w:ascii="Times New Roman" w:hAnsi="Times New Roman" w:hint="eastAsia"/>
          <w:b/>
          <w:noProof/>
          <w:lang w:val="en-US" w:eastAsia="ko-KR"/>
        </w:rPr>
        <w:drawing>
          <wp:inline distT="0" distB="0" distL="0" distR="0" wp14:anchorId="48E61840" wp14:editId="5EF90DD2">
            <wp:extent cx="4398579" cy="3913137"/>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1 (rev).jpg"/>
                    <pic:cNvPicPr/>
                  </pic:nvPicPr>
                  <pic:blipFill>
                    <a:blip r:embed="rId47">
                      <a:extLst>
                        <a:ext uri="{28A0092B-C50C-407E-A947-70E740481C1C}">
                          <a14:useLocalDpi xmlns:a14="http://schemas.microsoft.com/office/drawing/2010/main" val="0"/>
                        </a:ext>
                      </a:extLst>
                    </a:blip>
                    <a:stretch>
                      <a:fillRect/>
                    </a:stretch>
                  </pic:blipFill>
                  <pic:spPr>
                    <a:xfrm>
                      <a:off x="0" y="0"/>
                      <a:ext cx="4407445" cy="3921025"/>
                    </a:xfrm>
                    <a:prstGeom prst="rect">
                      <a:avLst/>
                    </a:prstGeom>
                  </pic:spPr>
                </pic:pic>
              </a:graphicData>
            </a:graphic>
          </wp:inline>
        </w:drawing>
      </w:r>
    </w:p>
    <w:p w14:paraId="46E93EE4" w14:textId="77777777" w:rsidR="001409BC" w:rsidRPr="009C2ADD" w:rsidRDefault="001409BC" w:rsidP="009C2ADD">
      <w:pPr>
        <w:pStyle w:val="ListParagraph"/>
        <w:adjustRightInd w:val="0"/>
        <w:snapToGrid w:val="0"/>
        <w:ind w:left="1593" w:firstLine="720"/>
        <w:contextualSpacing w:val="0"/>
        <w:jc w:val="center"/>
        <w:rPr>
          <w:rFonts w:ascii="Times New Roman" w:hAnsi="Times New Roman"/>
          <w:b/>
          <w:lang w:eastAsia="ja-JP"/>
        </w:rPr>
      </w:pPr>
    </w:p>
    <w:p w14:paraId="7D1E84E5" w14:textId="4B6AF33D" w:rsidR="001409BC" w:rsidRPr="009C2ADD" w:rsidRDefault="001409BC" w:rsidP="003F37B8">
      <w:pPr>
        <w:pStyle w:val="ListParagraph"/>
        <w:adjustRightInd w:val="0"/>
        <w:snapToGrid w:val="0"/>
        <w:ind w:left="153" w:firstLine="0"/>
        <w:contextualSpacing w:val="0"/>
        <w:rPr>
          <w:rFonts w:ascii="Times New Roman" w:hAnsi="Times New Roman"/>
        </w:rPr>
      </w:pPr>
      <w:bookmarkStart w:id="113" w:name="_Hlk491604338"/>
      <w:r w:rsidRPr="009C2ADD">
        <w:rPr>
          <w:rFonts w:ascii="Times New Roman" w:hAnsi="Times New Roman"/>
          <w:b/>
          <w:lang w:eastAsia="ja-JP"/>
        </w:rPr>
        <w:t xml:space="preserve">Figure NPBSH- 1. </w:t>
      </w:r>
      <w:r w:rsidR="0031620E" w:rsidRPr="0070772D">
        <w:rPr>
          <w:rFonts w:ascii="Times New Roman" w:hAnsi="Times New Roman"/>
        </w:rPr>
        <w:t>Results of the SS stock assessment reference case model: (A) estimated age-0 recruits (circles) and 95% confidence intervals (vertical bars); (B) estimated female spawning biomass and 95% confidence intervals (blue shaded area); (C) estimated fishing mortality (sum of F’s across all fishing fleets). Red solid lines indicate the estimates of SB</w:t>
      </w:r>
      <w:r w:rsidR="0031620E" w:rsidRPr="0070772D">
        <w:rPr>
          <w:rFonts w:ascii="Times New Roman" w:hAnsi="Times New Roman"/>
          <w:vertAlign w:val="subscript"/>
        </w:rPr>
        <w:t>MSY</w:t>
      </w:r>
      <w:r w:rsidR="0031620E" w:rsidRPr="0070772D">
        <w:rPr>
          <w:rFonts w:ascii="Times New Roman" w:hAnsi="Times New Roman"/>
        </w:rPr>
        <w:t xml:space="preserve"> and F</w:t>
      </w:r>
      <w:r w:rsidR="0031620E" w:rsidRPr="0070772D">
        <w:rPr>
          <w:rFonts w:ascii="Times New Roman" w:hAnsi="Times New Roman"/>
          <w:vertAlign w:val="subscript"/>
        </w:rPr>
        <w:t>MSY</w:t>
      </w:r>
      <w:r w:rsidR="0031620E" w:rsidRPr="0070772D">
        <w:rPr>
          <w:rFonts w:ascii="Times New Roman" w:hAnsi="Times New Roman"/>
        </w:rPr>
        <w:t xml:space="preserve"> in (B) and (C), respectively</w:t>
      </w:r>
      <w:r w:rsidR="0031620E" w:rsidRPr="0070772D">
        <w:rPr>
          <w:rFonts w:ascii="Times New Roman" w:hAnsi="Times New Roman"/>
          <w:lang w:eastAsia="ko-KR"/>
        </w:rPr>
        <w:t>.</w:t>
      </w:r>
      <w:r w:rsidR="008639A9">
        <w:rPr>
          <w:rFonts w:ascii="Times New Roman" w:hAnsi="Times New Roman" w:hint="eastAsia"/>
          <w:lang w:eastAsia="ko-KR"/>
        </w:rPr>
        <w:t xml:space="preserve"> </w:t>
      </w:r>
      <w:bookmarkEnd w:id="113"/>
    </w:p>
    <w:p w14:paraId="16DD3DC1" w14:textId="77777777" w:rsidR="001409BC" w:rsidRPr="009C2ADD" w:rsidRDefault="001409BC" w:rsidP="009C2ADD">
      <w:pPr>
        <w:pStyle w:val="ListParagraph"/>
        <w:adjustRightInd w:val="0"/>
        <w:snapToGrid w:val="0"/>
        <w:ind w:left="153"/>
        <w:contextualSpacing w:val="0"/>
        <w:jc w:val="center"/>
        <w:rPr>
          <w:rFonts w:ascii="Times New Roman" w:hAnsi="Times New Roman"/>
          <w:b/>
          <w:highlight w:val="yellow"/>
        </w:rPr>
      </w:pPr>
    </w:p>
    <w:p w14:paraId="5137BC43" w14:textId="77777777" w:rsidR="00001F31" w:rsidRDefault="00001F31" w:rsidP="009C2ADD">
      <w:pPr>
        <w:pStyle w:val="ListParagraph"/>
        <w:adjustRightInd w:val="0"/>
        <w:snapToGrid w:val="0"/>
        <w:ind w:left="0" w:firstLine="0"/>
        <w:contextualSpacing w:val="0"/>
        <w:jc w:val="left"/>
        <w:rPr>
          <w:rFonts w:ascii="Times New Roman" w:hAnsi="Times New Roman"/>
          <w:b/>
          <w:lang w:eastAsia="ko-KR"/>
        </w:rPr>
      </w:pPr>
      <w:bookmarkStart w:id="114" w:name="_Hlk491604488"/>
    </w:p>
    <w:p w14:paraId="04B66E4C" w14:textId="4170A101" w:rsidR="001409BC" w:rsidRDefault="001409BC" w:rsidP="003F37B8">
      <w:pPr>
        <w:pStyle w:val="ListParagraph"/>
        <w:adjustRightInd w:val="0"/>
        <w:snapToGrid w:val="0"/>
        <w:ind w:left="0" w:firstLine="0"/>
        <w:contextualSpacing w:val="0"/>
        <w:rPr>
          <w:rFonts w:ascii="Times New Roman" w:hAnsi="Times New Roman"/>
        </w:rPr>
      </w:pPr>
      <w:proofErr w:type="gramStart"/>
      <w:r w:rsidRPr="009C2ADD">
        <w:rPr>
          <w:rFonts w:ascii="Times New Roman" w:hAnsi="Times New Roman"/>
          <w:b/>
          <w:lang w:eastAsia="ja-JP"/>
        </w:rPr>
        <w:t>Table NPBSH-1.</w:t>
      </w:r>
      <w:proofErr w:type="gramEnd"/>
      <w:r w:rsidRPr="009C2ADD">
        <w:rPr>
          <w:rFonts w:ascii="Times New Roman" w:hAnsi="Times New Roman"/>
          <w:b/>
          <w:lang w:eastAsia="ja-JP"/>
        </w:rPr>
        <w:t xml:space="preserve"> </w:t>
      </w:r>
      <w:proofErr w:type="gramStart"/>
      <w:r w:rsidR="00FD1EAF" w:rsidRPr="0070772D">
        <w:rPr>
          <w:rFonts w:ascii="Times New Roman" w:hAnsi="Times New Roman"/>
        </w:rPr>
        <w:t>Estimates of key management quantities for the North Pacific blue shark SS stock assessment reference case model and the range of values for 13 sensitivity runs.</w:t>
      </w:r>
      <w:proofErr w:type="gramEnd"/>
    </w:p>
    <w:tbl>
      <w:tblPr>
        <w:tblStyle w:val="TableGrid"/>
        <w:tblW w:w="0" w:type="auto"/>
        <w:tblInd w:w="648" w:type="dxa"/>
        <w:tblBorders>
          <w:left w:val="none" w:sz="0" w:space="0" w:color="auto"/>
          <w:right w:val="none" w:sz="0" w:space="0" w:color="auto"/>
          <w:insideV w:val="none" w:sz="0" w:space="0" w:color="auto"/>
        </w:tblBorders>
        <w:tblLook w:val="04A0" w:firstRow="1" w:lastRow="0" w:firstColumn="1" w:lastColumn="0" w:noHBand="0" w:noVBand="1"/>
      </w:tblPr>
      <w:tblGrid>
        <w:gridCol w:w="2544"/>
        <w:gridCol w:w="3192"/>
        <w:gridCol w:w="2814"/>
      </w:tblGrid>
      <w:tr w:rsidR="00FA722C" w14:paraId="499CCF1F" w14:textId="77777777" w:rsidTr="003F37B8">
        <w:tc>
          <w:tcPr>
            <w:tcW w:w="2544" w:type="dxa"/>
            <w:tcBorders>
              <w:bottom w:val="single" w:sz="4" w:space="0" w:color="auto"/>
            </w:tcBorders>
          </w:tcPr>
          <w:bookmarkEnd w:id="114"/>
          <w:p w14:paraId="41AD77BE" w14:textId="77777777" w:rsidR="00FA722C" w:rsidRPr="00FA722C" w:rsidRDefault="00FA722C" w:rsidP="003F37B8">
            <w:pPr>
              <w:adjustRightInd w:val="0"/>
              <w:snapToGrid w:val="0"/>
              <w:spacing w:before="60" w:after="60"/>
              <w:jc w:val="center"/>
              <w:rPr>
                <w:rFonts w:ascii="Times New Roman" w:hAnsi="Times New Roman"/>
                <w:b/>
              </w:rPr>
            </w:pPr>
            <w:r w:rsidRPr="00FA722C">
              <w:rPr>
                <w:rFonts w:ascii="Times New Roman" w:hAnsi="Times New Roman"/>
                <w:b/>
              </w:rPr>
              <w:t>Management Quantity</w:t>
            </w:r>
          </w:p>
        </w:tc>
        <w:tc>
          <w:tcPr>
            <w:tcW w:w="3192" w:type="dxa"/>
            <w:tcBorders>
              <w:bottom w:val="single" w:sz="4" w:space="0" w:color="auto"/>
            </w:tcBorders>
          </w:tcPr>
          <w:p w14:paraId="36D78266" w14:textId="77777777" w:rsidR="00FA722C" w:rsidRPr="00FA722C" w:rsidRDefault="00FA722C" w:rsidP="003F37B8">
            <w:pPr>
              <w:adjustRightInd w:val="0"/>
              <w:snapToGrid w:val="0"/>
              <w:spacing w:before="60" w:after="60"/>
              <w:jc w:val="center"/>
              <w:rPr>
                <w:rFonts w:ascii="Times New Roman" w:hAnsi="Times New Roman"/>
                <w:b/>
              </w:rPr>
            </w:pPr>
            <w:r w:rsidRPr="00FA722C">
              <w:rPr>
                <w:rFonts w:ascii="Times New Roman" w:hAnsi="Times New Roman"/>
                <w:b/>
              </w:rPr>
              <w:t>Reference Case Model</w:t>
            </w:r>
          </w:p>
        </w:tc>
        <w:tc>
          <w:tcPr>
            <w:tcW w:w="2814" w:type="dxa"/>
            <w:tcBorders>
              <w:bottom w:val="single" w:sz="4" w:space="0" w:color="auto"/>
            </w:tcBorders>
          </w:tcPr>
          <w:p w14:paraId="04B25CBF" w14:textId="77777777" w:rsidR="00FA722C" w:rsidRPr="00FA722C" w:rsidRDefault="00FA722C" w:rsidP="003F37B8">
            <w:pPr>
              <w:adjustRightInd w:val="0"/>
              <w:snapToGrid w:val="0"/>
              <w:spacing w:before="60" w:after="60"/>
              <w:jc w:val="center"/>
              <w:rPr>
                <w:rFonts w:ascii="Times New Roman" w:hAnsi="Times New Roman"/>
                <w:b/>
              </w:rPr>
            </w:pPr>
            <w:r w:rsidRPr="00FA722C">
              <w:rPr>
                <w:rFonts w:ascii="Times New Roman" w:hAnsi="Times New Roman"/>
                <w:b/>
              </w:rPr>
              <w:t>Range for Sensitivity Runs</w:t>
            </w:r>
          </w:p>
        </w:tc>
      </w:tr>
      <w:tr w:rsidR="00FA722C" w14:paraId="6A8D9B32" w14:textId="77777777" w:rsidTr="003F37B8">
        <w:tc>
          <w:tcPr>
            <w:tcW w:w="2544" w:type="dxa"/>
            <w:tcBorders>
              <w:bottom w:val="nil"/>
            </w:tcBorders>
          </w:tcPr>
          <w:p w14:paraId="1FC2B9E5"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SSB</w:t>
            </w:r>
            <w:r w:rsidRPr="00FA722C">
              <w:rPr>
                <w:rFonts w:ascii="Times New Roman" w:hAnsi="Times New Roman"/>
                <w:vertAlign w:val="subscript"/>
              </w:rPr>
              <w:t>1971</w:t>
            </w:r>
          </w:p>
        </w:tc>
        <w:tc>
          <w:tcPr>
            <w:tcW w:w="3192" w:type="dxa"/>
            <w:tcBorders>
              <w:bottom w:val="nil"/>
            </w:tcBorders>
          </w:tcPr>
          <w:p w14:paraId="0C6253AC"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301,739 mt</w:t>
            </w:r>
          </w:p>
        </w:tc>
        <w:tc>
          <w:tcPr>
            <w:tcW w:w="2814" w:type="dxa"/>
            <w:tcBorders>
              <w:bottom w:val="nil"/>
            </w:tcBorders>
          </w:tcPr>
          <w:p w14:paraId="333099EB"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174,381 - 980,878 mt</w:t>
            </w:r>
          </w:p>
        </w:tc>
      </w:tr>
      <w:tr w:rsidR="00FA722C" w14:paraId="3F3D0F8B" w14:textId="77777777" w:rsidTr="003F37B8">
        <w:tc>
          <w:tcPr>
            <w:tcW w:w="2544" w:type="dxa"/>
            <w:tcBorders>
              <w:top w:val="nil"/>
              <w:bottom w:val="nil"/>
            </w:tcBorders>
          </w:tcPr>
          <w:p w14:paraId="5587AA4D"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SSB</w:t>
            </w:r>
            <w:r w:rsidRPr="00FA722C">
              <w:rPr>
                <w:rFonts w:ascii="Times New Roman" w:hAnsi="Times New Roman"/>
                <w:vertAlign w:val="subscript"/>
              </w:rPr>
              <w:t>2015</w:t>
            </w:r>
          </w:p>
        </w:tc>
        <w:tc>
          <w:tcPr>
            <w:tcW w:w="3192" w:type="dxa"/>
            <w:tcBorders>
              <w:top w:val="nil"/>
              <w:bottom w:val="nil"/>
            </w:tcBorders>
          </w:tcPr>
          <w:p w14:paraId="509D1D58"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295,774 mt</w:t>
            </w:r>
          </w:p>
        </w:tc>
        <w:tc>
          <w:tcPr>
            <w:tcW w:w="2814" w:type="dxa"/>
            <w:tcBorders>
              <w:top w:val="nil"/>
              <w:bottom w:val="nil"/>
            </w:tcBorders>
          </w:tcPr>
          <w:p w14:paraId="367B9CD9"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140,742 - 1,082,300 mt</w:t>
            </w:r>
          </w:p>
        </w:tc>
      </w:tr>
      <w:tr w:rsidR="00FA722C" w14:paraId="4ACBE81B" w14:textId="77777777" w:rsidTr="003F37B8">
        <w:tc>
          <w:tcPr>
            <w:tcW w:w="2544" w:type="dxa"/>
            <w:tcBorders>
              <w:top w:val="nil"/>
              <w:bottom w:val="nil"/>
            </w:tcBorders>
          </w:tcPr>
          <w:p w14:paraId="248A11C1"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SSB</w:t>
            </w:r>
            <w:r w:rsidRPr="00FA722C">
              <w:rPr>
                <w:rFonts w:ascii="Times New Roman" w:hAnsi="Times New Roman"/>
                <w:vertAlign w:val="subscript"/>
              </w:rPr>
              <w:t>MSY</w:t>
            </w:r>
          </w:p>
        </w:tc>
        <w:tc>
          <w:tcPr>
            <w:tcW w:w="3192" w:type="dxa"/>
            <w:tcBorders>
              <w:top w:val="nil"/>
              <w:bottom w:val="nil"/>
            </w:tcBorders>
          </w:tcPr>
          <w:p w14:paraId="5FD7CCD0"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175,401 mt</w:t>
            </w:r>
          </w:p>
        </w:tc>
        <w:tc>
          <w:tcPr>
            <w:tcW w:w="2814" w:type="dxa"/>
            <w:tcBorders>
              <w:top w:val="nil"/>
              <w:bottom w:val="nil"/>
            </w:tcBorders>
          </w:tcPr>
          <w:p w14:paraId="74D92E23"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100,984 - 482,638 mt</w:t>
            </w:r>
          </w:p>
        </w:tc>
      </w:tr>
      <w:tr w:rsidR="00FA722C" w14:paraId="6DD1F374" w14:textId="77777777" w:rsidTr="003F37B8">
        <w:tc>
          <w:tcPr>
            <w:tcW w:w="2544" w:type="dxa"/>
            <w:tcBorders>
              <w:top w:val="nil"/>
              <w:bottom w:val="nil"/>
            </w:tcBorders>
          </w:tcPr>
          <w:p w14:paraId="0B942329"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F</w:t>
            </w:r>
            <w:r w:rsidRPr="00FA722C">
              <w:rPr>
                <w:rFonts w:ascii="Times New Roman" w:hAnsi="Times New Roman"/>
                <w:vertAlign w:val="subscript"/>
              </w:rPr>
              <w:t>1971</w:t>
            </w:r>
          </w:p>
        </w:tc>
        <w:tc>
          <w:tcPr>
            <w:tcW w:w="3192" w:type="dxa"/>
            <w:tcBorders>
              <w:top w:val="nil"/>
              <w:bottom w:val="nil"/>
            </w:tcBorders>
          </w:tcPr>
          <w:p w14:paraId="4D159D15"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0.15</w:t>
            </w:r>
          </w:p>
        </w:tc>
        <w:tc>
          <w:tcPr>
            <w:tcW w:w="2814" w:type="dxa"/>
            <w:tcBorders>
              <w:top w:val="nil"/>
              <w:bottom w:val="nil"/>
            </w:tcBorders>
          </w:tcPr>
          <w:p w14:paraId="51380984"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0.01 - 0.15</w:t>
            </w:r>
          </w:p>
        </w:tc>
      </w:tr>
      <w:tr w:rsidR="00FA722C" w14:paraId="51E1FEAE" w14:textId="77777777" w:rsidTr="003F37B8">
        <w:tc>
          <w:tcPr>
            <w:tcW w:w="2544" w:type="dxa"/>
            <w:tcBorders>
              <w:top w:val="nil"/>
              <w:bottom w:val="nil"/>
            </w:tcBorders>
          </w:tcPr>
          <w:p w14:paraId="2A759590"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F</w:t>
            </w:r>
            <w:r w:rsidRPr="00FA722C">
              <w:rPr>
                <w:rFonts w:ascii="Times New Roman" w:hAnsi="Times New Roman"/>
                <w:vertAlign w:val="subscript"/>
              </w:rPr>
              <w:t>2012-2014</w:t>
            </w:r>
          </w:p>
        </w:tc>
        <w:tc>
          <w:tcPr>
            <w:tcW w:w="3192" w:type="dxa"/>
            <w:tcBorders>
              <w:top w:val="nil"/>
              <w:bottom w:val="nil"/>
            </w:tcBorders>
          </w:tcPr>
          <w:p w14:paraId="7BF788DB"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0.14</w:t>
            </w:r>
          </w:p>
        </w:tc>
        <w:tc>
          <w:tcPr>
            <w:tcW w:w="2814" w:type="dxa"/>
            <w:tcBorders>
              <w:top w:val="nil"/>
              <w:bottom w:val="nil"/>
            </w:tcBorders>
          </w:tcPr>
          <w:p w14:paraId="624A27B4"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0.06 - 0.15</w:t>
            </w:r>
          </w:p>
        </w:tc>
      </w:tr>
      <w:tr w:rsidR="00FA722C" w14:paraId="7BC3A614" w14:textId="77777777" w:rsidTr="003F37B8">
        <w:tc>
          <w:tcPr>
            <w:tcW w:w="2544" w:type="dxa"/>
            <w:tcBorders>
              <w:top w:val="nil"/>
              <w:bottom w:val="nil"/>
            </w:tcBorders>
          </w:tcPr>
          <w:p w14:paraId="65F42E54"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F</w:t>
            </w:r>
            <w:r w:rsidRPr="00FA722C">
              <w:rPr>
                <w:rFonts w:ascii="Times New Roman" w:hAnsi="Times New Roman"/>
                <w:vertAlign w:val="subscript"/>
              </w:rPr>
              <w:t>MSY</w:t>
            </w:r>
          </w:p>
        </w:tc>
        <w:tc>
          <w:tcPr>
            <w:tcW w:w="3192" w:type="dxa"/>
            <w:tcBorders>
              <w:top w:val="nil"/>
              <w:bottom w:val="nil"/>
            </w:tcBorders>
          </w:tcPr>
          <w:p w14:paraId="63A2338A"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0.36</w:t>
            </w:r>
          </w:p>
        </w:tc>
        <w:tc>
          <w:tcPr>
            <w:tcW w:w="2814" w:type="dxa"/>
            <w:tcBorders>
              <w:top w:val="nil"/>
              <w:bottom w:val="nil"/>
            </w:tcBorders>
          </w:tcPr>
          <w:p w14:paraId="60A02BF8"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0.26 - 0.66</w:t>
            </w:r>
          </w:p>
        </w:tc>
      </w:tr>
      <w:tr w:rsidR="00FA722C" w14:paraId="355DD251" w14:textId="77777777" w:rsidTr="003F37B8">
        <w:tc>
          <w:tcPr>
            <w:tcW w:w="2544" w:type="dxa"/>
            <w:tcBorders>
              <w:top w:val="nil"/>
              <w:bottom w:val="nil"/>
            </w:tcBorders>
          </w:tcPr>
          <w:p w14:paraId="1BC73711"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SSB</w:t>
            </w:r>
            <w:r w:rsidRPr="00FA722C">
              <w:rPr>
                <w:rFonts w:ascii="Times New Roman" w:hAnsi="Times New Roman"/>
                <w:vertAlign w:val="subscript"/>
              </w:rPr>
              <w:t>2015</w:t>
            </w:r>
            <w:r w:rsidRPr="00FA722C">
              <w:rPr>
                <w:rFonts w:ascii="Times New Roman" w:hAnsi="Times New Roman"/>
              </w:rPr>
              <w:t>/SSB</w:t>
            </w:r>
            <w:r w:rsidRPr="00FA722C">
              <w:rPr>
                <w:rFonts w:ascii="Times New Roman" w:hAnsi="Times New Roman"/>
                <w:vertAlign w:val="subscript"/>
              </w:rPr>
              <w:t>MSY</w:t>
            </w:r>
          </w:p>
        </w:tc>
        <w:tc>
          <w:tcPr>
            <w:tcW w:w="3192" w:type="dxa"/>
            <w:tcBorders>
              <w:top w:val="nil"/>
              <w:bottom w:val="nil"/>
            </w:tcBorders>
          </w:tcPr>
          <w:p w14:paraId="44984CEF"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1.69</w:t>
            </w:r>
          </w:p>
        </w:tc>
        <w:tc>
          <w:tcPr>
            <w:tcW w:w="2814" w:type="dxa"/>
            <w:tcBorders>
              <w:top w:val="nil"/>
              <w:bottom w:val="nil"/>
            </w:tcBorders>
          </w:tcPr>
          <w:p w14:paraId="21CC4AC9"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1.39 - 2.59</w:t>
            </w:r>
          </w:p>
        </w:tc>
      </w:tr>
      <w:tr w:rsidR="00FA722C" w14:paraId="6AE5781D" w14:textId="77777777" w:rsidTr="003F37B8">
        <w:tc>
          <w:tcPr>
            <w:tcW w:w="2544" w:type="dxa"/>
            <w:tcBorders>
              <w:top w:val="nil"/>
            </w:tcBorders>
          </w:tcPr>
          <w:p w14:paraId="6B5A4A56" w14:textId="77777777" w:rsidR="00FA722C" w:rsidRPr="00FA722C" w:rsidRDefault="00FA722C" w:rsidP="003F37B8">
            <w:pPr>
              <w:adjustRightInd w:val="0"/>
              <w:snapToGrid w:val="0"/>
              <w:spacing w:after="0"/>
              <w:ind w:left="450"/>
              <w:rPr>
                <w:rFonts w:ascii="Times New Roman" w:hAnsi="Times New Roman"/>
              </w:rPr>
            </w:pPr>
            <w:r w:rsidRPr="00FA722C">
              <w:rPr>
                <w:rFonts w:ascii="Times New Roman" w:hAnsi="Times New Roman"/>
              </w:rPr>
              <w:t>F</w:t>
            </w:r>
            <w:r w:rsidRPr="00FA722C">
              <w:rPr>
                <w:rFonts w:ascii="Times New Roman" w:hAnsi="Times New Roman"/>
                <w:vertAlign w:val="subscript"/>
              </w:rPr>
              <w:t>2012-2014</w:t>
            </w:r>
            <w:r w:rsidRPr="00FA722C">
              <w:rPr>
                <w:rFonts w:ascii="Times New Roman" w:hAnsi="Times New Roman"/>
              </w:rPr>
              <w:t>/F</w:t>
            </w:r>
            <w:r w:rsidRPr="00FA722C">
              <w:rPr>
                <w:rFonts w:ascii="Times New Roman" w:hAnsi="Times New Roman"/>
                <w:vertAlign w:val="subscript"/>
              </w:rPr>
              <w:t>MSY</w:t>
            </w:r>
          </w:p>
        </w:tc>
        <w:tc>
          <w:tcPr>
            <w:tcW w:w="3192" w:type="dxa"/>
            <w:tcBorders>
              <w:top w:val="nil"/>
            </w:tcBorders>
          </w:tcPr>
          <w:p w14:paraId="01E2A814" w14:textId="77777777" w:rsidR="00FA722C" w:rsidRPr="00FA722C" w:rsidRDefault="00FA722C" w:rsidP="003F37B8">
            <w:pPr>
              <w:adjustRightInd w:val="0"/>
              <w:snapToGrid w:val="0"/>
              <w:spacing w:after="0"/>
              <w:jc w:val="center"/>
              <w:rPr>
                <w:rFonts w:ascii="Times New Roman" w:hAnsi="Times New Roman"/>
              </w:rPr>
            </w:pPr>
            <w:r w:rsidRPr="00FA722C">
              <w:rPr>
                <w:rFonts w:ascii="Times New Roman" w:hAnsi="Times New Roman"/>
              </w:rPr>
              <w:t>0.38</w:t>
            </w:r>
          </w:p>
        </w:tc>
        <w:tc>
          <w:tcPr>
            <w:tcW w:w="2814" w:type="dxa"/>
            <w:tcBorders>
              <w:top w:val="nil"/>
            </w:tcBorders>
          </w:tcPr>
          <w:p w14:paraId="6F56AADB" w14:textId="77777777" w:rsidR="00FA722C" w:rsidRPr="00FA722C" w:rsidRDefault="00FA722C" w:rsidP="003F37B8">
            <w:pPr>
              <w:pStyle w:val="Default"/>
              <w:adjustRightInd w:val="0"/>
              <w:snapToGrid w:val="0"/>
              <w:jc w:val="center"/>
              <w:rPr>
                <w:rFonts w:ascii="Times New Roman" w:hAnsi="Times New Roman" w:cs="Times New Roman"/>
                <w:sz w:val="22"/>
                <w:szCs w:val="22"/>
              </w:rPr>
            </w:pPr>
            <w:r w:rsidRPr="00FA722C">
              <w:rPr>
                <w:rFonts w:ascii="Times New Roman" w:hAnsi="Times New Roman" w:cs="Times New Roman"/>
                <w:sz w:val="22"/>
                <w:szCs w:val="22"/>
              </w:rPr>
              <w:t>0.15 - 0.50</w:t>
            </w:r>
          </w:p>
        </w:tc>
      </w:tr>
    </w:tbl>
    <w:p w14:paraId="78C22977" w14:textId="41D92000" w:rsidR="00D63189" w:rsidRDefault="00D63189" w:rsidP="009C2ADD">
      <w:pPr>
        <w:pStyle w:val="ListParagraph"/>
        <w:adjustRightInd w:val="0"/>
        <w:snapToGrid w:val="0"/>
        <w:ind w:left="0" w:firstLine="360"/>
        <w:contextualSpacing w:val="0"/>
        <w:jc w:val="center"/>
        <w:rPr>
          <w:rFonts w:ascii="Times New Roman" w:hAnsi="Times New Roman"/>
          <w:b/>
          <w:highlight w:val="yellow"/>
          <w:lang w:eastAsia="ko-KR"/>
        </w:rPr>
      </w:pPr>
    </w:p>
    <w:p w14:paraId="687F0D8F" w14:textId="77777777" w:rsidR="00FD1EAF" w:rsidRPr="009C2ADD" w:rsidRDefault="00FD1EAF" w:rsidP="009C2ADD">
      <w:pPr>
        <w:pStyle w:val="ListParagraph"/>
        <w:adjustRightInd w:val="0"/>
        <w:snapToGrid w:val="0"/>
        <w:ind w:left="0" w:firstLine="360"/>
        <w:contextualSpacing w:val="0"/>
        <w:jc w:val="center"/>
        <w:rPr>
          <w:rFonts w:ascii="Times New Roman" w:hAnsi="Times New Roman"/>
          <w:b/>
          <w:highlight w:val="yellow"/>
          <w:lang w:eastAsia="ko-KR"/>
        </w:rPr>
      </w:pPr>
    </w:p>
    <w:p w14:paraId="7AAB8928" w14:textId="08CBFDB5" w:rsidR="00CA63FF" w:rsidRPr="009C2ADD" w:rsidRDefault="005F3171" w:rsidP="009C2ADD">
      <w:pPr>
        <w:pStyle w:val="ListParagraph"/>
        <w:adjustRightInd w:val="0"/>
        <w:snapToGrid w:val="0"/>
        <w:ind w:left="0"/>
        <w:contextualSpacing w:val="0"/>
        <w:jc w:val="center"/>
        <w:rPr>
          <w:rFonts w:ascii="Times New Roman" w:hAnsi="Times New Roman"/>
        </w:rPr>
      </w:pPr>
      <w:r>
        <w:rPr>
          <w:rFonts w:ascii="Times New Roman" w:hAnsi="Times New Roman"/>
          <w:noProof/>
          <w:lang w:val="en-US" w:eastAsia="ko-KR"/>
        </w:rPr>
        <w:drawing>
          <wp:inline distT="0" distB="0" distL="0" distR="0" wp14:anchorId="14D0C526" wp14:editId="5C1017FF">
            <wp:extent cx="3569918" cy="31076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2.jpg"/>
                    <pic:cNvPicPr/>
                  </pic:nvPicPr>
                  <pic:blipFill>
                    <a:blip r:embed="rId49">
                      <a:extLst>
                        <a:ext uri="{28A0092B-C50C-407E-A947-70E740481C1C}">
                          <a14:useLocalDpi xmlns:a14="http://schemas.microsoft.com/office/drawing/2010/main" val="0"/>
                        </a:ext>
                      </a:extLst>
                    </a:blip>
                    <a:stretch>
                      <a:fillRect/>
                    </a:stretch>
                  </pic:blipFill>
                  <pic:spPr>
                    <a:xfrm>
                      <a:off x="0" y="0"/>
                      <a:ext cx="3569770" cy="3107531"/>
                    </a:xfrm>
                    <a:prstGeom prst="rect">
                      <a:avLst/>
                    </a:prstGeom>
                  </pic:spPr>
                </pic:pic>
              </a:graphicData>
            </a:graphic>
          </wp:inline>
        </w:drawing>
      </w:r>
    </w:p>
    <w:p w14:paraId="21B9CB3B" w14:textId="189FB407" w:rsidR="001409BC" w:rsidRPr="009C2ADD" w:rsidRDefault="001409BC" w:rsidP="009C2ADD">
      <w:pPr>
        <w:pStyle w:val="ListParagraph"/>
        <w:adjustRightInd w:val="0"/>
        <w:snapToGrid w:val="0"/>
        <w:ind w:left="0" w:firstLine="0"/>
        <w:contextualSpacing w:val="0"/>
        <w:jc w:val="left"/>
        <w:rPr>
          <w:rFonts w:ascii="Times New Roman" w:hAnsi="Times New Roman"/>
        </w:rPr>
      </w:pPr>
      <w:bookmarkStart w:id="115" w:name="_Hlk491604724"/>
      <w:r w:rsidRPr="009C2ADD">
        <w:rPr>
          <w:rFonts w:ascii="Times New Roman" w:hAnsi="Times New Roman"/>
          <w:b/>
          <w:lang w:eastAsia="ja-JP"/>
        </w:rPr>
        <w:t xml:space="preserve">Figure NPBSH- 2.  </w:t>
      </w:r>
      <w:proofErr w:type="gramStart"/>
      <w:r w:rsidR="005F3171" w:rsidRPr="0070772D">
        <w:rPr>
          <w:rFonts w:ascii="Times New Roman" w:hAnsi="Times New Roman"/>
        </w:rPr>
        <w:t>Kobe plot of the trends in estimates of relative fishing mortality and spawning biomass of North Pacific blue shark between 1971</w:t>
      </w:r>
      <w:r w:rsidR="005F3171" w:rsidRPr="005F3171">
        <w:rPr>
          <w:rFonts w:ascii="Cambria Math" w:hAnsi="Cambria Math" w:cs="Cambria Math"/>
        </w:rPr>
        <w:t>‐</w:t>
      </w:r>
      <w:r w:rsidR="005F3171" w:rsidRPr="0070772D">
        <w:rPr>
          <w:rFonts w:ascii="Times New Roman" w:hAnsi="Times New Roman"/>
        </w:rPr>
        <w:t xml:space="preserve">2015 for the reference case </w:t>
      </w:r>
      <w:r w:rsidR="00D63189">
        <w:rPr>
          <w:rFonts w:ascii="Times New Roman" w:hAnsi="Times New Roman"/>
        </w:rPr>
        <w:t xml:space="preserve">of the SS </w:t>
      </w:r>
      <w:r w:rsidR="005F3171" w:rsidRPr="0070772D">
        <w:rPr>
          <w:rFonts w:ascii="Times New Roman" w:hAnsi="Times New Roman"/>
        </w:rPr>
        <w:t>stock assessment model.</w:t>
      </w:r>
      <w:proofErr w:type="gramEnd"/>
    </w:p>
    <w:bookmarkEnd w:id="115"/>
    <w:p w14:paraId="6FB6481C" w14:textId="77777777" w:rsidR="001409BC" w:rsidRPr="009C2ADD" w:rsidRDefault="001409BC" w:rsidP="009C2ADD">
      <w:pPr>
        <w:pStyle w:val="Heading7"/>
        <w:adjustRightInd w:val="0"/>
        <w:snapToGrid w:val="0"/>
        <w:spacing w:before="0"/>
        <w:jc w:val="center"/>
        <w:rPr>
          <w:rFonts w:ascii="Times New Roman" w:hAnsi="Times New Roman"/>
          <w:i w:val="0"/>
          <w:color w:val="auto"/>
        </w:rPr>
      </w:pPr>
    </w:p>
    <w:p w14:paraId="3EF9446C" w14:textId="6994EB06" w:rsidR="001409BC" w:rsidRPr="009C2ADD" w:rsidRDefault="001409BC" w:rsidP="00766C07">
      <w:pPr>
        <w:pStyle w:val="ListParagraph"/>
        <w:numPr>
          <w:ilvl w:val="0"/>
          <w:numId w:val="196"/>
        </w:numPr>
        <w:adjustRightInd w:val="0"/>
        <w:snapToGrid w:val="0"/>
        <w:ind w:left="0" w:firstLine="0"/>
        <w:contextualSpacing w:val="0"/>
        <w:jc w:val="left"/>
        <w:rPr>
          <w:rFonts w:ascii="Times New Roman" w:eastAsia="바탕" w:hAnsi="Times New Roman"/>
          <w:b/>
          <w:lang w:eastAsia="ko-KR"/>
        </w:rPr>
      </w:pPr>
      <w:r w:rsidRPr="009C2ADD">
        <w:rPr>
          <w:rFonts w:ascii="Times New Roman" w:eastAsia="바탕" w:hAnsi="Times New Roman"/>
          <w:b/>
          <w:lang w:eastAsia="ko-KR"/>
        </w:rPr>
        <w:t>Management advice and implications</w:t>
      </w:r>
    </w:p>
    <w:p w14:paraId="7BC2AC96" w14:textId="77777777" w:rsidR="001409BC" w:rsidRPr="009C2ADD" w:rsidRDefault="001409BC" w:rsidP="009C2ADD">
      <w:pPr>
        <w:pStyle w:val="WCPFC"/>
        <w:numPr>
          <w:ilvl w:val="0"/>
          <w:numId w:val="0"/>
        </w:numPr>
        <w:adjustRightInd w:val="0"/>
        <w:spacing w:after="0"/>
        <w:jc w:val="left"/>
        <w:rPr>
          <w:b/>
        </w:rPr>
      </w:pPr>
    </w:p>
    <w:p w14:paraId="7663F006" w14:textId="0D1322CE"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the following con</w:t>
      </w:r>
      <w:r w:rsidR="009F4AFA" w:rsidRPr="009C2ADD">
        <w:rPr>
          <w:rFonts w:ascii="Times New Roman" w:hAnsi="Times New Roman"/>
          <w:b/>
          <w:lang w:val="en-AU"/>
        </w:rPr>
        <w:t>servation information from ISC.</w:t>
      </w:r>
    </w:p>
    <w:p w14:paraId="322AF561" w14:textId="77777777" w:rsidR="009F4AFA" w:rsidRPr="009C2ADD" w:rsidRDefault="009F4AFA" w:rsidP="009C2ADD">
      <w:pPr>
        <w:autoSpaceDE w:val="0"/>
        <w:autoSpaceDN w:val="0"/>
        <w:adjustRightInd w:val="0"/>
        <w:snapToGrid w:val="0"/>
        <w:spacing w:after="0"/>
        <w:rPr>
          <w:rFonts w:ascii="Times New Roman" w:hAnsi="Times New Roman"/>
          <w:b/>
          <w:lang w:val="en-AU"/>
        </w:rPr>
      </w:pPr>
    </w:p>
    <w:p w14:paraId="72FC07FE" w14:textId="0382F3EB"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Target and limit reference points have not yet been established for pelagic sharks</w:t>
      </w:r>
      <w:r w:rsidR="00D63189" w:rsidRPr="00D63189">
        <w:rPr>
          <w:rFonts w:ascii="Times New Roman" w:hAnsi="Times New Roman"/>
          <w:lang w:val="en-AU"/>
        </w:rPr>
        <w:t xml:space="preserve"> </w:t>
      </w:r>
      <w:r w:rsidR="00D63189">
        <w:rPr>
          <w:rFonts w:ascii="Times New Roman" w:hAnsi="Times New Roman"/>
          <w:lang w:val="en-AU"/>
        </w:rPr>
        <w:t xml:space="preserve">by the WCPFC and IATTC, </w:t>
      </w:r>
      <w:r w:rsidR="00D63189" w:rsidRPr="005A59F0">
        <w:rPr>
          <w:rFonts w:ascii="Times New Roman" w:hAnsi="Times New Roman"/>
        </w:rPr>
        <w:t>the organizations responsible for management of pelagic sharks caught in international fisheries for tuna and tuna-like species</w:t>
      </w:r>
      <w:r w:rsidRPr="009C2ADD">
        <w:rPr>
          <w:rFonts w:ascii="Times New Roman" w:hAnsi="Times New Roman"/>
          <w:lang w:val="en-AU"/>
        </w:rPr>
        <w:t xml:space="preserve"> in the Pacific</w:t>
      </w:r>
      <w:r w:rsidR="00D63189">
        <w:rPr>
          <w:rFonts w:ascii="Times New Roman" w:hAnsi="Times New Roman"/>
          <w:lang w:val="en-AU"/>
        </w:rPr>
        <w:t xml:space="preserve"> Ocean</w:t>
      </w:r>
      <w:r w:rsidRPr="009C2ADD">
        <w:rPr>
          <w:rFonts w:ascii="Times New Roman" w:hAnsi="Times New Roman"/>
          <w:lang w:val="en-AU"/>
        </w:rPr>
        <w:t xml:space="preserve">. </w:t>
      </w:r>
    </w:p>
    <w:p w14:paraId="68F73474" w14:textId="77777777" w:rsidR="009F4AFA" w:rsidRPr="009C2ADD" w:rsidRDefault="009F4AFA" w:rsidP="009C2ADD">
      <w:pPr>
        <w:pStyle w:val="ListParagraph"/>
        <w:adjustRightInd w:val="0"/>
        <w:snapToGrid w:val="0"/>
        <w:contextualSpacing w:val="0"/>
        <w:rPr>
          <w:rFonts w:ascii="Times New Roman" w:hAnsi="Times New Roman"/>
          <w:lang w:val="en-AU"/>
        </w:rPr>
      </w:pPr>
    </w:p>
    <w:p w14:paraId="49CB982E" w14:textId="7DFD78A8" w:rsidR="001409BC" w:rsidRPr="009C2ADD" w:rsidRDefault="00D63189" w:rsidP="009C2ADD">
      <w:pPr>
        <w:numPr>
          <w:ilvl w:val="0"/>
          <w:numId w:val="1"/>
        </w:numPr>
        <w:autoSpaceDE w:val="0"/>
        <w:autoSpaceDN w:val="0"/>
        <w:adjustRightInd w:val="0"/>
        <w:snapToGrid w:val="0"/>
        <w:spacing w:after="0"/>
        <w:ind w:left="0" w:firstLine="0"/>
        <w:rPr>
          <w:rFonts w:ascii="Times New Roman" w:hAnsi="Times New Roman"/>
          <w:lang w:val="en-AU"/>
        </w:rPr>
      </w:pPr>
      <w:r w:rsidRPr="005A59F0">
        <w:rPr>
          <w:rFonts w:ascii="Times New Roman" w:hAnsi="Times New Roman"/>
        </w:rPr>
        <w:t>The 2015 SSB exceeds SSB</w:t>
      </w:r>
      <w:r w:rsidRPr="005A59F0">
        <w:rPr>
          <w:rFonts w:ascii="Times New Roman" w:hAnsi="Times New Roman"/>
          <w:vertAlign w:val="subscript"/>
        </w:rPr>
        <w:t>MSY</w:t>
      </w:r>
      <w:r w:rsidRPr="005A59F0">
        <w:rPr>
          <w:rFonts w:ascii="Times New Roman" w:hAnsi="Times New Roman"/>
        </w:rPr>
        <w:t xml:space="preserve"> and F</w:t>
      </w:r>
      <w:r w:rsidRPr="005A59F0">
        <w:rPr>
          <w:rFonts w:ascii="Times New Roman" w:hAnsi="Times New Roman"/>
          <w:vertAlign w:val="subscript"/>
        </w:rPr>
        <w:t>2012-2014</w:t>
      </w:r>
      <w:r w:rsidRPr="005A59F0">
        <w:rPr>
          <w:rFonts w:ascii="Times New Roman" w:hAnsi="Times New Roman"/>
        </w:rPr>
        <w:t xml:space="preserve"> is below F</w:t>
      </w:r>
      <w:r w:rsidRPr="005A59F0">
        <w:rPr>
          <w:rFonts w:ascii="Times New Roman" w:hAnsi="Times New Roman"/>
          <w:vertAlign w:val="subscript"/>
        </w:rPr>
        <w:t>MSY</w:t>
      </w:r>
      <w:r w:rsidRPr="005A59F0">
        <w:rPr>
          <w:rFonts w:ascii="Times New Roman" w:hAnsi="Times New Roman"/>
        </w:rPr>
        <w:t>.</w:t>
      </w:r>
      <w:r w:rsidRPr="00C846BA">
        <w:t xml:space="preserve"> </w:t>
      </w:r>
      <w:r w:rsidR="001409BC" w:rsidRPr="009C2ADD">
        <w:rPr>
          <w:rFonts w:ascii="Times New Roman" w:hAnsi="Times New Roman"/>
          <w:lang w:val="en-AU"/>
        </w:rPr>
        <w:t>Future projections under different fishing mortality (F) harvest policies (status quo, +20%, -20%, F</w:t>
      </w:r>
      <w:r w:rsidR="00300F08" w:rsidRPr="00104C78">
        <w:rPr>
          <w:rFonts w:ascii="Times New Roman" w:hAnsi="Times New Roman"/>
          <w:vertAlign w:val="subscript"/>
          <w:lang w:val="en-AU"/>
        </w:rPr>
        <w:t>MSY</w:t>
      </w:r>
      <w:r w:rsidR="001409BC" w:rsidRPr="009C2ADD">
        <w:rPr>
          <w:rFonts w:ascii="Times New Roman" w:hAnsi="Times New Roman"/>
          <w:lang w:val="en-AU"/>
        </w:rPr>
        <w:t>) show that median BSH biomass in the North Pacific will likely remain above B</w:t>
      </w:r>
      <w:r w:rsidR="00300F08" w:rsidRPr="00104C78">
        <w:rPr>
          <w:rFonts w:ascii="Times New Roman" w:hAnsi="Times New Roman"/>
          <w:vertAlign w:val="subscript"/>
          <w:lang w:val="en-AU"/>
        </w:rPr>
        <w:t>MSY</w:t>
      </w:r>
      <w:r w:rsidR="001409BC" w:rsidRPr="009C2ADD">
        <w:rPr>
          <w:rFonts w:ascii="Times New Roman" w:hAnsi="Times New Roman"/>
          <w:lang w:val="en-AU"/>
        </w:rPr>
        <w:t xml:space="preserve"> in the foreseeable future (</w:t>
      </w:r>
      <w:r w:rsidR="001409BC" w:rsidRPr="0070772D">
        <w:rPr>
          <w:rFonts w:ascii="Times New Roman" w:hAnsi="Times New Roman"/>
          <w:bCs/>
          <w:lang w:val="en-AU"/>
        </w:rPr>
        <w:t>Table NPBSH-2; Figure NPBSH-3</w:t>
      </w:r>
      <w:r w:rsidR="001409BC" w:rsidRPr="009C2ADD">
        <w:rPr>
          <w:rFonts w:ascii="Times New Roman" w:hAnsi="Times New Roman"/>
          <w:lang w:val="en-AU"/>
        </w:rPr>
        <w:t>).</w:t>
      </w:r>
      <w:r>
        <w:rPr>
          <w:rFonts w:ascii="Times New Roman" w:hAnsi="Times New Roman"/>
          <w:lang w:val="en-AU"/>
        </w:rPr>
        <w:t xml:space="preserve"> </w:t>
      </w:r>
      <w:r w:rsidRPr="005A59F0">
        <w:rPr>
          <w:rFonts w:ascii="Times New Roman" w:hAnsi="Times New Roman"/>
        </w:rPr>
        <w:t>Other potential reference points were not considered in these evaluations.</w:t>
      </w:r>
    </w:p>
    <w:p w14:paraId="53FEC086" w14:textId="77777777" w:rsidR="00457886" w:rsidRDefault="00457886" w:rsidP="009C2ADD">
      <w:pPr>
        <w:pStyle w:val="WCPFC"/>
        <w:numPr>
          <w:ilvl w:val="0"/>
          <w:numId w:val="0"/>
        </w:numPr>
        <w:adjustRightInd w:val="0"/>
        <w:spacing w:after="0"/>
        <w:jc w:val="left"/>
        <w:rPr>
          <w:b/>
          <w:lang w:eastAsia="ja-JP"/>
        </w:rPr>
      </w:pPr>
      <w:bookmarkStart w:id="116" w:name="_Hlk491605000"/>
    </w:p>
    <w:p w14:paraId="06695E59" w14:textId="19959F91" w:rsidR="001409BC" w:rsidRDefault="001409BC" w:rsidP="009C2ADD">
      <w:pPr>
        <w:pStyle w:val="WCPFC"/>
        <w:numPr>
          <w:ilvl w:val="0"/>
          <w:numId w:val="0"/>
        </w:numPr>
        <w:adjustRightInd w:val="0"/>
        <w:spacing w:after="0"/>
        <w:jc w:val="left"/>
        <w:rPr>
          <w:lang w:eastAsia="ko-KR"/>
        </w:rPr>
      </w:pPr>
      <w:proofErr w:type="gramStart"/>
      <w:r w:rsidRPr="009C2ADD">
        <w:rPr>
          <w:b/>
          <w:lang w:eastAsia="ja-JP"/>
        </w:rPr>
        <w:t xml:space="preserve">Table </w:t>
      </w:r>
      <w:r w:rsidRPr="009C2ADD">
        <w:rPr>
          <w:b/>
          <w:lang w:eastAsia="ko-KR"/>
        </w:rPr>
        <w:t>NPBSH-2.</w:t>
      </w:r>
      <w:proofErr w:type="gramEnd"/>
      <w:r w:rsidRPr="009C2ADD">
        <w:rPr>
          <w:b/>
          <w:lang w:eastAsia="ja-JP"/>
        </w:rPr>
        <w:t xml:space="preserve"> </w:t>
      </w:r>
      <w:proofErr w:type="gramStart"/>
      <w:r w:rsidR="005F3855">
        <w:t>Projected trajectory of spawning biomass (in metric tons) for alternative harvest scenarios.</w:t>
      </w:r>
      <w:bookmarkEnd w:id="116"/>
      <w:proofErr w:type="gramEnd"/>
    </w:p>
    <w:p w14:paraId="280FFA98" w14:textId="7CC58BA3" w:rsidR="005F3855" w:rsidRPr="009C2ADD" w:rsidRDefault="005F3855" w:rsidP="0070772D">
      <w:pPr>
        <w:pStyle w:val="WCPFC"/>
        <w:numPr>
          <w:ilvl w:val="0"/>
          <w:numId w:val="0"/>
        </w:numPr>
        <w:adjustRightInd w:val="0"/>
        <w:spacing w:after="0"/>
        <w:jc w:val="center"/>
        <w:rPr>
          <w:lang w:eastAsia="ko-KR"/>
        </w:rPr>
      </w:pPr>
      <w:r>
        <w:rPr>
          <w:rFonts w:hint="eastAsia"/>
          <w:noProof/>
          <w:lang w:val="en-US" w:eastAsia="ko-KR"/>
        </w:rPr>
        <w:drawing>
          <wp:inline distT="0" distB="0" distL="0" distR="0" wp14:anchorId="418AF1AA" wp14:editId="2605932A">
            <wp:extent cx="4727275" cy="183383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NPBSH-2.jpg"/>
                    <pic:cNvPicPr/>
                  </pic:nvPicPr>
                  <pic:blipFill>
                    <a:blip r:embed="rId50">
                      <a:extLst>
                        <a:ext uri="{28A0092B-C50C-407E-A947-70E740481C1C}">
                          <a14:useLocalDpi xmlns:a14="http://schemas.microsoft.com/office/drawing/2010/main" val="0"/>
                        </a:ext>
                      </a:extLst>
                    </a:blip>
                    <a:stretch>
                      <a:fillRect/>
                    </a:stretch>
                  </pic:blipFill>
                  <pic:spPr>
                    <a:xfrm>
                      <a:off x="0" y="0"/>
                      <a:ext cx="4727275" cy="1833839"/>
                    </a:xfrm>
                    <a:prstGeom prst="rect">
                      <a:avLst/>
                    </a:prstGeom>
                  </pic:spPr>
                </pic:pic>
              </a:graphicData>
            </a:graphic>
          </wp:inline>
        </w:drawing>
      </w:r>
    </w:p>
    <w:p w14:paraId="135535F4" w14:textId="77777777" w:rsidR="001409BC" w:rsidRPr="009C2ADD" w:rsidRDefault="001409BC" w:rsidP="009C2ADD">
      <w:pPr>
        <w:pStyle w:val="WCPFC"/>
        <w:numPr>
          <w:ilvl w:val="0"/>
          <w:numId w:val="0"/>
        </w:numPr>
        <w:adjustRightInd w:val="0"/>
        <w:spacing w:after="0"/>
        <w:jc w:val="center"/>
        <w:rPr>
          <w:b/>
          <w:highlight w:val="yellow"/>
          <w:lang w:eastAsia="ja-JP"/>
        </w:rPr>
      </w:pPr>
    </w:p>
    <w:p w14:paraId="128B30DC" w14:textId="6239F197" w:rsidR="005F3855" w:rsidRPr="009C2ADD" w:rsidRDefault="005F3855" w:rsidP="009C2ADD">
      <w:pPr>
        <w:pStyle w:val="WCPFC"/>
        <w:numPr>
          <w:ilvl w:val="0"/>
          <w:numId w:val="0"/>
        </w:numPr>
        <w:adjustRightInd w:val="0"/>
        <w:spacing w:after="0"/>
        <w:jc w:val="center"/>
        <w:rPr>
          <w:b/>
          <w:highlight w:val="yellow"/>
          <w:lang w:eastAsia="ko-KR"/>
        </w:rPr>
      </w:pPr>
      <w:r>
        <w:rPr>
          <w:rFonts w:hint="eastAsia"/>
          <w:b/>
          <w:noProof/>
          <w:lang w:val="en-US" w:eastAsia="ko-KR"/>
        </w:rPr>
        <w:drawing>
          <wp:inline distT="0" distB="0" distL="0" distR="0" wp14:anchorId="63F60F09" wp14:editId="50D9A6DF">
            <wp:extent cx="5078872" cy="2517731"/>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NPBSH-3.jpg"/>
                    <pic:cNvPicPr/>
                  </pic:nvPicPr>
                  <pic:blipFill>
                    <a:blip r:embed="rId51">
                      <a:extLst>
                        <a:ext uri="{28A0092B-C50C-407E-A947-70E740481C1C}">
                          <a14:useLocalDpi xmlns:a14="http://schemas.microsoft.com/office/drawing/2010/main" val="0"/>
                        </a:ext>
                      </a:extLst>
                    </a:blip>
                    <a:stretch>
                      <a:fillRect/>
                    </a:stretch>
                  </pic:blipFill>
                  <pic:spPr>
                    <a:xfrm>
                      <a:off x="0" y="0"/>
                      <a:ext cx="5092891" cy="2524681"/>
                    </a:xfrm>
                    <a:prstGeom prst="rect">
                      <a:avLst/>
                    </a:prstGeom>
                  </pic:spPr>
                </pic:pic>
              </a:graphicData>
            </a:graphic>
          </wp:inline>
        </w:drawing>
      </w:r>
    </w:p>
    <w:p w14:paraId="7101D46F" w14:textId="60560210" w:rsidR="001409BC" w:rsidRPr="009C2ADD" w:rsidRDefault="001409BC" w:rsidP="00457886">
      <w:pPr>
        <w:pStyle w:val="WCPFC"/>
        <w:numPr>
          <w:ilvl w:val="0"/>
          <w:numId w:val="0"/>
        </w:numPr>
        <w:adjustRightInd w:val="0"/>
        <w:spacing w:after="0"/>
        <w:rPr>
          <w:lang w:eastAsia="ja-JP"/>
        </w:rPr>
      </w:pPr>
      <w:bookmarkStart w:id="117" w:name="_Hlk491604962"/>
      <w:r w:rsidRPr="009C2ADD">
        <w:rPr>
          <w:b/>
          <w:lang w:eastAsia="ja-JP"/>
        </w:rPr>
        <w:t xml:space="preserve">Figure NPBSH-3.  </w:t>
      </w:r>
      <w:r w:rsidR="005F3855">
        <w:t>Comparison of future projected blue shark spawning biomass under different F harvest policies (status quo, +20%, -20%, and F</w:t>
      </w:r>
      <w:r w:rsidR="00300F08" w:rsidRPr="00104C78">
        <w:rPr>
          <w:vertAlign w:val="subscript"/>
          <w:lang w:val="en-AU"/>
        </w:rPr>
        <w:t>MSY</w:t>
      </w:r>
      <w:r w:rsidR="005F3855">
        <w:t>) using the SS reference case model. Status quo fishing mortality was based on the average from 2012-2014.</w:t>
      </w:r>
      <w:bookmarkEnd w:id="117"/>
    </w:p>
    <w:p w14:paraId="6E3F9344" w14:textId="77777777" w:rsidR="008B092E" w:rsidRPr="009C2ADD" w:rsidRDefault="008B092E" w:rsidP="009C2ADD">
      <w:pPr>
        <w:pStyle w:val="WCPFC"/>
        <w:numPr>
          <w:ilvl w:val="0"/>
          <w:numId w:val="0"/>
        </w:numPr>
        <w:adjustRightInd w:val="0"/>
        <w:spacing w:after="0"/>
        <w:jc w:val="center"/>
        <w:rPr>
          <w:lang w:eastAsia="ja-JP"/>
        </w:rPr>
      </w:pPr>
    </w:p>
    <w:p w14:paraId="59BD23C7" w14:textId="4FB6DD43" w:rsidR="001409BC" w:rsidRPr="009C2ADD" w:rsidRDefault="003A411E"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4.3.</w:t>
      </w:r>
      <w:r w:rsidR="00F21EDC" w:rsidRPr="009C2ADD">
        <w:rPr>
          <w:rFonts w:ascii="Times New Roman" w:eastAsia="바탕" w:hAnsi="Times New Roman" w:cs="Times New Roman"/>
          <w:lang w:eastAsia="ko-KR"/>
        </w:rPr>
        <w:t xml:space="preserve">5 </w:t>
      </w:r>
      <w:r w:rsidR="009F4AFA" w:rsidRPr="009C2ADD">
        <w:rPr>
          <w:rFonts w:ascii="Times New Roman" w:eastAsia="바탕" w:hAnsi="Times New Roman" w:cs="Times New Roman"/>
          <w:lang w:eastAsia="ko-KR"/>
        </w:rPr>
        <w:tab/>
      </w:r>
      <w:r w:rsidR="001409BC" w:rsidRPr="009C2ADD">
        <w:rPr>
          <w:rFonts w:ascii="Times New Roman" w:eastAsia="바탕" w:hAnsi="Times New Roman" w:cs="Times New Roman"/>
          <w:lang w:eastAsia="ko-KR"/>
        </w:rPr>
        <w:t>North Pacific shortfin mako</w:t>
      </w:r>
      <w:r w:rsidR="001409BC" w:rsidRPr="009C2ADD">
        <w:rPr>
          <w:rFonts w:ascii="Times New Roman" w:eastAsia="Times New Roman" w:hAnsi="Times New Roman" w:cs="Times New Roman"/>
          <w:lang w:eastAsia="ko-KR"/>
        </w:rPr>
        <w:t xml:space="preserve"> </w:t>
      </w:r>
      <w:r w:rsidR="001409BC" w:rsidRPr="009C2ADD">
        <w:rPr>
          <w:rFonts w:ascii="Times New Roman" w:eastAsia="MS Mincho" w:hAnsi="Times New Roman" w:cs="Times New Roman"/>
          <w:lang w:eastAsia="ja-JP"/>
        </w:rPr>
        <w:t>(</w:t>
      </w:r>
      <w:r w:rsidR="001409BC" w:rsidRPr="009C2ADD">
        <w:rPr>
          <w:rFonts w:ascii="Times New Roman" w:eastAsia="MS Mincho" w:hAnsi="Times New Roman" w:cs="Times New Roman"/>
          <w:i/>
          <w:lang w:eastAsia="ja-JP"/>
        </w:rPr>
        <w:t>Isurus oxyrinchus</w:t>
      </w:r>
      <w:r w:rsidR="001409BC" w:rsidRPr="009C2ADD">
        <w:rPr>
          <w:rFonts w:ascii="Times New Roman" w:eastAsia="MS Mincho" w:hAnsi="Times New Roman" w:cs="Times New Roman"/>
          <w:lang w:eastAsia="ja-JP"/>
        </w:rPr>
        <w:t>)</w:t>
      </w:r>
    </w:p>
    <w:p w14:paraId="36DD8BA6" w14:textId="77777777" w:rsidR="006236B4" w:rsidRPr="009C2ADD" w:rsidRDefault="006236B4" w:rsidP="009C2ADD">
      <w:pPr>
        <w:adjustRightInd w:val="0"/>
        <w:snapToGrid w:val="0"/>
        <w:spacing w:after="0"/>
        <w:rPr>
          <w:rFonts w:ascii="Times New Roman" w:hAnsi="Times New Roman"/>
          <w:lang w:eastAsia="ko-KR"/>
        </w:rPr>
      </w:pPr>
    </w:p>
    <w:p w14:paraId="20178E15" w14:textId="77777777" w:rsidR="006236B4" w:rsidRPr="009C2ADD" w:rsidRDefault="006236B4" w:rsidP="009C2ADD">
      <w:pPr>
        <w:adjustRightInd w:val="0"/>
        <w:snapToGrid w:val="0"/>
        <w:spacing w:after="0"/>
        <w:rPr>
          <w:rFonts w:ascii="Times New Roman" w:eastAsia="바탕" w:hAnsi="Times New Roman"/>
          <w:b/>
          <w:bCs/>
          <w:lang w:eastAsia="ko-KR"/>
        </w:rPr>
      </w:pPr>
      <w:r w:rsidRPr="009C2ADD">
        <w:rPr>
          <w:rFonts w:ascii="Times New Roman" w:hAnsi="Times New Roman"/>
          <w:b/>
          <w:lang w:eastAsia="ko-KR"/>
        </w:rPr>
        <w:t xml:space="preserve">4.3.5.1 </w:t>
      </w:r>
      <w:r w:rsidRPr="009C2ADD">
        <w:rPr>
          <w:rFonts w:ascii="Times New Roman" w:eastAsia="바탕" w:hAnsi="Times New Roman"/>
          <w:b/>
          <w:bCs/>
          <w:lang w:eastAsia="ko-KR"/>
        </w:rPr>
        <w:t>Review of research and information</w:t>
      </w:r>
      <w:r w:rsidRPr="009C2ADD" w:rsidDel="000B636C">
        <w:rPr>
          <w:rFonts w:ascii="Times New Roman" w:eastAsia="바탕" w:hAnsi="Times New Roman"/>
          <w:b/>
          <w:bCs/>
          <w:lang w:eastAsia="ko-KR"/>
        </w:rPr>
        <w:t xml:space="preserve"> </w:t>
      </w:r>
    </w:p>
    <w:p w14:paraId="5AAA700D" w14:textId="766BC954" w:rsidR="006236B4" w:rsidRPr="009C2ADD" w:rsidRDefault="006236B4" w:rsidP="009C2ADD">
      <w:pPr>
        <w:pStyle w:val="ListParagraph"/>
        <w:adjustRightInd w:val="0"/>
        <w:snapToGrid w:val="0"/>
        <w:contextualSpacing w:val="0"/>
        <w:rPr>
          <w:rFonts w:ascii="Times New Roman" w:hAnsi="Times New Roman"/>
          <w:lang w:eastAsia="ko-KR"/>
        </w:rPr>
      </w:pPr>
    </w:p>
    <w:p w14:paraId="053B17F9"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ISC conducted an indicator analysis in 2015 and a full assessment is planned in 2018. There was no new information. </w:t>
      </w:r>
    </w:p>
    <w:p w14:paraId="35533965"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471370EA" w14:textId="7BEBF5CB" w:rsidR="001150F2" w:rsidRPr="009C2ADD" w:rsidRDefault="006236B4"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4.3.5.2 Provision of scientific information</w:t>
      </w:r>
    </w:p>
    <w:p w14:paraId="18512458" w14:textId="77777777" w:rsidR="006236B4" w:rsidRPr="009C2ADD" w:rsidRDefault="006236B4" w:rsidP="009C2ADD">
      <w:pPr>
        <w:adjustRightInd w:val="0"/>
        <w:snapToGrid w:val="0"/>
        <w:spacing w:after="0"/>
        <w:rPr>
          <w:rFonts w:ascii="Times New Roman" w:eastAsia="바탕" w:hAnsi="Times New Roman"/>
          <w:b/>
          <w:lang w:eastAsia="ko-KR"/>
        </w:rPr>
      </w:pPr>
    </w:p>
    <w:p w14:paraId="4FDFA975" w14:textId="515C4EFB" w:rsidR="001409BC" w:rsidRPr="009C2ADD" w:rsidRDefault="001409BC" w:rsidP="00766C07">
      <w:pPr>
        <w:pStyle w:val="ListParagraph"/>
        <w:numPr>
          <w:ilvl w:val="0"/>
          <w:numId w:val="197"/>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Stock status and trends</w:t>
      </w:r>
    </w:p>
    <w:p w14:paraId="5274CF49" w14:textId="77777777" w:rsidR="001150F2" w:rsidRPr="009C2ADD" w:rsidRDefault="001150F2" w:rsidP="009C2ADD">
      <w:pPr>
        <w:pStyle w:val="WCPFC"/>
        <w:numPr>
          <w:ilvl w:val="0"/>
          <w:numId w:val="0"/>
        </w:numPr>
        <w:adjustRightInd w:val="0"/>
        <w:spacing w:after="0"/>
        <w:ind w:left="567"/>
      </w:pPr>
    </w:p>
    <w:p w14:paraId="6640FEEE"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is no existing stock assessment for North Pacific shortfin mako shark.</w:t>
      </w:r>
    </w:p>
    <w:p w14:paraId="6680E160" w14:textId="77777777" w:rsidR="001409BC" w:rsidRPr="009C2ADD" w:rsidRDefault="001409BC" w:rsidP="009C2ADD">
      <w:pPr>
        <w:pStyle w:val="WCPFC"/>
        <w:numPr>
          <w:ilvl w:val="0"/>
          <w:numId w:val="0"/>
        </w:numPr>
        <w:adjustRightInd w:val="0"/>
        <w:spacing w:after="0"/>
        <w:rPr>
          <w:b/>
        </w:rPr>
      </w:pPr>
    </w:p>
    <w:p w14:paraId="795315CF" w14:textId="22119B43" w:rsidR="001409BC" w:rsidRPr="009C2ADD" w:rsidRDefault="001409BC" w:rsidP="00766C07">
      <w:pPr>
        <w:pStyle w:val="ListParagraph"/>
        <w:numPr>
          <w:ilvl w:val="0"/>
          <w:numId w:val="197"/>
        </w:numPr>
        <w:adjustRightInd w:val="0"/>
        <w:snapToGrid w:val="0"/>
        <w:ind w:left="0" w:firstLine="0"/>
        <w:contextualSpacing w:val="0"/>
        <w:rPr>
          <w:rFonts w:ascii="Times New Roman" w:eastAsia="바탕" w:hAnsi="Times New Roman"/>
          <w:b/>
          <w:lang w:eastAsia="ko-KR"/>
        </w:rPr>
      </w:pPr>
      <w:r w:rsidRPr="009C2ADD">
        <w:rPr>
          <w:rFonts w:ascii="Times New Roman" w:eastAsia="바탕" w:hAnsi="Times New Roman"/>
          <w:b/>
          <w:lang w:eastAsia="ko-KR"/>
        </w:rPr>
        <w:t>Management advice and implications</w:t>
      </w:r>
    </w:p>
    <w:p w14:paraId="0378A2A9" w14:textId="77777777" w:rsidR="001150F2" w:rsidRPr="009C2ADD" w:rsidRDefault="001150F2" w:rsidP="009C2ADD">
      <w:pPr>
        <w:pStyle w:val="WCPFC"/>
        <w:numPr>
          <w:ilvl w:val="0"/>
          <w:numId w:val="0"/>
        </w:numPr>
        <w:adjustRightInd w:val="0"/>
        <w:spacing w:after="0"/>
        <w:ind w:left="567" w:hanging="567"/>
        <w:rPr>
          <w:b/>
        </w:rPr>
      </w:pPr>
    </w:p>
    <w:p w14:paraId="4604D5A2"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for North Pacific shortfin mako shark.</w:t>
      </w:r>
    </w:p>
    <w:p w14:paraId="42847015" w14:textId="77777777" w:rsidR="001409BC" w:rsidRPr="009C2ADD" w:rsidRDefault="001409BC" w:rsidP="009C2ADD">
      <w:pPr>
        <w:adjustRightInd w:val="0"/>
        <w:snapToGrid w:val="0"/>
        <w:spacing w:after="0"/>
        <w:rPr>
          <w:rFonts w:ascii="Times New Roman" w:hAnsi="Times New Roman"/>
          <w:lang w:eastAsia="ko-KR"/>
        </w:rPr>
      </w:pPr>
    </w:p>
    <w:p w14:paraId="6DCCB35D" w14:textId="54CD9A4D" w:rsidR="001409BC" w:rsidRPr="009C2ADD" w:rsidRDefault="003A411E" w:rsidP="009C2ADD">
      <w:pPr>
        <w:pStyle w:val="Heading3"/>
        <w:adjustRightInd w:val="0"/>
        <w:snapToGrid w:val="0"/>
        <w:spacing w:before="0"/>
        <w:rPr>
          <w:rFonts w:ascii="Times New Roman" w:eastAsia="바탕" w:hAnsi="Times New Roman" w:cs="Times New Roman"/>
          <w:bCs/>
          <w:lang w:eastAsia="ko-KR"/>
        </w:rPr>
      </w:pPr>
      <w:bookmarkStart w:id="118" w:name="_Hlk490581102"/>
      <w:r w:rsidRPr="009C2ADD">
        <w:rPr>
          <w:rFonts w:ascii="Times New Roman" w:eastAsia="Times New Roman" w:hAnsi="Times New Roman" w:cs="Times New Roman"/>
          <w:lang w:eastAsia="ko-KR"/>
        </w:rPr>
        <w:t xml:space="preserve">4.3.6 </w:t>
      </w:r>
      <w:r w:rsidR="009F4AFA" w:rsidRPr="009C2ADD">
        <w:rPr>
          <w:rFonts w:ascii="Times New Roman" w:eastAsia="Times New Roman" w:hAnsi="Times New Roman" w:cs="Times New Roman"/>
          <w:lang w:eastAsia="ko-KR"/>
        </w:rPr>
        <w:tab/>
      </w:r>
      <w:r w:rsidR="001409BC" w:rsidRPr="009C2ADD">
        <w:rPr>
          <w:rFonts w:ascii="Times New Roman" w:eastAsia="Times New Roman" w:hAnsi="Times New Roman" w:cs="Times New Roman"/>
          <w:lang w:eastAsia="ko-KR"/>
        </w:rPr>
        <w:t xml:space="preserve">Pacific </w:t>
      </w:r>
      <w:r w:rsidR="001409BC" w:rsidRPr="009C2ADD">
        <w:rPr>
          <w:rFonts w:ascii="Times New Roman" w:hAnsi="Times New Roman" w:cs="Times New Roman"/>
        </w:rPr>
        <w:t>bigeye thresher shark</w:t>
      </w:r>
      <w:r w:rsidR="001409BC" w:rsidRPr="009C2ADD">
        <w:rPr>
          <w:rFonts w:ascii="Times New Roman" w:eastAsia="Times New Roman" w:hAnsi="Times New Roman" w:cs="Times New Roman"/>
          <w:lang w:eastAsia="ko-KR"/>
        </w:rPr>
        <w:t xml:space="preserve"> (</w:t>
      </w:r>
      <w:r w:rsidR="001409BC" w:rsidRPr="009C2ADD">
        <w:rPr>
          <w:rFonts w:ascii="Times New Roman" w:hAnsi="Times New Roman" w:cs="Times New Roman"/>
          <w:i/>
          <w:iCs/>
        </w:rPr>
        <w:t>Alopias superciliosus</w:t>
      </w:r>
      <w:r w:rsidR="001409BC" w:rsidRPr="009C2ADD">
        <w:rPr>
          <w:rFonts w:ascii="Times New Roman" w:eastAsia="Times New Roman" w:hAnsi="Times New Roman" w:cs="Times New Roman"/>
          <w:iCs/>
          <w:lang w:eastAsia="ko-KR"/>
        </w:rPr>
        <w:t>)</w:t>
      </w:r>
    </w:p>
    <w:p w14:paraId="0E96764D" w14:textId="77777777" w:rsidR="003A411E" w:rsidRPr="009C2ADD" w:rsidRDefault="003A411E" w:rsidP="009C2ADD">
      <w:pPr>
        <w:adjustRightInd w:val="0"/>
        <w:snapToGrid w:val="0"/>
        <w:spacing w:after="0"/>
        <w:ind w:firstLine="720"/>
        <w:rPr>
          <w:rFonts w:ascii="Times New Roman" w:eastAsia="바탕" w:hAnsi="Times New Roman"/>
          <w:b/>
          <w:bCs/>
          <w:lang w:eastAsia="ko-KR"/>
        </w:rPr>
      </w:pPr>
    </w:p>
    <w:p w14:paraId="6109D98A" w14:textId="6980B4C6" w:rsidR="001409BC" w:rsidRPr="009C2ADD" w:rsidRDefault="00E462BE"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4.3.6.1 </w:t>
      </w:r>
      <w:r w:rsidRPr="009C2ADD">
        <w:rPr>
          <w:rFonts w:ascii="Times New Roman" w:eastAsia="바탕" w:hAnsi="Times New Roman"/>
          <w:b/>
          <w:bCs/>
          <w:lang w:eastAsia="ko-KR"/>
        </w:rPr>
        <w:tab/>
      </w:r>
      <w:r w:rsidR="001409BC" w:rsidRPr="009C2ADD">
        <w:rPr>
          <w:rFonts w:ascii="Times New Roman" w:eastAsia="바탕" w:hAnsi="Times New Roman"/>
          <w:b/>
          <w:bCs/>
          <w:lang w:eastAsia="ko-KR"/>
        </w:rPr>
        <w:t>Review of research and information</w:t>
      </w:r>
    </w:p>
    <w:p w14:paraId="6EA5682B" w14:textId="77777777" w:rsidR="009F4AFA" w:rsidRPr="009C2ADD" w:rsidRDefault="009F4AFA" w:rsidP="009C2ADD">
      <w:pPr>
        <w:autoSpaceDE w:val="0"/>
        <w:autoSpaceDN w:val="0"/>
        <w:adjustRightInd w:val="0"/>
        <w:snapToGrid w:val="0"/>
        <w:spacing w:after="0"/>
        <w:jc w:val="left"/>
        <w:rPr>
          <w:rFonts w:ascii="Times New Roman" w:hAnsi="Times New Roman"/>
          <w:lang w:val="en-AU"/>
        </w:rPr>
      </w:pPr>
    </w:p>
    <w:p w14:paraId="3F416AA3" w14:textId="5CE294D9"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CE65DF">
        <w:rPr>
          <w:rFonts w:ascii="Times New Roman" w:hAnsi="Times New Roman" w:hint="eastAsia"/>
          <w:lang w:val="en-AU" w:eastAsia="ko-KR"/>
        </w:rPr>
        <w:t>.</w:t>
      </w:r>
      <w:r w:rsidRPr="009C2ADD">
        <w:rPr>
          <w:rFonts w:ascii="Times New Roman" w:hAnsi="Times New Roman"/>
          <w:lang w:val="en-AU"/>
        </w:rPr>
        <w:t xml:space="preserve"> Clarke (Common Oceans (ABNJ) Tuna Project), S</w:t>
      </w:r>
      <w:r w:rsidR="00CE65DF">
        <w:rPr>
          <w:rFonts w:ascii="Times New Roman" w:hAnsi="Times New Roman" w:hint="eastAsia"/>
          <w:lang w:val="en-AU" w:eastAsia="ko-KR"/>
        </w:rPr>
        <w:t>.</w:t>
      </w:r>
      <w:r w:rsidRPr="009C2ADD">
        <w:rPr>
          <w:rFonts w:ascii="Times New Roman" w:hAnsi="Times New Roman"/>
          <w:lang w:val="en-AU"/>
        </w:rPr>
        <w:t xml:space="preserve"> Hoyle (NIWA) and C</w:t>
      </w:r>
      <w:r w:rsidR="00CE65DF">
        <w:rPr>
          <w:rFonts w:ascii="Times New Roman" w:hAnsi="Times New Roman" w:hint="eastAsia"/>
          <w:lang w:val="en-AU" w:eastAsia="ko-KR"/>
        </w:rPr>
        <w:t>.</w:t>
      </w:r>
      <w:r w:rsidRPr="009C2ADD">
        <w:rPr>
          <w:rFonts w:ascii="Times New Roman" w:hAnsi="Times New Roman"/>
          <w:lang w:val="en-AU"/>
        </w:rPr>
        <w:t xml:space="preserve"> Edwards (NIWA) presented </w:t>
      </w:r>
      <w:r w:rsidRPr="0070772D">
        <w:rPr>
          <w:rFonts w:ascii="Times New Roman" w:hAnsi="Times New Roman"/>
          <w:lang w:val="en-AU"/>
        </w:rPr>
        <w:t xml:space="preserve">SC13-SA-WP-11 </w:t>
      </w:r>
      <w:r w:rsidR="00CE65DF" w:rsidRPr="0070772D">
        <w:rPr>
          <w:rFonts w:ascii="Times New Roman" w:hAnsi="Times New Roman"/>
          <w:lang w:val="en-AU" w:eastAsia="ko-KR"/>
        </w:rPr>
        <w:t>(</w:t>
      </w:r>
      <w:r w:rsidRPr="0070772D">
        <w:rPr>
          <w:rFonts w:ascii="Times New Roman" w:hAnsi="Times New Roman"/>
          <w:lang w:val="en-AU"/>
        </w:rPr>
        <w:t xml:space="preserve">Rev </w:t>
      </w:r>
      <w:r w:rsidR="00183C6D">
        <w:rPr>
          <w:rFonts w:ascii="Times New Roman" w:hAnsi="Times New Roman" w:hint="eastAsia"/>
          <w:lang w:val="en-AU" w:eastAsia="ko-KR"/>
        </w:rPr>
        <w:t>2</w:t>
      </w:r>
      <w:r w:rsidR="00CE65DF" w:rsidRPr="0070772D">
        <w:rPr>
          <w:rFonts w:ascii="Times New Roman" w:hAnsi="Times New Roman"/>
          <w:lang w:val="en-AU" w:eastAsia="ko-KR"/>
        </w:rPr>
        <w:t>)</w:t>
      </w:r>
      <w:r w:rsidRPr="009C2ADD">
        <w:rPr>
          <w:rFonts w:ascii="Times New Roman" w:hAnsi="Times New Roman"/>
          <w:lang w:val="en-AU"/>
        </w:rPr>
        <w:t xml:space="preserve"> </w:t>
      </w:r>
      <w:r w:rsidRPr="009C2ADD">
        <w:rPr>
          <w:rFonts w:ascii="Times New Roman" w:hAnsi="Times New Roman"/>
          <w:i/>
          <w:lang w:val="en-AU"/>
        </w:rPr>
        <w:t>Pacific-wide sustainability risk assessment of bigeye thresher shark (Alopias superciliosus)</w:t>
      </w:r>
      <w:r w:rsidRPr="009C2ADD">
        <w:rPr>
          <w:rFonts w:ascii="Times New Roman" w:hAnsi="Times New Roman"/>
          <w:lang w:val="en-AU"/>
        </w:rPr>
        <w:t>.</w:t>
      </w:r>
    </w:p>
    <w:p w14:paraId="6592D479" w14:textId="77777777" w:rsidR="009F4AFA" w:rsidRPr="009C2ADD" w:rsidRDefault="009F4AFA" w:rsidP="009C2ADD">
      <w:pPr>
        <w:pStyle w:val="ListParagraph"/>
        <w:adjustRightInd w:val="0"/>
        <w:snapToGrid w:val="0"/>
        <w:contextualSpacing w:val="0"/>
        <w:rPr>
          <w:rFonts w:ascii="Times New Roman" w:hAnsi="Times New Roman"/>
          <w:lang w:val="en-AU"/>
        </w:rPr>
      </w:pPr>
    </w:p>
    <w:p w14:paraId="4BA4BEA3" w14:textId="578C347C"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Pacific bigeye thresher stock was assessed using a new approach for data-poor species, which evaluates overfishing and whether the population's ability to withstand fishing pressure is exceeded, without evaluating biomass and whether the population is overfished. Key components included estimating species distribution, calibrating catchability, and estimating the maximum intrinsic population growth rate r using available life history data. The first two components were combined with commercial effort (log sheet) data to quantify fishing impact. The third was used to define the limit reference points (LRP). Scenarios represented different species distributions, initial population statuses, maximum densities and post-capture survival assumptions. Observer data were standardized to derive spatial indices of abundance. Population catchability (q) was calibrated using a Bayesian state-space biomass dynamic model (BDM). Fishing mortality was calculated as the sum product of total effort and fishery-group specific catchability in 5x5 degree cells, weighted by the relative density of bigeye thresher shark in each cell, as obtained from the spatial standardization. The maximum population growth rate </w:t>
      </w:r>
      <w:r w:rsidRPr="0070772D">
        <w:rPr>
          <w:rFonts w:ascii="Times New Roman" w:hAnsi="Times New Roman"/>
          <w:i/>
          <w:lang w:val="en-AU"/>
        </w:rPr>
        <w:t>r</w:t>
      </w:r>
      <w:r w:rsidRPr="009C2ADD">
        <w:rPr>
          <w:rFonts w:ascii="Times New Roman" w:hAnsi="Times New Roman"/>
          <w:lang w:val="en-AU"/>
        </w:rPr>
        <w:t xml:space="preserve"> had a median value of 0.03, and was used to define alternative levels of the LRP at F</w:t>
      </w:r>
      <w:r w:rsidRPr="009C2ADD">
        <w:rPr>
          <w:rFonts w:ascii="Times New Roman" w:hAnsi="Times New Roman"/>
          <w:i/>
          <w:lang w:val="en-AU"/>
        </w:rPr>
        <w:t>msm</w:t>
      </w:r>
      <w:r w:rsidRPr="009C2ADD">
        <w:rPr>
          <w:rFonts w:ascii="Times New Roman" w:hAnsi="Times New Roman"/>
          <w:lang w:val="en-AU"/>
        </w:rPr>
        <w:t xml:space="preserve"> </w:t>
      </w:r>
      <w:r w:rsidR="00880615" w:rsidRPr="009C2ADD">
        <w:rPr>
          <w:rFonts w:ascii="Times New Roman" w:hAnsi="Times New Roman"/>
          <w:lang w:val="en-AU"/>
        </w:rPr>
        <w:t>(</w:t>
      </w:r>
      <w:r w:rsidR="00880615">
        <w:rPr>
          <w:rFonts w:ascii="Times New Roman" w:hAnsi="Times New Roman"/>
          <w:lang w:val="en-AU"/>
        </w:rPr>
        <w:t xml:space="preserve">analogous to </w:t>
      </w:r>
      <w:r w:rsidR="00887159">
        <w:rPr>
          <w:rFonts w:ascii="Times New Roman" w:hAnsi="Times New Roman"/>
          <w:lang w:val="en-AU"/>
        </w:rPr>
        <w:t>F</w:t>
      </w:r>
      <w:r w:rsidR="00887159" w:rsidRPr="0070772D">
        <w:rPr>
          <w:rFonts w:ascii="Times New Roman" w:hAnsi="Times New Roman"/>
          <w:vertAlign w:val="subscript"/>
          <w:lang w:val="en-AU" w:eastAsia="ko-KR"/>
        </w:rPr>
        <w:t>MSY</w:t>
      </w:r>
      <w:r w:rsidR="00887159">
        <w:rPr>
          <w:rFonts w:ascii="Times New Roman" w:hAnsi="Times New Roman"/>
          <w:lang w:val="en-AU"/>
        </w:rPr>
        <w:t xml:space="preserve"> </w:t>
      </w:r>
      <w:r w:rsidR="00880615">
        <w:rPr>
          <w:rFonts w:ascii="Times New Roman" w:hAnsi="Times New Roman"/>
          <w:lang w:val="en-AU"/>
        </w:rPr>
        <w:t xml:space="preserve">with a value of </w:t>
      </w:r>
      <w:r w:rsidR="00880615" w:rsidRPr="009C2ADD">
        <w:rPr>
          <w:rFonts w:ascii="Times New Roman" w:hAnsi="Times New Roman"/>
          <w:i/>
          <w:lang w:val="en-AU"/>
        </w:rPr>
        <w:t>r</w:t>
      </w:r>
      <w:r w:rsidR="00880615" w:rsidRPr="009C2ADD">
        <w:rPr>
          <w:rFonts w:ascii="Times New Roman" w:hAnsi="Times New Roman"/>
          <w:lang w:val="en-AU"/>
        </w:rPr>
        <w:t>/2)</w:t>
      </w:r>
      <w:r w:rsidRPr="009C2ADD">
        <w:rPr>
          <w:rFonts w:ascii="Times New Roman" w:hAnsi="Times New Roman"/>
          <w:lang w:val="en-AU"/>
        </w:rPr>
        <w:t>, F</w:t>
      </w:r>
      <w:r w:rsidRPr="009C2ADD">
        <w:rPr>
          <w:rFonts w:ascii="Times New Roman" w:hAnsi="Times New Roman"/>
          <w:i/>
          <w:lang w:val="en-AU"/>
        </w:rPr>
        <w:t>lim</w:t>
      </w:r>
      <w:r w:rsidRPr="009C2ADD">
        <w:rPr>
          <w:rFonts w:ascii="Times New Roman" w:hAnsi="Times New Roman"/>
          <w:lang w:val="en-AU"/>
        </w:rPr>
        <w:t xml:space="preserve"> (0.75</w:t>
      </w:r>
      <w:r w:rsidRPr="009C2ADD">
        <w:rPr>
          <w:rFonts w:ascii="Times New Roman" w:hAnsi="Times New Roman"/>
          <w:i/>
          <w:lang w:val="en-AU"/>
        </w:rPr>
        <w:t>r</w:t>
      </w:r>
      <w:r w:rsidRPr="009C2ADD">
        <w:rPr>
          <w:rFonts w:ascii="Times New Roman" w:hAnsi="Times New Roman"/>
          <w:lang w:val="en-AU"/>
        </w:rPr>
        <w:t>) and F</w:t>
      </w:r>
      <w:r w:rsidRPr="009C2ADD">
        <w:rPr>
          <w:rFonts w:ascii="Times New Roman" w:hAnsi="Times New Roman"/>
          <w:i/>
          <w:lang w:val="en-AU"/>
        </w:rPr>
        <w:t>crash</w:t>
      </w:r>
      <w:r w:rsidRPr="009C2ADD">
        <w:rPr>
          <w:rFonts w:ascii="Times New Roman" w:hAnsi="Times New Roman"/>
          <w:lang w:val="en-AU"/>
        </w:rPr>
        <w:t xml:space="preserve"> (</w:t>
      </w:r>
      <w:r w:rsidRPr="009C2ADD">
        <w:rPr>
          <w:rFonts w:ascii="Times New Roman" w:hAnsi="Times New Roman"/>
          <w:i/>
          <w:lang w:val="en-AU"/>
        </w:rPr>
        <w:t>r</w:t>
      </w:r>
      <w:r w:rsidRPr="009C2ADD">
        <w:rPr>
          <w:rFonts w:ascii="Times New Roman" w:hAnsi="Times New Roman"/>
          <w:lang w:val="en-AU"/>
        </w:rPr>
        <w:t xml:space="preserve">). </w:t>
      </w:r>
      <w:bookmarkStart w:id="119" w:name="_Hlk490296474"/>
      <w:r w:rsidRPr="009C2ADD">
        <w:rPr>
          <w:rFonts w:ascii="Times New Roman" w:hAnsi="Times New Roman"/>
          <w:lang w:val="en-AU"/>
        </w:rPr>
        <w:t>Assuming 100% capture mortality, for F</w:t>
      </w:r>
      <w:r w:rsidRPr="009C2ADD">
        <w:rPr>
          <w:rFonts w:ascii="Times New Roman" w:hAnsi="Times New Roman"/>
          <w:i/>
          <w:lang w:val="en-AU"/>
        </w:rPr>
        <w:t>crash</w:t>
      </w:r>
      <w:r w:rsidRPr="009C2ADD">
        <w:rPr>
          <w:rFonts w:ascii="Times New Roman" w:hAnsi="Times New Roman"/>
          <w:lang w:val="en-AU"/>
        </w:rPr>
        <w:t xml:space="preserve"> median sustainability risk ranged from 40% below to 20% above the LRP, for F</w:t>
      </w:r>
      <w:r w:rsidRPr="009C2ADD">
        <w:rPr>
          <w:rFonts w:ascii="Times New Roman" w:hAnsi="Times New Roman"/>
          <w:i/>
          <w:lang w:val="en-AU"/>
        </w:rPr>
        <w:t>lim</w:t>
      </w:r>
      <w:r w:rsidRPr="009C2ADD">
        <w:rPr>
          <w:rFonts w:ascii="Times New Roman" w:hAnsi="Times New Roman"/>
          <w:lang w:val="en-AU"/>
        </w:rPr>
        <w:t xml:space="preserve"> from 20% below to 60% above the LRP, and for F</w:t>
      </w:r>
      <w:r w:rsidRPr="009C2ADD">
        <w:rPr>
          <w:rFonts w:ascii="Times New Roman" w:hAnsi="Times New Roman"/>
          <w:i/>
          <w:lang w:val="en-AU"/>
        </w:rPr>
        <w:t>msm</w:t>
      </w:r>
      <w:r w:rsidRPr="009C2ADD">
        <w:rPr>
          <w:rFonts w:ascii="Times New Roman" w:hAnsi="Times New Roman"/>
          <w:lang w:val="en-AU"/>
        </w:rPr>
        <w:t xml:space="preserve"> from 10% to 140% above the LRP. Assuming a range of post-capture survival rates, median sustainability risk for the 2000-2014 period for F</w:t>
      </w:r>
      <w:r w:rsidRPr="009C2ADD">
        <w:rPr>
          <w:rFonts w:ascii="Times New Roman" w:hAnsi="Times New Roman"/>
          <w:i/>
          <w:lang w:val="en-AU"/>
        </w:rPr>
        <w:t>crash</w:t>
      </w:r>
      <w:r w:rsidRPr="009C2ADD">
        <w:rPr>
          <w:rFonts w:ascii="Times New Roman" w:hAnsi="Times New Roman"/>
          <w:lang w:val="en-AU"/>
        </w:rPr>
        <w:t xml:space="preserve"> was from 60% below to 20% below the LRP, for F</w:t>
      </w:r>
      <w:r w:rsidRPr="009C2ADD">
        <w:rPr>
          <w:rFonts w:ascii="Times New Roman" w:hAnsi="Times New Roman"/>
          <w:i/>
          <w:lang w:val="en-AU"/>
        </w:rPr>
        <w:t>lim</w:t>
      </w:r>
      <w:r w:rsidRPr="009C2ADD">
        <w:rPr>
          <w:rFonts w:ascii="Times New Roman" w:hAnsi="Times New Roman"/>
          <w:lang w:val="en-AU"/>
        </w:rPr>
        <w:t xml:space="preserve"> was between 50% below to 10% above the LRP, and for F</w:t>
      </w:r>
      <w:r w:rsidRPr="009C2ADD">
        <w:rPr>
          <w:rFonts w:ascii="Times New Roman" w:hAnsi="Times New Roman"/>
          <w:i/>
          <w:lang w:val="en-AU"/>
        </w:rPr>
        <w:t>msm</w:t>
      </w:r>
      <w:r w:rsidRPr="009C2ADD">
        <w:rPr>
          <w:rFonts w:ascii="Times New Roman" w:hAnsi="Times New Roman"/>
          <w:lang w:val="en-AU"/>
        </w:rPr>
        <w:t xml:space="preserve"> from 20% below to 60% above the LRP. Considering all scenarios, the mean annual risk for 2000-2014 that the fishing impact exceeded the LRP was 20% to 41% for F</w:t>
      </w:r>
      <w:r w:rsidRPr="009C2ADD">
        <w:rPr>
          <w:rFonts w:ascii="Times New Roman" w:hAnsi="Times New Roman"/>
          <w:i/>
          <w:lang w:val="en-AU"/>
        </w:rPr>
        <w:t>crash</w:t>
      </w:r>
      <w:r w:rsidRPr="009C2ADD">
        <w:rPr>
          <w:rFonts w:ascii="Times New Roman" w:hAnsi="Times New Roman"/>
          <w:lang w:val="en-AU"/>
        </w:rPr>
        <w:t>, 33% to 60% for F</w:t>
      </w:r>
      <w:r w:rsidRPr="009C2ADD">
        <w:rPr>
          <w:rFonts w:ascii="Times New Roman" w:hAnsi="Times New Roman"/>
          <w:i/>
          <w:lang w:val="en-AU"/>
        </w:rPr>
        <w:t>lim</w:t>
      </w:r>
      <w:r w:rsidRPr="009C2ADD">
        <w:rPr>
          <w:rFonts w:ascii="Times New Roman" w:hAnsi="Times New Roman"/>
          <w:lang w:val="en-AU"/>
        </w:rPr>
        <w:t>, and 54% to 83% for F</w:t>
      </w:r>
      <w:r w:rsidRPr="009C2ADD">
        <w:rPr>
          <w:rFonts w:ascii="Times New Roman" w:hAnsi="Times New Roman"/>
          <w:i/>
          <w:lang w:val="en-AU"/>
        </w:rPr>
        <w:t>msm</w:t>
      </w:r>
      <w:r w:rsidRPr="009C2ADD">
        <w:rPr>
          <w:rFonts w:ascii="Times New Roman" w:hAnsi="Times New Roman"/>
          <w:lang w:val="en-AU"/>
        </w:rPr>
        <w:t xml:space="preserve">. </w:t>
      </w:r>
    </w:p>
    <w:p w14:paraId="4CEE0A36"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0A3261BD" w14:textId="61530E22" w:rsidR="001409BC" w:rsidRPr="009C2ADD" w:rsidRDefault="0088061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w:t>
      </w:r>
      <w:r>
        <w:rPr>
          <w:rFonts w:ascii="Times New Roman" w:hAnsi="Times New Roman"/>
          <w:lang w:val="en-AU"/>
        </w:rPr>
        <w:t>Maximum Impact Sustainable Threshold (</w:t>
      </w:r>
      <w:r w:rsidRPr="009C2ADD">
        <w:rPr>
          <w:rFonts w:ascii="Times New Roman" w:hAnsi="Times New Roman"/>
          <w:lang w:val="en-AU"/>
        </w:rPr>
        <w:t>MIST</w:t>
      </w:r>
      <w:r>
        <w:rPr>
          <w:rFonts w:ascii="Times New Roman" w:hAnsi="Times New Roman"/>
          <w:lang w:val="en-AU"/>
        </w:rPr>
        <w:t>)</w:t>
      </w:r>
      <w:r w:rsidRPr="009C2ADD">
        <w:rPr>
          <w:rFonts w:ascii="Times New Roman" w:hAnsi="Times New Roman"/>
          <w:lang w:val="en-AU"/>
        </w:rPr>
        <w:t xml:space="preserve"> </w:t>
      </w:r>
      <w:r>
        <w:rPr>
          <w:rFonts w:ascii="Times New Roman" w:hAnsi="Times New Roman"/>
          <w:lang w:val="en-AU"/>
        </w:rPr>
        <w:t xml:space="preserve">risk </w:t>
      </w:r>
      <w:r w:rsidRPr="009C2ADD">
        <w:rPr>
          <w:rFonts w:ascii="Times New Roman" w:hAnsi="Times New Roman"/>
          <w:lang w:val="en-AU"/>
        </w:rPr>
        <w:t>assessment</w:t>
      </w:r>
      <w:r w:rsidRPr="009C2ADD" w:rsidDel="00880615">
        <w:rPr>
          <w:rFonts w:ascii="Times New Roman" w:hAnsi="Times New Roman"/>
          <w:lang w:val="en-AU"/>
        </w:rPr>
        <w:t xml:space="preserve"> </w:t>
      </w:r>
      <w:r w:rsidR="001150F2" w:rsidRPr="009C2ADD">
        <w:rPr>
          <w:rFonts w:ascii="Times New Roman" w:hAnsi="Times New Roman"/>
          <w:lang w:val="en-AU"/>
        </w:rPr>
        <w:t>assumed the following</w:t>
      </w:r>
      <w:r w:rsidR="001409BC" w:rsidRPr="009C2ADD">
        <w:rPr>
          <w:rFonts w:ascii="Times New Roman" w:hAnsi="Times New Roman"/>
          <w:lang w:val="en-AU"/>
        </w:rPr>
        <w:t xml:space="preserve"> </w:t>
      </w:r>
      <w:r w:rsidR="001409BC" w:rsidRPr="009C2ADD">
        <w:rPr>
          <w:rFonts w:ascii="Times New Roman" w:hAnsi="Times New Roman"/>
          <w:i/>
          <w:lang w:val="en-AU"/>
        </w:rPr>
        <w:t>r</w:t>
      </w:r>
      <w:r w:rsidR="001409BC" w:rsidRPr="009C2ADD">
        <w:rPr>
          <w:rFonts w:ascii="Times New Roman" w:hAnsi="Times New Roman"/>
          <w:lang w:val="en-AU"/>
        </w:rPr>
        <w:t xml:space="preserve"> equivalents:</w:t>
      </w:r>
    </w:p>
    <w:p w14:paraId="49DC4010" w14:textId="584B84D2" w:rsidR="001409BC" w:rsidRPr="009C2ADD" w:rsidRDefault="001409BC" w:rsidP="009C2ADD">
      <w:pPr>
        <w:pStyle w:val="WCPFC"/>
        <w:numPr>
          <w:ilvl w:val="0"/>
          <w:numId w:val="13"/>
        </w:numPr>
        <w:adjustRightInd w:val="0"/>
        <w:spacing w:after="0"/>
        <w:ind w:left="1080" w:hanging="357"/>
      </w:pPr>
      <w:r w:rsidRPr="009C2ADD">
        <w:rPr>
          <w:i/>
        </w:rPr>
        <w:t>r</w:t>
      </w:r>
      <w:r w:rsidRPr="009C2ADD">
        <w:t xml:space="preserve"> - </w:t>
      </w:r>
      <w:r w:rsidR="00214513" w:rsidRPr="009C2ADD">
        <w:t>The</w:t>
      </w:r>
      <w:r w:rsidRPr="009C2ADD">
        <w:t xml:space="preserve"> estimated intrinsic rate of increase of the species. Fishing mortalities that exceed this reference point risk driving the population to extinction </w:t>
      </w:r>
    </w:p>
    <w:p w14:paraId="21928CB1" w14:textId="0961DADC" w:rsidR="001409BC" w:rsidRPr="009C2ADD" w:rsidRDefault="001409BC" w:rsidP="009C2ADD">
      <w:pPr>
        <w:pStyle w:val="WCPFC"/>
        <w:numPr>
          <w:ilvl w:val="0"/>
          <w:numId w:val="13"/>
        </w:numPr>
        <w:adjustRightInd w:val="0"/>
        <w:spacing w:after="0"/>
        <w:ind w:left="1080" w:hanging="357"/>
      </w:pPr>
      <w:r w:rsidRPr="009C2ADD">
        <w:t>0.75</w:t>
      </w:r>
      <w:r w:rsidRPr="009C2ADD">
        <w:rPr>
          <w:i/>
        </w:rPr>
        <w:t>r</w:t>
      </w:r>
      <w:r w:rsidRPr="009C2ADD">
        <w:t xml:space="preserve"> - Fishing mortalities that exceed this reference point may drive population</w:t>
      </w:r>
      <w:r w:rsidR="00CE65DF">
        <w:rPr>
          <w:rFonts w:hint="eastAsia"/>
          <w:lang w:eastAsia="ko-KR"/>
        </w:rPr>
        <w:t>s</w:t>
      </w:r>
      <w:r w:rsidRPr="009C2ADD">
        <w:t xml:space="preserve"> to very low levels in longer term</w:t>
      </w:r>
    </w:p>
    <w:p w14:paraId="0E2C24D7" w14:textId="38C64FE4" w:rsidR="001409BC" w:rsidRPr="009C2ADD" w:rsidRDefault="001409BC" w:rsidP="009C2ADD">
      <w:pPr>
        <w:pStyle w:val="WCPFC"/>
        <w:numPr>
          <w:ilvl w:val="0"/>
          <w:numId w:val="13"/>
        </w:numPr>
        <w:adjustRightInd w:val="0"/>
        <w:spacing w:after="0"/>
        <w:ind w:left="1080" w:hanging="357"/>
      </w:pPr>
      <w:r w:rsidRPr="009C2ADD">
        <w:t>0.5</w:t>
      </w:r>
      <w:r w:rsidRPr="009C2ADD">
        <w:rPr>
          <w:i/>
        </w:rPr>
        <w:t>r</w:t>
      </w:r>
      <w:r w:rsidRPr="009C2ADD">
        <w:t xml:space="preserve"> – Fishing mortalities that exceed this reference point are likely exceeding F</w:t>
      </w:r>
      <w:r w:rsidR="00887159" w:rsidRPr="00104C78">
        <w:rPr>
          <w:rFonts w:hint="eastAsia"/>
          <w:vertAlign w:val="subscript"/>
          <w:lang w:val="en-AU" w:eastAsia="ko-KR"/>
        </w:rPr>
        <w:t>MSY</w:t>
      </w:r>
      <w:r w:rsidRPr="009C2ADD">
        <w:t>.</w:t>
      </w:r>
    </w:p>
    <w:p w14:paraId="49622889" w14:textId="77777777" w:rsidR="009F4AFA" w:rsidRDefault="009F4AFA" w:rsidP="0070772D">
      <w:pPr>
        <w:pStyle w:val="WCPFC"/>
        <w:numPr>
          <w:ilvl w:val="0"/>
          <w:numId w:val="0"/>
        </w:numPr>
        <w:adjustRightInd w:val="0"/>
        <w:spacing w:after="0"/>
        <w:rPr>
          <w:lang w:eastAsia="ko-KR"/>
        </w:rPr>
      </w:pPr>
    </w:p>
    <w:p w14:paraId="13F2A49C" w14:textId="59AFA905" w:rsidR="00021430" w:rsidRPr="0070772D" w:rsidRDefault="00021430" w:rsidP="0070772D">
      <w:pPr>
        <w:pStyle w:val="WCPFC"/>
        <w:numPr>
          <w:ilvl w:val="0"/>
          <w:numId w:val="0"/>
        </w:numPr>
        <w:adjustRightInd w:val="0"/>
        <w:spacing w:after="0"/>
        <w:rPr>
          <w:b/>
          <w:lang w:eastAsia="ko-KR"/>
        </w:rPr>
      </w:pPr>
      <w:r w:rsidRPr="0070772D">
        <w:rPr>
          <w:b/>
          <w:lang w:eastAsia="ko-KR"/>
        </w:rPr>
        <w:t>Discussion</w:t>
      </w:r>
    </w:p>
    <w:p w14:paraId="6950BEAC" w14:textId="77777777" w:rsidR="00021430" w:rsidRPr="009C2ADD" w:rsidRDefault="00021430" w:rsidP="0070772D">
      <w:pPr>
        <w:pStyle w:val="WCPFC"/>
        <w:numPr>
          <w:ilvl w:val="0"/>
          <w:numId w:val="0"/>
        </w:numPr>
        <w:adjustRightInd w:val="0"/>
        <w:spacing w:after="0"/>
        <w:rPr>
          <w:lang w:eastAsia="ko-KR"/>
        </w:rPr>
      </w:pPr>
    </w:p>
    <w:bookmarkEnd w:id="119"/>
    <w:p w14:paraId="4E8E0AF8" w14:textId="2AF3A550"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While noting its appreciation for th</w:t>
      </w:r>
      <w:r w:rsidR="00F875BA" w:rsidRPr="009C2ADD">
        <w:rPr>
          <w:rFonts w:ascii="Times New Roman" w:hAnsi="Times New Roman"/>
          <w:lang w:val="en-AU"/>
        </w:rPr>
        <w:t xml:space="preserve">e risk assessment Japan stated </w:t>
      </w:r>
      <w:r w:rsidRPr="009C2ADD">
        <w:rPr>
          <w:rFonts w:ascii="Times New Roman" w:hAnsi="Times New Roman"/>
          <w:lang w:val="en-AU"/>
        </w:rPr>
        <w:t xml:space="preserve">that without a full stock assessment it was not possible to provide clear advice. It further noted that the SC should limit itself to providing scientific advice </w:t>
      </w:r>
      <w:r w:rsidR="00E36DE2" w:rsidRPr="009C2ADD">
        <w:rPr>
          <w:rFonts w:ascii="Times New Roman" w:hAnsi="Times New Roman"/>
          <w:lang w:val="en-AU"/>
        </w:rPr>
        <w:t xml:space="preserve">that </w:t>
      </w:r>
      <w:r w:rsidRPr="009C2ADD">
        <w:rPr>
          <w:rFonts w:ascii="Times New Roman" w:hAnsi="Times New Roman"/>
          <w:lang w:val="en-AU"/>
        </w:rPr>
        <w:t>would assist the Commission in considering appropriate management measures, rather than recommend</w:t>
      </w:r>
      <w:r w:rsidR="00CE65DF">
        <w:rPr>
          <w:rFonts w:ascii="Times New Roman" w:hAnsi="Times New Roman" w:hint="eastAsia"/>
          <w:lang w:val="en-AU" w:eastAsia="ko-KR"/>
        </w:rPr>
        <w:t>ing</w:t>
      </w:r>
      <w:r w:rsidRPr="009C2ADD">
        <w:rPr>
          <w:rFonts w:ascii="Times New Roman" w:hAnsi="Times New Roman"/>
          <w:lang w:val="en-AU"/>
        </w:rPr>
        <w:t xml:space="preserve"> management action.</w:t>
      </w:r>
    </w:p>
    <w:p w14:paraId="7BE9899E"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3A47B525" w14:textId="4A5224D0"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Tonga reported that FFA members were encouraged to see the results of the assessment bur noted concern about the high fishing mortality levels evidenced in some areas in recent years, particularly in water</w:t>
      </w:r>
      <w:r w:rsidR="005B7A44" w:rsidRPr="009C2ADD">
        <w:rPr>
          <w:rFonts w:ascii="Times New Roman" w:hAnsi="Times New Roman"/>
          <w:lang w:val="en-AU"/>
        </w:rPr>
        <w:t>s to the South West of Hawaii.</w:t>
      </w:r>
      <w:r w:rsidRPr="009C2ADD">
        <w:rPr>
          <w:rFonts w:ascii="Times New Roman" w:hAnsi="Times New Roman"/>
          <w:lang w:val="en-AU"/>
        </w:rPr>
        <w:t xml:space="preserve"> FFA members felt the assessment indicated a clear need to continue improving data reporting and independent monitoring on all shark species. Tonga noted that FFA members were strengthening independent monitoring with a focus on both observer coverage and e-monitoring but encouraged all fishing operators to report everything they catch and release in their d</w:t>
      </w:r>
      <w:r w:rsidR="005B7A44" w:rsidRPr="009C2ADD">
        <w:rPr>
          <w:rFonts w:ascii="Times New Roman" w:hAnsi="Times New Roman"/>
          <w:lang w:val="en-AU"/>
        </w:rPr>
        <w:t>aily fishing log sheets.</w:t>
      </w:r>
      <w:r w:rsidR="00F875BA" w:rsidRPr="009C2ADD">
        <w:rPr>
          <w:rFonts w:ascii="Times New Roman" w:hAnsi="Times New Roman"/>
          <w:lang w:val="en-AU"/>
        </w:rPr>
        <w:t xml:space="preserve"> Tonga</w:t>
      </w:r>
      <w:r w:rsidRPr="009C2ADD">
        <w:rPr>
          <w:rFonts w:ascii="Times New Roman" w:hAnsi="Times New Roman"/>
          <w:lang w:val="en-AU"/>
        </w:rPr>
        <w:t xml:space="preserve"> further noted that productivity based reference points, such as the maximum impact sustainable threshold approach used in this assessment, offered a practical alternative to biomass based assessments for bycatch species. For many bycatch species, especially sharks, the goal was to minimise catch to levels that do not harm the ongoing viability of that species or population. As such the MIST approach could be a useful indicator and FFA members asked that the SC review the effectiveness of using this approach for other bycatch species.</w:t>
      </w:r>
    </w:p>
    <w:p w14:paraId="52112D70"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6BFD193E" w14:textId="5255A843"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query from New Zealand, regarding the units on the y-axis of plot</w:t>
      </w:r>
      <w:r w:rsidR="00CE65DF">
        <w:rPr>
          <w:rFonts w:ascii="Times New Roman" w:hAnsi="Times New Roman" w:hint="eastAsia"/>
          <w:lang w:val="en-AU" w:eastAsia="ko-KR"/>
        </w:rPr>
        <w:t>s</w:t>
      </w:r>
      <w:r w:rsidRPr="009C2ADD">
        <w:rPr>
          <w:rFonts w:ascii="Times New Roman" w:hAnsi="Times New Roman"/>
          <w:lang w:val="en-AU"/>
        </w:rPr>
        <w:t xml:space="preserve"> indicating fishing impacts, </w:t>
      </w:r>
      <w:r w:rsidR="00021430">
        <w:rPr>
          <w:rFonts w:ascii="Times New Roman" w:hAnsi="Times New Roman" w:hint="eastAsia"/>
          <w:lang w:val="en-AU" w:eastAsia="ko-KR"/>
        </w:rPr>
        <w:t>C.</w:t>
      </w:r>
      <w:r w:rsidRPr="009C2ADD">
        <w:rPr>
          <w:rFonts w:ascii="Times New Roman" w:hAnsi="Times New Roman"/>
          <w:lang w:val="en-AU"/>
        </w:rPr>
        <w:t xml:space="preserve"> Edwards noted that harvest rate was used as a proxy </w:t>
      </w:r>
      <w:r w:rsidR="00021430">
        <w:rPr>
          <w:rFonts w:ascii="Times New Roman" w:hAnsi="Times New Roman" w:hint="eastAsia"/>
          <w:lang w:val="en-AU" w:eastAsia="ko-KR"/>
        </w:rPr>
        <w:t>for</w:t>
      </w:r>
      <w:r w:rsidR="00021430" w:rsidRPr="009C2ADD">
        <w:rPr>
          <w:rFonts w:ascii="Times New Roman" w:hAnsi="Times New Roman"/>
          <w:lang w:val="en-AU"/>
        </w:rPr>
        <w:t xml:space="preserve"> </w:t>
      </w:r>
      <w:r w:rsidRPr="009C2ADD">
        <w:rPr>
          <w:rFonts w:ascii="Times New Roman" w:hAnsi="Times New Roman"/>
          <w:lang w:val="en-AU"/>
        </w:rPr>
        <w:t xml:space="preserve">fishing mortality and </w:t>
      </w:r>
      <w:r w:rsidR="00021430">
        <w:rPr>
          <w:rFonts w:ascii="Times New Roman" w:hAnsi="Times New Roman"/>
          <w:lang w:val="en-AU"/>
        </w:rPr>
        <w:t>is formulated</w:t>
      </w:r>
      <w:r w:rsidR="00021430" w:rsidRPr="009C2ADD">
        <w:rPr>
          <w:rFonts w:ascii="Times New Roman" w:hAnsi="Times New Roman"/>
          <w:lang w:val="en-AU"/>
        </w:rPr>
        <w:t xml:space="preserve"> as</w:t>
      </w:r>
      <w:r w:rsidR="00021430">
        <w:rPr>
          <w:rFonts w:ascii="Times New Roman" w:hAnsi="Times New Roman"/>
          <w:lang w:val="en-AU"/>
        </w:rPr>
        <w:t xml:space="preserve"> the ratio of </w:t>
      </w:r>
      <w:r w:rsidR="00021430" w:rsidRPr="009C2ADD">
        <w:rPr>
          <w:rFonts w:ascii="Times New Roman" w:hAnsi="Times New Roman"/>
          <w:lang w:val="en-AU"/>
        </w:rPr>
        <w:t>catch</w:t>
      </w:r>
      <w:r w:rsidR="00021430">
        <w:rPr>
          <w:rFonts w:ascii="Times New Roman" w:hAnsi="Times New Roman"/>
          <w:lang w:val="en-AU"/>
        </w:rPr>
        <w:t xml:space="preserve"> to </w:t>
      </w:r>
      <w:r w:rsidRPr="009C2ADD">
        <w:rPr>
          <w:rFonts w:ascii="Times New Roman" w:hAnsi="Times New Roman"/>
          <w:lang w:val="en-AU"/>
        </w:rPr>
        <w:t xml:space="preserve">total biomass.  </w:t>
      </w:r>
    </w:p>
    <w:p w14:paraId="4951615E" w14:textId="77777777" w:rsidR="009F4AFA" w:rsidRPr="009C2ADD" w:rsidRDefault="009F4AFA" w:rsidP="009C2ADD">
      <w:pPr>
        <w:autoSpaceDE w:val="0"/>
        <w:autoSpaceDN w:val="0"/>
        <w:adjustRightInd w:val="0"/>
        <w:snapToGrid w:val="0"/>
        <w:spacing w:after="0"/>
        <w:rPr>
          <w:rFonts w:ascii="Times New Roman" w:hAnsi="Times New Roman"/>
          <w:lang w:val="en-AU"/>
        </w:rPr>
      </w:pPr>
    </w:p>
    <w:p w14:paraId="67BE4054" w14:textId="3B24F0E6" w:rsidR="001409BC" w:rsidRPr="009C2ADD" w:rsidRDefault="005B7A4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USA</w:t>
      </w:r>
      <w:r w:rsidR="001409BC" w:rsidRPr="009C2ADD">
        <w:rPr>
          <w:rFonts w:ascii="Times New Roman" w:hAnsi="Times New Roman"/>
          <w:lang w:val="en-AU"/>
        </w:rPr>
        <w:t xml:space="preserve"> asked whether the</w:t>
      </w:r>
      <w:r w:rsidRPr="009C2ADD">
        <w:rPr>
          <w:rFonts w:ascii="Times New Roman" w:hAnsi="Times New Roman"/>
          <w:lang w:val="en-AU"/>
        </w:rPr>
        <w:t xml:space="preserve"> </w:t>
      </w:r>
      <w:r w:rsidR="002E76C8">
        <w:rPr>
          <w:rFonts w:ascii="Times New Roman" w:hAnsi="Times New Roman"/>
          <w:lang w:val="en-AU"/>
        </w:rPr>
        <w:t>Fletcher-Schaefer</w:t>
      </w:r>
      <w:r w:rsidR="002E76C8" w:rsidRPr="009C2ADD">
        <w:rPr>
          <w:rFonts w:ascii="Times New Roman" w:hAnsi="Times New Roman"/>
          <w:lang w:val="en-AU"/>
        </w:rPr>
        <w:t xml:space="preserve"> </w:t>
      </w:r>
      <w:r w:rsidRPr="009C2ADD">
        <w:rPr>
          <w:rFonts w:ascii="Times New Roman" w:hAnsi="Times New Roman"/>
          <w:lang w:val="en-AU"/>
        </w:rPr>
        <w:t>shape parameter was estimated</w:t>
      </w:r>
      <w:r w:rsidR="002E76C8" w:rsidRPr="002E76C8">
        <w:rPr>
          <w:rFonts w:ascii="Times New Roman" w:hAnsi="Times New Roman"/>
          <w:lang w:val="en-AU"/>
        </w:rPr>
        <w:t xml:space="preserve"> </w:t>
      </w:r>
      <w:r w:rsidR="002E76C8">
        <w:rPr>
          <w:rFonts w:ascii="Times New Roman" w:hAnsi="Times New Roman"/>
          <w:lang w:val="en-AU"/>
        </w:rPr>
        <w:t>in the biomass dynamic model</w:t>
      </w:r>
      <w:r w:rsidRPr="009C2ADD">
        <w:rPr>
          <w:rFonts w:ascii="Times New Roman" w:hAnsi="Times New Roman"/>
          <w:lang w:val="en-AU"/>
        </w:rPr>
        <w:t>.</w:t>
      </w:r>
      <w:r w:rsidR="001409BC" w:rsidRPr="009C2ADD">
        <w:rPr>
          <w:rFonts w:ascii="Times New Roman" w:hAnsi="Times New Roman"/>
          <w:lang w:val="en-AU"/>
        </w:rPr>
        <w:t xml:space="preserve"> The consultant noted that this was </w:t>
      </w:r>
      <w:r w:rsidR="002E76C8">
        <w:rPr>
          <w:rFonts w:ascii="Times New Roman" w:hAnsi="Times New Roman"/>
          <w:lang w:val="en-AU"/>
        </w:rPr>
        <w:t>impossible to estimate</w:t>
      </w:r>
      <w:r w:rsidR="002E76C8" w:rsidRPr="009C2ADD">
        <w:rPr>
          <w:rFonts w:ascii="Times New Roman" w:hAnsi="Times New Roman"/>
          <w:lang w:val="en-AU"/>
        </w:rPr>
        <w:t xml:space="preserve"> </w:t>
      </w:r>
      <w:r w:rsidR="001409BC" w:rsidRPr="009C2ADD">
        <w:rPr>
          <w:rFonts w:ascii="Times New Roman" w:hAnsi="Times New Roman"/>
          <w:lang w:val="en-AU"/>
        </w:rPr>
        <w:t xml:space="preserve">so it was fixed at 0.4 and checked for sensitivity. </w:t>
      </w:r>
    </w:p>
    <w:p w14:paraId="0AF123DE" w14:textId="77777777" w:rsidR="009F4AFA" w:rsidRPr="009C2ADD" w:rsidRDefault="009F4AFA" w:rsidP="009C2ADD">
      <w:pPr>
        <w:pStyle w:val="ListParagraph"/>
        <w:adjustRightInd w:val="0"/>
        <w:snapToGrid w:val="0"/>
        <w:contextualSpacing w:val="0"/>
        <w:rPr>
          <w:rFonts w:ascii="Times New Roman" w:hAnsi="Times New Roman"/>
          <w:lang w:val="en-AU"/>
        </w:rPr>
      </w:pPr>
    </w:p>
    <w:p w14:paraId="08B6CA6F" w14:textId="0BA6830E"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Referring to the fact that the core area was much smaller than the full assessment area, covering only 53% of the high catch areas, Australia asked if this might be an artefact </w:t>
      </w:r>
      <w:r w:rsidR="005B7A44" w:rsidRPr="009C2ADD">
        <w:rPr>
          <w:rFonts w:ascii="Times New Roman" w:hAnsi="Times New Roman"/>
          <w:lang w:val="en-AU"/>
        </w:rPr>
        <w:t>of a lack of observer coverage.</w:t>
      </w:r>
      <w:r w:rsidRPr="009C2ADD">
        <w:rPr>
          <w:rFonts w:ascii="Times New Roman" w:hAnsi="Times New Roman"/>
          <w:lang w:val="en-AU"/>
        </w:rPr>
        <w:t xml:space="preserve"> They suggested that additional observer data might identify other high catch areas.  </w:t>
      </w:r>
      <w:r w:rsidR="00F875BA" w:rsidRPr="009C2ADD">
        <w:rPr>
          <w:rFonts w:ascii="Times New Roman" w:hAnsi="Times New Roman"/>
          <w:lang w:val="en-AU"/>
        </w:rPr>
        <w:t>Australia also questioned</w:t>
      </w:r>
      <w:r w:rsidRPr="009C2ADD">
        <w:rPr>
          <w:rFonts w:ascii="Times New Roman" w:hAnsi="Times New Roman"/>
          <w:lang w:val="en-AU"/>
        </w:rPr>
        <w:t xml:space="preserve"> the use of such a fine scale grid when some longline sets are over 60 km long.  </w:t>
      </w:r>
      <w:r w:rsidR="003A0E0E">
        <w:rPr>
          <w:rFonts w:ascii="Times New Roman" w:hAnsi="Times New Roman" w:hint="eastAsia"/>
          <w:lang w:val="en-AU" w:eastAsia="ko-KR"/>
        </w:rPr>
        <w:t xml:space="preserve">Further, </w:t>
      </w:r>
      <w:r w:rsidRPr="009C2ADD">
        <w:rPr>
          <w:rFonts w:ascii="Times New Roman" w:hAnsi="Times New Roman"/>
          <w:lang w:val="en-AU"/>
        </w:rPr>
        <w:t>Australia stated that in their view this assessment was a comprehensive stock assessment and sufficient to provide advice to the Commission, and that integrated models such as those applied to tuna stocks would probably fail to produce a result given the level of available information for most shark stocks.</w:t>
      </w:r>
    </w:p>
    <w:p w14:paraId="7015588F"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6780B7B9"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Chinese-Taipei suggested that future stock assessment work could include a study of the effectiveness of existing CMMs that are already in place such as CMM 2014-05’s ban on either monofilament leaders or shark lines.</w:t>
      </w:r>
    </w:p>
    <w:p w14:paraId="7CF35FBA"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50152546" w14:textId="6043CD15"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EU supported Australia’s view of the comprehensiveness</w:t>
      </w:r>
      <w:r w:rsidR="005B7A44" w:rsidRPr="009C2ADD">
        <w:rPr>
          <w:rFonts w:ascii="Times New Roman" w:hAnsi="Times New Roman"/>
          <w:lang w:val="en-AU"/>
        </w:rPr>
        <w:t xml:space="preserve"> of the risk assessment, noting</w:t>
      </w:r>
      <w:r w:rsidRPr="009C2ADD">
        <w:rPr>
          <w:rFonts w:ascii="Times New Roman" w:hAnsi="Times New Roman"/>
          <w:lang w:val="en-AU"/>
        </w:rPr>
        <w:t xml:space="preserve"> that while they supported a full quantitative assessment for all shark species, they acknowledged this was not possible without an expansion</w:t>
      </w:r>
      <w:r w:rsidR="001150F2" w:rsidRPr="009C2ADD">
        <w:rPr>
          <w:rFonts w:ascii="Times New Roman" w:hAnsi="Times New Roman"/>
          <w:lang w:val="en-AU"/>
        </w:rPr>
        <w:t xml:space="preserve"> of observer coverage</w:t>
      </w:r>
      <w:r w:rsidRPr="009C2ADD">
        <w:rPr>
          <w:rFonts w:ascii="Times New Roman" w:hAnsi="Times New Roman"/>
          <w:lang w:val="en-AU"/>
        </w:rPr>
        <w:t xml:space="preserve"> across the longline fishery. </w:t>
      </w:r>
      <w:r w:rsidR="003C61E2">
        <w:rPr>
          <w:rFonts w:ascii="Times New Roman" w:hAnsi="Times New Roman"/>
          <w:lang w:val="en-AU"/>
        </w:rPr>
        <w:t>However, it indicated that the methodology was relatively and would require further benchmarking.</w:t>
      </w:r>
    </w:p>
    <w:p w14:paraId="30B575F1"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5643CBF0" w14:textId="58705A03"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USA also recommended the use of the risk assessment approach </w:t>
      </w:r>
      <w:r w:rsidR="00633679" w:rsidRPr="009C2ADD">
        <w:rPr>
          <w:rFonts w:ascii="Times New Roman" w:hAnsi="Times New Roman"/>
          <w:lang w:val="en-AU"/>
        </w:rPr>
        <w:t>given the data</w:t>
      </w:r>
      <w:r w:rsidR="00633679">
        <w:rPr>
          <w:rFonts w:ascii="Times New Roman" w:hAnsi="Times New Roman"/>
          <w:lang w:val="en-AU"/>
        </w:rPr>
        <w:t xml:space="preserve"> </w:t>
      </w:r>
      <w:r w:rsidR="00633679" w:rsidRPr="009C2ADD">
        <w:rPr>
          <w:rFonts w:ascii="Times New Roman" w:hAnsi="Times New Roman"/>
          <w:lang w:val="en-AU"/>
        </w:rPr>
        <w:t>limit</w:t>
      </w:r>
      <w:r w:rsidR="00633679">
        <w:rPr>
          <w:rFonts w:ascii="Times New Roman" w:hAnsi="Times New Roman"/>
          <w:lang w:val="en-AU"/>
        </w:rPr>
        <w:t>ations</w:t>
      </w:r>
      <w:r w:rsidR="00633679" w:rsidRPr="009C2ADD">
        <w:rPr>
          <w:rFonts w:ascii="Times New Roman" w:hAnsi="Times New Roman"/>
          <w:lang w:val="en-AU"/>
        </w:rPr>
        <w:t xml:space="preserve"> for this fishery</w:t>
      </w:r>
      <w:r w:rsidRPr="009C2ADD">
        <w:rPr>
          <w:rFonts w:ascii="Times New Roman" w:hAnsi="Times New Roman"/>
          <w:lang w:val="en-AU"/>
        </w:rPr>
        <w:t xml:space="preserve">. </w:t>
      </w:r>
    </w:p>
    <w:p w14:paraId="3D6CF3E9"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01F3AA68" w14:textId="52EB3BB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noted that an evaluation against a limit reference point was difficult in the absence of</w:t>
      </w:r>
      <w:r w:rsidR="001150F2" w:rsidRPr="009C2ADD">
        <w:rPr>
          <w:rFonts w:ascii="Times New Roman" w:hAnsi="Times New Roman"/>
          <w:lang w:val="en-AU"/>
        </w:rPr>
        <w:t xml:space="preserve"> guidance from the Commission.</w:t>
      </w:r>
      <w:r w:rsidRPr="009C2ADD">
        <w:rPr>
          <w:rFonts w:ascii="Times New Roman" w:hAnsi="Times New Roman"/>
          <w:lang w:val="en-AU"/>
        </w:rPr>
        <w:t xml:space="preserve"> Japan stressed its preference for the use of maximum population growth rate (</w:t>
      </w:r>
      <w:r w:rsidRPr="009C2ADD">
        <w:rPr>
          <w:rFonts w:ascii="Times New Roman" w:hAnsi="Times New Roman"/>
          <w:i/>
          <w:lang w:val="en-AU"/>
        </w:rPr>
        <w:t>r</w:t>
      </w:r>
      <w:r w:rsidRPr="009C2ADD">
        <w:rPr>
          <w:rFonts w:ascii="Times New Roman" w:hAnsi="Times New Roman"/>
          <w:lang w:val="en-AU"/>
        </w:rPr>
        <w:t>) and its require</w:t>
      </w:r>
      <w:r w:rsidR="005B7A44" w:rsidRPr="009C2ADD">
        <w:rPr>
          <w:rFonts w:ascii="Times New Roman" w:hAnsi="Times New Roman"/>
          <w:lang w:val="en-AU"/>
        </w:rPr>
        <w:t>ment for a full explanation of</w:t>
      </w:r>
      <w:r w:rsidRPr="009C2ADD">
        <w:rPr>
          <w:rFonts w:ascii="Times New Roman" w:hAnsi="Times New Roman"/>
          <w:lang w:val="en-AU"/>
        </w:rPr>
        <w:t xml:space="preserve"> F values (</w:t>
      </w:r>
      <w:r w:rsidR="002E76C8">
        <w:rPr>
          <w:rFonts w:ascii="Times New Roman" w:hAnsi="Times New Roman"/>
          <w:lang w:val="en-AU"/>
        </w:rPr>
        <w:t>F</w:t>
      </w:r>
      <w:r w:rsidR="002E76C8" w:rsidRPr="00957E7D">
        <w:rPr>
          <w:rFonts w:ascii="Times New Roman" w:hAnsi="Times New Roman"/>
          <w:i/>
          <w:lang w:val="en-AU"/>
        </w:rPr>
        <w:t>msm</w:t>
      </w:r>
      <w:r w:rsidR="002E76C8">
        <w:rPr>
          <w:rFonts w:ascii="Times New Roman" w:hAnsi="Times New Roman"/>
          <w:lang w:val="en-AU"/>
        </w:rPr>
        <w:t xml:space="preserve">, </w:t>
      </w:r>
      <w:r w:rsidRPr="009C2ADD">
        <w:rPr>
          <w:rFonts w:ascii="Times New Roman" w:hAnsi="Times New Roman"/>
          <w:lang w:val="en-AU"/>
        </w:rPr>
        <w:t>F</w:t>
      </w:r>
      <w:r w:rsidRPr="009C2ADD">
        <w:rPr>
          <w:rFonts w:ascii="Times New Roman" w:hAnsi="Times New Roman"/>
          <w:i/>
          <w:lang w:val="en-AU"/>
        </w:rPr>
        <w:t xml:space="preserve">lim </w:t>
      </w:r>
      <w:r w:rsidRPr="009C2ADD">
        <w:rPr>
          <w:rFonts w:ascii="Times New Roman" w:hAnsi="Times New Roman"/>
          <w:lang w:val="en-AU"/>
        </w:rPr>
        <w:t>and F</w:t>
      </w:r>
      <w:r w:rsidRPr="009C2ADD">
        <w:rPr>
          <w:rFonts w:ascii="Times New Roman" w:hAnsi="Times New Roman"/>
          <w:i/>
          <w:lang w:val="en-AU"/>
        </w:rPr>
        <w:t>crash</w:t>
      </w:r>
      <w:r w:rsidRPr="009C2ADD">
        <w:rPr>
          <w:rFonts w:ascii="Times New Roman" w:hAnsi="Times New Roman"/>
          <w:lang w:val="en-AU"/>
        </w:rPr>
        <w:t>) in relation to (</w:t>
      </w:r>
      <w:r w:rsidRPr="009C2ADD">
        <w:rPr>
          <w:rFonts w:ascii="Times New Roman" w:hAnsi="Times New Roman"/>
          <w:i/>
          <w:lang w:val="en-AU"/>
        </w:rPr>
        <w:t>r</w:t>
      </w:r>
      <w:r w:rsidR="001150F2" w:rsidRPr="009C2ADD">
        <w:rPr>
          <w:rFonts w:ascii="Times New Roman" w:hAnsi="Times New Roman"/>
          <w:lang w:val="en-AU"/>
        </w:rPr>
        <w:t xml:space="preserve">) values. </w:t>
      </w:r>
      <w:r w:rsidRPr="009C2ADD">
        <w:rPr>
          <w:rFonts w:ascii="Times New Roman" w:hAnsi="Times New Roman"/>
          <w:lang w:val="en-AU"/>
        </w:rPr>
        <w:t xml:space="preserve">Without further information and discussion of these reference points Japan did not support management advice being provided to the Commission. </w:t>
      </w:r>
    </w:p>
    <w:p w14:paraId="0A387D93"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7BDD00B0" w14:textId="255ECE46"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bookmarkStart w:id="120" w:name="_Hlk490581269"/>
      <w:r w:rsidRPr="009C2ADD">
        <w:rPr>
          <w:rFonts w:ascii="Times New Roman" w:hAnsi="Times New Roman"/>
          <w:lang w:val="en-AU"/>
        </w:rPr>
        <w:t xml:space="preserve">The Cook Islands acknowledged the low </w:t>
      </w:r>
      <w:r w:rsidR="00633679" w:rsidRPr="009C2ADD">
        <w:rPr>
          <w:rFonts w:ascii="Times New Roman" w:hAnsi="Times New Roman"/>
          <w:lang w:val="en-AU"/>
        </w:rPr>
        <w:t xml:space="preserve">fecundity of the </w:t>
      </w:r>
      <w:r w:rsidR="00633679">
        <w:rPr>
          <w:rFonts w:ascii="Times New Roman" w:hAnsi="Times New Roman"/>
          <w:lang w:val="en-AU"/>
        </w:rPr>
        <w:t>b</w:t>
      </w:r>
      <w:r w:rsidR="00633679" w:rsidRPr="009C2ADD">
        <w:rPr>
          <w:rFonts w:ascii="Times New Roman" w:hAnsi="Times New Roman"/>
          <w:lang w:val="en-AU"/>
        </w:rPr>
        <w:t xml:space="preserve">igeye </w:t>
      </w:r>
      <w:r w:rsidR="00633679">
        <w:rPr>
          <w:rFonts w:ascii="Times New Roman" w:hAnsi="Times New Roman"/>
          <w:lang w:val="en-AU"/>
        </w:rPr>
        <w:t>t</w:t>
      </w:r>
      <w:r w:rsidR="00633679" w:rsidRPr="009C2ADD">
        <w:rPr>
          <w:rFonts w:ascii="Times New Roman" w:hAnsi="Times New Roman"/>
          <w:lang w:val="en-AU"/>
        </w:rPr>
        <w:t>hresher</w:t>
      </w:r>
      <w:r w:rsidR="00633679">
        <w:rPr>
          <w:rFonts w:ascii="Times New Roman" w:hAnsi="Times New Roman"/>
          <w:lang w:val="en-AU"/>
        </w:rPr>
        <w:t>,</w:t>
      </w:r>
      <w:r w:rsidR="00E650D4">
        <w:rPr>
          <w:rFonts w:ascii="Times New Roman" w:hAnsi="Times New Roman" w:hint="eastAsia"/>
          <w:lang w:val="en-AU" w:eastAsia="ko-KR"/>
        </w:rPr>
        <w:t xml:space="preserve"> </w:t>
      </w:r>
      <w:r w:rsidR="00633679" w:rsidRPr="009C2ADD">
        <w:rPr>
          <w:rFonts w:ascii="Times New Roman" w:hAnsi="Times New Roman"/>
          <w:lang w:val="en-AU"/>
        </w:rPr>
        <w:t xml:space="preserve">the </w:t>
      </w:r>
      <w:r w:rsidR="00633679">
        <w:rPr>
          <w:rFonts w:ascii="Times New Roman" w:hAnsi="Times New Roman"/>
          <w:lang w:val="en-AU"/>
        </w:rPr>
        <w:t xml:space="preserve">decrease in </w:t>
      </w:r>
      <w:r w:rsidR="00633679" w:rsidRPr="009C2ADD">
        <w:rPr>
          <w:rFonts w:ascii="Times New Roman" w:hAnsi="Times New Roman"/>
          <w:lang w:val="en-AU"/>
        </w:rPr>
        <w:t>CPUE</w:t>
      </w:r>
      <w:r w:rsidR="00633679">
        <w:rPr>
          <w:rFonts w:ascii="Times New Roman" w:hAnsi="Times New Roman"/>
          <w:lang w:val="en-AU"/>
        </w:rPr>
        <w:t>, and</w:t>
      </w:r>
      <w:r w:rsidR="00633679" w:rsidRPr="009C2ADD">
        <w:rPr>
          <w:rFonts w:ascii="Times New Roman" w:hAnsi="Times New Roman"/>
          <w:lang w:val="en-AU"/>
        </w:rPr>
        <w:t xml:space="preserve"> increase</w:t>
      </w:r>
      <w:r w:rsidRPr="009C2ADD">
        <w:rPr>
          <w:rFonts w:ascii="Times New Roman" w:hAnsi="Times New Roman"/>
          <w:lang w:val="en-AU"/>
        </w:rPr>
        <w:t xml:space="preserve"> in effort, and urged CMMs to improve reporting and to support efforts to decrease </w:t>
      </w:r>
      <w:r w:rsidR="002E76C8">
        <w:rPr>
          <w:rFonts w:ascii="Times New Roman" w:hAnsi="Times New Roman" w:hint="eastAsia"/>
          <w:lang w:val="en-AU" w:eastAsia="ko-KR"/>
        </w:rPr>
        <w:t xml:space="preserve">the </w:t>
      </w:r>
      <w:r w:rsidRPr="009C2ADD">
        <w:rPr>
          <w:rFonts w:ascii="Times New Roman" w:hAnsi="Times New Roman"/>
          <w:lang w:val="en-AU"/>
        </w:rPr>
        <w:t>probability of approaching F</w:t>
      </w:r>
      <w:r w:rsidRPr="009C2ADD">
        <w:rPr>
          <w:rFonts w:ascii="Times New Roman" w:hAnsi="Times New Roman"/>
          <w:i/>
          <w:lang w:val="en-AU"/>
        </w:rPr>
        <w:t>crash</w:t>
      </w:r>
      <w:r w:rsidRPr="009C2ADD">
        <w:rPr>
          <w:rFonts w:ascii="Times New Roman" w:hAnsi="Times New Roman"/>
          <w:lang w:val="en-AU"/>
        </w:rPr>
        <w:t xml:space="preserve">. </w:t>
      </w:r>
    </w:p>
    <w:p w14:paraId="1D5011CC"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687066E2" w14:textId="3A661DE8"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noted that biological information for this species was still lacking, especially age and growth information, and that additional research would be useful for future assessments</w:t>
      </w:r>
      <w:r w:rsidR="00A318D4" w:rsidRPr="009C2ADD">
        <w:rPr>
          <w:rFonts w:ascii="Times New Roman" w:hAnsi="Times New Roman"/>
          <w:lang w:val="en-AU"/>
        </w:rPr>
        <w:t>.</w:t>
      </w:r>
    </w:p>
    <w:p w14:paraId="7A963115"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3B27E21D"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Fiji supported the Cook Islands’ suggestion to improve observer data collection for this species, noting that other o</w:t>
      </w:r>
      <w:r w:rsidR="001150F2" w:rsidRPr="009C2ADD">
        <w:rPr>
          <w:rFonts w:ascii="Times New Roman" w:hAnsi="Times New Roman"/>
          <w:lang w:val="en-AU"/>
        </w:rPr>
        <w:t xml:space="preserve">rganisations such as CITES had </w:t>
      </w:r>
      <w:r w:rsidRPr="009C2ADD">
        <w:rPr>
          <w:rFonts w:ascii="Times New Roman" w:hAnsi="Times New Roman"/>
          <w:lang w:val="en-AU"/>
        </w:rPr>
        <w:t>expressed conservation concerns for the thresher shark.</w:t>
      </w:r>
    </w:p>
    <w:p w14:paraId="27160664" w14:textId="77777777" w:rsidR="00A318D4" w:rsidRPr="009C2ADD" w:rsidRDefault="00A318D4" w:rsidP="009C2ADD">
      <w:pPr>
        <w:pStyle w:val="ListParagraph"/>
        <w:adjustRightInd w:val="0"/>
        <w:snapToGrid w:val="0"/>
        <w:contextualSpacing w:val="0"/>
        <w:rPr>
          <w:rFonts w:ascii="Times New Roman" w:hAnsi="Times New Roman"/>
          <w:lang w:val="en-AU"/>
        </w:rPr>
      </w:pPr>
    </w:p>
    <w:bookmarkEnd w:id="120"/>
    <w:p w14:paraId="041A4F9A" w14:textId="21240E7C" w:rsidR="001409BC" w:rsidRPr="009C2ADD" w:rsidRDefault="003A0E0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noted that</w:t>
      </w:r>
      <w:r>
        <w:rPr>
          <w:rFonts w:ascii="Times New Roman" w:hAnsi="Times New Roman"/>
          <w:lang w:val="en-AU"/>
        </w:rPr>
        <w:t xml:space="preserve"> the reference points</w:t>
      </w:r>
      <w:r w:rsidRPr="009C2ADD">
        <w:rPr>
          <w:rFonts w:ascii="Times New Roman" w:hAnsi="Times New Roman"/>
          <w:lang w:val="en-AU"/>
        </w:rPr>
        <w:t xml:space="preserve"> F</w:t>
      </w:r>
      <w:r w:rsidRPr="009C2ADD">
        <w:rPr>
          <w:rFonts w:ascii="Times New Roman" w:hAnsi="Times New Roman"/>
          <w:i/>
          <w:lang w:val="en-AU"/>
        </w:rPr>
        <w:t>lim</w:t>
      </w:r>
      <w:r w:rsidRPr="009C2ADD">
        <w:rPr>
          <w:rFonts w:ascii="Times New Roman" w:hAnsi="Times New Roman"/>
          <w:lang w:val="en-AU"/>
        </w:rPr>
        <w:t xml:space="preserve"> </w:t>
      </w:r>
      <w:r>
        <w:rPr>
          <w:rFonts w:ascii="Times New Roman" w:hAnsi="Times New Roman"/>
          <w:lang w:val="en-AU"/>
        </w:rPr>
        <w:t>(0.75</w:t>
      </w:r>
      <w:r w:rsidRPr="00655166">
        <w:rPr>
          <w:rFonts w:ascii="Times New Roman" w:hAnsi="Times New Roman"/>
          <w:i/>
          <w:iCs/>
          <w:lang w:val="en-AU"/>
        </w:rPr>
        <w:t>r</w:t>
      </w:r>
      <w:r>
        <w:rPr>
          <w:rFonts w:ascii="Times New Roman" w:hAnsi="Times New Roman"/>
          <w:lang w:val="en-AU"/>
        </w:rPr>
        <w:t xml:space="preserve">) </w:t>
      </w:r>
      <w:r w:rsidRPr="009C2ADD">
        <w:rPr>
          <w:rFonts w:ascii="Times New Roman" w:hAnsi="Times New Roman"/>
          <w:lang w:val="en-AU"/>
        </w:rPr>
        <w:t>and F</w:t>
      </w:r>
      <w:r w:rsidRPr="009C2ADD">
        <w:rPr>
          <w:rFonts w:ascii="Times New Roman" w:hAnsi="Times New Roman"/>
          <w:i/>
          <w:lang w:val="en-AU"/>
        </w:rPr>
        <w:t>crash</w:t>
      </w:r>
      <w:r w:rsidRPr="009C2ADD">
        <w:rPr>
          <w:rFonts w:ascii="Times New Roman" w:hAnsi="Times New Roman"/>
          <w:lang w:val="en-AU"/>
        </w:rPr>
        <w:t xml:space="preserve"> </w:t>
      </w:r>
      <w:r>
        <w:rPr>
          <w:rFonts w:ascii="Times New Roman" w:hAnsi="Times New Roman"/>
          <w:lang w:val="en-AU"/>
        </w:rPr>
        <w:t>(</w:t>
      </w:r>
      <w:r w:rsidRPr="00655166">
        <w:rPr>
          <w:rFonts w:ascii="Times New Roman" w:hAnsi="Times New Roman"/>
          <w:i/>
          <w:iCs/>
          <w:lang w:val="en-AU"/>
        </w:rPr>
        <w:t>r</w:t>
      </w:r>
      <w:r>
        <w:rPr>
          <w:rFonts w:ascii="Times New Roman" w:hAnsi="Times New Roman"/>
          <w:lang w:val="en-AU"/>
        </w:rPr>
        <w:t xml:space="preserve">) </w:t>
      </w:r>
      <w:r w:rsidRPr="009C2ADD">
        <w:rPr>
          <w:rFonts w:ascii="Times New Roman" w:hAnsi="Times New Roman"/>
          <w:lang w:val="en-AU"/>
        </w:rPr>
        <w:t xml:space="preserve">provided additional information relating to the probabilities of exceeding </w:t>
      </w:r>
      <w:r w:rsidRPr="009C2ADD">
        <w:rPr>
          <w:rFonts w:ascii="Times New Roman" w:hAnsi="Times New Roman"/>
          <w:i/>
          <w:lang w:val="en-AU"/>
        </w:rPr>
        <w:t>r</w:t>
      </w:r>
      <w:r w:rsidRPr="009C2ADD">
        <w:rPr>
          <w:rFonts w:ascii="Times New Roman" w:hAnsi="Times New Roman"/>
          <w:lang w:val="en-AU"/>
        </w:rPr>
        <w:t xml:space="preserve"> and should be included in the</w:t>
      </w:r>
      <w:r>
        <w:rPr>
          <w:rFonts w:ascii="Times New Roman" w:hAnsi="Times New Roman"/>
          <w:lang w:val="en-AU"/>
        </w:rPr>
        <w:t xml:space="preserve"> manag</w:t>
      </w:r>
      <w:r w:rsidR="00214513">
        <w:rPr>
          <w:rFonts w:ascii="Times New Roman" w:hAnsi="Times New Roman"/>
          <w:lang w:val="en-AU"/>
        </w:rPr>
        <w:t>e</w:t>
      </w:r>
      <w:r>
        <w:rPr>
          <w:rFonts w:ascii="Times New Roman" w:hAnsi="Times New Roman"/>
          <w:lang w:val="en-AU"/>
        </w:rPr>
        <w:t>ment</w:t>
      </w:r>
      <w:r w:rsidRPr="009C2ADD">
        <w:rPr>
          <w:rFonts w:ascii="Times New Roman" w:hAnsi="Times New Roman"/>
          <w:lang w:val="en-AU"/>
        </w:rPr>
        <w:t xml:space="preserve"> advice</w:t>
      </w:r>
      <w:r w:rsidR="001409BC" w:rsidRPr="009C2ADD">
        <w:rPr>
          <w:rFonts w:ascii="Times New Roman" w:hAnsi="Times New Roman"/>
          <w:lang w:val="en-AU"/>
        </w:rPr>
        <w:t>.</w:t>
      </w:r>
    </w:p>
    <w:p w14:paraId="6EE5F0BB"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006C6AFD" w14:textId="77777777" w:rsidR="001409BC"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suggested that the results of the assessment be reported in a clear manner to the Commission, using objective criteria without necessarily endorsing the reference points used in the assessment.   </w:t>
      </w:r>
    </w:p>
    <w:p w14:paraId="0691BF0B" w14:textId="77777777" w:rsidR="002E76C8" w:rsidRDefault="002E76C8" w:rsidP="0070772D">
      <w:pPr>
        <w:pStyle w:val="ListParagraph"/>
        <w:rPr>
          <w:rFonts w:ascii="Times New Roman" w:hAnsi="Times New Roman"/>
          <w:lang w:val="en-AU"/>
        </w:rPr>
      </w:pPr>
    </w:p>
    <w:p w14:paraId="60127A98" w14:textId="205ACAEF" w:rsidR="002E76C8" w:rsidRPr="009C2ADD" w:rsidRDefault="002E76C8"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In response to comments, S. Clarke (Secretariat) clarified that the paper did not intend to recommend management action, rather it aimed to provide clear answers to questions that can reasonably be anticipated from managers (e.g. regarding the effectiveness of a no-retention measure).  Furthermore, while she acknowledged there was an upturn in bigeye thresher CPUE in the Hawaii longline fishery in 2014, she pointed out that the confidence intervals suggested that values for 2014 were within the range of previous years.</w:t>
      </w:r>
    </w:p>
    <w:bookmarkEnd w:id="118"/>
    <w:p w14:paraId="5A512D8C" w14:textId="77777777" w:rsidR="001409BC" w:rsidRPr="009C2ADD" w:rsidRDefault="001409BC" w:rsidP="009C2ADD">
      <w:pPr>
        <w:adjustRightInd w:val="0"/>
        <w:snapToGrid w:val="0"/>
        <w:spacing w:after="0"/>
        <w:rPr>
          <w:rFonts w:ascii="Times New Roman" w:eastAsia="Times New Roman" w:hAnsi="Times New Roman"/>
          <w:bCs/>
          <w:i/>
          <w:lang w:eastAsia="ko-KR"/>
        </w:rPr>
      </w:pPr>
    </w:p>
    <w:p w14:paraId="774D3231" w14:textId="04947F20" w:rsidR="001409BC" w:rsidRPr="009C2ADD" w:rsidRDefault="00E462BE" w:rsidP="009C2ADD">
      <w:pPr>
        <w:adjustRightInd w:val="0"/>
        <w:snapToGrid w:val="0"/>
        <w:spacing w:after="0"/>
        <w:rPr>
          <w:rFonts w:ascii="Times New Roman" w:eastAsia="Times New Roman" w:hAnsi="Times New Roman"/>
          <w:b/>
          <w:bCs/>
          <w:lang w:eastAsia="ko-KR"/>
        </w:rPr>
      </w:pPr>
      <w:r w:rsidRPr="009C2ADD">
        <w:rPr>
          <w:rFonts w:ascii="Times New Roman" w:hAnsi="Times New Roman"/>
          <w:b/>
          <w:bCs/>
          <w:lang w:eastAsia="ko-KR"/>
        </w:rPr>
        <w:t xml:space="preserve">4.3.6.2 </w:t>
      </w:r>
      <w:r w:rsidRPr="009C2ADD">
        <w:rPr>
          <w:rFonts w:ascii="Times New Roman" w:hAnsi="Times New Roman"/>
          <w:b/>
          <w:bCs/>
          <w:lang w:eastAsia="ko-KR"/>
        </w:rPr>
        <w:tab/>
      </w:r>
      <w:r w:rsidR="001409BC" w:rsidRPr="009C2ADD">
        <w:rPr>
          <w:rFonts w:ascii="Times New Roman" w:eastAsia="Times New Roman" w:hAnsi="Times New Roman"/>
          <w:b/>
          <w:bCs/>
          <w:lang w:eastAsia="ko-KR"/>
        </w:rPr>
        <w:t>Provision of scientific information</w:t>
      </w:r>
    </w:p>
    <w:p w14:paraId="12FFE500" w14:textId="77777777" w:rsidR="00A318D4" w:rsidRPr="009C2ADD" w:rsidRDefault="00A318D4" w:rsidP="009C2ADD">
      <w:pPr>
        <w:adjustRightInd w:val="0"/>
        <w:snapToGrid w:val="0"/>
        <w:spacing w:after="0"/>
        <w:rPr>
          <w:rFonts w:ascii="Times New Roman" w:eastAsia="Times New Roman" w:hAnsi="Times New Roman"/>
          <w:b/>
          <w:bCs/>
          <w:lang w:eastAsia="ko-KR"/>
        </w:rPr>
      </w:pPr>
    </w:p>
    <w:p w14:paraId="678B8167" w14:textId="7464AA9D"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reviewed the report for Pacific-wide sustainability risk assessment of bigeye thresher shark (</w:t>
      </w:r>
      <w:r w:rsidRPr="00464B7F">
        <w:rPr>
          <w:rFonts w:ascii="Times New Roman" w:hAnsi="Times New Roman"/>
          <w:i/>
          <w:lang w:val="en-AU"/>
        </w:rPr>
        <w:t>Alopias superciliosus</w:t>
      </w:r>
      <w:r w:rsidRPr="009C2ADD">
        <w:rPr>
          <w:rFonts w:ascii="Times New Roman" w:hAnsi="Times New Roman"/>
          <w:lang w:val="en-AU"/>
        </w:rPr>
        <w:t xml:space="preserve">) </w:t>
      </w:r>
      <w:r w:rsidR="00183C6D">
        <w:rPr>
          <w:rFonts w:ascii="Times New Roman" w:hAnsi="Times New Roman" w:hint="eastAsia"/>
          <w:lang w:val="en-AU" w:eastAsia="ko-KR"/>
        </w:rPr>
        <w:t xml:space="preserve">presented by </w:t>
      </w:r>
      <w:r w:rsidR="00183C6D" w:rsidRPr="009C2ADD">
        <w:rPr>
          <w:rFonts w:ascii="Times New Roman" w:hAnsi="Times New Roman"/>
          <w:lang w:val="en-AU"/>
        </w:rPr>
        <w:t xml:space="preserve">S. Clarke, S. Hoyle </w:t>
      </w:r>
      <w:r w:rsidR="00183C6D">
        <w:rPr>
          <w:rFonts w:ascii="Times New Roman" w:hAnsi="Times New Roman" w:hint="eastAsia"/>
          <w:lang w:val="en-AU" w:eastAsia="ko-KR"/>
        </w:rPr>
        <w:t>and</w:t>
      </w:r>
      <w:r w:rsidR="00183C6D" w:rsidRPr="009C2ADD">
        <w:rPr>
          <w:rFonts w:ascii="Times New Roman" w:hAnsi="Times New Roman"/>
          <w:lang w:val="en-AU"/>
        </w:rPr>
        <w:t xml:space="preserve"> C. Edwards</w:t>
      </w:r>
      <w:r w:rsidR="00FE60B0">
        <w:rPr>
          <w:rFonts w:ascii="Times New Roman" w:hAnsi="Times New Roman"/>
          <w:lang w:val="en-AU"/>
        </w:rPr>
        <w:t xml:space="preserve"> </w:t>
      </w:r>
      <w:r w:rsidRPr="009C2ADD">
        <w:rPr>
          <w:rFonts w:ascii="Times New Roman" w:hAnsi="Times New Roman"/>
          <w:lang w:val="en-AU"/>
        </w:rPr>
        <w:t>(</w:t>
      </w:r>
      <w:r w:rsidRPr="0070772D">
        <w:rPr>
          <w:rFonts w:ascii="Times New Roman" w:hAnsi="Times New Roman"/>
          <w:bCs/>
          <w:lang w:val="en-AU"/>
        </w:rPr>
        <w:t>SC13-SA-WP-11</w:t>
      </w:r>
      <w:r w:rsidRPr="009C2ADD">
        <w:rPr>
          <w:rFonts w:ascii="Times New Roman" w:hAnsi="Times New Roman"/>
          <w:lang w:val="en-AU"/>
        </w:rPr>
        <w:t>)</w:t>
      </w:r>
      <w:r w:rsidR="00FE60B0">
        <w:rPr>
          <w:rFonts w:ascii="Times New Roman" w:hAnsi="Times New Roman"/>
          <w:lang w:val="en-AU"/>
        </w:rPr>
        <w:t>.</w:t>
      </w:r>
      <w:r w:rsidRPr="009C2ADD">
        <w:rPr>
          <w:rFonts w:ascii="Times New Roman" w:hAnsi="Times New Roman"/>
          <w:lang w:val="en-AU"/>
        </w:rPr>
        <w:t xml:space="preserve"> </w:t>
      </w:r>
      <w:r w:rsidR="006A2196">
        <w:rPr>
          <w:rFonts w:ascii="Times New Roman" w:hAnsi="Times New Roman" w:hint="eastAsia"/>
          <w:lang w:val="en-AU" w:eastAsia="ko-KR"/>
        </w:rPr>
        <w:t xml:space="preserve">The team </w:t>
      </w:r>
      <w:r w:rsidR="006A2196" w:rsidRPr="009C2ADD">
        <w:rPr>
          <w:rFonts w:ascii="Times New Roman" w:hAnsi="Times New Roman"/>
          <w:lang w:val="en-AU"/>
        </w:rPr>
        <w:t xml:space="preserve">assessed the fishing mortality status by comparing estimates of fishing mortality against three maximum impact sustainable </w:t>
      </w:r>
      <w:proofErr w:type="gramStart"/>
      <w:r w:rsidR="006A2196" w:rsidRPr="009C2ADD">
        <w:rPr>
          <w:rFonts w:ascii="Times New Roman" w:hAnsi="Times New Roman"/>
          <w:lang w:val="en-AU"/>
        </w:rPr>
        <w:t>threshold</w:t>
      </w:r>
      <w:proofErr w:type="gramEnd"/>
      <w:r w:rsidR="006A2196" w:rsidRPr="009C2ADD">
        <w:rPr>
          <w:rFonts w:ascii="Times New Roman" w:hAnsi="Times New Roman"/>
          <w:lang w:val="en-AU"/>
        </w:rPr>
        <w:t xml:space="preserve"> (MIST) reference points equivalent to </w:t>
      </w:r>
      <w:r w:rsidR="006A2196" w:rsidRPr="009C2ADD">
        <w:rPr>
          <w:rFonts w:ascii="Times New Roman" w:hAnsi="Times New Roman"/>
          <w:i/>
          <w:lang w:val="en-AU"/>
        </w:rPr>
        <w:t>r</w:t>
      </w:r>
      <w:r w:rsidR="006A2196" w:rsidRPr="009C2ADD">
        <w:rPr>
          <w:rFonts w:ascii="Times New Roman" w:hAnsi="Times New Roman"/>
          <w:lang w:val="en-AU"/>
        </w:rPr>
        <w:t>, 0.75</w:t>
      </w:r>
      <w:r w:rsidR="006A2196" w:rsidRPr="009C2ADD">
        <w:rPr>
          <w:rFonts w:ascii="Times New Roman" w:hAnsi="Times New Roman"/>
          <w:i/>
          <w:lang w:val="en-AU"/>
        </w:rPr>
        <w:t>r</w:t>
      </w:r>
      <w:r w:rsidR="006A2196" w:rsidRPr="009C2ADD">
        <w:rPr>
          <w:rFonts w:ascii="Times New Roman" w:hAnsi="Times New Roman"/>
          <w:lang w:val="en-AU"/>
        </w:rPr>
        <w:t xml:space="preserve"> and 0.5</w:t>
      </w:r>
      <w:r w:rsidR="006A2196" w:rsidRPr="009C2ADD">
        <w:rPr>
          <w:rFonts w:ascii="Times New Roman" w:hAnsi="Times New Roman"/>
          <w:i/>
          <w:lang w:val="en-AU"/>
        </w:rPr>
        <w:t>r</w:t>
      </w:r>
      <w:r w:rsidR="006A2196" w:rsidRPr="009C2ADD">
        <w:rPr>
          <w:rFonts w:ascii="Times New Roman" w:hAnsi="Times New Roman"/>
          <w:lang w:val="en-AU"/>
        </w:rPr>
        <w:t xml:space="preserve">, where </w:t>
      </w:r>
      <w:r w:rsidR="006A2196" w:rsidRPr="009C2ADD">
        <w:rPr>
          <w:rFonts w:ascii="Times New Roman" w:hAnsi="Times New Roman"/>
          <w:i/>
          <w:lang w:val="en-AU"/>
        </w:rPr>
        <w:t>r</w:t>
      </w:r>
      <w:r w:rsidR="006A2196" w:rsidRPr="009C2ADD">
        <w:rPr>
          <w:rFonts w:ascii="Times New Roman" w:hAnsi="Times New Roman"/>
          <w:lang w:val="en-AU"/>
        </w:rPr>
        <w:t xml:space="preserve"> refers to the estimated intrinsic </w:t>
      </w:r>
      <w:r w:rsidR="006A2196">
        <w:rPr>
          <w:rFonts w:ascii="Times New Roman" w:hAnsi="Times New Roman"/>
          <w:lang w:val="en-AU"/>
        </w:rPr>
        <w:t xml:space="preserve">growth </w:t>
      </w:r>
      <w:r w:rsidR="006A2196" w:rsidRPr="009C2ADD">
        <w:rPr>
          <w:rFonts w:ascii="Times New Roman" w:hAnsi="Times New Roman"/>
          <w:lang w:val="en-AU"/>
        </w:rPr>
        <w:t>rate of increase of the species.</w:t>
      </w:r>
    </w:p>
    <w:p w14:paraId="594203A6" w14:textId="77777777" w:rsidR="00A318D4" w:rsidRPr="009C2ADD" w:rsidRDefault="00A318D4" w:rsidP="009C2ADD">
      <w:pPr>
        <w:pStyle w:val="ListParagraph"/>
        <w:adjustRightInd w:val="0"/>
        <w:snapToGrid w:val="0"/>
        <w:contextualSpacing w:val="0"/>
        <w:rPr>
          <w:rFonts w:ascii="Times New Roman" w:hAnsi="Times New Roman"/>
          <w:lang w:val="en-AU"/>
        </w:rPr>
      </w:pPr>
      <w:bookmarkStart w:id="121" w:name="_Hlk490833446"/>
    </w:p>
    <w:bookmarkEnd w:id="121"/>
    <w:p w14:paraId="602E7609" w14:textId="66F3F6E5" w:rsidR="001409BC" w:rsidRPr="009C2ADD" w:rsidRDefault="001409BC" w:rsidP="00001F31">
      <w:pPr>
        <w:pStyle w:val="ListParagraph"/>
        <w:numPr>
          <w:ilvl w:val="0"/>
          <w:numId w:val="178"/>
        </w:numPr>
        <w:adjustRightInd w:val="0"/>
        <w:snapToGrid w:val="0"/>
        <w:ind w:left="0" w:firstLine="0"/>
        <w:contextualSpacing w:val="0"/>
        <w:rPr>
          <w:rFonts w:ascii="Times New Roman" w:hAnsi="Times New Roman"/>
          <w:b/>
        </w:rPr>
      </w:pPr>
      <w:r w:rsidRPr="009C2ADD">
        <w:rPr>
          <w:rFonts w:ascii="Times New Roman" w:hAnsi="Times New Roman"/>
          <w:b/>
          <w:lang w:eastAsia="ko-KR"/>
        </w:rPr>
        <w:t>Stock s</w:t>
      </w:r>
      <w:r w:rsidRPr="009C2ADD">
        <w:rPr>
          <w:rFonts w:ascii="Times New Roman" w:hAnsi="Times New Roman"/>
          <w:b/>
        </w:rPr>
        <w:t>tatus and trends</w:t>
      </w:r>
    </w:p>
    <w:p w14:paraId="2514CA00" w14:textId="77777777" w:rsidR="00E462BE" w:rsidRPr="009C2ADD" w:rsidRDefault="00E462BE" w:rsidP="009C2ADD">
      <w:pPr>
        <w:pStyle w:val="ListParagraph"/>
        <w:adjustRightInd w:val="0"/>
        <w:snapToGrid w:val="0"/>
        <w:ind w:firstLine="0"/>
        <w:contextualSpacing w:val="0"/>
        <w:rPr>
          <w:rFonts w:ascii="Times New Roman" w:hAnsi="Times New Roman"/>
          <w:b/>
        </w:rPr>
      </w:pPr>
    </w:p>
    <w:p w14:paraId="71732D81"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results of the assessment indicate that assuming a range of longline post-capture survival rates of 30-70%, which likely reflects current fishing operations, median sustainability risk for the 2000-2014 period ranged between:</w:t>
      </w:r>
    </w:p>
    <w:p w14:paraId="6AA59FD4" w14:textId="77777777" w:rsidR="001409BC" w:rsidRPr="009C2ADD" w:rsidRDefault="001409BC" w:rsidP="009C2ADD">
      <w:pPr>
        <w:pStyle w:val="WCPFC"/>
        <w:numPr>
          <w:ilvl w:val="0"/>
          <w:numId w:val="14"/>
        </w:numPr>
        <w:adjustRightInd w:val="0"/>
        <w:spacing w:after="0"/>
        <w:ind w:left="1080" w:hanging="357"/>
        <w:rPr>
          <w:b/>
        </w:rPr>
      </w:pPr>
      <w:r w:rsidRPr="009C2ADD">
        <w:rPr>
          <w:b/>
          <w:lang w:eastAsia="ja-JP"/>
        </w:rPr>
        <w:t xml:space="preserve"> </w:t>
      </w:r>
      <w:r w:rsidRPr="009C2ADD">
        <w:rPr>
          <w:b/>
        </w:rPr>
        <w:t xml:space="preserve">20% below to 60% above the MIST </w:t>
      </w:r>
      <w:r w:rsidRPr="009C2ADD">
        <w:rPr>
          <w:b/>
          <w:lang w:eastAsia="ja-JP"/>
        </w:rPr>
        <w:t>based on</w:t>
      </w:r>
      <w:r w:rsidRPr="009C2ADD">
        <w:rPr>
          <w:b/>
        </w:rPr>
        <w:t xml:space="preserve"> 0.5</w:t>
      </w:r>
      <w:r w:rsidRPr="009C2ADD">
        <w:rPr>
          <w:b/>
          <w:i/>
        </w:rPr>
        <w:t>r</w:t>
      </w:r>
      <w:r w:rsidRPr="009C2ADD">
        <w:rPr>
          <w:b/>
        </w:rPr>
        <w:t xml:space="preserve">, </w:t>
      </w:r>
    </w:p>
    <w:p w14:paraId="6EF16C7E" w14:textId="77777777" w:rsidR="001409BC" w:rsidRPr="009C2ADD" w:rsidRDefault="001409BC" w:rsidP="009C2ADD">
      <w:pPr>
        <w:pStyle w:val="WCPFC"/>
        <w:numPr>
          <w:ilvl w:val="0"/>
          <w:numId w:val="14"/>
        </w:numPr>
        <w:adjustRightInd w:val="0"/>
        <w:spacing w:after="0"/>
        <w:ind w:left="1080" w:hanging="357"/>
        <w:rPr>
          <w:b/>
        </w:rPr>
      </w:pPr>
      <w:r w:rsidRPr="009C2ADD">
        <w:rPr>
          <w:b/>
          <w:lang w:eastAsia="ja-JP"/>
        </w:rPr>
        <w:t xml:space="preserve"> </w:t>
      </w:r>
      <w:r w:rsidRPr="009C2ADD">
        <w:rPr>
          <w:b/>
        </w:rPr>
        <w:t>50% below to 10% above the MIST based on 0.75</w:t>
      </w:r>
      <w:r w:rsidRPr="009C2ADD">
        <w:rPr>
          <w:b/>
          <w:i/>
        </w:rPr>
        <w:t>r</w:t>
      </w:r>
      <w:r w:rsidRPr="009C2ADD">
        <w:rPr>
          <w:b/>
        </w:rPr>
        <w:t xml:space="preserve">, and </w:t>
      </w:r>
    </w:p>
    <w:p w14:paraId="3EDC0DDE" w14:textId="77777777" w:rsidR="001409BC" w:rsidRPr="009C2ADD" w:rsidRDefault="001409BC" w:rsidP="009C2ADD">
      <w:pPr>
        <w:pStyle w:val="WCPFC"/>
        <w:numPr>
          <w:ilvl w:val="0"/>
          <w:numId w:val="14"/>
        </w:numPr>
        <w:adjustRightInd w:val="0"/>
        <w:spacing w:after="0"/>
        <w:ind w:left="1080" w:hanging="357"/>
        <w:rPr>
          <w:b/>
        </w:rPr>
      </w:pPr>
      <w:r w:rsidRPr="009C2ADD">
        <w:rPr>
          <w:b/>
          <w:lang w:eastAsia="ja-JP"/>
        </w:rPr>
        <w:t xml:space="preserve"> </w:t>
      </w:r>
      <w:r w:rsidRPr="009C2ADD">
        <w:rPr>
          <w:b/>
        </w:rPr>
        <w:t xml:space="preserve">60% to 20% below the MIST based on </w:t>
      </w:r>
      <w:r w:rsidRPr="009C2ADD">
        <w:rPr>
          <w:b/>
          <w:i/>
        </w:rPr>
        <w:t>r</w:t>
      </w:r>
      <w:r w:rsidRPr="009C2ADD">
        <w:rPr>
          <w:b/>
        </w:rPr>
        <w:t xml:space="preserve">. </w:t>
      </w:r>
    </w:p>
    <w:p w14:paraId="5492D963"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1B0CCD4D" w14:textId="65EDCBD1"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also noted that CPUE increased in </w:t>
      </w:r>
      <w:r w:rsidR="006A2196">
        <w:rPr>
          <w:rFonts w:ascii="Times New Roman" w:hAnsi="Times New Roman" w:hint="eastAsia"/>
          <w:b/>
          <w:lang w:val="en-AU" w:eastAsia="ko-KR"/>
        </w:rPr>
        <w:t xml:space="preserve">the </w:t>
      </w:r>
      <w:r w:rsidRPr="009C2ADD">
        <w:rPr>
          <w:rFonts w:ascii="Times New Roman" w:hAnsi="Times New Roman"/>
          <w:b/>
          <w:lang w:val="en-AU"/>
        </w:rPr>
        <w:t xml:space="preserve">calibration area (the Hawaii-based fleet) in the last year of the assessment. This may suggest </w:t>
      </w:r>
      <w:r w:rsidR="006A2196">
        <w:rPr>
          <w:rFonts w:ascii="Times New Roman" w:hAnsi="Times New Roman" w:hint="eastAsia"/>
          <w:b/>
          <w:lang w:val="en-AU" w:eastAsia="ko-KR"/>
        </w:rPr>
        <w:t>an</w:t>
      </w:r>
      <w:r w:rsidR="006A2196" w:rsidRPr="009C2ADD">
        <w:rPr>
          <w:rFonts w:ascii="Times New Roman" w:hAnsi="Times New Roman"/>
          <w:b/>
          <w:lang w:val="en-AU"/>
        </w:rPr>
        <w:t xml:space="preserve"> </w:t>
      </w:r>
      <w:r w:rsidRPr="009C2ADD">
        <w:rPr>
          <w:rFonts w:ascii="Times New Roman" w:hAnsi="Times New Roman"/>
          <w:b/>
          <w:lang w:val="en-AU"/>
        </w:rPr>
        <w:t xml:space="preserve">increase </w:t>
      </w:r>
      <w:r w:rsidR="006A2196">
        <w:rPr>
          <w:rFonts w:ascii="Times New Roman" w:hAnsi="Times New Roman" w:hint="eastAsia"/>
          <w:b/>
          <w:lang w:val="en-AU" w:eastAsia="ko-KR"/>
        </w:rPr>
        <w:t>in</w:t>
      </w:r>
      <w:r w:rsidR="006A2196" w:rsidRPr="009C2ADD">
        <w:rPr>
          <w:rFonts w:ascii="Times New Roman" w:hAnsi="Times New Roman"/>
          <w:b/>
          <w:lang w:val="en-AU"/>
        </w:rPr>
        <w:t xml:space="preserve"> </w:t>
      </w:r>
      <w:r w:rsidRPr="009C2ADD">
        <w:rPr>
          <w:rFonts w:ascii="Times New Roman" w:hAnsi="Times New Roman"/>
          <w:b/>
          <w:lang w:val="en-AU"/>
        </w:rPr>
        <w:t xml:space="preserve">biomass, but the reason </w:t>
      </w:r>
      <w:r w:rsidR="006A2196">
        <w:rPr>
          <w:rFonts w:ascii="Times New Roman" w:hAnsi="Times New Roman" w:hint="eastAsia"/>
          <w:b/>
          <w:lang w:val="en-AU" w:eastAsia="ko-KR"/>
        </w:rPr>
        <w:t>for the</w:t>
      </w:r>
      <w:r w:rsidR="006A2196" w:rsidRPr="009C2ADD">
        <w:rPr>
          <w:rFonts w:ascii="Times New Roman" w:hAnsi="Times New Roman"/>
          <w:b/>
          <w:lang w:val="en-AU"/>
        </w:rPr>
        <w:t xml:space="preserve"> </w:t>
      </w:r>
      <w:r w:rsidRPr="009C2ADD">
        <w:rPr>
          <w:rFonts w:ascii="Times New Roman" w:hAnsi="Times New Roman"/>
          <w:b/>
          <w:lang w:val="en-AU"/>
        </w:rPr>
        <w:t>CPUE increase is not understood.</w:t>
      </w:r>
    </w:p>
    <w:p w14:paraId="20AA7BE4"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552CB9AB" w14:textId="7E835253" w:rsidR="001409BC" w:rsidRPr="009C2ADD" w:rsidRDefault="001409BC" w:rsidP="00001F31">
      <w:pPr>
        <w:pStyle w:val="WCPFC"/>
        <w:numPr>
          <w:ilvl w:val="0"/>
          <w:numId w:val="178"/>
        </w:numPr>
        <w:adjustRightInd w:val="0"/>
        <w:spacing w:after="0"/>
        <w:ind w:left="0" w:firstLine="0"/>
        <w:jc w:val="left"/>
      </w:pPr>
      <w:r w:rsidRPr="009C2ADD">
        <w:rPr>
          <w:b/>
        </w:rPr>
        <w:t>Management advice and implications</w:t>
      </w:r>
      <w:r w:rsidRPr="009C2ADD">
        <w:br/>
      </w:r>
    </w:p>
    <w:p w14:paraId="2FDBC5E4" w14:textId="51D43152"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although the stock status of this species is currently unknown, the bigeye thresher assessment showed that, estimating for current fishing operations (with 30-70% post-capture mortality) across a range of scenarios, some of the median F estimates exceeded two of the three indicative reference points (0.5</w:t>
      </w:r>
      <w:r w:rsidRPr="009C2ADD">
        <w:rPr>
          <w:rFonts w:ascii="Times New Roman" w:hAnsi="Times New Roman"/>
          <w:b/>
          <w:i/>
          <w:lang w:val="en-AU"/>
        </w:rPr>
        <w:t>r</w:t>
      </w:r>
      <w:r w:rsidRPr="009C2ADD">
        <w:rPr>
          <w:rFonts w:ascii="Times New Roman" w:hAnsi="Times New Roman"/>
          <w:b/>
          <w:lang w:val="en-AU"/>
        </w:rPr>
        <w:t xml:space="preserve"> and 0.75</w:t>
      </w:r>
      <w:r w:rsidRPr="009C2ADD">
        <w:rPr>
          <w:rFonts w:ascii="Times New Roman" w:hAnsi="Times New Roman"/>
          <w:b/>
          <w:i/>
          <w:lang w:val="en-AU"/>
        </w:rPr>
        <w:t>r</w:t>
      </w:r>
      <w:r w:rsidRPr="009C2ADD">
        <w:rPr>
          <w:rFonts w:ascii="Times New Roman" w:hAnsi="Times New Roman"/>
          <w:b/>
          <w:lang w:val="en-AU"/>
        </w:rPr>
        <w:t xml:space="preserve">) (Table </w:t>
      </w:r>
      <w:r w:rsidR="006A2196">
        <w:rPr>
          <w:rFonts w:ascii="Times New Roman" w:hAnsi="Times New Roman" w:hint="eastAsia"/>
          <w:b/>
          <w:lang w:val="en-AU" w:eastAsia="ko-KR"/>
        </w:rPr>
        <w:t>BTH</w:t>
      </w:r>
      <w:r w:rsidRPr="009C2ADD">
        <w:rPr>
          <w:rFonts w:ascii="Times New Roman" w:hAnsi="Times New Roman"/>
          <w:b/>
          <w:lang w:val="en-AU"/>
        </w:rPr>
        <w:t>-1).  Across all 30-70% post-capture scenarios, there is a &gt;50% probability in most years that F &gt; MIST based on 0.5</w:t>
      </w:r>
      <w:r w:rsidRPr="009C2ADD">
        <w:rPr>
          <w:rFonts w:ascii="Times New Roman" w:hAnsi="Times New Roman"/>
          <w:b/>
          <w:i/>
          <w:lang w:val="en-AU"/>
        </w:rPr>
        <w:t xml:space="preserve">r </w:t>
      </w:r>
      <w:r w:rsidRPr="009C2ADD">
        <w:rPr>
          <w:rFonts w:ascii="Times New Roman" w:hAnsi="Times New Roman"/>
          <w:b/>
          <w:lang w:val="en-AU"/>
        </w:rPr>
        <w:t>and a &gt;20% probability in most years that F &gt; MIST based on 0.75</w:t>
      </w:r>
      <w:r w:rsidRPr="009C2ADD">
        <w:rPr>
          <w:rFonts w:ascii="Times New Roman" w:hAnsi="Times New Roman"/>
          <w:b/>
          <w:i/>
          <w:lang w:val="en-AU"/>
        </w:rPr>
        <w:t>r</w:t>
      </w:r>
      <w:r w:rsidRPr="009C2ADD">
        <w:rPr>
          <w:rFonts w:ascii="Times New Roman" w:hAnsi="Times New Roman"/>
          <w:b/>
          <w:lang w:val="en-AU"/>
        </w:rPr>
        <w:t xml:space="preserve">. (Table </w:t>
      </w:r>
      <w:r w:rsidR="0020298D">
        <w:rPr>
          <w:rFonts w:ascii="Times New Roman" w:hAnsi="Times New Roman" w:hint="eastAsia"/>
          <w:b/>
          <w:lang w:val="en-AU" w:eastAsia="ko-KR"/>
        </w:rPr>
        <w:t>BTH</w:t>
      </w:r>
      <w:r w:rsidRPr="009C2ADD">
        <w:rPr>
          <w:rFonts w:ascii="Times New Roman" w:hAnsi="Times New Roman"/>
          <w:b/>
          <w:lang w:val="en-AU"/>
        </w:rPr>
        <w:t>-2).</w:t>
      </w:r>
    </w:p>
    <w:p w14:paraId="26F68F2B" w14:textId="77777777" w:rsidR="00457886" w:rsidRDefault="00457886" w:rsidP="0070772D">
      <w:pPr>
        <w:pStyle w:val="WCPFC"/>
        <w:numPr>
          <w:ilvl w:val="0"/>
          <w:numId w:val="0"/>
        </w:numPr>
        <w:adjustRightInd w:val="0"/>
        <w:spacing w:after="0"/>
        <w:rPr>
          <w:b/>
        </w:rPr>
      </w:pPr>
    </w:p>
    <w:p w14:paraId="6692755A" w14:textId="77777777" w:rsidR="003F37B8" w:rsidRDefault="003F37B8">
      <w:pPr>
        <w:spacing w:after="0"/>
        <w:jc w:val="left"/>
        <w:rPr>
          <w:rFonts w:ascii="Times New Roman" w:hAnsi="Times New Roman"/>
          <w:b/>
          <w:lang w:eastAsia="en-NZ"/>
        </w:rPr>
      </w:pPr>
      <w:r>
        <w:rPr>
          <w:b/>
        </w:rPr>
        <w:br w:type="page"/>
      </w:r>
    </w:p>
    <w:p w14:paraId="475F93E6" w14:textId="4951EA33" w:rsidR="00A318D4" w:rsidRPr="009C2ADD" w:rsidRDefault="00A318D4" w:rsidP="0070772D">
      <w:pPr>
        <w:pStyle w:val="WCPFC"/>
        <w:numPr>
          <w:ilvl w:val="0"/>
          <w:numId w:val="0"/>
        </w:numPr>
        <w:adjustRightInd w:val="0"/>
        <w:spacing w:after="0"/>
        <w:rPr>
          <w:b/>
        </w:rPr>
      </w:pPr>
      <w:proofErr w:type="gramStart"/>
      <w:r w:rsidRPr="009C2ADD">
        <w:rPr>
          <w:b/>
        </w:rPr>
        <w:t xml:space="preserve">TABLE </w:t>
      </w:r>
      <w:r w:rsidR="00627B09">
        <w:rPr>
          <w:rFonts w:hint="eastAsia"/>
          <w:b/>
          <w:lang w:eastAsia="ko-KR"/>
        </w:rPr>
        <w:t>BTH</w:t>
      </w:r>
      <w:r w:rsidRPr="009C2ADD">
        <w:rPr>
          <w:b/>
        </w:rPr>
        <w:t>-1.</w:t>
      </w:r>
      <w:proofErr w:type="gramEnd"/>
      <w:r w:rsidRPr="009C2ADD">
        <w:rPr>
          <w:b/>
        </w:rPr>
        <w:t xml:space="preserve"> </w:t>
      </w:r>
      <w:r w:rsidR="00627B09">
        <w:t>Sustainability risk (ratio of impact to MIST, at three levels of the MIST, with values &gt;1 considered to be unsustainable) (median values and 95% quantile range) for bigeye thresher in the Pacific. Estimates are for the Core Area and the Assessment Area assuming the occurrence of post-capture survival (random occurrence between 30% and 70%) in impact estimation and three initial population status assumptions (low (0.3), medium (0.5), and high (0.7)). Results are contrasted for the fifteen-year period (2000-2014) and the recent period (2011-2014). F</w:t>
      </w:r>
      <w:r w:rsidR="00627B09" w:rsidRPr="0070772D">
        <w:rPr>
          <w:i/>
          <w:iCs/>
        </w:rPr>
        <w:t>crash</w:t>
      </w:r>
      <w:r w:rsidR="00627B09">
        <w:t xml:space="preserve"> = </w:t>
      </w:r>
      <w:r w:rsidR="00627B09" w:rsidRPr="0070772D">
        <w:rPr>
          <w:i/>
          <w:iCs/>
        </w:rPr>
        <w:t>r</w:t>
      </w:r>
      <w:r w:rsidR="00627B09">
        <w:t>, F</w:t>
      </w:r>
      <w:r w:rsidR="00627B09" w:rsidRPr="0070772D">
        <w:rPr>
          <w:i/>
          <w:iCs/>
        </w:rPr>
        <w:t>lim</w:t>
      </w:r>
      <w:r w:rsidR="00627B09">
        <w:t xml:space="preserve"> = 0.75</w:t>
      </w:r>
      <w:r w:rsidR="00627B09" w:rsidRPr="0070772D">
        <w:rPr>
          <w:i/>
          <w:iCs/>
        </w:rPr>
        <w:t>r</w:t>
      </w:r>
      <w:r w:rsidR="00627B09">
        <w:t>, and F</w:t>
      </w:r>
      <w:r w:rsidR="00627B09" w:rsidRPr="0070772D">
        <w:rPr>
          <w:i/>
          <w:iCs/>
        </w:rPr>
        <w:t>msm</w:t>
      </w:r>
      <w:r w:rsidR="00627B09">
        <w:t xml:space="preserve"> = </w:t>
      </w:r>
      <w:r w:rsidR="00627B09" w:rsidRPr="0070772D">
        <w:rPr>
          <w:i/>
          <w:iCs/>
        </w:rPr>
        <w:t>r</w:t>
      </w:r>
      <w:r w:rsidR="00627B09">
        <w:t>/2.</w:t>
      </w:r>
    </w:p>
    <w:p w14:paraId="18A127FD" w14:textId="2198CABB" w:rsidR="00627B09" w:rsidRPr="009C2ADD" w:rsidRDefault="00591C84" w:rsidP="009C2ADD">
      <w:pPr>
        <w:pStyle w:val="WCPFC"/>
        <w:numPr>
          <w:ilvl w:val="0"/>
          <w:numId w:val="0"/>
        </w:numPr>
        <w:adjustRightInd w:val="0"/>
        <w:spacing w:after="0"/>
        <w:ind w:left="709"/>
        <w:jc w:val="center"/>
        <w:rPr>
          <w:b/>
          <w:highlight w:val="yellow"/>
          <w:lang w:eastAsia="ko-KR"/>
        </w:rPr>
      </w:pPr>
      <w:r>
        <w:rPr>
          <w:rFonts w:hint="eastAsia"/>
          <w:b/>
          <w:noProof/>
          <w:lang w:val="en-US" w:eastAsia="ko-KR"/>
        </w:rPr>
        <w:drawing>
          <wp:inline distT="0" distB="0" distL="0" distR="0" wp14:anchorId="7DA63C00" wp14:editId="1C916B6C">
            <wp:extent cx="4441541" cy="316886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1.jpg"/>
                    <pic:cNvPicPr/>
                  </pic:nvPicPr>
                  <pic:blipFill>
                    <a:blip r:embed="rId52">
                      <a:extLst>
                        <a:ext uri="{28A0092B-C50C-407E-A947-70E740481C1C}">
                          <a14:useLocalDpi xmlns:a14="http://schemas.microsoft.com/office/drawing/2010/main" val="0"/>
                        </a:ext>
                      </a:extLst>
                    </a:blip>
                    <a:stretch>
                      <a:fillRect/>
                    </a:stretch>
                  </pic:blipFill>
                  <pic:spPr>
                    <a:xfrm>
                      <a:off x="0" y="0"/>
                      <a:ext cx="4447225" cy="3172925"/>
                    </a:xfrm>
                    <a:prstGeom prst="rect">
                      <a:avLst/>
                    </a:prstGeom>
                  </pic:spPr>
                </pic:pic>
              </a:graphicData>
            </a:graphic>
          </wp:inline>
        </w:drawing>
      </w:r>
    </w:p>
    <w:p w14:paraId="6C148E72" w14:textId="22F57FF8" w:rsidR="001409BC" w:rsidRPr="009C2ADD" w:rsidRDefault="001409BC" w:rsidP="009C2ADD">
      <w:pPr>
        <w:pStyle w:val="WCPFC"/>
        <w:numPr>
          <w:ilvl w:val="0"/>
          <w:numId w:val="0"/>
        </w:numPr>
        <w:adjustRightInd w:val="0"/>
        <w:spacing w:after="0"/>
        <w:jc w:val="left"/>
      </w:pPr>
      <w:bookmarkStart w:id="122" w:name="_Hlk491606729"/>
    </w:p>
    <w:p w14:paraId="23C5480A" w14:textId="48B7325B" w:rsidR="00A318D4" w:rsidRPr="009C2ADD" w:rsidRDefault="00A318D4" w:rsidP="0070772D">
      <w:pPr>
        <w:pStyle w:val="WCPFC"/>
        <w:numPr>
          <w:ilvl w:val="0"/>
          <w:numId w:val="0"/>
        </w:numPr>
        <w:adjustRightInd w:val="0"/>
        <w:spacing w:after="0"/>
      </w:pPr>
      <w:bookmarkStart w:id="123" w:name="_Hlk491606710"/>
      <w:bookmarkEnd w:id="122"/>
      <w:proofErr w:type="gramStart"/>
      <w:r w:rsidRPr="009C2ADD">
        <w:rPr>
          <w:b/>
        </w:rPr>
        <w:t xml:space="preserve">TABLE </w:t>
      </w:r>
      <w:r w:rsidR="00591C84">
        <w:rPr>
          <w:rFonts w:hint="eastAsia"/>
          <w:b/>
          <w:lang w:eastAsia="ko-KR"/>
        </w:rPr>
        <w:t>BTH</w:t>
      </w:r>
      <w:r w:rsidRPr="009C2ADD">
        <w:rPr>
          <w:b/>
        </w:rPr>
        <w:t>-2.</w:t>
      </w:r>
      <w:proofErr w:type="gramEnd"/>
      <w:r w:rsidRPr="009C2ADD">
        <w:rPr>
          <w:b/>
        </w:rPr>
        <w:t xml:space="preserve"> </w:t>
      </w:r>
      <w:r w:rsidR="00591C84">
        <w:t>Sustainability risk probabilities (Pr(Impact &gt; MIST), for 3 levels of MIST: F</w:t>
      </w:r>
      <w:r w:rsidR="00591C84" w:rsidRPr="00214513">
        <w:rPr>
          <w:i/>
          <w:iCs/>
        </w:rPr>
        <w:t>crash</w:t>
      </w:r>
      <w:r w:rsidR="00591C84">
        <w:t>, F</w:t>
      </w:r>
      <w:r w:rsidR="00591C84" w:rsidRPr="00214513">
        <w:rPr>
          <w:i/>
          <w:iCs/>
        </w:rPr>
        <w:t>lim</w:t>
      </w:r>
      <w:r w:rsidR="00591C84">
        <w:t>, and F</w:t>
      </w:r>
      <w:r w:rsidR="00591C84" w:rsidRPr="00214513">
        <w:rPr>
          <w:i/>
          <w:iCs/>
        </w:rPr>
        <w:t>msm</w:t>
      </w:r>
      <w:r w:rsidR="00591C84">
        <w:t>) for bigeye thresher in the Pacific, 2000-2014, assuming 100% capture mortality (left) and the occurrence of post-capture survival (right) over the Core Area and the Assessment Area (combined values across three initial population status assumptions). F</w:t>
      </w:r>
      <w:r w:rsidR="00591C84" w:rsidRPr="00214513">
        <w:rPr>
          <w:i/>
          <w:iCs/>
        </w:rPr>
        <w:t>crash</w:t>
      </w:r>
      <w:r w:rsidR="00591C84">
        <w:t xml:space="preserve"> = </w:t>
      </w:r>
      <w:r w:rsidR="00591C84" w:rsidRPr="00214513">
        <w:rPr>
          <w:i/>
          <w:iCs/>
        </w:rPr>
        <w:t>r</w:t>
      </w:r>
      <w:r w:rsidR="00591C84">
        <w:t>, F</w:t>
      </w:r>
      <w:r w:rsidR="00591C84" w:rsidRPr="00214513">
        <w:rPr>
          <w:i/>
          <w:iCs/>
        </w:rPr>
        <w:t>lim</w:t>
      </w:r>
      <w:r w:rsidR="00591C84">
        <w:t xml:space="preserve"> = 0.75</w:t>
      </w:r>
      <w:r w:rsidR="00591C84" w:rsidRPr="00214513">
        <w:rPr>
          <w:i/>
          <w:iCs/>
        </w:rPr>
        <w:t>r</w:t>
      </w:r>
      <w:r w:rsidR="00591C84">
        <w:t>, and F</w:t>
      </w:r>
      <w:r w:rsidR="00591C84" w:rsidRPr="00214513">
        <w:rPr>
          <w:i/>
          <w:iCs/>
        </w:rPr>
        <w:t>msm</w:t>
      </w:r>
      <w:r w:rsidR="00591C84">
        <w:t xml:space="preserve"> = </w:t>
      </w:r>
      <w:r w:rsidR="00591C84" w:rsidRPr="00214513">
        <w:rPr>
          <w:i/>
          <w:iCs/>
        </w:rPr>
        <w:t>r</w:t>
      </w:r>
      <w:r w:rsidR="00591C84">
        <w:t>/2.</w:t>
      </w:r>
      <w:bookmarkEnd w:id="123"/>
    </w:p>
    <w:p w14:paraId="26FE9C4E" w14:textId="0F2A1514" w:rsidR="00591C84" w:rsidRPr="009C2ADD" w:rsidRDefault="00591C84" w:rsidP="009C2ADD">
      <w:pPr>
        <w:pStyle w:val="WCPFC"/>
        <w:numPr>
          <w:ilvl w:val="0"/>
          <w:numId w:val="0"/>
        </w:numPr>
        <w:adjustRightInd w:val="0"/>
        <w:spacing w:after="0"/>
        <w:ind w:left="709"/>
        <w:jc w:val="center"/>
        <w:rPr>
          <w:b/>
          <w:highlight w:val="yellow"/>
          <w:lang w:eastAsia="ko-KR"/>
        </w:rPr>
      </w:pPr>
      <w:r>
        <w:rPr>
          <w:rFonts w:hint="eastAsia"/>
          <w:b/>
          <w:noProof/>
          <w:lang w:val="en-US" w:eastAsia="ko-KR"/>
        </w:rPr>
        <w:drawing>
          <wp:inline distT="0" distB="0" distL="0" distR="0" wp14:anchorId="5C776439" wp14:editId="796D13F0">
            <wp:extent cx="5279366" cy="308752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2.jpg"/>
                    <pic:cNvPicPr/>
                  </pic:nvPicPr>
                  <pic:blipFill>
                    <a:blip r:embed="rId53">
                      <a:extLst>
                        <a:ext uri="{28A0092B-C50C-407E-A947-70E740481C1C}">
                          <a14:useLocalDpi xmlns:a14="http://schemas.microsoft.com/office/drawing/2010/main" val="0"/>
                        </a:ext>
                      </a:extLst>
                    </a:blip>
                    <a:stretch>
                      <a:fillRect/>
                    </a:stretch>
                  </pic:blipFill>
                  <pic:spPr>
                    <a:xfrm>
                      <a:off x="0" y="0"/>
                      <a:ext cx="5279366" cy="3087527"/>
                    </a:xfrm>
                    <a:prstGeom prst="rect">
                      <a:avLst/>
                    </a:prstGeom>
                  </pic:spPr>
                </pic:pic>
              </a:graphicData>
            </a:graphic>
          </wp:inline>
        </w:drawing>
      </w:r>
    </w:p>
    <w:p w14:paraId="1F66EB25" w14:textId="77777777" w:rsidR="001409BC" w:rsidRPr="009C2ADD" w:rsidRDefault="001409BC" w:rsidP="009C2ADD">
      <w:pPr>
        <w:pStyle w:val="WCPFC"/>
        <w:numPr>
          <w:ilvl w:val="0"/>
          <w:numId w:val="0"/>
        </w:numPr>
        <w:adjustRightInd w:val="0"/>
        <w:spacing w:after="0"/>
        <w:ind w:left="720"/>
        <w:rPr>
          <w:b/>
        </w:rPr>
      </w:pPr>
    </w:p>
    <w:p w14:paraId="4A57A629" w14:textId="753BD1F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modelled scenario of 30-70% post-capture survival reduced F estimates by approximately one third and reduced the risk that the MIST based on </w:t>
      </w:r>
      <w:r w:rsidRPr="009C2ADD">
        <w:rPr>
          <w:rFonts w:ascii="Times New Roman" w:hAnsi="Times New Roman"/>
          <w:b/>
          <w:i/>
          <w:lang w:val="en-AU"/>
        </w:rPr>
        <w:t>r</w:t>
      </w:r>
      <w:r w:rsidRPr="009C2ADD">
        <w:rPr>
          <w:rFonts w:ascii="Times New Roman" w:hAnsi="Times New Roman"/>
          <w:b/>
          <w:lang w:val="en-AU"/>
        </w:rPr>
        <w:t xml:space="preserve"> will be exceeded by 50%</w:t>
      </w:r>
      <w:r w:rsidR="00E650D4">
        <w:rPr>
          <w:rFonts w:ascii="Times New Roman" w:hAnsi="Times New Roman" w:hint="eastAsia"/>
          <w:b/>
          <w:lang w:val="en-AU" w:eastAsia="ko-KR"/>
        </w:rPr>
        <w:t xml:space="preserve"> </w:t>
      </w:r>
      <w:r w:rsidRPr="009C2ADD">
        <w:rPr>
          <w:rFonts w:ascii="Times New Roman" w:hAnsi="Times New Roman"/>
          <w:b/>
          <w:lang w:val="en-AU"/>
        </w:rPr>
        <w:t xml:space="preserve">compared to the scenario assuming no post-catch survival.  A “no-retention” measure was not modelled but would be expected to reduce F even further.  </w:t>
      </w:r>
    </w:p>
    <w:p w14:paraId="626970B0"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1F8E43D2"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area of highest estimated fishing mortality overlapped with the region of higher relative abundance for the species, corresponding to a narrow band between approximately 10-15°N and 150°E-140°W.  Fishing operations targeting bigeye tuna and operating during the April-June p</w:t>
      </w:r>
      <w:r w:rsidR="009434D3" w:rsidRPr="009C2ADD">
        <w:rPr>
          <w:rFonts w:ascii="Times New Roman" w:hAnsi="Times New Roman"/>
          <w:b/>
          <w:lang w:val="en-AU"/>
        </w:rPr>
        <w:t>eriod had the highest mortality</w:t>
      </w:r>
      <w:r w:rsidRPr="009C2ADD">
        <w:rPr>
          <w:rFonts w:ascii="Times New Roman" w:hAnsi="Times New Roman"/>
          <w:b/>
          <w:lang w:val="en-AU"/>
        </w:rPr>
        <w:t xml:space="preserve"> over the recent period (2011-2014). </w:t>
      </w:r>
    </w:p>
    <w:p w14:paraId="77EBE25E" w14:textId="77777777" w:rsidR="00A318D4" w:rsidRPr="009C2ADD" w:rsidRDefault="00A318D4" w:rsidP="009C2ADD">
      <w:pPr>
        <w:pStyle w:val="ListParagraph"/>
        <w:adjustRightInd w:val="0"/>
        <w:snapToGrid w:val="0"/>
        <w:contextualSpacing w:val="0"/>
        <w:rPr>
          <w:rFonts w:ascii="Times New Roman" w:hAnsi="Times New Roman"/>
          <w:b/>
          <w:lang w:val="en-AU"/>
        </w:rPr>
      </w:pPr>
    </w:p>
    <w:p w14:paraId="2FCC895C"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the Commission needs to further consider appropriate limit reference points and risk tolerances for exceeding LRPs for sharks.  </w:t>
      </w:r>
    </w:p>
    <w:p w14:paraId="627255C1" w14:textId="77777777" w:rsidR="00A318D4" w:rsidRPr="009C2ADD" w:rsidRDefault="00A318D4" w:rsidP="009C2ADD">
      <w:pPr>
        <w:pStyle w:val="ListParagraph"/>
        <w:adjustRightInd w:val="0"/>
        <w:snapToGrid w:val="0"/>
        <w:contextualSpacing w:val="0"/>
        <w:rPr>
          <w:rFonts w:ascii="Times New Roman" w:hAnsi="Times New Roman"/>
          <w:b/>
          <w:lang w:val="en-AU"/>
        </w:rPr>
      </w:pPr>
    </w:p>
    <w:p w14:paraId="54BE5F7E"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WCPFC14 take the results of this assessment into consideration when framing a management measure for bigeye thresher sharks in the WCPO. </w:t>
      </w:r>
    </w:p>
    <w:p w14:paraId="26625325" w14:textId="77777777" w:rsidR="001409BC" w:rsidRPr="009C2ADD" w:rsidRDefault="001409BC" w:rsidP="009C2ADD">
      <w:pPr>
        <w:autoSpaceDE w:val="0"/>
        <w:autoSpaceDN w:val="0"/>
        <w:adjustRightInd w:val="0"/>
        <w:snapToGrid w:val="0"/>
        <w:spacing w:after="0"/>
        <w:rPr>
          <w:rFonts w:ascii="Times New Roman" w:eastAsia="Times New Roman" w:hAnsi="Times New Roman"/>
          <w:b/>
          <w:bCs/>
          <w:lang w:eastAsia="ko-KR"/>
        </w:rPr>
      </w:pPr>
    </w:p>
    <w:p w14:paraId="251C7B46" w14:textId="5750BB68" w:rsidR="001409BC" w:rsidRPr="009C2ADD" w:rsidRDefault="003A411E" w:rsidP="009C2ADD">
      <w:pPr>
        <w:pStyle w:val="Heading3"/>
        <w:adjustRightInd w:val="0"/>
        <w:snapToGrid w:val="0"/>
        <w:spacing w:before="0"/>
        <w:rPr>
          <w:rFonts w:ascii="Times New Roman" w:eastAsia="Times New Roman" w:hAnsi="Times New Roman" w:cs="Times New Roman"/>
          <w:iCs/>
          <w:lang w:eastAsia="ko-KR"/>
        </w:rPr>
      </w:pPr>
      <w:r w:rsidRPr="009C2ADD">
        <w:rPr>
          <w:rFonts w:ascii="Times New Roman" w:eastAsia="Times New Roman" w:hAnsi="Times New Roman" w:cs="Times New Roman"/>
          <w:lang w:eastAsia="ko-KR"/>
        </w:rPr>
        <w:t>4.3.7</w:t>
      </w:r>
      <w:r w:rsidR="00A318D4" w:rsidRPr="009C2ADD">
        <w:rPr>
          <w:rFonts w:ascii="Times New Roman" w:eastAsia="Times New Roman" w:hAnsi="Times New Roman" w:cs="Times New Roman"/>
          <w:lang w:eastAsia="ko-KR"/>
        </w:rPr>
        <w:tab/>
      </w:r>
      <w:r w:rsidRPr="009C2ADD">
        <w:rPr>
          <w:rFonts w:ascii="Times New Roman" w:eastAsia="Times New Roman" w:hAnsi="Times New Roman" w:cs="Times New Roman"/>
          <w:lang w:eastAsia="ko-KR"/>
        </w:rPr>
        <w:t xml:space="preserve"> </w:t>
      </w:r>
      <w:r w:rsidR="001409BC" w:rsidRPr="009C2ADD">
        <w:rPr>
          <w:rFonts w:ascii="Times New Roman" w:eastAsia="Times New Roman" w:hAnsi="Times New Roman" w:cs="Times New Roman"/>
          <w:lang w:eastAsia="ko-KR"/>
        </w:rPr>
        <w:t>P</w:t>
      </w:r>
      <w:r w:rsidR="001409BC" w:rsidRPr="009C2ADD">
        <w:rPr>
          <w:rFonts w:ascii="Times New Roman" w:hAnsi="Times New Roman" w:cs="Times New Roman"/>
        </w:rPr>
        <w:t>orbeagle shark</w:t>
      </w:r>
      <w:r w:rsidR="001409BC" w:rsidRPr="009C2ADD">
        <w:rPr>
          <w:rFonts w:ascii="Times New Roman" w:eastAsia="Times New Roman" w:hAnsi="Times New Roman" w:cs="Times New Roman"/>
          <w:lang w:eastAsia="ko-KR"/>
        </w:rPr>
        <w:t xml:space="preserve"> (</w:t>
      </w:r>
      <w:r w:rsidR="001409BC" w:rsidRPr="009C2ADD">
        <w:rPr>
          <w:rFonts w:ascii="Times New Roman" w:hAnsi="Times New Roman" w:cs="Times New Roman"/>
          <w:i/>
          <w:iCs/>
          <w:shd w:val="clear" w:color="auto" w:fill="FFFFFF"/>
        </w:rPr>
        <w:t>Lamna nasus</w:t>
      </w:r>
      <w:r w:rsidR="001409BC" w:rsidRPr="009C2ADD">
        <w:rPr>
          <w:rFonts w:ascii="Times New Roman" w:eastAsia="Times New Roman" w:hAnsi="Times New Roman" w:cs="Times New Roman"/>
          <w:iCs/>
          <w:lang w:eastAsia="ko-KR"/>
        </w:rPr>
        <w:t xml:space="preserve">)  </w:t>
      </w:r>
    </w:p>
    <w:p w14:paraId="50B1F52F" w14:textId="77777777" w:rsidR="0004430F" w:rsidRPr="009C2ADD" w:rsidRDefault="0004430F" w:rsidP="009C2ADD">
      <w:pPr>
        <w:adjustRightInd w:val="0"/>
        <w:snapToGrid w:val="0"/>
        <w:spacing w:after="0"/>
        <w:rPr>
          <w:rFonts w:ascii="Times New Roman" w:eastAsia="바탕" w:hAnsi="Times New Roman"/>
          <w:b/>
          <w:bCs/>
          <w:lang w:eastAsia="ko-KR"/>
        </w:rPr>
      </w:pPr>
    </w:p>
    <w:p w14:paraId="5617F439" w14:textId="43BE8B82" w:rsidR="001409BC" w:rsidRPr="009C2ADD" w:rsidRDefault="00E462BE"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4.3.7.1 </w:t>
      </w:r>
      <w:r w:rsidRPr="009C2ADD">
        <w:rPr>
          <w:rFonts w:ascii="Times New Roman" w:eastAsia="바탕" w:hAnsi="Times New Roman"/>
          <w:b/>
          <w:bCs/>
          <w:lang w:eastAsia="ko-KR"/>
        </w:rPr>
        <w:tab/>
      </w:r>
      <w:r w:rsidR="001409BC" w:rsidRPr="009C2ADD">
        <w:rPr>
          <w:rFonts w:ascii="Times New Roman" w:eastAsia="바탕" w:hAnsi="Times New Roman"/>
          <w:b/>
          <w:bCs/>
          <w:lang w:eastAsia="ko-KR"/>
        </w:rPr>
        <w:t>Review of research and information</w:t>
      </w:r>
    </w:p>
    <w:p w14:paraId="70011AFA" w14:textId="77777777" w:rsidR="001409BC" w:rsidRPr="009C2ADD" w:rsidRDefault="001409BC" w:rsidP="009C2ADD">
      <w:pPr>
        <w:pStyle w:val="ListParagraph"/>
        <w:adjustRightInd w:val="0"/>
        <w:snapToGrid w:val="0"/>
        <w:contextualSpacing w:val="0"/>
        <w:rPr>
          <w:rFonts w:ascii="Times New Roman" w:eastAsia="바탕" w:hAnsi="Times New Roman"/>
          <w:lang w:eastAsia="ko-KR"/>
        </w:rPr>
      </w:pPr>
    </w:p>
    <w:p w14:paraId="7574D4B7" w14:textId="3EF32830"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A51532">
        <w:rPr>
          <w:rFonts w:ascii="Times New Roman" w:hAnsi="Times New Roman"/>
          <w:lang w:val="en-AU"/>
        </w:rPr>
        <w:t>.</w:t>
      </w:r>
      <w:r w:rsidRPr="009C2ADD">
        <w:rPr>
          <w:rFonts w:ascii="Times New Roman" w:hAnsi="Times New Roman"/>
          <w:lang w:val="en-AU"/>
        </w:rPr>
        <w:t xml:space="preserve"> Clarke (Common Oceans (ABNJ) Tuna Project), S</w:t>
      </w:r>
      <w:r w:rsidR="00A51532">
        <w:rPr>
          <w:rFonts w:ascii="Times New Roman" w:hAnsi="Times New Roman"/>
          <w:lang w:val="en-AU"/>
        </w:rPr>
        <w:t>.</w:t>
      </w:r>
      <w:r w:rsidRPr="009C2ADD">
        <w:rPr>
          <w:rFonts w:ascii="Times New Roman" w:hAnsi="Times New Roman"/>
          <w:lang w:val="en-AU"/>
        </w:rPr>
        <w:t xml:space="preserve"> Hoyle (NIWA) and C</w:t>
      </w:r>
      <w:r w:rsidR="00A51532">
        <w:rPr>
          <w:rFonts w:ascii="Times New Roman" w:hAnsi="Times New Roman"/>
          <w:lang w:val="en-AU"/>
        </w:rPr>
        <w:t>.</w:t>
      </w:r>
      <w:r w:rsidRPr="009C2ADD">
        <w:rPr>
          <w:rFonts w:ascii="Times New Roman" w:hAnsi="Times New Roman"/>
          <w:lang w:val="en-AU"/>
        </w:rPr>
        <w:t xml:space="preserve"> Edwards (NIWA) presented </w:t>
      </w:r>
      <w:r w:rsidRPr="0070772D">
        <w:rPr>
          <w:rFonts w:ascii="Times New Roman" w:hAnsi="Times New Roman"/>
          <w:lang w:val="en-AU"/>
        </w:rPr>
        <w:t>SC13-SA-WP-12</w:t>
      </w:r>
      <w:r w:rsidRPr="00A51532">
        <w:rPr>
          <w:rFonts w:ascii="Times New Roman" w:hAnsi="Times New Roman"/>
          <w:lang w:val="en-AU"/>
        </w:rPr>
        <w:t xml:space="preserve"> </w:t>
      </w:r>
      <w:r w:rsidRPr="00A51532">
        <w:rPr>
          <w:rFonts w:ascii="Times New Roman" w:hAnsi="Times New Roman"/>
          <w:i/>
          <w:lang w:val="en-AU"/>
        </w:rPr>
        <w:t>Southern Hemisphere porbeagle shark (Lamna nasus) stock status assessment</w:t>
      </w:r>
      <w:r w:rsidRPr="00A51532">
        <w:rPr>
          <w:rFonts w:ascii="Times New Roman" w:hAnsi="Times New Roman"/>
          <w:lang w:val="en-AU"/>
        </w:rPr>
        <w:t xml:space="preserve">.  It was noted that </w:t>
      </w:r>
      <w:r w:rsidRPr="0070772D">
        <w:rPr>
          <w:rFonts w:ascii="Times New Roman" w:hAnsi="Times New Roman"/>
          <w:lang w:val="en-AU"/>
        </w:rPr>
        <w:t xml:space="preserve">SC13-SA-IP13, SC13-SA-IP14, SC13-SA-IP15, SC13-SA-IP-16, SC13-SA-IP17 </w:t>
      </w:r>
      <w:r w:rsidR="00A51532" w:rsidRPr="0070772D">
        <w:rPr>
          <w:rFonts w:ascii="Times New Roman" w:hAnsi="Times New Roman"/>
          <w:lang w:val="en-AU"/>
        </w:rPr>
        <w:t xml:space="preserve">and </w:t>
      </w:r>
      <w:r w:rsidRPr="0070772D">
        <w:rPr>
          <w:rFonts w:ascii="Times New Roman" w:hAnsi="Times New Roman"/>
          <w:lang w:val="en-AU"/>
        </w:rPr>
        <w:t>SC13-SA-IP18</w:t>
      </w:r>
      <w:r w:rsidRPr="009C2ADD">
        <w:rPr>
          <w:rFonts w:ascii="Times New Roman" w:hAnsi="Times New Roman"/>
          <w:b/>
          <w:lang w:val="en-AU"/>
        </w:rPr>
        <w:t xml:space="preserve"> </w:t>
      </w:r>
      <w:r w:rsidRPr="009C2ADD">
        <w:rPr>
          <w:rFonts w:ascii="Times New Roman" w:hAnsi="Times New Roman"/>
          <w:lang w:val="en-AU"/>
        </w:rPr>
        <w:t xml:space="preserve">were also relevant to the discussion. </w:t>
      </w:r>
    </w:p>
    <w:p w14:paraId="4F326D02"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1E115FE7" w14:textId="45403C0F"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Southern hemisphere porbeagle shark status assessment was a collaborative study involving many countries, with New Zealand, Japan, Argentina, Uruguay, and Chile providing standardized CPUE and other types of indicators. The population structure, considered unlikely to comprise a well-mixed stock, was subdivided into five subpopulations or regions by longitude. The Western Indian/Eastern Atlantic, Eastern Indian, and Western Pacific regions were assessed using indicators and a spatially explicit sustainability risk assessment. The Eastern Pacific and Western Atlantic regions were assessed with indicators only. Catch rate indicators were short, variable, and uncertain, with most either stable or increasing. Only the Argentinian size and sex indicators showed trends, with a small decline in sizes for both sexes, and a slight trend towards less female bias. The quantitative risk assessment estimated the highest fishing mortalities in the Western Indian/East Atlantic Oceans, and lowest in the Western Pacific Ocean. Risk was determined from the relationship between F estimates and the LRP, for three alternative values of the LRP, F</w:t>
      </w:r>
      <w:r w:rsidRPr="009C2ADD">
        <w:rPr>
          <w:rFonts w:ascii="Times New Roman" w:hAnsi="Times New Roman"/>
          <w:i/>
          <w:lang w:val="en-AU"/>
        </w:rPr>
        <w:t>msm</w:t>
      </w:r>
      <w:r w:rsidRPr="009C2ADD">
        <w:rPr>
          <w:rFonts w:ascii="Times New Roman" w:hAnsi="Times New Roman"/>
          <w:lang w:val="en-AU"/>
        </w:rPr>
        <w:t xml:space="preserve"> = r/2, F</w:t>
      </w:r>
      <w:r w:rsidRPr="009C2ADD">
        <w:rPr>
          <w:rFonts w:ascii="Times New Roman" w:hAnsi="Times New Roman"/>
          <w:i/>
          <w:lang w:val="en-AU"/>
        </w:rPr>
        <w:t>lim</w:t>
      </w:r>
      <w:r w:rsidRPr="009C2ADD">
        <w:rPr>
          <w:rFonts w:ascii="Times New Roman" w:hAnsi="Times New Roman"/>
          <w:lang w:val="en-AU"/>
        </w:rPr>
        <w:t xml:space="preserve"> = 0.75</w:t>
      </w:r>
      <w:r w:rsidRPr="00214513">
        <w:rPr>
          <w:rFonts w:ascii="Times New Roman" w:hAnsi="Times New Roman"/>
          <w:i/>
          <w:iCs/>
          <w:lang w:val="en-AU"/>
        </w:rPr>
        <w:t>r</w:t>
      </w:r>
      <w:r w:rsidRPr="009C2ADD">
        <w:rPr>
          <w:rFonts w:ascii="Times New Roman" w:hAnsi="Times New Roman"/>
          <w:lang w:val="en-AU"/>
        </w:rPr>
        <w:t>, and F</w:t>
      </w:r>
      <w:r w:rsidRPr="009C2ADD">
        <w:rPr>
          <w:rFonts w:ascii="Times New Roman" w:hAnsi="Times New Roman"/>
          <w:i/>
          <w:lang w:val="en-AU"/>
        </w:rPr>
        <w:t>crash</w:t>
      </w:r>
      <w:r w:rsidRPr="009C2ADD">
        <w:rPr>
          <w:rFonts w:ascii="Times New Roman" w:hAnsi="Times New Roman"/>
          <w:lang w:val="en-AU"/>
        </w:rPr>
        <w:t xml:space="preserve"> =</w:t>
      </w:r>
      <w:r w:rsidRPr="009C2ADD">
        <w:rPr>
          <w:rFonts w:ascii="Times New Roman" w:hAnsi="Times New Roman"/>
          <w:i/>
          <w:lang w:val="en-AU"/>
        </w:rPr>
        <w:t xml:space="preserve"> r</w:t>
      </w:r>
      <w:r w:rsidRPr="009C2ADD">
        <w:rPr>
          <w:rFonts w:ascii="Times New Roman" w:hAnsi="Times New Roman"/>
          <w:lang w:val="en-AU"/>
        </w:rPr>
        <w:t>. For all assessed regions and in all years assessed (1992-2014), combined F was less than 9% of the F</w:t>
      </w:r>
      <w:r w:rsidRPr="009C2ADD">
        <w:rPr>
          <w:rFonts w:ascii="Times New Roman" w:hAnsi="Times New Roman"/>
          <w:i/>
          <w:lang w:val="en-AU"/>
        </w:rPr>
        <w:t>crash</w:t>
      </w:r>
      <w:r w:rsidRPr="009C2ADD">
        <w:rPr>
          <w:rFonts w:ascii="Times New Roman" w:hAnsi="Times New Roman"/>
          <w:lang w:val="en-AU"/>
        </w:rPr>
        <w:t>, less than 12% of F</w:t>
      </w:r>
      <w:r w:rsidRPr="009C2ADD">
        <w:rPr>
          <w:rFonts w:ascii="Times New Roman" w:hAnsi="Times New Roman"/>
          <w:i/>
          <w:lang w:val="en-AU"/>
        </w:rPr>
        <w:t>lim</w:t>
      </w:r>
      <w:r w:rsidRPr="009C2ADD">
        <w:rPr>
          <w:rFonts w:ascii="Times New Roman" w:hAnsi="Times New Roman"/>
          <w:lang w:val="en-AU"/>
        </w:rPr>
        <w:t>, and less than 18% of F</w:t>
      </w:r>
      <w:r w:rsidRPr="009C2ADD">
        <w:rPr>
          <w:rFonts w:ascii="Times New Roman" w:hAnsi="Times New Roman"/>
          <w:i/>
          <w:lang w:val="en-AU"/>
        </w:rPr>
        <w:t>msm</w:t>
      </w:r>
      <w:r w:rsidRPr="009C2ADD">
        <w:rPr>
          <w:rFonts w:ascii="Times New Roman" w:hAnsi="Times New Roman"/>
          <w:lang w:val="en-AU"/>
        </w:rPr>
        <w:t>, and fell to half those levels in more recent years. There was at most a 6% probability of exceeding the F</w:t>
      </w:r>
      <w:r w:rsidRPr="009C2ADD">
        <w:rPr>
          <w:rFonts w:ascii="Times New Roman" w:hAnsi="Times New Roman"/>
          <w:i/>
          <w:lang w:val="en-AU"/>
        </w:rPr>
        <w:t>msm</w:t>
      </w:r>
      <w:r w:rsidRPr="009C2ADD">
        <w:rPr>
          <w:rFonts w:ascii="Times New Roman" w:hAnsi="Times New Roman"/>
          <w:lang w:val="en-AU"/>
        </w:rPr>
        <w:t xml:space="preserve"> in 2010-2014.  This scenario is based on 100% capture mortality, and if some porbeagles survive their encounter with the fishery </w:t>
      </w:r>
      <w:r w:rsidR="00A51532">
        <w:rPr>
          <w:rFonts w:ascii="Times New Roman" w:hAnsi="Times New Roman"/>
          <w:lang w:val="en-AU"/>
        </w:rPr>
        <w:t xml:space="preserve">this </w:t>
      </w:r>
      <w:r w:rsidRPr="009C2ADD">
        <w:rPr>
          <w:rFonts w:ascii="Times New Roman" w:hAnsi="Times New Roman"/>
          <w:lang w:val="en-AU"/>
        </w:rPr>
        <w:t>would reduce the estimated risk levels even further.</w:t>
      </w:r>
    </w:p>
    <w:p w14:paraId="5C8CB29A"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1B98D84B"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MIST as</w:t>
      </w:r>
      <w:r w:rsidR="004C544F" w:rsidRPr="009C2ADD">
        <w:rPr>
          <w:rFonts w:ascii="Times New Roman" w:hAnsi="Times New Roman"/>
          <w:lang w:val="en-AU"/>
        </w:rPr>
        <w:t>sessment assumed the following</w:t>
      </w:r>
      <w:r w:rsidRPr="009C2ADD">
        <w:rPr>
          <w:rFonts w:ascii="Times New Roman" w:hAnsi="Times New Roman"/>
          <w:lang w:val="en-AU"/>
        </w:rPr>
        <w:t xml:space="preserve"> </w:t>
      </w:r>
      <w:r w:rsidRPr="009C2ADD">
        <w:rPr>
          <w:rFonts w:ascii="Times New Roman" w:hAnsi="Times New Roman"/>
          <w:i/>
          <w:lang w:val="en-AU"/>
        </w:rPr>
        <w:t>r</w:t>
      </w:r>
      <w:r w:rsidRPr="009C2ADD">
        <w:rPr>
          <w:rFonts w:ascii="Times New Roman" w:hAnsi="Times New Roman"/>
          <w:lang w:val="en-AU"/>
        </w:rPr>
        <w:t xml:space="preserve"> equivalents:</w:t>
      </w:r>
    </w:p>
    <w:p w14:paraId="51AE71A3" w14:textId="4069341C" w:rsidR="001409BC" w:rsidRPr="009C2ADD" w:rsidRDefault="001409BC" w:rsidP="009C2ADD">
      <w:pPr>
        <w:pStyle w:val="WCPFC"/>
        <w:numPr>
          <w:ilvl w:val="0"/>
          <w:numId w:val="13"/>
        </w:numPr>
        <w:adjustRightInd w:val="0"/>
        <w:spacing w:after="0"/>
        <w:ind w:left="1080" w:hanging="357"/>
      </w:pPr>
      <w:r w:rsidRPr="009C2ADD">
        <w:rPr>
          <w:i/>
        </w:rPr>
        <w:t>r</w:t>
      </w:r>
      <w:r w:rsidRPr="009C2ADD">
        <w:t xml:space="preserve"> - </w:t>
      </w:r>
      <w:r w:rsidR="00214513" w:rsidRPr="009C2ADD">
        <w:t>The</w:t>
      </w:r>
      <w:r w:rsidRPr="009C2ADD">
        <w:t xml:space="preserve"> estimated intrinsic rate of increase of the species. Fishing mortalities that exceed this reference point risk driving the population to extinction </w:t>
      </w:r>
    </w:p>
    <w:p w14:paraId="2C4A637E" w14:textId="77777777" w:rsidR="001409BC" w:rsidRPr="009C2ADD" w:rsidRDefault="001409BC" w:rsidP="009C2ADD">
      <w:pPr>
        <w:pStyle w:val="WCPFC"/>
        <w:numPr>
          <w:ilvl w:val="0"/>
          <w:numId w:val="13"/>
        </w:numPr>
        <w:adjustRightInd w:val="0"/>
        <w:spacing w:after="0"/>
        <w:ind w:left="1080" w:hanging="357"/>
      </w:pPr>
      <w:r w:rsidRPr="009C2ADD">
        <w:t>0.75</w:t>
      </w:r>
      <w:r w:rsidRPr="009C2ADD">
        <w:rPr>
          <w:i/>
        </w:rPr>
        <w:t>r</w:t>
      </w:r>
      <w:r w:rsidRPr="009C2ADD">
        <w:t xml:space="preserve"> - Fishing mortalities that exceed this reference point may drive population to very low levels in longer term</w:t>
      </w:r>
    </w:p>
    <w:p w14:paraId="3CD7941E" w14:textId="1159905C" w:rsidR="001409BC" w:rsidRPr="009C2ADD" w:rsidRDefault="001409BC" w:rsidP="009C2ADD">
      <w:pPr>
        <w:pStyle w:val="WCPFC"/>
        <w:numPr>
          <w:ilvl w:val="0"/>
          <w:numId w:val="13"/>
        </w:numPr>
        <w:adjustRightInd w:val="0"/>
        <w:spacing w:after="0"/>
        <w:ind w:left="1080" w:hanging="357"/>
      </w:pPr>
      <w:r w:rsidRPr="009C2ADD">
        <w:t>0.5</w:t>
      </w:r>
      <w:r w:rsidRPr="009C2ADD">
        <w:rPr>
          <w:i/>
        </w:rPr>
        <w:t>r</w:t>
      </w:r>
      <w:r w:rsidRPr="009C2ADD">
        <w:t xml:space="preserve"> – Fishing mortalities that exceed this reference point are likely exceeding F</w:t>
      </w:r>
      <w:r w:rsidR="00887159" w:rsidRPr="00104C78">
        <w:rPr>
          <w:rFonts w:hint="eastAsia"/>
          <w:vertAlign w:val="subscript"/>
          <w:lang w:val="en-AU" w:eastAsia="ko-KR"/>
        </w:rPr>
        <w:t>MSY</w:t>
      </w:r>
      <w:r w:rsidRPr="009C2ADD">
        <w:t>.</w:t>
      </w:r>
    </w:p>
    <w:p w14:paraId="1CACA5B9" w14:textId="77777777" w:rsidR="00A318D4" w:rsidRDefault="00A318D4" w:rsidP="0070772D">
      <w:pPr>
        <w:pStyle w:val="WCPFC"/>
        <w:numPr>
          <w:ilvl w:val="0"/>
          <w:numId w:val="0"/>
        </w:numPr>
        <w:adjustRightInd w:val="0"/>
        <w:spacing w:after="0"/>
      </w:pPr>
    </w:p>
    <w:p w14:paraId="18D37D00" w14:textId="39531B93" w:rsidR="00E409FF" w:rsidRPr="0070772D" w:rsidRDefault="00E409FF" w:rsidP="0070772D">
      <w:pPr>
        <w:pStyle w:val="WCPFC"/>
        <w:numPr>
          <w:ilvl w:val="0"/>
          <w:numId w:val="0"/>
        </w:numPr>
        <w:adjustRightInd w:val="0"/>
        <w:spacing w:after="0"/>
        <w:rPr>
          <w:b/>
        </w:rPr>
      </w:pPr>
      <w:r w:rsidRPr="0070772D">
        <w:rPr>
          <w:b/>
        </w:rPr>
        <w:t>Discussion</w:t>
      </w:r>
    </w:p>
    <w:p w14:paraId="046F350E" w14:textId="77777777" w:rsidR="00E409FF" w:rsidRPr="009C2ADD" w:rsidRDefault="00E409FF" w:rsidP="0070772D">
      <w:pPr>
        <w:pStyle w:val="WCPFC"/>
        <w:numPr>
          <w:ilvl w:val="0"/>
          <w:numId w:val="0"/>
        </w:numPr>
        <w:adjustRightInd w:val="0"/>
        <w:spacing w:after="0"/>
      </w:pPr>
    </w:p>
    <w:p w14:paraId="355A1758" w14:textId="1D525884"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found the MIST analysis very useful, but queried the use of F</w:t>
      </w:r>
      <w:r w:rsidRPr="009C2ADD">
        <w:rPr>
          <w:rFonts w:ascii="Times New Roman" w:hAnsi="Times New Roman"/>
          <w:i/>
          <w:lang w:val="en-AU"/>
        </w:rPr>
        <w:t>lim</w:t>
      </w:r>
      <w:r w:rsidRPr="009C2ADD">
        <w:rPr>
          <w:rFonts w:ascii="Times New Roman" w:hAnsi="Times New Roman"/>
          <w:lang w:val="en-AU"/>
        </w:rPr>
        <w:t xml:space="preserve"> and F</w:t>
      </w:r>
      <w:r w:rsidRPr="009C2ADD">
        <w:rPr>
          <w:rFonts w:ascii="Times New Roman" w:hAnsi="Times New Roman"/>
          <w:i/>
          <w:lang w:val="en-AU"/>
        </w:rPr>
        <w:t>crash</w:t>
      </w:r>
      <w:r w:rsidRPr="009C2ADD">
        <w:rPr>
          <w:rFonts w:ascii="Times New Roman" w:hAnsi="Times New Roman"/>
          <w:lang w:val="en-AU"/>
        </w:rPr>
        <w:t xml:space="preserve"> without clarification to F</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xml:space="preserve">. </w:t>
      </w:r>
      <w:r w:rsidR="0050437C">
        <w:rPr>
          <w:rFonts w:ascii="Times New Roman" w:hAnsi="Times New Roman" w:hint="eastAsia"/>
          <w:lang w:val="en-AU" w:eastAsia="ko-KR"/>
        </w:rPr>
        <w:t>C.</w:t>
      </w:r>
      <w:r w:rsidR="0050437C" w:rsidRPr="009C2ADD">
        <w:rPr>
          <w:rFonts w:ascii="Times New Roman" w:hAnsi="Times New Roman"/>
          <w:lang w:val="en-AU"/>
        </w:rPr>
        <w:t xml:space="preserve"> </w:t>
      </w:r>
      <w:r w:rsidRPr="009C2ADD">
        <w:rPr>
          <w:rFonts w:ascii="Times New Roman" w:hAnsi="Times New Roman"/>
          <w:lang w:val="en-AU"/>
        </w:rPr>
        <w:t>Edwards explained that F</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xml:space="preserve"> represented F</w:t>
      </w:r>
      <w:r w:rsidRPr="009C2ADD">
        <w:rPr>
          <w:rFonts w:ascii="Times New Roman" w:hAnsi="Times New Roman"/>
          <w:i/>
          <w:lang w:val="en-AU"/>
        </w:rPr>
        <w:t>msm</w:t>
      </w:r>
      <w:r w:rsidRPr="009C2ADD">
        <w:rPr>
          <w:rFonts w:ascii="Times New Roman" w:hAnsi="Times New Roman"/>
          <w:lang w:val="en-AU"/>
        </w:rPr>
        <w:t>, the maximum sustainable fishing mortality, F</w:t>
      </w:r>
      <w:r w:rsidRPr="009C2ADD">
        <w:rPr>
          <w:rFonts w:ascii="Times New Roman" w:hAnsi="Times New Roman"/>
          <w:i/>
          <w:lang w:val="en-AU"/>
        </w:rPr>
        <w:t>lim</w:t>
      </w:r>
      <w:r w:rsidRPr="009C2ADD">
        <w:rPr>
          <w:rFonts w:ascii="Times New Roman" w:hAnsi="Times New Roman"/>
          <w:lang w:val="en-AU"/>
        </w:rPr>
        <w:t xml:space="preserve"> corresponded to B</w:t>
      </w:r>
      <w:r w:rsidRPr="009C2ADD">
        <w:rPr>
          <w:rFonts w:ascii="Times New Roman" w:hAnsi="Times New Roman"/>
          <w:i/>
          <w:lang w:val="en-AU"/>
        </w:rPr>
        <w:t>lim</w:t>
      </w:r>
      <w:r w:rsidRPr="009C2ADD">
        <w:rPr>
          <w:rFonts w:ascii="Times New Roman" w:hAnsi="Times New Roman"/>
          <w:lang w:val="en-AU"/>
        </w:rPr>
        <w:t xml:space="preserve"> where B</w:t>
      </w:r>
      <w:r w:rsidRPr="009C2ADD">
        <w:rPr>
          <w:rFonts w:ascii="Times New Roman" w:hAnsi="Times New Roman"/>
          <w:i/>
          <w:lang w:val="en-AU"/>
        </w:rPr>
        <w:t xml:space="preserve">lim </w:t>
      </w:r>
      <w:r w:rsidRPr="009C2ADD">
        <w:rPr>
          <w:rFonts w:ascii="Times New Roman" w:hAnsi="Times New Roman"/>
          <w:lang w:val="en-AU"/>
        </w:rPr>
        <w:t>= B</w:t>
      </w:r>
      <w:r w:rsidRPr="009C2ADD">
        <w:rPr>
          <w:rFonts w:ascii="Times New Roman" w:hAnsi="Times New Roman"/>
          <w:i/>
          <w:lang w:val="en-AU"/>
        </w:rPr>
        <w:t>msm</w:t>
      </w:r>
      <w:r w:rsidRPr="009C2ADD">
        <w:rPr>
          <w:rFonts w:ascii="Times New Roman" w:hAnsi="Times New Roman"/>
          <w:lang w:val="en-AU"/>
        </w:rPr>
        <w:t>/2 and F</w:t>
      </w:r>
      <w:r w:rsidRPr="009C2ADD">
        <w:rPr>
          <w:rFonts w:ascii="Times New Roman" w:hAnsi="Times New Roman"/>
          <w:i/>
          <w:lang w:val="en-AU"/>
        </w:rPr>
        <w:t>crash</w:t>
      </w:r>
      <w:r w:rsidRPr="009C2ADD">
        <w:rPr>
          <w:rFonts w:ascii="Times New Roman" w:hAnsi="Times New Roman"/>
          <w:lang w:val="en-AU"/>
        </w:rPr>
        <w:t xml:space="preserve"> represented </w:t>
      </w:r>
      <w:r w:rsidRPr="009C2ADD">
        <w:rPr>
          <w:rFonts w:ascii="Times New Roman" w:hAnsi="Times New Roman"/>
          <w:i/>
          <w:lang w:val="en-AU"/>
        </w:rPr>
        <w:t>r</w:t>
      </w:r>
      <w:r w:rsidRPr="009C2ADD">
        <w:rPr>
          <w:rFonts w:ascii="Times New Roman" w:hAnsi="Times New Roman"/>
          <w:lang w:val="en-AU"/>
        </w:rPr>
        <w:t>.  If F was greater than F</w:t>
      </w:r>
      <w:r w:rsidRPr="009C2ADD">
        <w:rPr>
          <w:rFonts w:ascii="Times New Roman" w:hAnsi="Times New Roman"/>
          <w:i/>
          <w:lang w:val="en-AU"/>
        </w:rPr>
        <w:t>msm</w:t>
      </w:r>
      <w:r w:rsidRPr="009C2ADD">
        <w:rPr>
          <w:rFonts w:ascii="Times New Roman" w:hAnsi="Times New Roman"/>
          <w:lang w:val="en-AU"/>
        </w:rPr>
        <w:t xml:space="preserve"> it could generally be concluded that overfishing was occurring.  F</w:t>
      </w:r>
      <w:r w:rsidRPr="009C2ADD">
        <w:rPr>
          <w:rFonts w:ascii="Times New Roman" w:hAnsi="Times New Roman"/>
          <w:i/>
          <w:lang w:val="en-AU"/>
        </w:rPr>
        <w:t>lim</w:t>
      </w:r>
      <w:r w:rsidRPr="009C2ADD">
        <w:rPr>
          <w:rFonts w:ascii="Times New Roman" w:hAnsi="Times New Roman"/>
          <w:lang w:val="en-AU"/>
        </w:rPr>
        <w:t xml:space="preserve"> was considered to be high risk and F</w:t>
      </w:r>
      <w:r w:rsidRPr="009C2ADD">
        <w:rPr>
          <w:rFonts w:ascii="Times New Roman" w:hAnsi="Times New Roman"/>
          <w:i/>
          <w:lang w:val="en-AU"/>
        </w:rPr>
        <w:t>crash</w:t>
      </w:r>
      <w:r w:rsidRPr="009C2ADD">
        <w:rPr>
          <w:rFonts w:ascii="Times New Roman" w:hAnsi="Times New Roman"/>
          <w:lang w:val="en-AU"/>
        </w:rPr>
        <w:t xml:space="preserve"> was considered to be extremely high and unsustainable F.   </w:t>
      </w:r>
    </w:p>
    <w:p w14:paraId="265E73A3"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5C3E59A4" w14:textId="420186AA" w:rsidR="001409BC"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consultants explained that the reference points were drawn from a paper by Zhou et al. (2011) which was reviewed and presented to the SC as </w:t>
      </w:r>
      <w:r w:rsidRPr="0070772D">
        <w:rPr>
          <w:rFonts w:ascii="Times New Roman" w:hAnsi="Times New Roman"/>
          <w:lang w:val="en-AU"/>
        </w:rPr>
        <w:t>SC10-MI-WP-07</w:t>
      </w:r>
      <w:r w:rsidRPr="009C2ADD">
        <w:rPr>
          <w:rFonts w:ascii="Times New Roman" w:hAnsi="Times New Roman"/>
          <w:b/>
          <w:lang w:val="en-AU"/>
        </w:rPr>
        <w:t>.</w:t>
      </w:r>
      <w:r w:rsidRPr="009C2ADD">
        <w:rPr>
          <w:rFonts w:ascii="Times New Roman" w:hAnsi="Times New Roman"/>
          <w:lang w:val="en-AU"/>
        </w:rPr>
        <w:t xml:space="preserve">  </w:t>
      </w:r>
    </w:p>
    <w:p w14:paraId="429EC918" w14:textId="77777777" w:rsidR="000F5C6A" w:rsidRDefault="000F5C6A" w:rsidP="000F5C6A">
      <w:pPr>
        <w:pStyle w:val="ListParagraph"/>
        <w:rPr>
          <w:rFonts w:ascii="Times New Roman" w:hAnsi="Times New Roman"/>
          <w:lang w:val="en-AU"/>
        </w:rPr>
      </w:pPr>
    </w:p>
    <w:p w14:paraId="5F01DE24" w14:textId="17BB42A6" w:rsidR="001409BC" w:rsidRPr="009C2ADD" w:rsidRDefault="000F5C6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reported that it applied </w:t>
      </w:r>
      <w:r>
        <w:rPr>
          <w:rFonts w:ascii="Times New Roman" w:hAnsi="Times New Roman"/>
          <w:lang w:val="en-AU"/>
        </w:rPr>
        <w:t xml:space="preserve">these reference points for risk assessment in </w:t>
      </w:r>
      <w:r w:rsidRPr="009C2ADD">
        <w:rPr>
          <w:rFonts w:ascii="Times New Roman" w:hAnsi="Times New Roman"/>
          <w:lang w:val="en-AU"/>
        </w:rPr>
        <w:t>its domestic fisheries, found it provided a good treatment of uncertainty, and</w:t>
      </w:r>
      <w:r>
        <w:rPr>
          <w:rFonts w:ascii="Times New Roman" w:hAnsi="Times New Roman"/>
          <w:lang w:val="en-AU"/>
        </w:rPr>
        <w:t xml:space="preserve"> that management actions where required</w:t>
      </w:r>
      <w:r w:rsidRPr="009C2ADD">
        <w:rPr>
          <w:rFonts w:ascii="Times New Roman" w:hAnsi="Times New Roman"/>
          <w:lang w:val="en-AU"/>
        </w:rPr>
        <w:t xml:space="preserve"> when </w:t>
      </w:r>
      <w:r>
        <w:rPr>
          <w:rFonts w:ascii="Times New Roman" w:hAnsi="Times New Roman"/>
          <w:lang w:val="en-AU"/>
        </w:rPr>
        <w:t xml:space="preserve">F exceeded </w:t>
      </w:r>
      <w:r w:rsidRPr="009C2ADD">
        <w:rPr>
          <w:rFonts w:ascii="Times New Roman" w:hAnsi="Times New Roman"/>
          <w:lang w:val="en-AU"/>
        </w:rPr>
        <w:t>F</w:t>
      </w:r>
      <w:r w:rsidRPr="0070772D">
        <w:rPr>
          <w:rFonts w:ascii="Times New Roman" w:hAnsi="Times New Roman"/>
          <w:i/>
          <w:lang w:val="en-AU"/>
        </w:rPr>
        <w:t>lim</w:t>
      </w:r>
      <w:r w:rsidR="001409BC" w:rsidRPr="009C2ADD">
        <w:rPr>
          <w:rFonts w:ascii="Times New Roman" w:hAnsi="Times New Roman"/>
          <w:lang w:val="en-AU"/>
        </w:rPr>
        <w:t>. Australia welcomed the risk-based assessment as especially relevant for data poor fisheries and asked that the probabilities of exceeding the F</w:t>
      </w:r>
      <w:r w:rsidR="001409BC" w:rsidRPr="0070772D">
        <w:rPr>
          <w:rFonts w:ascii="Times New Roman" w:hAnsi="Times New Roman"/>
          <w:i/>
          <w:lang w:val="en-AU"/>
        </w:rPr>
        <w:t>msm</w:t>
      </w:r>
      <w:r w:rsidR="001409BC" w:rsidRPr="009C2ADD">
        <w:rPr>
          <w:rFonts w:ascii="Times New Roman" w:hAnsi="Times New Roman"/>
          <w:lang w:val="en-AU"/>
        </w:rPr>
        <w:t xml:space="preserve"> and F</w:t>
      </w:r>
      <w:r w:rsidR="001409BC" w:rsidRPr="0070772D">
        <w:rPr>
          <w:rFonts w:ascii="Times New Roman" w:hAnsi="Times New Roman"/>
          <w:i/>
          <w:lang w:val="en-AU"/>
        </w:rPr>
        <w:t>lim</w:t>
      </w:r>
      <w:r w:rsidR="001409BC" w:rsidRPr="009C2ADD">
        <w:rPr>
          <w:rFonts w:ascii="Times New Roman" w:hAnsi="Times New Roman"/>
          <w:lang w:val="en-AU"/>
        </w:rPr>
        <w:t xml:space="preserve"> reference points be provided in addition to the F</w:t>
      </w:r>
      <w:r w:rsidR="001409BC" w:rsidRPr="0070772D">
        <w:rPr>
          <w:rFonts w:ascii="Times New Roman" w:hAnsi="Times New Roman"/>
          <w:i/>
          <w:lang w:val="en-AU"/>
        </w:rPr>
        <w:t>crash</w:t>
      </w:r>
      <w:r w:rsidR="0023465A" w:rsidRPr="009C2ADD">
        <w:rPr>
          <w:rFonts w:ascii="Times New Roman" w:hAnsi="Times New Roman"/>
          <w:lang w:val="en-AU"/>
        </w:rPr>
        <w:t xml:space="preserve"> reference point.</w:t>
      </w:r>
      <w:r w:rsidR="001409BC" w:rsidRPr="009C2ADD">
        <w:rPr>
          <w:rFonts w:ascii="Times New Roman" w:hAnsi="Times New Roman"/>
          <w:lang w:val="en-AU"/>
        </w:rPr>
        <w:t xml:space="preserve"> They supported further development of limit reference points </w:t>
      </w:r>
      <w:r w:rsidR="0023465A" w:rsidRPr="009C2ADD">
        <w:rPr>
          <w:rFonts w:ascii="Times New Roman" w:hAnsi="Times New Roman"/>
          <w:lang w:val="en-AU"/>
        </w:rPr>
        <w:t>for sharks by the Commission.</w:t>
      </w:r>
      <w:r w:rsidR="001409BC" w:rsidRPr="009C2ADD">
        <w:rPr>
          <w:rFonts w:ascii="Times New Roman" w:hAnsi="Times New Roman"/>
          <w:lang w:val="en-AU"/>
        </w:rPr>
        <w:t xml:space="preserve"> They</w:t>
      </w:r>
      <w:r w:rsidR="0023465A" w:rsidRPr="009C2ADD">
        <w:rPr>
          <w:rFonts w:ascii="Times New Roman" w:hAnsi="Times New Roman"/>
          <w:lang w:val="en-AU"/>
        </w:rPr>
        <w:t xml:space="preserve"> further</w:t>
      </w:r>
      <w:r w:rsidR="001409BC" w:rsidRPr="009C2ADD">
        <w:rPr>
          <w:rFonts w:ascii="Times New Roman" w:hAnsi="Times New Roman"/>
          <w:lang w:val="en-AU"/>
        </w:rPr>
        <w:t xml:space="preserve"> suggested that a comparison be conducted by using the risk-based methodology in parallel with a more complex stock assessment.</w:t>
      </w:r>
    </w:p>
    <w:p w14:paraId="10870E5B"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65B3E4B1" w14:textId="2F85D3BD"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for clarification on the data coverage from the Japanese fishery.  </w:t>
      </w:r>
      <w:r w:rsidR="0050437C">
        <w:rPr>
          <w:rFonts w:ascii="Times New Roman" w:hAnsi="Times New Roman" w:hint="eastAsia"/>
          <w:lang w:val="en-AU" w:eastAsia="ko-KR"/>
        </w:rPr>
        <w:t>S.</w:t>
      </w:r>
      <w:r w:rsidR="0050437C" w:rsidRPr="009C2ADD">
        <w:rPr>
          <w:rFonts w:ascii="Times New Roman" w:hAnsi="Times New Roman"/>
          <w:lang w:val="en-AU"/>
        </w:rPr>
        <w:t xml:space="preserve"> </w:t>
      </w:r>
      <w:r w:rsidRPr="009C2ADD">
        <w:rPr>
          <w:rFonts w:ascii="Times New Roman" w:hAnsi="Times New Roman"/>
          <w:lang w:val="en-AU"/>
        </w:rPr>
        <w:t xml:space="preserve">Hoyle noted that the data derived from Japan’s </w:t>
      </w:r>
      <w:r w:rsidR="00633679" w:rsidRPr="009C2ADD">
        <w:rPr>
          <w:rFonts w:ascii="Times New Roman" w:hAnsi="Times New Roman"/>
          <w:lang w:val="en-AU"/>
        </w:rPr>
        <w:t xml:space="preserve">longline </w:t>
      </w:r>
      <w:r w:rsidR="00633679">
        <w:rPr>
          <w:rFonts w:ascii="Times New Roman" w:hAnsi="Times New Roman"/>
          <w:lang w:val="en-AU"/>
        </w:rPr>
        <w:t xml:space="preserve">fishery for </w:t>
      </w:r>
      <w:r w:rsidR="00633679" w:rsidRPr="009C2ADD">
        <w:rPr>
          <w:rFonts w:ascii="Times New Roman" w:hAnsi="Times New Roman"/>
          <w:lang w:val="en-AU"/>
        </w:rPr>
        <w:t xml:space="preserve">southern blue tuna which </w:t>
      </w:r>
      <w:r w:rsidRPr="009C2ADD">
        <w:rPr>
          <w:rFonts w:ascii="Times New Roman" w:hAnsi="Times New Roman"/>
          <w:lang w:val="en-AU"/>
        </w:rPr>
        <w:t xml:space="preserve">had the best observer coverage among Japanese fisheries.   Australia also asked if it might be useful to use a different calibration area to check for sensitivity of the results to selection of the calibration area. </w:t>
      </w:r>
      <w:r w:rsidR="0050437C">
        <w:rPr>
          <w:rFonts w:ascii="Times New Roman" w:hAnsi="Times New Roman" w:hint="eastAsia"/>
          <w:lang w:val="en-AU" w:eastAsia="ko-KR"/>
        </w:rPr>
        <w:t>S.</w:t>
      </w:r>
      <w:r w:rsidR="0050437C" w:rsidRPr="009C2ADD">
        <w:rPr>
          <w:rFonts w:ascii="Times New Roman" w:hAnsi="Times New Roman"/>
          <w:lang w:val="en-AU"/>
        </w:rPr>
        <w:t xml:space="preserve"> </w:t>
      </w:r>
      <w:r w:rsidRPr="009C2ADD">
        <w:rPr>
          <w:rFonts w:ascii="Times New Roman" w:hAnsi="Times New Roman"/>
          <w:lang w:val="en-AU"/>
        </w:rPr>
        <w:t xml:space="preserve">Hoyle responded that they had not done a sensitivity analysis for a different calibration area but </w:t>
      </w:r>
      <w:r w:rsidR="00217343">
        <w:rPr>
          <w:rFonts w:ascii="Times New Roman" w:hAnsi="Times New Roman"/>
          <w:lang w:val="en-AU"/>
        </w:rPr>
        <w:t xml:space="preserve">had </w:t>
      </w:r>
      <w:r w:rsidRPr="009C2ADD">
        <w:rPr>
          <w:rFonts w:ascii="Times New Roman" w:hAnsi="Times New Roman"/>
          <w:lang w:val="en-AU"/>
        </w:rPr>
        <w:t xml:space="preserve">applied different CPUE series to the calibration exercise and that this showed little difference to the result. </w:t>
      </w:r>
    </w:p>
    <w:p w14:paraId="00CA936F"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41593D6E" w14:textId="77777777" w:rsidR="0004430F"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EU supported Australia’s suggestion for benchmarking the risk assessment methodology against a more complex and data-intensive stock assessment model.  In response to a query from EU regarding the application of this methodology to other data poor species, the authors noted that one of their objectives was to develop new methodologies for sharks and thus they are seeking feedback from the SC on its applicability to other sharks</w:t>
      </w:r>
    </w:p>
    <w:p w14:paraId="2881C79B"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05545B96" w14:textId="7FFAD842" w:rsidR="001409BC" w:rsidRPr="009C2ADD" w:rsidRDefault="00E462BE" w:rsidP="009C2ADD">
      <w:pPr>
        <w:adjustRightInd w:val="0"/>
        <w:snapToGrid w:val="0"/>
        <w:spacing w:after="0"/>
        <w:rPr>
          <w:rFonts w:ascii="Times New Roman" w:eastAsia="Times New Roman" w:hAnsi="Times New Roman"/>
          <w:b/>
          <w:bCs/>
          <w:lang w:eastAsia="ko-KR"/>
        </w:rPr>
      </w:pPr>
      <w:r w:rsidRPr="009C2ADD">
        <w:rPr>
          <w:rFonts w:ascii="Times New Roman" w:hAnsi="Times New Roman"/>
          <w:b/>
          <w:bCs/>
          <w:lang w:eastAsia="ko-KR"/>
        </w:rPr>
        <w:t xml:space="preserve">4.3.7.2 </w:t>
      </w:r>
      <w:r w:rsidRPr="009C2ADD">
        <w:rPr>
          <w:rFonts w:ascii="Times New Roman" w:hAnsi="Times New Roman"/>
          <w:b/>
          <w:bCs/>
          <w:lang w:eastAsia="ko-KR"/>
        </w:rPr>
        <w:tab/>
      </w:r>
      <w:r w:rsidR="001409BC" w:rsidRPr="009C2ADD">
        <w:rPr>
          <w:rFonts w:ascii="Times New Roman" w:eastAsia="Times New Roman" w:hAnsi="Times New Roman"/>
          <w:b/>
          <w:bCs/>
          <w:lang w:eastAsia="ko-KR"/>
        </w:rPr>
        <w:t>Provision of scientific information</w:t>
      </w:r>
    </w:p>
    <w:p w14:paraId="104A3973" w14:textId="77777777" w:rsidR="009434D3" w:rsidRPr="009C2ADD" w:rsidRDefault="009434D3" w:rsidP="009C2ADD">
      <w:pPr>
        <w:adjustRightInd w:val="0"/>
        <w:snapToGrid w:val="0"/>
        <w:spacing w:after="0"/>
        <w:rPr>
          <w:rFonts w:ascii="Times New Roman" w:eastAsia="Times New Roman" w:hAnsi="Times New Roman"/>
          <w:b/>
          <w:bCs/>
          <w:lang w:eastAsia="ko-KR"/>
        </w:rPr>
      </w:pPr>
    </w:p>
    <w:p w14:paraId="0A8AADD9" w14:textId="258644BC"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reviewed the report for Southern Hemisphere porbeagle shark (</w:t>
      </w:r>
      <w:r w:rsidRPr="00464B7F">
        <w:rPr>
          <w:rFonts w:ascii="Times New Roman" w:hAnsi="Times New Roman"/>
          <w:i/>
          <w:lang w:val="en-AU"/>
        </w:rPr>
        <w:t>Lamna nasus</w:t>
      </w:r>
      <w:r w:rsidRPr="009C2ADD">
        <w:rPr>
          <w:rFonts w:ascii="Times New Roman" w:hAnsi="Times New Roman"/>
          <w:lang w:val="en-AU"/>
        </w:rPr>
        <w:t xml:space="preserve">) stock status assessment </w:t>
      </w:r>
      <w:r w:rsidR="00217343">
        <w:rPr>
          <w:rFonts w:ascii="Times New Roman" w:hAnsi="Times New Roman"/>
          <w:lang w:val="en-AU"/>
        </w:rPr>
        <w:t>presented by S. Clarke, S. Hoyle and</w:t>
      </w:r>
      <w:r w:rsidR="00217343" w:rsidRPr="009C2ADD">
        <w:rPr>
          <w:rFonts w:ascii="Times New Roman" w:hAnsi="Times New Roman"/>
          <w:lang w:val="en-AU"/>
        </w:rPr>
        <w:t xml:space="preserve"> C. Edwards</w:t>
      </w:r>
      <w:r w:rsidR="00FE60B0">
        <w:rPr>
          <w:rFonts w:ascii="Times New Roman" w:hAnsi="Times New Roman"/>
          <w:lang w:val="en-AU"/>
        </w:rPr>
        <w:t xml:space="preserve"> (SC13-SA-WP-12)</w:t>
      </w:r>
      <w:r w:rsidR="00217343">
        <w:rPr>
          <w:rFonts w:ascii="Times New Roman" w:hAnsi="Times New Roman"/>
          <w:lang w:val="en-AU"/>
        </w:rPr>
        <w:t>.</w:t>
      </w:r>
      <w:r w:rsidR="00217343" w:rsidRPr="009C2ADD">
        <w:rPr>
          <w:rFonts w:ascii="Times New Roman" w:hAnsi="Times New Roman"/>
          <w:lang w:val="en-AU"/>
        </w:rPr>
        <w:t xml:space="preserve"> The Pacific-wide sustainability risk assessment of Southern Hemisphere porbeagle shark assessed status by comparing estimates of fishing mortality against three maximum impact sustainable threshold reference </w:t>
      </w:r>
      <w:proofErr w:type="gramStart"/>
      <w:r w:rsidR="00217343" w:rsidRPr="009C2ADD">
        <w:rPr>
          <w:rFonts w:ascii="Times New Roman" w:hAnsi="Times New Roman"/>
          <w:lang w:val="en-AU"/>
        </w:rPr>
        <w:t>points</w:t>
      </w:r>
      <w:proofErr w:type="gramEnd"/>
      <w:r w:rsidR="00217343" w:rsidRPr="009C2ADD">
        <w:rPr>
          <w:rFonts w:ascii="Times New Roman" w:hAnsi="Times New Roman"/>
          <w:lang w:val="en-AU"/>
        </w:rPr>
        <w:t xml:space="preserve"> equivalent to </w:t>
      </w:r>
      <w:r w:rsidR="00217343" w:rsidRPr="009C2ADD">
        <w:rPr>
          <w:rFonts w:ascii="Times New Roman" w:hAnsi="Times New Roman"/>
          <w:i/>
          <w:lang w:val="en-AU"/>
        </w:rPr>
        <w:t>r</w:t>
      </w:r>
      <w:r w:rsidR="00217343" w:rsidRPr="009C2ADD">
        <w:rPr>
          <w:rFonts w:ascii="Times New Roman" w:hAnsi="Times New Roman"/>
          <w:lang w:val="en-AU"/>
        </w:rPr>
        <w:t>, 0.75</w:t>
      </w:r>
      <w:r w:rsidR="00217343" w:rsidRPr="009C2ADD">
        <w:rPr>
          <w:rFonts w:ascii="Times New Roman" w:hAnsi="Times New Roman"/>
          <w:i/>
          <w:lang w:val="en-AU"/>
        </w:rPr>
        <w:t>r</w:t>
      </w:r>
      <w:r w:rsidR="00217343" w:rsidRPr="009C2ADD">
        <w:rPr>
          <w:rFonts w:ascii="Times New Roman" w:hAnsi="Times New Roman"/>
          <w:lang w:val="en-AU"/>
        </w:rPr>
        <w:t xml:space="preserve"> and 0.5</w:t>
      </w:r>
      <w:r w:rsidR="00217343" w:rsidRPr="009C2ADD">
        <w:rPr>
          <w:rFonts w:ascii="Times New Roman" w:hAnsi="Times New Roman"/>
          <w:i/>
          <w:lang w:val="en-AU"/>
        </w:rPr>
        <w:t>r</w:t>
      </w:r>
      <w:r w:rsidR="00217343" w:rsidRPr="009C2ADD">
        <w:rPr>
          <w:rFonts w:ascii="Times New Roman" w:hAnsi="Times New Roman"/>
          <w:lang w:val="en-AU"/>
        </w:rPr>
        <w:t>, where r refers to the estimated intrinsic rate of increase of the species.</w:t>
      </w:r>
    </w:p>
    <w:p w14:paraId="3BAEA385" w14:textId="77777777" w:rsidR="00A318D4" w:rsidRPr="009C2ADD" w:rsidRDefault="00A318D4" w:rsidP="009C2ADD">
      <w:pPr>
        <w:pStyle w:val="ListParagraph"/>
        <w:adjustRightInd w:val="0"/>
        <w:snapToGrid w:val="0"/>
        <w:contextualSpacing w:val="0"/>
        <w:rPr>
          <w:rFonts w:ascii="Times New Roman" w:hAnsi="Times New Roman"/>
          <w:i/>
          <w:lang w:val="en-AU"/>
        </w:rPr>
      </w:pPr>
    </w:p>
    <w:p w14:paraId="6CA772E9" w14:textId="2D6BC51A" w:rsidR="001409BC" w:rsidRPr="009C2ADD" w:rsidRDefault="001409BC" w:rsidP="00001F31">
      <w:pPr>
        <w:pStyle w:val="WCPFC"/>
        <w:numPr>
          <w:ilvl w:val="0"/>
          <w:numId w:val="179"/>
        </w:numPr>
        <w:adjustRightInd w:val="0"/>
        <w:spacing w:after="0"/>
        <w:ind w:left="0" w:firstLine="0"/>
        <w:rPr>
          <w:b/>
          <w:lang w:eastAsia="ko-KR"/>
        </w:rPr>
      </w:pPr>
      <w:r w:rsidRPr="009C2ADD">
        <w:rPr>
          <w:b/>
          <w:lang w:eastAsia="ko-KR"/>
        </w:rPr>
        <w:t>Stock status and trends</w:t>
      </w:r>
    </w:p>
    <w:p w14:paraId="6EF052D2" w14:textId="77777777" w:rsidR="009434D3" w:rsidRPr="009C2ADD" w:rsidRDefault="009434D3" w:rsidP="009C2ADD">
      <w:pPr>
        <w:pStyle w:val="WCPFC"/>
        <w:numPr>
          <w:ilvl w:val="0"/>
          <w:numId w:val="0"/>
        </w:numPr>
        <w:adjustRightInd w:val="0"/>
        <w:spacing w:after="0"/>
        <w:ind w:left="360" w:hanging="360"/>
        <w:rPr>
          <w:b/>
          <w:lang w:eastAsia="ko-KR"/>
        </w:rPr>
      </w:pPr>
    </w:p>
    <w:p w14:paraId="14A63E00" w14:textId="467D2545"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although the stock status of the species is currently unknown the results of the assessment show that fishing mortality on the Southern Hemisphere stock is very low, and that it decreases eastward from the waters off South Africa to the waters off New Zealand.  In the assessment area (Eastern Atlantic to Western Pacific Ocean) in the last decade (2005 to 2014), median F values ranged from 0.0008 to 0.0015 (mean 0.0010).  This fishing mortality was less than 9% of the MIST based on </w:t>
      </w:r>
      <w:r w:rsidRPr="0070772D">
        <w:rPr>
          <w:rFonts w:ascii="Times New Roman" w:hAnsi="Times New Roman"/>
          <w:b/>
          <w:i/>
          <w:lang w:val="en-AU"/>
        </w:rPr>
        <w:t>r</w:t>
      </w:r>
      <w:r w:rsidRPr="009C2ADD">
        <w:rPr>
          <w:rFonts w:ascii="Times New Roman" w:hAnsi="Times New Roman"/>
          <w:b/>
          <w:lang w:val="en-AU"/>
        </w:rPr>
        <w:t xml:space="preserve"> in all years assessed (1992-2014) and fell to half that level in more recent years</w:t>
      </w:r>
      <w:r w:rsidR="00217343">
        <w:rPr>
          <w:rFonts w:ascii="Times New Roman" w:hAnsi="Times New Roman"/>
          <w:b/>
          <w:lang w:val="en-AU"/>
        </w:rPr>
        <w:t xml:space="preserve"> (Figure POR-1)</w:t>
      </w:r>
      <w:r w:rsidRPr="009C2ADD">
        <w:rPr>
          <w:rFonts w:ascii="Times New Roman" w:hAnsi="Times New Roman"/>
          <w:b/>
          <w:lang w:val="en-AU"/>
        </w:rPr>
        <w:t xml:space="preserve">, with at most a 3% probability of exceeding the MIST based on </w:t>
      </w:r>
      <w:r w:rsidRPr="0070772D">
        <w:rPr>
          <w:rFonts w:ascii="Times New Roman" w:hAnsi="Times New Roman"/>
          <w:b/>
          <w:i/>
          <w:lang w:val="en-AU"/>
        </w:rPr>
        <w:t>r</w:t>
      </w:r>
      <w:r w:rsidRPr="009C2ADD">
        <w:rPr>
          <w:rFonts w:ascii="Times New Roman" w:hAnsi="Times New Roman"/>
          <w:b/>
          <w:lang w:val="en-AU"/>
        </w:rPr>
        <w:t xml:space="preserve"> in 2010-2014</w:t>
      </w:r>
      <w:r w:rsidR="00217343">
        <w:rPr>
          <w:rFonts w:ascii="Times New Roman" w:hAnsi="Times New Roman"/>
          <w:b/>
          <w:lang w:val="en-AU"/>
        </w:rPr>
        <w:t xml:space="preserve"> (Figure POR-2)</w:t>
      </w:r>
      <w:r w:rsidRPr="009C2ADD">
        <w:rPr>
          <w:rFonts w:ascii="Times New Roman" w:hAnsi="Times New Roman"/>
          <w:b/>
          <w:lang w:val="en-AU"/>
        </w:rPr>
        <w:t>.  For the same scenarios, fishing mortality is less than 12% of the MIST based on 0.75</w:t>
      </w:r>
      <w:r w:rsidRPr="0070772D">
        <w:rPr>
          <w:rFonts w:ascii="Times New Roman" w:hAnsi="Times New Roman"/>
          <w:b/>
          <w:i/>
          <w:lang w:val="en-AU"/>
        </w:rPr>
        <w:t>r</w:t>
      </w:r>
      <w:r w:rsidRPr="009C2ADD">
        <w:rPr>
          <w:rFonts w:ascii="Times New Roman" w:hAnsi="Times New Roman"/>
          <w:b/>
          <w:lang w:val="en-AU"/>
        </w:rPr>
        <w:t xml:space="preserve"> and less than 18% of the MIST based on 0.5</w:t>
      </w:r>
      <w:r w:rsidRPr="0070772D">
        <w:rPr>
          <w:rFonts w:ascii="Times New Roman" w:hAnsi="Times New Roman"/>
          <w:b/>
          <w:i/>
          <w:lang w:val="en-AU"/>
        </w:rPr>
        <w:t>r</w:t>
      </w:r>
      <w:r w:rsidRPr="009C2ADD">
        <w:rPr>
          <w:rFonts w:ascii="Times New Roman" w:hAnsi="Times New Roman"/>
          <w:b/>
          <w:lang w:val="en-AU"/>
        </w:rPr>
        <w:t xml:space="preserve">. </w:t>
      </w:r>
    </w:p>
    <w:p w14:paraId="35C3F172"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48A53548"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These scenarios are based on 100% capture mortality, and assuming that some porbeagles survive their encounter with the fishery would reduce the estimated risk levels even further. </w:t>
      </w:r>
    </w:p>
    <w:p w14:paraId="129AB94B" w14:textId="77777777" w:rsidR="00A318D4" w:rsidRDefault="00A318D4" w:rsidP="009C2ADD">
      <w:pPr>
        <w:pStyle w:val="ListParagraph"/>
        <w:adjustRightInd w:val="0"/>
        <w:snapToGrid w:val="0"/>
        <w:contextualSpacing w:val="0"/>
        <w:rPr>
          <w:rFonts w:ascii="Times New Roman" w:hAnsi="Times New Roman"/>
          <w:b/>
          <w:lang w:val="en-AU"/>
        </w:rPr>
      </w:pPr>
    </w:p>
    <w:p w14:paraId="18EB437A" w14:textId="630B4D62" w:rsidR="00EF2599" w:rsidRDefault="00EF2599" w:rsidP="009C2ADD">
      <w:pPr>
        <w:pStyle w:val="ListParagraph"/>
        <w:adjustRightInd w:val="0"/>
        <w:snapToGrid w:val="0"/>
        <w:contextualSpacing w:val="0"/>
        <w:rPr>
          <w:rFonts w:ascii="Times New Roman" w:hAnsi="Times New Roman"/>
          <w:b/>
          <w:lang w:val="en-AU"/>
        </w:rPr>
      </w:pPr>
      <w:r>
        <w:rPr>
          <w:rFonts w:ascii="Times New Roman" w:hAnsi="Times New Roman"/>
          <w:b/>
          <w:noProof/>
          <w:lang w:val="en-US" w:eastAsia="ko-KR"/>
        </w:rPr>
        <w:drawing>
          <wp:inline distT="0" distB="0" distL="0" distR="0" wp14:anchorId="6C64869D" wp14:editId="0934A825">
            <wp:extent cx="5943600" cy="6772438"/>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6772438"/>
                    </a:xfrm>
                    <a:prstGeom prst="rect">
                      <a:avLst/>
                    </a:prstGeom>
                    <a:noFill/>
                    <a:ln>
                      <a:noFill/>
                    </a:ln>
                  </pic:spPr>
                </pic:pic>
              </a:graphicData>
            </a:graphic>
          </wp:inline>
        </w:drawing>
      </w:r>
    </w:p>
    <w:p w14:paraId="4423383B" w14:textId="40B5B26D" w:rsidR="00EF2599" w:rsidRDefault="00EF2599" w:rsidP="00E409FF">
      <w:pPr>
        <w:autoSpaceDE w:val="0"/>
        <w:autoSpaceDN w:val="0"/>
        <w:adjustRightInd w:val="0"/>
        <w:spacing w:after="0"/>
        <w:rPr>
          <w:rFonts w:ascii="Times New Roman" w:hAnsi="Times New Roman"/>
          <w:lang w:val="en-US"/>
        </w:rPr>
      </w:pPr>
      <w:r w:rsidRPr="00EF2599">
        <w:rPr>
          <w:rFonts w:ascii="Times New Roman" w:hAnsi="Times New Roman"/>
          <w:b/>
          <w:lang w:val="en-AU"/>
        </w:rPr>
        <w:t>Figure PO</w:t>
      </w:r>
      <w:r w:rsidRPr="00E409FF">
        <w:rPr>
          <w:rFonts w:ascii="Times New Roman" w:hAnsi="Times New Roman"/>
          <w:b/>
          <w:lang w:val="en-AU"/>
        </w:rPr>
        <w:t xml:space="preserve">R-1. </w:t>
      </w:r>
      <w:r w:rsidRPr="00E409FF">
        <w:rPr>
          <w:rFonts w:ascii="Times New Roman" w:hAnsi="Times New Roman"/>
          <w:lang w:val="en-US"/>
        </w:rPr>
        <w:t>F-ratio plots showing the median values of F / MIST by year, for the three versions of</w:t>
      </w:r>
      <w:r w:rsidR="00E409FF">
        <w:rPr>
          <w:rFonts w:ascii="Times New Roman" w:hAnsi="Times New Roman"/>
          <w:lang w:val="en-US"/>
        </w:rPr>
        <w:t xml:space="preserve"> </w:t>
      </w:r>
      <w:r w:rsidRPr="00E409FF">
        <w:rPr>
          <w:rFonts w:ascii="Times New Roman" w:hAnsi="Times New Roman"/>
          <w:lang w:val="en-US"/>
        </w:rPr>
        <w:t>the MIST (Fmsm, Flim, and Fcrash) for each of the three regions and for the three regions combined (the</w:t>
      </w:r>
      <w:r w:rsidR="00E409FF">
        <w:rPr>
          <w:rFonts w:ascii="Times New Roman" w:hAnsi="Times New Roman"/>
          <w:lang w:val="en-US"/>
        </w:rPr>
        <w:t xml:space="preserve"> </w:t>
      </w:r>
      <w:r w:rsidRPr="00E409FF">
        <w:rPr>
          <w:rFonts w:ascii="Times New Roman" w:hAnsi="Times New Roman"/>
          <w:lang w:val="en-US"/>
        </w:rPr>
        <w:t>assessment area). Note that the F-ratio is almost always below 1, indicated by the horizontal dotted</w:t>
      </w:r>
      <w:r w:rsidR="00E409FF">
        <w:rPr>
          <w:rFonts w:ascii="Times New Roman" w:hAnsi="Times New Roman"/>
          <w:lang w:val="en-US"/>
        </w:rPr>
        <w:t xml:space="preserve"> </w:t>
      </w:r>
      <w:r w:rsidRPr="00E409FF">
        <w:rPr>
          <w:rFonts w:ascii="Times New Roman" w:hAnsi="Times New Roman"/>
          <w:lang w:val="en-US"/>
        </w:rPr>
        <w:t>line.</w:t>
      </w:r>
    </w:p>
    <w:p w14:paraId="1B863145" w14:textId="77777777" w:rsidR="00E409FF" w:rsidRDefault="00E409FF" w:rsidP="00E409FF">
      <w:pPr>
        <w:pStyle w:val="ListParagraph"/>
        <w:adjustRightInd w:val="0"/>
        <w:snapToGrid w:val="0"/>
        <w:contextualSpacing w:val="0"/>
        <w:rPr>
          <w:rFonts w:ascii="Times New Roman" w:hAnsi="Times New Roman"/>
          <w:lang w:val="en-US"/>
        </w:rPr>
      </w:pPr>
    </w:p>
    <w:p w14:paraId="061CD6A3" w14:textId="4D4FE649" w:rsidR="00E409FF" w:rsidRDefault="00E409FF" w:rsidP="00E409FF">
      <w:pPr>
        <w:pStyle w:val="ListParagraph"/>
        <w:adjustRightInd w:val="0"/>
        <w:snapToGrid w:val="0"/>
        <w:contextualSpacing w:val="0"/>
        <w:rPr>
          <w:rFonts w:ascii="Times New Roman" w:hAnsi="Times New Roman"/>
          <w:lang w:val="en-US"/>
        </w:rPr>
      </w:pPr>
      <w:r>
        <w:rPr>
          <w:rFonts w:ascii="Times New Roman" w:hAnsi="Times New Roman"/>
          <w:noProof/>
          <w:lang w:val="en-US" w:eastAsia="ko-KR"/>
        </w:rPr>
        <w:drawing>
          <wp:inline distT="0" distB="0" distL="0" distR="0" wp14:anchorId="17848AE5" wp14:editId="08101CB3">
            <wp:extent cx="5943600" cy="6772438"/>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6772438"/>
                    </a:xfrm>
                    <a:prstGeom prst="rect">
                      <a:avLst/>
                    </a:prstGeom>
                    <a:noFill/>
                    <a:ln>
                      <a:noFill/>
                    </a:ln>
                  </pic:spPr>
                </pic:pic>
              </a:graphicData>
            </a:graphic>
          </wp:inline>
        </w:drawing>
      </w:r>
    </w:p>
    <w:p w14:paraId="6D29BF17" w14:textId="5F5EB5E7" w:rsidR="00E409FF" w:rsidRPr="00E409FF" w:rsidRDefault="00E409FF" w:rsidP="00E409FF">
      <w:pPr>
        <w:autoSpaceDE w:val="0"/>
        <w:autoSpaceDN w:val="0"/>
        <w:adjustRightInd w:val="0"/>
        <w:spacing w:after="0"/>
        <w:rPr>
          <w:rFonts w:ascii="Times New Roman" w:hAnsi="Times New Roman"/>
          <w:lang w:val="en-US"/>
        </w:rPr>
      </w:pPr>
      <w:r w:rsidRPr="00E409FF">
        <w:rPr>
          <w:rFonts w:ascii="Times New Roman" w:hAnsi="Times New Roman"/>
          <w:b/>
          <w:lang w:val="en-US"/>
        </w:rPr>
        <w:t>Figure POR-2.</w:t>
      </w:r>
      <w:r w:rsidRPr="00E409FF">
        <w:rPr>
          <w:rFonts w:ascii="Times New Roman" w:hAnsi="Times New Roman"/>
          <w:lang w:val="en-US"/>
        </w:rPr>
        <w:t xml:space="preserve"> Risk plots showing the probability that F exceeds the MIST by year, for the three</w:t>
      </w:r>
      <w:r>
        <w:rPr>
          <w:rFonts w:ascii="Times New Roman" w:hAnsi="Times New Roman"/>
          <w:lang w:val="en-US"/>
        </w:rPr>
        <w:t xml:space="preserve"> </w:t>
      </w:r>
      <w:r w:rsidRPr="00E409FF">
        <w:rPr>
          <w:rFonts w:ascii="Times New Roman" w:hAnsi="Times New Roman"/>
          <w:lang w:val="en-US"/>
        </w:rPr>
        <w:t>versions of the MIST (Fcrash, Flim, and Fcrash) for each of the three regions and for the three regions</w:t>
      </w:r>
      <w:r>
        <w:rPr>
          <w:rFonts w:ascii="Times New Roman" w:hAnsi="Times New Roman"/>
          <w:lang w:val="en-US"/>
        </w:rPr>
        <w:t xml:space="preserve"> </w:t>
      </w:r>
      <w:r w:rsidRPr="00E409FF">
        <w:rPr>
          <w:rFonts w:ascii="Times New Roman" w:hAnsi="Times New Roman"/>
          <w:lang w:val="en-US"/>
        </w:rPr>
        <w:t>combined (the assessment area).</w:t>
      </w:r>
    </w:p>
    <w:p w14:paraId="08720786" w14:textId="77777777" w:rsidR="00EF2599" w:rsidRDefault="00EF2599" w:rsidP="00EF2599">
      <w:pPr>
        <w:pStyle w:val="ListParagraph"/>
        <w:adjustRightInd w:val="0"/>
        <w:snapToGrid w:val="0"/>
        <w:contextualSpacing w:val="0"/>
        <w:rPr>
          <w:rFonts w:ascii="Times New Roman" w:hAnsi="Times New Roman"/>
          <w:b/>
          <w:lang w:val="en-AU"/>
        </w:rPr>
      </w:pPr>
    </w:p>
    <w:p w14:paraId="5BDF3611" w14:textId="77777777" w:rsidR="00457886" w:rsidRDefault="00457886" w:rsidP="00EF2599">
      <w:pPr>
        <w:pStyle w:val="ListParagraph"/>
        <w:adjustRightInd w:val="0"/>
        <w:snapToGrid w:val="0"/>
        <w:contextualSpacing w:val="0"/>
        <w:rPr>
          <w:rFonts w:ascii="Times New Roman" w:hAnsi="Times New Roman"/>
          <w:b/>
          <w:lang w:val="en-AU"/>
        </w:rPr>
      </w:pPr>
    </w:p>
    <w:p w14:paraId="1D2A1507" w14:textId="77777777" w:rsidR="00457886" w:rsidRDefault="00457886" w:rsidP="00EF2599">
      <w:pPr>
        <w:pStyle w:val="ListParagraph"/>
        <w:adjustRightInd w:val="0"/>
        <w:snapToGrid w:val="0"/>
        <w:contextualSpacing w:val="0"/>
        <w:rPr>
          <w:rFonts w:ascii="Times New Roman" w:hAnsi="Times New Roman"/>
          <w:b/>
          <w:lang w:val="en-AU" w:eastAsia="ko-KR"/>
        </w:rPr>
      </w:pPr>
    </w:p>
    <w:p w14:paraId="121EFCF1" w14:textId="77777777" w:rsidR="00001F31" w:rsidRDefault="00001F31" w:rsidP="00EF2599">
      <w:pPr>
        <w:pStyle w:val="ListParagraph"/>
        <w:adjustRightInd w:val="0"/>
        <w:snapToGrid w:val="0"/>
        <w:contextualSpacing w:val="0"/>
        <w:rPr>
          <w:rFonts w:ascii="Times New Roman" w:hAnsi="Times New Roman"/>
          <w:b/>
          <w:lang w:val="en-AU" w:eastAsia="ko-KR"/>
        </w:rPr>
      </w:pPr>
    </w:p>
    <w:p w14:paraId="49DA71EE" w14:textId="77777777" w:rsidR="00001F31" w:rsidRDefault="00001F31" w:rsidP="00EF2599">
      <w:pPr>
        <w:pStyle w:val="ListParagraph"/>
        <w:adjustRightInd w:val="0"/>
        <w:snapToGrid w:val="0"/>
        <w:contextualSpacing w:val="0"/>
        <w:rPr>
          <w:rFonts w:ascii="Times New Roman" w:hAnsi="Times New Roman"/>
          <w:b/>
          <w:lang w:val="en-AU" w:eastAsia="ko-KR"/>
        </w:rPr>
      </w:pPr>
    </w:p>
    <w:p w14:paraId="727561C4" w14:textId="77777777" w:rsidR="00457886" w:rsidRPr="009C2ADD" w:rsidRDefault="00457886" w:rsidP="00EF2599">
      <w:pPr>
        <w:pStyle w:val="ListParagraph"/>
        <w:adjustRightInd w:val="0"/>
        <w:snapToGrid w:val="0"/>
        <w:contextualSpacing w:val="0"/>
        <w:rPr>
          <w:rFonts w:ascii="Times New Roman" w:hAnsi="Times New Roman"/>
          <w:b/>
          <w:lang w:val="en-AU"/>
        </w:rPr>
      </w:pPr>
    </w:p>
    <w:p w14:paraId="7F9C95C8" w14:textId="1626C107" w:rsidR="001409BC" w:rsidRPr="009C2ADD" w:rsidRDefault="001409BC" w:rsidP="00001F31">
      <w:pPr>
        <w:pStyle w:val="ListParagraph"/>
        <w:numPr>
          <w:ilvl w:val="0"/>
          <w:numId w:val="179"/>
        </w:numPr>
        <w:adjustRightInd w:val="0"/>
        <w:snapToGrid w:val="0"/>
        <w:ind w:left="0" w:firstLine="0"/>
        <w:contextualSpacing w:val="0"/>
        <w:rPr>
          <w:rFonts w:ascii="Times New Roman" w:hAnsi="Times New Roman"/>
          <w:b/>
          <w:lang w:eastAsia="ko-KR"/>
        </w:rPr>
      </w:pPr>
      <w:r w:rsidRPr="009C2ADD">
        <w:rPr>
          <w:rFonts w:ascii="Times New Roman" w:hAnsi="Times New Roman"/>
          <w:b/>
          <w:lang w:eastAsia="ko-KR"/>
        </w:rPr>
        <w:t>Management advice and implications</w:t>
      </w:r>
    </w:p>
    <w:p w14:paraId="352B1FA1" w14:textId="77777777" w:rsidR="001409BC" w:rsidRPr="009C2ADD" w:rsidRDefault="001409BC" w:rsidP="009C2ADD">
      <w:pPr>
        <w:adjustRightInd w:val="0"/>
        <w:snapToGrid w:val="0"/>
        <w:spacing w:after="0"/>
        <w:rPr>
          <w:rFonts w:ascii="Times New Roman" w:hAnsi="Times New Roman"/>
          <w:b/>
          <w:lang w:eastAsia="ko-KR"/>
        </w:rPr>
      </w:pPr>
    </w:p>
    <w:p w14:paraId="526934A3"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advises WCPFC14 that although the stock status of the species is currently unknown there is a very low risk that the Southern Hemisphere porbeagle shark is subject to overfishing anywhere within its range. </w:t>
      </w:r>
    </w:p>
    <w:p w14:paraId="54C32246"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29152031" w14:textId="77777777" w:rsidR="001409BC" w:rsidRPr="009C2ADD" w:rsidRDefault="001409B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WCPFC14 request the Common Oceans (ABNJ) Tuna Project to explore options for data improvements through liaison with other regional fishery bodies managing fisheries catching Southern Hemisphere porbeagle shark. </w:t>
      </w:r>
    </w:p>
    <w:p w14:paraId="26951AA0" w14:textId="77777777" w:rsidR="001409BC" w:rsidRPr="009C2ADD" w:rsidRDefault="001409BC" w:rsidP="009C2ADD">
      <w:pPr>
        <w:pStyle w:val="ListParagraph"/>
        <w:adjustRightInd w:val="0"/>
        <w:snapToGrid w:val="0"/>
        <w:contextualSpacing w:val="0"/>
        <w:rPr>
          <w:rFonts w:ascii="Times New Roman" w:eastAsia="Times New Roman" w:hAnsi="Times New Roman"/>
          <w:b/>
          <w:bCs/>
          <w:lang w:eastAsia="ko-KR"/>
        </w:rPr>
      </w:pPr>
    </w:p>
    <w:p w14:paraId="412B33AF" w14:textId="5D06C1D4" w:rsidR="00734E2C" w:rsidRPr="009C2ADD" w:rsidRDefault="0028464D" w:rsidP="009C2ADD">
      <w:pPr>
        <w:pStyle w:val="Heading2"/>
        <w:adjustRightInd w:val="0"/>
        <w:snapToGrid w:val="0"/>
        <w:rPr>
          <w:color w:val="auto"/>
          <w:szCs w:val="22"/>
        </w:rPr>
      </w:pPr>
      <w:bookmarkStart w:id="124" w:name="_Toc491851823"/>
      <w:r w:rsidRPr="009C2ADD">
        <w:rPr>
          <w:color w:val="auto"/>
          <w:szCs w:val="22"/>
        </w:rPr>
        <w:t xml:space="preserve">4.4 </w:t>
      </w:r>
      <w:r w:rsidR="00A318D4" w:rsidRPr="009C2ADD">
        <w:rPr>
          <w:color w:val="auto"/>
          <w:szCs w:val="22"/>
        </w:rPr>
        <w:tab/>
      </w:r>
      <w:r w:rsidR="00734E2C" w:rsidRPr="009C2ADD">
        <w:rPr>
          <w:color w:val="auto"/>
          <w:szCs w:val="22"/>
        </w:rPr>
        <w:t>WCPO billfishes</w:t>
      </w:r>
      <w:bookmarkEnd w:id="124"/>
    </w:p>
    <w:p w14:paraId="316A85F6" w14:textId="77777777" w:rsidR="00734E2C" w:rsidRPr="009C2ADD" w:rsidRDefault="00734E2C" w:rsidP="009C2ADD">
      <w:pPr>
        <w:adjustRightInd w:val="0"/>
        <w:snapToGrid w:val="0"/>
        <w:spacing w:after="0"/>
        <w:rPr>
          <w:rFonts w:ascii="Times New Roman" w:eastAsia="바탕" w:hAnsi="Times New Roman"/>
          <w:b/>
          <w:bCs/>
          <w:lang w:eastAsia="ko-KR"/>
        </w:rPr>
      </w:pPr>
    </w:p>
    <w:p w14:paraId="5EA1E97C" w14:textId="6746B928" w:rsidR="00734E2C" w:rsidRPr="009C2ADD" w:rsidRDefault="003A411E"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4.4.1 </w:t>
      </w:r>
      <w:r w:rsidR="00A318D4" w:rsidRPr="009C2ADD">
        <w:rPr>
          <w:rFonts w:ascii="Times New Roman" w:eastAsia="바탕" w:hAnsi="Times New Roman" w:cs="Times New Roman"/>
          <w:lang w:eastAsia="ko-KR"/>
        </w:rPr>
        <w:tab/>
      </w:r>
      <w:r w:rsidR="00734E2C" w:rsidRPr="009C2ADD">
        <w:rPr>
          <w:rFonts w:ascii="Times New Roman" w:eastAsia="바탕" w:hAnsi="Times New Roman" w:cs="Times New Roman"/>
          <w:lang w:eastAsia="ko-KR"/>
        </w:rPr>
        <w:t>South Pacific swordfish (</w:t>
      </w:r>
      <w:r w:rsidR="00734E2C" w:rsidRPr="009C2ADD">
        <w:rPr>
          <w:rFonts w:ascii="Times New Roman" w:eastAsia="바탕" w:hAnsi="Times New Roman" w:cs="Times New Roman"/>
          <w:i/>
          <w:lang w:eastAsia="ko-KR"/>
        </w:rPr>
        <w:t>Xiphias gladius</w:t>
      </w:r>
      <w:r w:rsidR="00734E2C" w:rsidRPr="009C2ADD">
        <w:rPr>
          <w:rFonts w:ascii="Times New Roman" w:eastAsia="바탕" w:hAnsi="Times New Roman" w:cs="Times New Roman"/>
          <w:lang w:eastAsia="ko-KR"/>
        </w:rPr>
        <w:t xml:space="preserve">) </w:t>
      </w:r>
    </w:p>
    <w:p w14:paraId="04871FF4" w14:textId="77777777" w:rsidR="00734E2C" w:rsidRPr="009C2ADD" w:rsidRDefault="00734E2C" w:rsidP="009C2ADD">
      <w:pPr>
        <w:adjustRightInd w:val="0"/>
        <w:snapToGrid w:val="0"/>
        <w:spacing w:after="0"/>
        <w:ind w:left="720"/>
        <w:rPr>
          <w:rFonts w:ascii="Times New Roman" w:eastAsia="바탕" w:hAnsi="Times New Roman"/>
          <w:b/>
          <w:lang w:eastAsia="ko-KR"/>
        </w:rPr>
      </w:pPr>
    </w:p>
    <w:p w14:paraId="4EE18851" w14:textId="1F3A16E3" w:rsidR="00734E2C" w:rsidRPr="009C2ADD" w:rsidRDefault="00E462BE"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4.4.1.1 </w:t>
      </w:r>
      <w:r w:rsidR="00A318D4" w:rsidRPr="009C2ADD">
        <w:rPr>
          <w:rFonts w:ascii="Times New Roman" w:eastAsia="바탕" w:hAnsi="Times New Roman"/>
          <w:b/>
          <w:lang w:eastAsia="ko-KR"/>
        </w:rPr>
        <w:tab/>
      </w:r>
      <w:r w:rsidR="00734E2C" w:rsidRPr="009C2ADD">
        <w:rPr>
          <w:rFonts w:ascii="Times New Roman" w:eastAsia="바탕" w:hAnsi="Times New Roman"/>
          <w:b/>
          <w:lang w:eastAsia="ko-KR"/>
        </w:rPr>
        <w:t>Review of research and information</w:t>
      </w:r>
    </w:p>
    <w:p w14:paraId="3D375980" w14:textId="77777777" w:rsidR="00FB2AC8" w:rsidRPr="009C2ADD" w:rsidRDefault="00FB2AC8" w:rsidP="009C2ADD">
      <w:pPr>
        <w:adjustRightInd w:val="0"/>
        <w:snapToGrid w:val="0"/>
        <w:spacing w:after="0"/>
        <w:ind w:left="720"/>
        <w:rPr>
          <w:rFonts w:ascii="Times New Roman" w:eastAsia="바탕" w:hAnsi="Times New Roman"/>
          <w:b/>
          <w:lang w:eastAsia="ko-KR"/>
        </w:rPr>
      </w:pPr>
    </w:p>
    <w:p w14:paraId="0F7167AF" w14:textId="5F34FFCB" w:rsidR="00734E2C" w:rsidRPr="009C2ADD" w:rsidRDefault="00734E2C" w:rsidP="009C2ADD">
      <w:pPr>
        <w:pStyle w:val="ListParagraph"/>
        <w:numPr>
          <w:ilvl w:val="0"/>
          <w:numId w:val="38"/>
        </w:numPr>
        <w:autoSpaceDE w:val="0"/>
        <w:autoSpaceDN w:val="0"/>
        <w:adjustRightInd w:val="0"/>
        <w:snapToGrid w:val="0"/>
        <w:ind w:left="0" w:firstLine="0"/>
        <w:contextualSpacing w:val="0"/>
        <w:rPr>
          <w:rFonts w:ascii="Times New Roman" w:eastAsia="바탕" w:hAnsi="Times New Roman"/>
          <w:b/>
          <w:lang w:eastAsia="ko-KR"/>
        </w:rPr>
      </w:pPr>
      <w:r w:rsidRPr="009C2ADD">
        <w:rPr>
          <w:rFonts w:ascii="Times New Roman" w:eastAsia="MS Mincho" w:hAnsi="Times New Roman"/>
          <w:b/>
        </w:rPr>
        <w:t xml:space="preserve">Review of 2017 </w:t>
      </w:r>
      <w:r w:rsidRPr="009C2ADD">
        <w:rPr>
          <w:rFonts w:ascii="Times New Roman" w:eastAsia="바탕" w:hAnsi="Times New Roman"/>
          <w:b/>
          <w:lang w:eastAsia="ko-KR"/>
        </w:rPr>
        <w:t>South Pacific swordfish</w:t>
      </w:r>
      <w:r w:rsidRPr="009C2ADD">
        <w:rPr>
          <w:rFonts w:ascii="Times New Roman" w:eastAsia="바탕" w:hAnsi="Times New Roman"/>
          <w:b/>
          <w:bCs/>
          <w:lang w:eastAsia="ko-KR"/>
        </w:rPr>
        <w:t xml:space="preserve"> </w:t>
      </w:r>
      <w:r w:rsidRPr="009C2ADD">
        <w:rPr>
          <w:rFonts w:ascii="Times New Roman" w:eastAsia="MS Mincho" w:hAnsi="Times New Roman"/>
          <w:b/>
        </w:rPr>
        <w:t>stock assessment</w:t>
      </w:r>
    </w:p>
    <w:p w14:paraId="0CA3526F" w14:textId="77777777" w:rsidR="00734E2C" w:rsidRPr="009C2ADD" w:rsidRDefault="00734E2C" w:rsidP="009C2ADD">
      <w:pPr>
        <w:adjustRightInd w:val="0"/>
        <w:snapToGrid w:val="0"/>
        <w:spacing w:after="0"/>
        <w:ind w:left="1440"/>
        <w:rPr>
          <w:rFonts w:ascii="Times New Roman" w:eastAsia="바탕" w:hAnsi="Times New Roman"/>
          <w:lang w:eastAsia="ko-KR"/>
        </w:rPr>
      </w:pPr>
    </w:p>
    <w:p w14:paraId="709E2617" w14:textId="78A2E02F"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Y</w:t>
      </w:r>
      <w:r w:rsidR="00E409FF">
        <w:rPr>
          <w:rFonts w:ascii="Times New Roman" w:hAnsi="Times New Roman"/>
          <w:lang w:val="en-AU"/>
        </w:rPr>
        <w:t>.</w:t>
      </w:r>
      <w:r w:rsidRPr="009C2ADD">
        <w:rPr>
          <w:rFonts w:ascii="Times New Roman" w:hAnsi="Times New Roman"/>
          <w:lang w:val="en-AU"/>
        </w:rPr>
        <w:t xml:space="preserve"> Takeuchi (SPC) introduced </w:t>
      </w:r>
      <w:r w:rsidRPr="0070772D">
        <w:rPr>
          <w:rFonts w:ascii="Times New Roman" w:hAnsi="Times New Roman"/>
          <w:bCs/>
          <w:lang w:val="en-AU"/>
        </w:rPr>
        <w:t>SC13-SA-WP-13</w:t>
      </w:r>
      <w:r w:rsidRPr="009C2ADD">
        <w:rPr>
          <w:rFonts w:ascii="Times New Roman" w:hAnsi="Times New Roman"/>
          <w:lang w:val="en-AU"/>
        </w:rPr>
        <w:t xml:space="preserve"> </w:t>
      </w:r>
      <w:r w:rsidRPr="009C2ADD">
        <w:rPr>
          <w:rFonts w:ascii="Times New Roman" w:hAnsi="Times New Roman"/>
          <w:i/>
          <w:lang w:val="en-AU"/>
        </w:rPr>
        <w:t>Stock assessment of swordfish (Xiphias gladius) in the southwest Pacific Ocean</w:t>
      </w:r>
      <w:r w:rsidRPr="009C2ADD">
        <w:rPr>
          <w:rFonts w:ascii="Times New Roman" w:hAnsi="Times New Roman"/>
          <w:lang w:val="en-AU"/>
        </w:rPr>
        <w:t xml:space="preserve">. This paper presented the 2017 stock assessment of swordfish covering the southern hemisphere component of the Western and Central Pacific Fisheries Commission Convention Area </w:t>
      </w:r>
      <w:r w:rsidR="009C216F" w:rsidRPr="009C2ADD">
        <w:rPr>
          <w:rFonts w:ascii="Times New Roman" w:hAnsi="Times New Roman"/>
          <w:lang w:val="en-AU"/>
        </w:rPr>
        <w:t>(WCPFC-CA).  The time period had</w:t>
      </w:r>
      <w:r w:rsidRPr="009C2ADD">
        <w:rPr>
          <w:rFonts w:ascii="Times New Roman" w:hAnsi="Times New Roman"/>
          <w:lang w:val="en-AU"/>
        </w:rPr>
        <w:t xml:space="preserve"> been extended to the end of 2015, adding an additional four years of data since the last stock assessment was conducted in 2013. The new growth curve presented at SC12 was used for this assessment, reducing the number of axes included the unce</w:t>
      </w:r>
      <w:r w:rsidR="009C216F" w:rsidRPr="009C2ADD">
        <w:rPr>
          <w:rFonts w:ascii="Times New Roman" w:hAnsi="Times New Roman"/>
          <w:lang w:val="en-AU"/>
        </w:rPr>
        <w:t>rtainty grid.  The grid contained</w:t>
      </w:r>
      <w:r w:rsidRPr="009C2ADD">
        <w:rPr>
          <w:rFonts w:ascii="Times New Roman" w:hAnsi="Times New Roman"/>
          <w:lang w:val="en-AU"/>
        </w:rPr>
        <w:t xml:space="preserve"> a wide range of models with some variation in estimates of stock status, trends in abundance and reference points. Biomass was estimated to have declined throughout the model period for all model</w:t>
      </w:r>
      <w:r w:rsidR="009C216F" w:rsidRPr="009C2ADD">
        <w:rPr>
          <w:rFonts w:ascii="Times New Roman" w:hAnsi="Times New Roman"/>
          <w:lang w:val="en-AU"/>
        </w:rPr>
        <w:t>s in the grid, but the decline wa</w:t>
      </w:r>
      <w:r w:rsidRPr="009C2ADD">
        <w:rPr>
          <w:rFonts w:ascii="Times New Roman" w:hAnsi="Times New Roman"/>
          <w:lang w:val="en-AU"/>
        </w:rPr>
        <w:t>s particularly steep in the last 15 years. Those declines were found in both model regions</w:t>
      </w:r>
      <w:r w:rsidR="007F57E5">
        <w:rPr>
          <w:rFonts w:ascii="Times New Roman" w:hAnsi="Times New Roman"/>
          <w:lang w:val="en-AU"/>
        </w:rPr>
        <w:t xml:space="preserve"> (</w:t>
      </w:r>
      <w:r w:rsidR="004A68E0">
        <w:rPr>
          <w:rFonts w:ascii="Times New Roman" w:hAnsi="Times New Roman"/>
          <w:lang w:val="en-AU"/>
        </w:rPr>
        <w:t>west</w:t>
      </w:r>
      <w:r w:rsidR="007F57E5" w:rsidRPr="007F57E5">
        <w:rPr>
          <w:rFonts w:ascii="Times New Roman" w:hAnsi="Times New Roman"/>
          <w:lang w:val="en-AU"/>
        </w:rPr>
        <w:t xml:space="preserve"> </w:t>
      </w:r>
      <w:r w:rsidR="004A68E0">
        <w:rPr>
          <w:rFonts w:ascii="Times New Roman" w:hAnsi="Times New Roman"/>
          <w:lang w:val="en-AU"/>
        </w:rPr>
        <w:t xml:space="preserve">region 1 </w:t>
      </w:r>
      <w:r w:rsidR="007F57E5" w:rsidRPr="007F57E5">
        <w:rPr>
          <w:rFonts w:ascii="Times New Roman" w:hAnsi="Times New Roman"/>
          <w:lang w:val="en-AU"/>
        </w:rPr>
        <w:t xml:space="preserve">and </w:t>
      </w:r>
      <w:r w:rsidR="004A68E0">
        <w:rPr>
          <w:rFonts w:ascii="Times New Roman" w:hAnsi="Times New Roman"/>
          <w:lang w:val="en-AU"/>
        </w:rPr>
        <w:t>east</w:t>
      </w:r>
      <w:r w:rsidR="007F57E5" w:rsidRPr="007F57E5">
        <w:rPr>
          <w:rFonts w:ascii="Times New Roman" w:hAnsi="Times New Roman"/>
          <w:lang w:val="en-AU"/>
        </w:rPr>
        <w:t xml:space="preserve"> region </w:t>
      </w:r>
      <w:r w:rsidR="004A68E0">
        <w:rPr>
          <w:rFonts w:ascii="Times New Roman" w:hAnsi="Times New Roman"/>
          <w:lang w:val="en-AU"/>
        </w:rPr>
        <w:t xml:space="preserve">2, </w:t>
      </w:r>
      <w:r w:rsidR="007F57E5" w:rsidRPr="007F57E5">
        <w:rPr>
          <w:rFonts w:ascii="Times New Roman" w:hAnsi="Times New Roman"/>
        </w:rPr>
        <w:t>delineated at 165°E)</w:t>
      </w:r>
      <w:r w:rsidRPr="007F57E5">
        <w:rPr>
          <w:rFonts w:ascii="Times New Roman" w:hAnsi="Times New Roman"/>
          <w:lang w:val="en-AU"/>
        </w:rPr>
        <w:t>,</w:t>
      </w:r>
      <w:r w:rsidRPr="009C2ADD">
        <w:rPr>
          <w:rFonts w:ascii="Times New Roman" w:hAnsi="Times New Roman"/>
          <w:lang w:val="en-AU"/>
        </w:rPr>
        <w:t xml:space="preserve"> bu</w:t>
      </w:r>
      <w:r w:rsidR="0034646F" w:rsidRPr="009C2ADD">
        <w:rPr>
          <w:rFonts w:ascii="Times New Roman" w:hAnsi="Times New Roman"/>
          <w:lang w:val="en-AU"/>
        </w:rPr>
        <w:t>t were particularly notable in R</w:t>
      </w:r>
      <w:r w:rsidRPr="009C2ADD">
        <w:rPr>
          <w:rFonts w:ascii="Times New Roman" w:hAnsi="Times New Roman"/>
          <w:lang w:val="en-AU"/>
        </w:rPr>
        <w:t xml:space="preserve">egion 2 (the eastern region). Fishing mortality for juvenile (ages 1-3), maturing (ages 4-6) and adult (ages 7+) swordfish was estimated to have increased since the 1950s. Fishing mortality rate increased notably from the </w:t>
      </w:r>
      <w:r w:rsidR="00214513" w:rsidRPr="009C2ADD">
        <w:rPr>
          <w:rFonts w:ascii="Times New Roman" w:hAnsi="Times New Roman"/>
          <w:lang w:val="en-AU"/>
        </w:rPr>
        <w:t>mid-1990s</w:t>
      </w:r>
      <w:r w:rsidRPr="009C2ADD">
        <w:rPr>
          <w:rFonts w:ascii="Times New Roman" w:hAnsi="Times New Roman"/>
          <w:lang w:val="en-AU"/>
        </w:rPr>
        <w:t xml:space="preserve"> in both model regions, on maturing aged fish in particular (seen in the diagnostic case model), to levels approximately four times that of juveniles and adults.</w:t>
      </w:r>
    </w:p>
    <w:p w14:paraId="128CD6C3" w14:textId="77777777" w:rsidR="00A318D4" w:rsidRDefault="00A318D4" w:rsidP="009C2ADD">
      <w:pPr>
        <w:autoSpaceDE w:val="0"/>
        <w:autoSpaceDN w:val="0"/>
        <w:adjustRightInd w:val="0"/>
        <w:snapToGrid w:val="0"/>
        <w:spacing w:after="0"/>
        <w:rPr>
          <w:rFonts w:ascii="Times New Roman" w:hAnsi="Times New Roman"/>
          <w:lang w:val="en-AU"/>
        </w:rPr>
      </w:pPr>
    </w:p>
    <w:p w14:paraId="63D2FA37" w14:textId="3EB3F53A" w:rsidR="00E409FF" w:rsidRPr="0070772D" w:rsidRDefault="00E409FF" w:rsidP="009C2ADD">
      <w:pPr>
        <w:autoSpaceDE w:val="0"/>
        <w:autoSpaceDN w:val="0"/>
        <w:adjustRightInd w:val="0"/>
        <w:snapToGrid w:val="0"/>
        <w:spacing w:after="0"/>
        <w:rPr>
          <w:rFonts w:ascii="Times New Roman" w:hAnsi="Times New Roman"/>
          <w:b/>
          <w:lang w:val="en-AU"/>
        </w:rPr>
      </w:pPr>
      <w:r w:rsidRPr="0070772D">
        <w:rPr>
          <w:rFonts w:ascii="Times New Roman" w:hAnsi="Times New Roman"/>
          <w:b/>
          <w:lang w:val="en-AU"/>
        </w:rPr>
        <w:t>Discussion</w:t>
      </w:r>
    </w:p>
    <w:p w14:paraId="2FD5F8BB" w14:textId="77777777" w:rsidR="00E409FF" w:rsidRPr="009C2ADD" w:rsidRDefault="00E409FF" w:rsidP="009C2ADD">
      <w:pPr>
        <w:autoSpaceDE w:val="0"/>
        <w:autoSpaceDN w:val="0"/>
        <w:adjustRightInd w:val="0"/>
        <w:snapToGrid w:val="0"/>
        <w:spacing w:after="0"/>
        <w:rPr>
          <w:rFonts w:ascii="Times New Roman" w:hAnsi="Times New Roman"/>
          <w:lang w:val="en-AU"/>
        </w:rPr>
      </w:pPr>
    </w:p>
    <w:p w14:paraId="7E284247" w14:textId="28A1C82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commented that the most effective factor for estimation of likelihood profile by fishery appeared to be effort deviation penalty, and also sought cla</w:t>
      </w:r>
      <w:r w:rsidR="001409BC" w:rsidRPr="009C2ADD">
        <w:rPr>
          <w:rFonts w:ascii="Times New Roman" w:hAnsi="Times New Roman"/>
          <w:lang w:val="en-AU"/>
        </w:rPr>
        <w:t xml:space="preserve">rification of the inclusion of </w:t>
      </w:r>
      <w:r w:rsidRPr="009C2ADD">
        <w:rPr>
          <w:rFonts w:ascii="Times New Roman" w:hAnsi="Times New Roman"/>
          <w:lang w:val="en-AU"/>
        </w:rPr>
        <w:t xml:space="preserve">sex structure information. </w:t>
      </w:r>
      <w:r w:rsidR="0050437C">
        <w:rPr>
          <w:rFonts w:ascii="Times New Roman" w:hAnsi="Times New Roman" w:hint="eastAsia"/>
          <w:lang w:val="en-AU" w:eastAsia="ko-KR"/>
        </w:rPr>
        <w:t>Y.</w:t>
      </w:r>
      <w:r w:rsidR="0050437C" w:rsidRPr="009C2ADD">
        <w:rPr>
          <w:rFonts w:ascii="Times New Roman" w:hAnsi="Times New Roman"/>
          <w:lang w:val="en-AU"/>
        </w:rPr>
        <w:t xml:space="preserve"> </w:t>
      </w:r>
      <w:r w:rsidRPr="009C2ADD">
        <w:rPr>
          <w:rFonts w:ascii="Times New Roman" w:hAnsi="Times New Roman"/>
          <w:lang w:val="en-AU"/>
        </w:rPr>
        <w:t>Takeuchi agreed that effort de</w:t>
      </w:r>
      <w:r w:rsidR="001409BC" w:rsidRPr="009C2ADD">
        <w:rPr>
          <w:rFonts w:ascii="Times New Roman" w:hAnsi="Times New Roman"/>
          <w:lang w:val="en-AU"/>
        </w:rPr>
        <w:t>viation was related to CPUE and</w:t>
      </w:r>
      <w:r w:rsidRPr="009C2ADD">
        <w:rPr>
          <w:rFonts w:ascii="Times New Roman" w:hAnsi="Times New Roman"/>
          <w:lang w:val="en-AU"/>
        </w:rPr>
        <w:t xml:space="preserve"> noted that the </w:t>
      </w:r>
      <w:r w:rsidR="006233F1">
        <w:rPr>
          <w:rFonts w:ascii="Times New Roman" w:hAnsi="Times New Roman"/>
          <w:lang w:val="en-AU"/>
        </w:rPr>
        <w:t>MULTIFAN-CL</w:t>
      </w:r>
      <w:r w:rsidRPr="009C2ADD">
        <w:rPr>
          <w:rFonts w:ascii="Times New Roman" w:hAnsi="Times New Roman"/>
          <w:lang w:val="en-AU"/>
        </w:rPr>
        <w:t xml:space="preserve"> </w:t>
      </w:r>
      <w:r w:rsidR="00E409FF">
        <w:rPr>
          <w:rFonts w:ascii="Times New Roman" w:hAnsi="Times New Roman"/>
          <w:lang w:val="en-AU"/>
        </w:rPr>
        <w:t xml:space="preserve">model </w:t>
      </w:r>
      <w:r w:rsidRPr="009C2ADD">
        <w:rPr>
          <w:rFonts w:ascii="Times New Roman" w:hAnsi="Times New Roman"/>
          <w:lang w:val="en-AU"/>
        </w:rPr>
        <w:t xml:space="preserve">needed to be modified for sex-specific effort deviation. </w:t>
      </w:r>
    </w:p>
    <w:p w14:paraId="68EA8034"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69839CCB" w14:textId="3D7CC7B7" w:rsidR="00734E2C"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query from Australia on why distant water longline CPUE (DWC1) did </w:t>
      </w:r>
      <w:r w:rsidR="001409BC" w:rsidRPr="009C2ADD">
        <w:rPr>
          <w:rFonts w:ascii="Times New Roman" w:hAnsi="Times New Roman"/>
          <w:lang w:val="en-AU"/>
        </w:rPr>
        <w:t xml:space="preserve">not fit well before the 1990s, SPC noted the spatial lack of data </w:t>
      </w:r>
      <w:r w:rsidRPr="009C2ADD">
        <w:rPr>
          <w:rFonts w:ascii="Times New Roman" w:hAnsi="Times New Roman"/>
          <w:lang w:val="en-AU"/>
        </w:rPr>
        <w:t>and seasonal operational ch</w:t>
      </w:r>
      <w:r w:rsidR="001409BC" w:rsidRPr="009C2ADD">
        <w:rPr>
          <w:rFonts w:ascii="Times New Roman" w:hAnsi="Times New Roman"/>
          <w:lang w:val="en-AU"/>
        </w:rPr>
        <w:t>anges. Australia also asked why</w:t>
      </w:r>
      <w:r w:rsidRPr="009C2ADD">
        <w:rPr>
          <w:rFonts w:ascii="Times New Roman" w:hAnsi="Times New Roman"/>
          <w:lang w:val="en-AU"/>
        </w:rPr>
        <w:t xml:space="preserve"> ca</w:t>
      </w:r>
      <w:r w:rsidR="001409BC" w:rsidRPr="009C2ADD">
        <w:rPr>
          <w:rFonts w:ascii="Times New Roman" w:hAnsi="Times New Roman"/>
          <w:lang w:val="en-AU"/>
        </w:rPr>
        <w:t>tch and effort data from the EU</w:t>
      </w:r>
      <w:r w:rsidRPr="009C2ADD">
        <w:rPr>
          <w:rFonts w:ascii="Times New Roman" w:hAnsi="Times New Roman"/>
          <w:lang w:val="en-AU"/>
        </w:rPr>
        <w:t xml:space="preserve"> longline fishery before 2000 was not used for the stock assessment. </w:t>
      </w:r>
      <w:r w:rsidR="003C61E2">
        <w:rPr>
          <w:rFonts w:ascii="Times New Roman" w:hAnsi="Times New Roman" w:hint="eastAsia"/>
          <w:lang w:val="en-AU" w:eastAsia="ko-KR"/>
        </w:rPr>
        <w:t>Y.</w:t>
      </w:r>
      <w:r w:rsidR="003C61E2" w:rsidRPr="009C2ADD">
        <w:rPr>
          <w:rFonts w:ascii="Times New Roman" w:hAnsi="Times New Roman"/>
          <w:lang w:val="en-AU"/>
        </w:rPr>
        <w:t xml:space="preserve"> </w:t>
      </w:r>
      <w:r w:rsidRPr="009C2ADD">
        <w:rPr>
          <w:rFonts w:ascii="Times New Roman" w:hAnsi="Times New Roman"/>
          <w:lang w:val="en-AU"/>
        </w:rPr>
        <w:t xml:space="preserve">Takeuchi reported that the EU logbook data before 2000 did not include catch numbers, hooks, and hooks between floats, and thus SPC could not standardize CPUE for that longline fishery.  EU stated that data such as hooks and hooks between floats from a surface fishery would have no effect on CPUE standardization. </w:t>
      </w:r>
      <w:r w:rsidR="003C61E2">
        <w:rPr>
          <w:rFonts w:ascii="Times New Roman" w:hAnsi="Times New Roman"/>
          <w:lang w:val="en-AU"/>
        </w:rPr>
        <w:t>EU requested that the SPC document is updated in view to eliminating inaccurate statements on the availability of EU data that might be misleading.</w:t>
      </w:r>
    </w:p>
    <w:p w14:paraId="136CC7C1" w14:textId="77777777" w:rsidR="00D22EEA" w:rsidRDefault="00D22EEA" w:rsidP="00D22EEA">
      <w:pPr>
        <w:pStyle w:val="ListParagraph"/>
        <w:rPr>
          <w:rFonts w:ascii="Times New Roman" w:hAnsi="Times New Roman"/>
          <w:lang w:val="en-AU"/>
        </w:rPr>
      </w:pPr>
    </w:p>
    <w:p w14:paraId="79231373" w14:textId="51F0893C"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asked whether SPC had compared the 2013 future projection results with the 2017 estimates, given that an increase in spawning potential had been observed in the est</w:t>
      </w:r>
      <w:r w:rsidR="001409BC" w:rsidRPr="009C2ADD">
        <w:rPr>
          <w:rFonts w:ascii="Times New Roman" w:hAnsi="Times New Roman"/>
          <w:lang w:val="en-AU"/>
        </w:rPr>
        <w:t xml:space="preserve">imation.  </w:t>
      </w:r>
      <w:r w:rsidR="0050437C">
        <w:rPr>
          <w:rFonts w:ascii="Times New Roman" w:hAnsi="Times New Roman" w:hint="eastAsia"/>
          <w:lang w:val="en-AU" w:eastAsia="ko-KR"/>
        </w:rPr>
        <w:t xml:space="preserve">Y. </w:t>
      </w:r>
      <w:r w:rsidR="0050437C" w:rsidRPr="009C2ADD">
        <w:rPr>
          <w:rFonts w:ascii="Times New Roman" w:hAnsi="Times New Roman"/>
          <w:lang w:val="en-AU"/>
        </w:rPr>
        <w:t xml:space="preserve">Takeuchi </w:t>
      </w:r>
      <w:r w:rsidR="001409BC" w:rsidRPr="009C2ADD">
        <w:rPr>
          <w:rFonts w:ascii="Times New Roman" w:hAnsi="Times New Roman"/>
          <w:lang w:val="en-AU"/>
        </w:rPr>
        <w:t>noted that</w:t>
      </w:r>
      <w:r w:rsidRPr="009C2ADD">
        <w:rPr>
          <w:rFonts w:ascii="Times New Roman" w:hAnsi="Times New Roman"/>
          <w:lang w:val="en-AU"/>
        </w:rPr>
        <w:t xml:space="preserve"> estimation differences were likely related to new growth and a </w:t>
      </w:r>
      <w:r w:rsidR="00633679" w:rsidRPr="009C2ADD">
        <w:rPr>
          <w:rFonts w:ascii="Times New Roman" w:hAnsi="Times New Roman"/>
          <w:lang w:val="en-AU"/>
        </w:rPr>
        <w:t xml:space="preserve">higher </w:t>
      </w:r>
      <w:r w:rsidR="00633679">
        <w:rPr>
          <w:rFonts w:ascii="Times New Roman" w:hAnsi="Times New Roman"/>
          <w:lang w:val="en-AU"/>
        </w:rPr>
        <w:t>weighting</w:t>
      </w:r>
      <w:r w:rsidR="00633679" w:rsidRPr="009C2ADD">
        <w:rPr>
          <w:rFonts w:ascii="Times New Roman" w:hAnsi="Times New Roman"/>
          <w:lang w:val="en-AU"/>
        </w:rPr>
        <w:t xml:space="preserve"> for size composition</w:t>
      </w:r>
      <w:r w:rsidR="00633679">
        <w:rPr>
          <w:rFonts w:ascii="Times New Roman" w:hAnsi="Times New Roman"/>
          <w:lang w:val="en-AU"/>
        </w:rPr>
        <w:t xml:space="preserve"> data</w:t>
      </w:r>
      <w:r w:rsidR="001409BC" w:rsidRPr="009C2ADD">
        <w:rPr>
          <w:rFonts w:ascii="Times New Roman" w:hAnsi="Times New Roman"/>
          <w:lang w:val="en-AU"/>
        </w:rPr>
        <w:t xml:space="preserve">.  China proposed the </w:t>
      </w:r>
      <w:r w:rsidRPr="009C2ADD">
        <w:rPr>
          <w:rFonts w:ascii="Times New Roman" w:hAnsi="Times New Roman"/>
          <w:lang w:val="en-AU"/>
        </w:rPr>
        <w:t>u</w:t>
      </w:r>
      <w:r w:rsidR="001409BC" w:rsidRPr="009C2ADD">
        <w:rPr>
          <w:rFonts w:ascii="Times New Roman" w:hAnsi="Times New Roman"/>
          <w:lang w:val="en-AU"/>
        </w:rPr>
        <w:t xml:space="preserve">se of </w:t>
      </w:r>
      <w:r w:rsidRPr="009C2ADD">
        <w:rPr>
          <w:rFonts w:ascii="Times New Roman" w:hAnsi="Times New Roman"/>
          <w:lang w:val="en-AU"/>
        </w:rPr>
        <w:t>the estimated effective sample size for this assessment because t</w:t>
      </w:r>
      <w:r w:rsidR="009C216F" w:rsidRPr="009C2ADD">
        <w:rPr>
          <w:rFonts w:ascii="Times New Roman" w:hAnsi="Times New Roman"/>
          <w:lang w:val="en-AU"/>
        </w:rPr>
        <w:t>he effective sample size wa</w:t>
      </w:r>
      <w:r w:rsidRPr="009C2ADD">
        <w:rPr>
          <w:rFonts w:ascii="Times New Roman" w:hAnsi="Times New Roman"/>
          <w:lang w:val="en-AU"/>
        </w:rPr>
        <w:t>s the critical value for such</w:t>
      </w:r>
      <w:r w:rsidR="001409BC" w:rsidRPr="009C2ADD">
        <w:rPr>
          <w:rFonts w:ascii="Times New Roman" w:hAnsi="Times New Roman"/>
          <w:lang w:val="en-AU"/>
        </w:rPr>
        <w:t xml:space="preserve"> a model.  They suggested using</w:t>
      </w:r>
      <w:r w:rsidRPr="009C2ADD">
        <w:rPr>
          <w:rFonts w:ascii="Times New Roman" w:hAnsi="Times New Roman"/>
          <w:lang w:val="en-AU"/>
        </w:rPr>
        <w:t xml:space="preserve"> </w:t>
      </w:r>
      <w:r w:rsidR="009C216F" w:rsidRPr="009C2ADD">
        <w:rPr>
          <w:rFonts w:ascii="Times New Roman" w:hAnsi="Times New Roman"/>
          <w:lang w:val="en-AU"/>
        </w:rPr>
        <w:t>the</w:t>
      </w:r>
      <w:r w:rsidR="001409BC" w:rsidRPr="009C2ADD">
        <w:rPr>
          <w:rFonts w:ascii="Times New Roman" w:hAnsi="Times New Roman"/>
          <w:lang w:val="en-AU"/>
        </w:rPr>
        <w:t xml:space="preserve"> SS3</w:t>
      </w:r>
      <w:r w:rsidRPr="009C2ADD">
        <w:rPr>
          <w:rFonts w:ascii="Times New Roman" w:hAnsi="Times New Roman"/>
          <w:lang w:val="en-AU"/>
        </w:rPr>
        <w:t xml:space="preserve"> model for the next Sout</w:t>
      </w:r>
      <w:r w:rsidR="001409BC" w:rsidRPr="009C2ADD">
        <w:rPr>
          <w:rFonts w:ascii="Times New Roman" w:hAnsi="Times New Roman"/>
          <w:lang w:val="en-AU"/>
        </w:rPr>
        <w:t xml:space="preserve">h Pacific swordfish assessment </w:t>
      </w:r>
      <w:r w:rsidRPr="009C2ADD">
        <w:rPr>
          <w:rFonts w:ascii="Times New Roman" w:hAnsi="Times New Roman"/>
          <w:lang w:val="en-AU"/>
        </w:rPr>
        <w:t xml:space="preserve">which would </w:t>
      </w:r>
      <w:r w:rsidR="009C216F" w:rsidRPr="009C2ADD">
        <w:rPr>
          <w:rFonts w:ascii="Times New Roman" w:hAnsi="Times New Roman"/>
          <w:lang w:val="en-AU"/>
        </w:rPr>
        <w:t xml:space="preserve">allow for </w:t>
      </w:r>
      <w:r w:rsidRPr="009C2ADD">
        <w:rPr>
          <w:rFonts w:ascii="Times New Roman" w:hAnsi="Times New Roman"/>
          <w:lang w:val="en-AU"/>
        </w:rPr>
        <w:t>inclusion of sex-speci</w:t>
      </w:r>
      <w:r w:rsidR="001409BC" w:rsidRPr="009C2ADD">
        <w:rPr>
          <w:rFonts w:ascii="Times New Roman" w:hAnsi="Times New Roman"/>
          <w:lang w:val="en-AU"/>
        </w:rPr>
        <w:t xml:space="preserve">fic population dynamics. China also asked </w:t>
      </w:r>
      <w:r w:rsidRPr="009C2ADD">
        <w:rPr>
          <w:rFonts w:ascii="Times New Roman" w:hAnsi="Times New Roman"/>
          <w:lang w:val="en-AU"/>
        </w:rPr>
        <w:t xml:space="preserve">how the CV of CPUE was estimated. </w:t>
      </w:r>
      <w:r w:rsidR="0050437C">
        <w:rPr>
          <w:rFonts w:ascii="Times New Roman" w:hAnsi="Times New Roman" w:hint="eastAsia"/>
          <w:lang w:val="en-AU" w:eastAsia="ko-KR"/>
        </w:rPr>
        <w:t>Y.</w:t>
      </w:r>
      <w:r w:rsidR="0050437C" w:rsidRPr="009C2ADD">
        <w:rPr>
          <w:rFonts w:ascii="Times New Roman" w:hAnsi="Times New Roman"/>
          <w:lang w:val="en-AU"/>
        </w:rPr>
        <w:t xml:space="preserve"> </w:t>
      </w:r>
      <w:r w:rsidRPr="009C2ADD">
        <w:rPr>
          <w:rFonts w:ascii="Times New Roman" w:hAnsi="Times New Roman"/>
          <w:lang w:val="en-AU"/>
        </w:rPr>
        <w:t xml:space="preserve">Takeuchi replied that this was estimated by the GLM analysis. </w:t>
      </w:r>
    </w:p>
    <w:p w14:paraId="771A606E"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51AE1EB5" w14:textId="4CA3E46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Noting the decreasing trend in South Pacific swordfish biomass while fishing mortality is reported below F</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Japan asked if this indicated that fishing had been above recruitment level throughou</w:t>
      </w:r>
      <w:r w:rsidR="00E31485" w:rsidRPr="009C2ADD">
        <w:rPr>
          <w:rFonts w:ascii="Times New Roman" w:hAnsi="Times New Roman"/>
          <w:lang w:val="en-AU"/>
        </w:rPr>
        <w:t>t its</w:t>
      </w:r>
      <w:r w:rsidRPr="009C2ADD">
        <w:rPr>
          <w:rFonts w:ascii="Times New Roman" w:hAnsi="Times New Roman"/>
          <w:lang w:val="en-AU"/>
        </w:rPr>
        <w:t xml:space="preserve"> history, not</w:t>
      </w:r>
      <w:r w:rsidR="009C216F" w:rsidRPr="009C2ADD">
        <w:rPr>
          <w:rFonts w:ascii="Times New Roman" w:hAnsi="Times New Roman"/>
          <w:lang w:val="en-AU"/>
        </w:rPr>
        <w:t>ing that without a projection it</w:t>
      </w:r>
      <w:r w:rsidRPr="009C2ADD">
        <w:rPr>
          <w:rFonts w:ascii="Times New Roman" w:hAnsi="Times New Roman"/>
          <w:lang w:val="en-AU"/>
        </w:rPr>
        <w:t xml:space="preserve"> was difficult to feel confident about current catch levels. </w:t>
      </w:r>
      <w:r w:rsidR="0050437C">
        <w:rPr>
          <w:rFonts w:ascii="Times New Roman" w:hAnsi="Times New Roman" w:hint="eastAsia"/>
          <w:lang w:val="en-AU" w:eastAsia="ko-KR"/>
        </w:rPr>
        <w:t>Y.</w:t>
      </w:r>
      <w:r w:rsidR="0050437C" w:rsidRPr="009C2ADD">
        <w:rPr>
          <w:rFonts w:ascii="Times New Roman" w:hAnsi="Times New Roman"/>
          <w:lang w:val="en-AU"/>
        </w:rPr>
        <w:t xml:space="preserve"> </w:t>
      </w:r>
      <w:r w:rsidRPr="009C2ADD">
        <w:rPr>
          <w:rFonts w:ascii="Times New Roman" w:hAnsi="Times New Roman"/>
          <w:lang w:val="en-AU"/>
        </w:rPr>
        <w:t>Takeuchi reported that projection analysis was not yet completed, but that the stock may continue to decline given the current catch was close to F</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xml:space="preserve">.   </w:t>
      </w:r>
    </w:p>
    <w:p w14:paraId="70C6B470"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1FDCF061"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Korea noted that swordfish was not a target species for its South Pacific longline fishery.</w:t>
      </w:r>
    </w:p>
    <w:p w14:paraId="68FFF65F"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79FE7EEB" w14:textId="467F247B"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questioned the large differences in the selectivity values of distant water longline between the 2013 and 2017 stock assessment and asked if this was primarily due to the impact of a concentration of data from a specific age class. </w:t>
      </w:r>
      <w:r w:rsidR="0050437C">
        <w:rPr>
          <w:rFonts w:ascii="Times New Roman" w:hAnsi="Times New Roman" w:hint="eastAsia"/>
          <w:lang w:val="en-AU" w:eastAsia="ko-KR"/>
        </w:rPr>
        <w:t>Y.</w:t>
      </w:r>
      <w:r w:rsidR="0050437C" w:rsidRPr="009C2ADD">
        <w:rPr>
          <w:rFonts w:ascii="Times New Roman" w:hAnsi="Times New Roman"/>
          <w:lang w:val="en-AU"/>
        </w:rPr>
        <w:t xml:space="preserve"> </w:t>
      </w:r>
      <w:r w:rsidRPr="009C2ADD">
        <w:rPr>
          <w:rFonts w:ascii="Times New Roman" w:hAnsi="Times New Roman"/>
          <w:lang w:val="en-AU"/>
        </w:rPr>
        <w:t>Takeuchi noted that the available size data was limited and the 2017 assessment showed an improved fit. Australia suggested running a simulation to assess the effect of the sex-disaggregation.</w:t>
      </w:r>
    </w:p>
    <w:p w14:paraId="7168DD36"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3357FABA" w14:textId="43B0F98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asked </w:t>
      </w:r>
      <w:r w:rsidR="00633679" w:rsidRPr="009C2ADD">
        <w:rPr>
          <w:rFonts w:ascii="Times New Roman" w:hAnsi="Times New Roman"/>
          <w:lang w:val="en-AU"/>
        </w:rPr>
        <w:t xml:space="preserve">why the </w:t>
      </w:r>
      <w:r w:rsidR="00633679">
        <w:rPr>
          <w:rFonts w:ascii="Times New Roman" w:hAnsi="Times New Roman"/>
          <w:lang w:val="en-AU"/>
        </w:rPr>
        <w:t>assessments prepared by the SPC</w:t>
      </w:r>
      <w:r w:rsidR="00633679" w:rsidRPr="009C2ADD">
        <w:rPr>
          <w:rFonts w:ascii="Times New Roman" w:hAnsi="Times New Roman"/>
          <w:lang w:val="en-AU"/>
        </w:rPr>
        <w:t xml:space="preserve"> used</w:t>
      </w:r>
      <w:r w:rsidRPr="009C2ADD">
        <w:rPr>
          <w:rFonts w:ascii="Times New Roman" w:hAnsi="Times New Roman"/>
          <w:lang w:val="en-AU"/>
        </w:rPr>
        <w:t xml:space="preserve"> the same steepness for all species despite biological differences.  The Convenor noted the necessity for a review of steepness. </w:t>
      </w:r>
    </w:p>
    <w:p w14:paraId="513A8710" w14:textId="77777777" w:rsidR="00734E2C" w:rsidRPr="009C2ADD" w:rsidRDefault="00734E2C" w:rsidP="009C2ADD">
      <w:pPr>
        <w:adjustRightInd w:val="0"/>
        <w:snapToGrid w:val="0"/>
        <w:spacing w:after="0"/>
        <w:ind w:left="720"/>
        <w:rPr>
          <w:rFonts w:ascii="Times New Roman" w:eastAsia="바탕" w:hAnsi="Times New Roman"/>
          <w:b/>
          <w:lang w:eastAsia="ko-KR"/>
        </w:rPr>
      </w:pPr>
    </w:p>
    <w:p w14:paraId="4D5C5451" w14:textId="2CE94025" w:rsidR="00734E2C" w:rsidRPr="009C2ADD" w:rsidRDefault="00E462BE"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4.4.1.2 </w:t>
      </w:r>
      <w:r w:rsidRPr="009C2ADD">
        <w:rPr>
          <w:rFonts w:ascii="Times New Roman" w:eastAsia="바탕" w:hAnsi="Times New Roman"/>
          <w:b/>
          <w:lang w:eastAsia="ko-KR"/>
        </w:rPr>
        <w:tab/>
      </w:r>
      <w:r w:rsidR="00734E2C" w:rsidRPr="009C2ADD">
        <w:rPr>
          <w:rFonts w:ascii="Times New Roman" w:eastAsia="바탕" w:hAnsi="Times New Roman"/>
          <w:b/>
          <w:lang w:eastAsia="ko-KR"/>
        </w:rPr>
        <w:t>Provision of scientific information</w:t>
      </w:r>
    </w:p>
    <w:p w14:paraId="6A1B89A8" w14:textId="77777777" w:rsidR="00734E2C" w:rsidRPr="009C2ADD" w:rsidRDefault="00734E2C" w:rsidP="009C2ADD">
      <w:pPr>
        <w:pStyle w:val="WCPFC"/>
        <w:numPr>
          <w:ilvl w:val="0"/>
          <w:numId w:val="0"/>
        </w:numPr>
        <w:adjustRightInd w:val="0"/>
        <w:spacing w:after="0"/>
        <w:ind w:left="567"/>
        <w:rPr>
          <w:lang w:val="en-US"/>
        </w:rPr>
      </w:pPr>
    </w:p>
    <w:p w14:paraId="3D7CD0E4" w14:textId="16A75854"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noted that the preliminary total south Pacific swordfish tuna catch by longliners in the WCPFC area south of the equator in 2016 (6,30</w:t>
      </w:r>
      <w:r w:rsidR="00140621">
        <w:rPr>
          <w:rFonts w:ascii="Times New Roman" w:hAnsi="Times New Roman"/>
          <w:lang w:val="en-AU"/>
        </w:rPr>
        <w:t>0 mt</w:t>
      </w:r>
      <w:r w:rsidRPr="009C2ADD">
        <w:rPr>
          <w:rFonts w:ascii="Times New Roman" w:hAnsi="Times New Roman"/>
          <w:lang w:val="en-AU"/>
        </w:rPr>
        <w:t>) was a 20% decrease over 2015 and a 25% decrease over 2011-15 (</w:t>
      </w:r>
      <w:r w:rsidRPr="0070772D">
        <w:rPr>
          <w:rFonts w:ascii="Times New Roman" w:hAnsi="Times New Roman"/>
          <w:bCs/>
          <w:lang w:val="en-AU"/>
        </w:rPr>
        <w:t>SC13-GN-WP-01</w:t>
      </w:r>
      <w:r w:rsidRPr="009C2ADD">
        <w:rPr>
          <w:rFonts w:ascii="Times New Roman" w:hAnsi="Times New Roman"/>
          <w:lang w:val="en-AU"/>
        </w:rPr>
        <w:t xml:space="preserve">). </w:t>
      </w:r>
    </w:p>
    <w:p w14:paraId="5EFB5A99" w14:textId="77777777" w:rsidR="00A318D4" w:rsidRPr="009C2ADD" w:rsidRDefault="00A318D4" w:rsidP="009C2ADD">
      <w:pPr>
        <w:autoSpaceDE w:val="0"/>
        <w:autoSpaceDN w:val="0"/>
        <w:adjustRightInd w:val="0"/>
        <w:snapToGrid w:val="0"/>
        <w:spacing w:after="0"/>
        <w:rPr>
          <w:rFonts w:ascii="Times New Roman" w:hAnsi="Times New Roman"/>
          <w:lang w:val="en-AU"/>
        </w:rPr>
      </w:pPr>
    </w:p>
    <w:p w14:paraId="78669304" w14:textId="351DF635"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Y. Takeuchi (SPC) presented </w:t>
      </w:r>
      <w:r w:rsidRPr="0070772D">
        <w:rPr>
          <w:rFonts w:ascii="Times New Roman" w:hAnsi="Times New Roman"/>
          <w:bCs/>
          <w:lang w:val="en-AU"/>
        </w:rPr>
        <w:t>SC13-SA-WP-13</w:t>
      </w:r>
      <w:r w:rsidRPr="009C2ADD">
        <w:rPr>
          <w:rFonts w:ascii="Times New Roman" w:hAnsi="Times New Roman"/>
          <w:lang w:val="en-AU"/>
        </w:rPr>
        <w:t xml:space="preserve"> </w:t>
      </w:r>
      <w:r w:rsidRPr="009C2ADD">
        <w:rPr>
          <w:rFonts w:ascii="Times New Roman" w:hAnsi="Times New Roman"/>
          <w:i/>
          <w:lang w:val="en-AU"/>
        </w:rPr>
        <w:t>Stock Assessment of Swordfish (Xiphias gladius) in the southwest Pacific Ocean</w:t>
      </w:r>
      <w:r w:rsidRPr="009C2ADD">
        <w:rPr>
          <w:rFonts w:ascii="Times New Roman" w:hAnsi="Times New Roman"/>
          <w:lang w:val="en-AU"/>
        </w:rPr>
        <w:t>. The stock assessment was based on a structural uncertainty grid comprised of 72 models, each of which was considered to be a plausible representation of South Pacific swordfish (SWO) stock dynamics. The four structural uncertainties represented in the grid were: the three stock-recruitment steepnesses, the two weightings of the size data, the three weightings of the diffusion rate and the four</w:t>
      </w:r>
      <w:r w:rsidR="004F183E">
        <w:rPr>
          <w:rFonts w:ascii="Times New Roman" w:hAnsi="Times New Roman"/>
          <w:lang w:val="en-AU"/>
        </w:rPr>
        <w:t xml:space="preserve"> values of</w:t>
      </w:r>
      <w:r w:rsidRPr="009C2ADD">
        <w:rPr>
          <w:rFonts w:ascii="Times New Roman" w:hAnsi="Times New Roman"/>
          <w:lang w:val="en-AU"/>
        </w:rPr>
        <w:t xml:space="preserve"> natural mortality. Each individual model consisted of a unique combination of settings from the uncertainty axes. As a result, the uncertainty grid was comprised of 72 related but different models, each of which made a distinct claim about the dynamics of SWO fishery system to best explain and predict stock status. The major uncertainty related to growth and maturity noted in the previous assessment has now been resolved due to the results of new research which were presented to and endorsed by SC12 (</w:t>
      </w:r>
      <w:r w:rsidRPr="0070772D">
        <w:rPr>
          <w:rFonts w:ascii="Times New Roman" w:hAnsi="Times New Roman"/>
          <w:bCs/>
          <w:lang w:val="en-AU"/>
        </w:rPr>
        <w:t>SC12-SA-WP-11</w:t>
      </w:r>
      <w:r w:rsidRPr="009C2ADD">
        <w:rPr>
          <w:rFonts w:ascii="Times New Roman" w:hAnsi="Times New Roman"/>
          <w:lang w:val="en-AU"/>
        </w:rPr>
        <w:t xml:space="preserve">). </w:t>
      </w:r>
    </w:p>
    <w:p w14:paraId="158846D6" w14:textId="77777777" w:rsidR="00A318D4" w:rsidRPr="009C2ADD" w:rsidRDefault="00A318D4" w:rsidP="009C2ADD">
      <w:pPr>
        <w:pStyle w:val="ListParagraph"/>
        <w:adjustRightInd w:val="0"/>
        <w:snapToGrid w:val="0"/>
        <w:contextualSpacing w:val="0"/>
        <w:rPr>
          <w:rFonts w:ascii="Times New Roman" w:hAnsi="Times New Roman"/>
          <w:lang w:val="en-AU"/>
        </w:rPr>
      </w:pPr>
    </w:p>
    <w:p w14:paraId="1222F8A4" w14:textId="77777777" w:rsidR="00734E2C" w:rsidRPr="009C2ADD" w:rsidRDefault="00734E2C" w:rsidP="009C2ADD">
      <w:pPr>
        <w:pStyle w:val="WCPFC"/>
        <w:adjustRightInd w:val="0"/>
        <w:spacing w:after="0"/>
        <w:ind w:left="0" w:firstLine="0"/>
        <w:rPr>
          <w:b/>
          <w:lang w:val="en-US"/>
        </w:rPr>
      </w:pPr>
      <w:r w:rsidRPr="009C2ADD">
        <w:rPr>
          <w:b/>
          <w:lang w:val="en-US"/>
        </w:rPr>
        <w:t xml:space="preserve">SC13 endorsed the 2017 SWO stock assessment as the best and most up to date scientific information available for this species. </w:t>
      </w:r>
    </w:p>
    <w:p w14:paraId="5C9D0484" w14:textId="77777777" w:rsidR="00A318D4" w:rsidRPr="009C2ADD" w:rsidRDefault="00A318D4" w:rsidP="009C2ADD">
      <w:pPr>
        <w:pStyle w:val="ListParagraph"/>
        <w:adjustRightInd w:val="0"/>
        <w:snapToGrid w:val="0"/>
        <w:ind w:left="0" w:firstLine="0"/>
        <w:contextualSpacing w:val="0"/>
        <w:rPr>
          <w:rFonts w:ascii="Times New Roman" w:hAnsi="Times New Roman"/>
          <w:b/>
          <w:lang w:val="en-US"/>
        </w:rPr>
      </w:pPr>
    </w:p>
    <w:p w14:paraId="62A96C8A" w14:textId="77777777" w:rsidR="00734E2C" w:rsidRPr="009C2ADD" w:rsidRDefault="00734E2C" w:rsidP="009C2ADD">
      <w:pPr>
        <w:pStyle w:val="WCPFC"/>
        <w:adjustRightInd w:val="0"/>
        <w:spacing w:after="0"/>
        <w:ind w:left="0" w:firstLine="0"/>
        <w:rPr>
          <w:b/>
          <w:lang w:val="en-US"/>
        </w:rPr>
      </w:pPr>
      <w:r w:rsidRPr="009C2ADD">
        <w:rPr>
          <w:b/>
          <w:lang w:val="en-US"/>
        </w:rPr>
        <w:t xml:space="preserve">SC13 also endorsed the use of the SWO assessment model uncertainty grid to characterize stock status and management advice and implications. </w:t>
      </w:r>
    </w:p>
    <w:p w14:paraId="6E69CFEE" w14:textId="77777777" w:rsidR="00A318D4" w:rsidRPr="009C2ADD" w:rsidRDefault="00A318D4" w:rsidP="009C2ADD">
      <w:pPr>
        <w:pStyle w:val="ListParagraph"/>
        <w:adjustRightInd w:val="0"/>
        <w:snapToGrid w:val="0"/>
        <w:contextualSpacing w:val="0"/>
        <w:rPr>
          <w:rFonts w:ascii="Times New Roman" w:hAnsi="Times New Roman"/>
          <w:b/>
          <w:lang w:val="en-US"/>
        </w:rPr>
      </w:pPr>
    </w:p>
    <w:p w14:paraId="18B5D67B" w14:textId="65C1A56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reached consensus on the weighting of assessment models in the uncertainty grid for</w:t>
      </w:r>
      <w:r w:rsidRPr="009C2ADD">
        <w:rPr>
          <w:rFonts w:ascii="Times New Roman" w:hAnsi="Times New Roman"/>
          <w:lang w:val="en-AU"/>
        </w:rPr>
        <w:t xml:space="preserve">　</w:t>
      </w:r>
      <w:r w:rsidRPr="009C2ADD">
        <w:rPr>
          <w:rFonts w:ascii="Times New Roman" w:hAnsi="Times New Roman"/>
          <w:lang w:val="en-AU"/>
        </w:rPr>
        <w:t xml:space="preserve">SWO. The consensus weighting considered all options within the four axes of uncertainty for steepness, size data, diffusion rate and natural mortality to be equally likely. The resulting uncertainty grid was used to characterize stock status, to summarize reference points as provided in the assessment document </w:t>
      </w:r>
      <w:r w:rsidRPr="0070772D">
        <w:rPr>
          <w:rFonts w:ascii="Times New Roman" w:hAnsi="Times New Roman"/>
          <w:bCs/>
          <w:lang w:val="en-AU"/>
        </w:rPr>
        <w:t>SC13-SA-WP-13</w:t>
      </w:r>
      <w:r w:rsidRPr="009C2ADD">
        <w:rPr>
          <w:rFonts w:ascii="Times New Roman" w:hAnsi="Times New Roman"/>
          <w:lang w:val="en-AU"/>
        </w:rPr>
        <w:t>, and to calculate the probability of breaching SB</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xml:space="preserve"> and the probability of F</w:t>
      </w:r>
      <w:r w:rsidRPr="0070772D">
        <w:rPr>
          <w:rFonts w:ascii="Times New Roman" w:hAnsi="Times New Roman"/>
          <w:vertAlign w:val="subscript"/>
          <w:lang w:val="en-AU"/>
        </w:rPr>
        <w:t>recent</w:t>
      </w:r>
      <w:r w:rsidRPr="009C2ADD">
        <w:rPr>
          <w:rFonts w:ascii="Times New Roman" w:hAnsi="Times New Roman"/>
          <w:lang w:val="en-AU"/>
        </w:rPr>
        <w:t xml:space="preserve"> being greater than F</w:t>
      </w:r>
      <w:r w:rsidR="00887159" w:rsidRPr="00104C78">
        <w:rPr>
          <w:rFonts w:ascii="Times New Roman" w:hAnsi="Times New Roman" w:hint="eastAsia"/>
          <w:vertAlign w:val="subscript"/>
          <w:lang w:val="en-AU" w:eastAsia="ko-KR"/>
        </w:rPr>
        <w:t>MSY</w:t>
      </w:r>
      <w:r w:rsidRPr="009C2ADD">
        <w:rPr>
          <w:rFonts w:ascii="Times New Roman" w:hAnsi="Times New Roman"/>
          <w:lang w:val="en-AU"/>
        </w:rPr>
        <w:t xml:space="preserve">. </w:t>
      </w:r>
    </w:p>
    <w:p w14:paraId="12F1F930" w14:textId="77777777" w:rsidR="006D1536" w:rsidRPr="009C2ADD" w:rsidRDefault="006D1536" w:rsidP="009C2ADD">
      <w:pPr>
        <w:pStyle w:val="WCPFC"/>
        <w:numPr>
          <w:ilvl w:val="0"/>
          <w:numId w:val="0"/>
        </w:numPr>
        <w:adjustRightInd w:val="0"/>
        <w:spacing w:after="0"/>
        <w:ind w:left="567"/>
        <w:rPr>
          <w:lang w:val="en-US"/>
        </w:rPr>
      </w:pPr>
    </w:p>
    <w:p w14:paraId="67F16B5F" w14:textId="6244770B" w:rsidR="006D1536" w:rsidRPr="009C2ADD" w:rsidRDefault="00734E2C" w:rsidP="00001F31">
      <w:pPr>
        <w:pStyle w:val="ListParagraph"/>
        <w:numPr>
          <w:ilvl w:val="0"/>
          <w:numId w:val="180"/>
        </w:numPr>
        <w:adjustRightInd w:val="0"/>
        <w:snapToGrid w:val="0"/>
        <w:ind w:left="0" w:firstLine="0"/>
        <w:contextualSpacing w:val="0"/>
        <w:rPr>
          <w:rFonts w:ascii="Times New Roman" w:eastAsia="Times New Roman" w:hAnsi="Times New Roman"/>
          <w:b/>
          <w:lang w:val="en-US" w:eastAsia="ja-JP"/>
        </w:rPr>
      </w:pPr>
      <w:r w:rsidRPr="009C2ADD">
        <w:rPr>
          <w:rFonts w:ascii="Times New Roman" w:eastAsia="Times New Roman" w:hAnsi="Times New Roman"/>
          <w:b/>
          <w:lang w:val="en-US" w:eastAsia="ja-JP"/>
        </w:rPr>
        <w:t>Stock status and trends</w:t>
      </w:r>
    </w:p>
    <w:p w14:paraId="3A78CDA3" w14:textId="77777777" w:rsidR="00E462BE" w:rsidRPr="009C2ADD" w:rsidRDefault="00E462BE" w:rsidP="009C2ADD">
      <w:pPr>
        <w:pStyle w:val="ListParagraph"/>
        <w:adjustRightInd w:val="0"/>
        <w:snapToGrid w:val="0"/>
        <w:ind w:firstLine="0"/>
        <w:contextualSpacing w:val="0"/>
        <w:rPr>
          <w:rFonts w:ascii="Times New Roman" w:eastAsia="Times New Roman" w:hAnsi="Times New Roman"/>
          <w:b/>
          <w:lang w:val="en-US" w:eastAsia="ja-JP"/>
        </w:rPr>
      </w:pPr>
    </w:p>
    <w:p w14:paraId="33B0F98C" w14:textId="4A6BE8A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The median values of relative recent (2012-2015) spawning biomass (SB</w:t>
      </w:r>
      <w:r w:rsidRPr="0070772D">
        <w:rPr>
          <w:rFonts w:ascii="Times New Roman" w:hAnsi="Times New Roman"/>
          <w:b/>
          <w:vertAlign w:val="subscript"/>
          <w:lang w:val="en-AU"/>
        </w:rPr>
        <w:t>recent</w:t>
      </w:r>
      <w:r w:rsidRPr="009C2ADD">
        <w:rPr>
          <w:rFonts w:ascii="Times New Roman" w:hAnsi="Times New Roman"/>
          <w:b/>
          <w:lang w:val="en-AU"/>
        </w:rPr>
        <w:t>/</w:t>
      </w:r>
      <w:r w:rsidR="00887159" w:rsidRPr="009C2ADD">
        <w:rPr>
          <w:rFonts w:ascii="Times New Roman" w:hAnsi="Times New Roman"/>
          <w:b/>
          <w:lang w:val="en-AU"/>
        </w:rPr>
        <w:t>SB</w:t>
      </w:r>
      <w:r w:rsidR="00887159" w:rsidRPr="0070772D">
        <w:rPr>
          <w:rFonts w:ascii="Times New Roman" w:hAnsi="Times New Roman"/>
          <w:b/>
          <w:vertAlign w:val="subscript"/>
          <w:lang w:val="en-AU" w:eastAsia="ko-KR"/>
        </w:rPr>
        <w:t>MSY</w:t>
      </w:r>
      <w:r w:rsidRPr="009C2ADD">
        <w:rPr>
          <w:rFonts w:ascii="Times New Roman" w:hAnsi="Times New Roman"/>
          <w:b/>
          <w:lang w:val="en-AU"/>
        </w:rPr>
        <w:t>) and relative recent fishing mortality (F</w:t>
      </w:r>
      <w:r w:rsidRPr="0070772D">
        <w:rPr>
          <w:rFonts w:ascii="Times New Roman" w:hAnsi="Times New Roman"/>
          <w:b/>
          <w:vertAlign w:val="subscript"/>
          <w:lang w:val="en-AU"/>
        </w:rPr>
        <w:t>recent</w:t>
      </w:r>
      <w:r w:rsidRPr="009C2ADD">
        <w:rPr>
          <w:rFonts w:ascii="Times New Roman" w:hAnsi="Times New Roman"/>
          <w:b/>
          <w:lang w:val="en-AU"/>
        </w:rPr>
        <w:t>/F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over the uncertainty grid were used to measure the central tendency of stock status. The values of the upper 90th and lower 10th percentiles of the empirical distributions of relative spawning biomass and relative fishing mortality from the uncertainty grid were used to characterize the probable range of stock status. </w:t>
      </w:r>
    </w:p>
    <w:p w14:paraId="6C5ADC03" w14:textId="77777777" w:rsidR="00A318D4" w:rsidRPr="009C2ADD" w:rsidRDefault="00A318D4" w:rsidP="009C2ADD">
      <w:pPr>
        <w:autoSpaceDE w:val="0"/>
        <w:autoSpaceDN w:val="0"/>
        <w:adjustRightInd w:val="0"/>
        <w:snapToGrid w:val="0"/>
        <w:spacing w:after="0"/>
        <w:rPr>
          <w:rFonts w:ascii="Times New Roman" w:hAnsi="Times New Roman"/>
          <w:b/>
          <w:lang w:val="en-AU"/>
        </w:rPr>
      </w:pPr>
    </w:p>
    <w:p w14:paraId="27624820" w14:textId="7E21735F"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Description of the updated structural sensitivity grid used to characterize uncertainty in the assessment </w:t>
      </w:r>
      <w:r w:rsidR="00D22EEA">
        <w:rPr>
          <w:rFonts w:ascii="Times New Roman" w:hAnsi="Times New Roman"/>
          <w:lang w:val="en-AU"/>
        </w:rPr>
        <w:t>is</w:t>
      </w:r>
      <w:r w:rsidRPr="009C2ADD">
        <w:rPr>
          <w:rFonts w:ascii="Times New Roman" w:hAnsi="Times New Roman"/>
          <w:lang w:val="en-AU"/>
        </w:rPr>
        <w:t xml:space="preserve"> provided in </w:t>
      </w:r>
      <w:r w:rsidRPr="0070772D">
        <w:rPr>
          <w:rFonts w:ascii="Times New Roman" w:hAnsi="Times New Roman"/>
          <w:bCs/>
          <w:lang w:val="en-AU"/>
        </w:rPr>
        <w:t>Table SWO-1</w:t>
      </w:r>
      <w:r w:rsidR="00055229" w:rsidRPr="0070772D">
        <w:rPr>
          <w:rFonts w:ascii="Times New Roman" w:hAnsi="Times New Roman"/>
          <w:bCs/>
          <w:lang w:val="en-AU"/>
        </w:rPr>
        <w:t>.</w:t>
      </w:r>
      <w:r w:rsidRPr="0070772D">
        <w:rPr>
          <w:rFonts w:ascii="Times New Roman" w:hAnsi="Times New Roman"/>
          <w:bCs/>
          <w:lang w:val="en-AU"/>
        </w:rPr>
        <w:t xml:space="preserve"> Time trends in estimated catch, recruitment, biomass, fishing mortality and depletion are shown in Figures SWO-1 – 5.  Figures SWO-6 and SWO-7 show Majuro plot summarising the results for each of the models in the structural uncertainty grid retained for management advice.</w:t>
      </w:r>
      <w:r w:rsidR="00E36DE2" w:rsidRPr="0070772D">
        <w:rPr>
          <w:rFonts w:ascii="Times New Roman" w:hAnsi="Times New Roman"/>
          <w:bCs/>
          <w:lang w:val="en-AU"/>
        </w:rPr>
        <w:t xml:space="preserve"> </w:t>
      </w:r>
      <w:r w:rsidR="009C3EC2" w:rsidRPr="0070772D">
        <w:rPr>
          <w:rFonts w:ascii="Times New Roman" w:hAnsi="Times New Roman"/>
          <w:bCs/>
          <w:lang w:val="en-AU"/>
        </w:rPr>
        <w:t xml:space="preserve">Kobe plots are </w:t>
      </w:r>
      <w:r w:rsidRPr="0070772D">
        <w:rPr>
          <w:rFonts w:ascii="Times New Roman" w:hAnsi="Times New Roman"/>
          <w:bCs/>
          <w:lang w:val="en-AU"/>
        </w:rPr>
        <w:t xml:space="preserve">shown in </w:t>
      </w:r>
      <w:r w:rsidR="009C3EC2" w:rsidRPr="0070772D">
        <w:rPr>
          <w:rFonts w:ascii="Times New Roman" w:hAnsi="Times New Roman"/>
          <w:bCs/>
          <w:lang w:val="en-AU"/>
        </w:rPr>
        <w:t>Figures</w:t>
      </w:r>
      <w:r w:rsidRPr="0070772D">
        <w:rPr>
          <w:rFonts w:ascii="Times New Roman" w:hAnsi="Times New Roman"/>
          <w:bCs/>
          <w:lang w:val="en-AU"/>
        </w:rPr>
        <w:t xml:space="preserve"> SWO-8 and S</w:t>
      </w:r>
      <w:r w:rsidR="004F183E" w:rsidRPr="0070772D">
        <w:rPr>
          <w:rFonts w:ascii="Times New Roman" w:hAnsi="Times New Roman"/>
          <w:bCs/>
          <w:lang w:val="en-AU"/>
        </w:rPr>
        <w:t>W</w:t>
      </w:r>
      <w:r w:rsidRPr="0070772D">
        <w:rPr>
          <w:rFonts w:ascii="Times New Roman" w:hAnsi="Times New Roman"/>
          <w:bCs/>
          <w:lang w:val="en-AU"/>
        </w:rPr>
        <w:t>O-9</w:t>
      </w:r>
      <w:r w:rsidR="009C3EC2" w:rsidRPr="0070772D">
        <w:rPr>
          <w:rFonts w:ascii="Times New Roman" w:hAnsi="Times New Roman"/>
          <w:bCs/>
          <w:lang w:val="en-AU"/>
        </w:rPr>
        <w:t>.</w:t>
      </w:r>
      <w:r w:rsidRPr="0070772D">
        <w:rPr>
          <w:rFonts w:ascii="Times New Roman" w:hAnsi="Times New Roman"/>
          <w:bCs/>
          <w:lang w:val="en-AU"/>
        </w:rPr>
        <w:t xml:space="preserve"> </w:t>
      </w:r>
      <w:r w:rsidR="000549CD" w:rsidRPr="0070772D">
        <w:rPr>
          <w:rFonts w:ascii="Times New Roman" w:hAnsi="Times New Roman"/>
          <w:bCs/>
          <w:lang w:val="en-AU" w:eastAsia="ko-KR"/>
        </w:rPr>
        <w:t xml:space="preserve">Figure SWO-10 provides </w:t>
      </w:r>
      <w:r w:rsidR="00214513">
        <w:rPr>
          <w:rFonts w:ascii="Times New Roman" w:hAnsi="Times New Roman"/>
          <w:bCs/>
          <w:lang w:val="en-AU" w:eastAsia="ko-KR"/>
        </w:rPr>
        <w:t>estimated</w:t>
      </w:r>
      <w:r w:rsidR="000549CD" w:rsidRPr="0070772D">
        <w:rPr>
          <w:rFonts w:ascii="Times New Roman" w:hAnsi="Times New Roman"/>
          <w:bCs/>
        </w:rPr>
        <w:t xml:space="preserve"> time-series (or “dynamic”) Majuro and Kobe plots</w:t>
      </w:r>
      <w:r w:rsidR="003063C1">
        <w:rPr>
          <w:rFonts w:ascii="Times New Roman" w:hAnsi="Times New Roman"/>
          <w:bCs/>
        </w:rPr>
        <w:t xml:space="preserve"> from the SW Pacific swordfish </w:t>
      </w:r>
      <w:r w:rsidR="000549CD" w:rsidRPr="0070772D">
        <w:rPr>
          <w:rFonts w:ascii="Times New Roman" w:hAnsi="Times New Roman"/>
          <w:bCs/>
        </w:rPr>
        <w:t>‘diagnostic case’ model run</w:t>
      </w:r>
      <w:r w:rsidR="000549CD" w:rsidRPr="0070772D">
        <w:rPr>
          <w:rFonts w:ascii="Times New Roman" w:hAnsi="Times New Roman"/>
          <w:bCs/>
          <w:lang w:val="en-AU" w:eastAsia="ko-KR"/>
        </w:rPr>
        <w:t xml:space="preserve">. </w:t>
      </w:r>
      <w:r w:rsidR="0048229F" w:rsidRPr="0070772D">
        <w:rPr>
          <w:rFonts w:ascii="Times New Roman" w:eastAsia="PMingLiU" w:hAnsi="Times New Roman"/>
          <w:bCs/>
          <w:lang w:val="en-AU" w:eastAsia="zh-TW"/>
        </w:rPr>
        <w:t xml:space="preserve">Figure </w:t>
      </w:r>
      <w:r w:rsidR="0048229F" w:rsidRPr="0070772D">
        <w:rPr>
          <w:rFonts w:ascii="Times New Roman" w:eastAsia="Times New Roman" w:hAnsi="Times New Roman"/>
          <w:bCs/>
          <w:lang w:val="en-AU" w:eastAsia="ja-JP"/>
        </w:rPr>
        <w:t>SWO-1</w:t>
      </w:r>
      <w:r w:rsidR="0048229F" w:rsidRPr="0070772D">
        <w:rPr>
          <w:rFonts w:ascii="Times New Roman" w:hAnsi="Times New Roman"/>
          <w:bCs/>
          <w:lang w:val="en-AU" w:eastAsia="ko-KR"/>
        </w:rPr>
        <w:t>1 shows</w:t>
      </w:r>
      <w:r w:rsidR="0048229F" w:rsidRPr="0070772D">
        <w:rPr>
          <w:rFonts w:ascii="Times New Roman" w:eastAsia="PMingLiU" w:hAnsi="Times New Roman"/>
          <w:bCs/>
          <w:lang w:val="en-AU" w:eastAsia="zh-TW"/>
        </w:rPr>
        <w:t xml:space="preserve"> Estimates of</w:t>
      </w:r>
      <w:r w:rsidR="0048229F" w:rsidRPr="000549CD">
        <w:rPr>
          <w:rFonts w:ascii="Times New Roman" w:eastAsia="PMingLiU" w:hAnsi="Times New Roman"/>
          <w:lang w:val="en-AU" w:eastAsia="zh-TW"/>
        </w:rPr>
        <w:t xml:space="preserve"> reduction in spawning potential due to fishing by region, and over all regions (lower </w:t>
      </w:r>
      <w:r w:rsidR="0048229F" w:rsidRPr="00066444">
        <w:rPr>
          <w:rFonts w:ascii="Times New Roman" w:eastAsia="Times New Roman" w:hAnsi="Times New Roman"/>
          <w:lang w:val="en-AU" w:eastAsia="ja-JP"/>
        </w:rPr>
        <w:t>left</w:t>
      </w:r>
      <w:r w:rsidR="0048229F" w:rsidRPr="00066444">
        <w:rPr>
          <w:rFonts w:ascii="Times New Roman" w:eastAsia="PMingLiU" w:hAnsi="Times New Roman"/>
          <w:lang w:val="en-AU" w:eastAsia="zh-TW"/>
        </w:rPr>
        <w:t xml:space="preserve"> panel), attributed to various fishery groups (distant water ‘north’, ‘central’ and ‘south’, corresponding t</w:t>
      </w:r>
      <w:r w:rsidR="0048229F" w:rsidRPr="0070772D">
        <w:rPr>
          <w:rFonts w:ascii="Times New Roman" w:eastAsia="PMingLiU" w:hAnsi="Times New Roman"/>
          <w:lang w:val="en-AU" w:eastAsia="zh-TW"/>
        </w:rPr>
        <w:t>o the model regions, and a combined domestic</w:t>
      </w:r>
      <w:r w:rsidR="0048229F">
        <w:rPr>
          <w:rFonts w:ascii="Times New Roman" w:eastAsia="PMingLiU" w:hAnsi="Times New Roman"/>
          <w:lang w:val="en-AU" w:eastAsia="zh-TW"/>
        </w:rPr>
        <w:t xml:space="preserve"> fleet) </w:t>
      </w:r>
      <w:r w:rsidR="0048229F" w:rsidRPr="009C2ADD">
        <w:rPr>
          <w:rFonts w:ascii="Times New Roman" w:eastAsia="PMingLiU" w:hAnsi="Times New Roman"/>
          <w:lang w:val="en-AU" w:eastAsia="zh-TW"/>
        </w:rPr>
        <w:t>for the diagnostic case model.</w:t>
      </w:r>
      <w:r w:rsidR="0048229F" w:rsidRPr="009C2ADD">
        <w:rPr>
          <w:rFonts w:ascii="Times New Roman" w:eastAsia="Times New Roman" w:hAnsi="Times New Roman"/>
          <w:lang w:val="en-AU" w:eastAsia="ja-JP"/>
        </w:rPr>
        <w:t xml:space="preserve"> </w:t>
      </w:r>
      <w:r w:rsidRPr="009C2ADD">
        <w:rPr>
          <w:rFonts w:ascii="Times New Roman" w:hAnsi="Times New Roman"/>
          <w:lang w:val="en-AU"/>
        </w:rPr>
        <w:t xml:space="preserve">Summary of reference points over all 72 individual models in the structural uncertainty grid are shown </w:t>
      </w:r>
      <w:r w:rsidRPr="00066444">
        <w:rPr>
          <w:rFonts w:ascii="Times New Roman" w:hAnsi="Times New Roman"/>
          <w:lang w:val="en-AU"/>
        </w:rPr>
        <w:t xml:space="preserve">in </w:t>
      </w:r>
      <w:r w:rsidRPr="0070772D">
        <w:rPr>
          <w:rFonts w:ascii="Times New Roman" w:hAnsi="Times New Roman"/>
          <w:lang w:val="en-AU"/>
        </w:rPr>
        <w:t>Table SWO-2</w:t>
      </w:r>
      <w:r w:rsidRPr="00066444">
        <w:rPr>
          <w:rFonts w:ascii="Times New Roman" w:hAnsi="Times New Roman"/>
          <w:lang w:val="en-AU"/>
        </w:rPr>
        <w:t xml:space="preserve">.  </w:t>
      </w:r>
    </w:p>
    <w:p w14:paraId="0075CC6B" w14:textId="77777777" w:rsidR="006D1536" w:rsidRPr="009C2ADD" w:rsidRDefault="006D1536" w:rsidP="009C2ADD">
      <w:pPr>
        <w:pStyle w:val="WCPFC"/>
        <w:numPr>
          <w:ilvl w:val="0"/>
          <w:numId w:val="0"/>
        </w:numPr>
        <w:adjustRightInd w:val="0"/>
        <w:spacing w:after="0"/>
        <w:ind w:left="567"/>
        <w:rPr>
          <w:lang w:val="en-US"/>
        </w:rPr>
      </w:pPr>
    </w:p>
    <w:p w14:paraId="1FE7DF8D" w14:textId="74B75759" w:rsidR="00734E2C" w:rsidRPr="009C2ADD" w:rsidRDefault="00734E2C" w:rsidP="009C2ADD">
      <w:pPr>
        <w:adjustRightInd w:val="0"/>
        <w:snapToGrid w:val="0"/>
        <w:spacing w:after="0"/>
        <w:jc w:val="left"/>
        <w:rPr>
          <w:rFonts w:ascii="Times New Roman" w:eastAsia="MS Mincho" w:hAnsi="Times New Roman"/>
        </w:rPr>
      </w:pPr>
      <w:r w:rsidRPr="009C2ADD">
        <w:rPr>
          <w:rFonts w:ascii="Times New Roman" w:eastAsia="MS Mincho" w:hAnsi="Times New Roman"/>
          <w:b/>
          <w:bCs/>
        </w:rPr>
        <w:t>Table SWO-1</w:t>
      </w:r>
      <w:r w:rsidRPr="009C2ADD">
        <w:rPr>
          <w:rFonts w:ascii="Times New Roman" w:eastAsia="MS Mincho" w:hAnsi="Times New Roman"/>
          <w:b/>
        </w:rPr>
        <w:t xml:space="preserve">: </w:t>
      </w:r>
      <w:r w:rsidRPr="009C2ADD">
        <w:rPr>
          <w:rFonts w:ascii="Times New Roman" w:eastAsia="MS Mincho" w:hAnsi="Times New Roman"/>
        </w:rPr>
        <w:t>Description of the structural sensitivity grid used to characterize uncertainty in the assessment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80"/>
        <w:gridCol w:w="3081"/>
        <w:gridCol w:w="3081"/>
      </w:tblGrid>
      <w:tr w:rsidR="00D352AD" w:rsidRPr="009C2ADD" w14:paraId="64E5CFC7" w14:textId="77777777" w:rsidTr="0088417D">
        <w:tc>
          <w:tcPr>
            <w:tcW w:w="3080" w:type="dxa"/>
            <w:tcBorders>
              <w:bottom w:val="single" w:sz="4" w:space="0" w:color="auto"/>
            </w:tcBorders>
            <w:shd w:val="clear" w:color="auto" w:fill="auto"/>
          </w:tcPr>
          <w:p w14:paraId="1DAE30C2"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Axis</w:t>
            </w:r>
          </w:p>
        </w:tc>
        <w:tc>
          <w:tcPr>
            <w:tcW w:w="3081" w:type="dxa"/>
            <w:tcBorders>
              <w:bottom w:val="single" w:sz="4" w:space="0" w:color="auto"/>
            </w:tcBorders>
            <w:shd w:val="clear" w:color="auto" w:fill="auto"/>
          </w:tcPr>
          <w:p w14:paraId="3E9135BA"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Levels</w:t>
            </w:r>
          </w:p>
        </w:tc>
        <w:tc>
          <w:tcPr>
            <w:tcW w:w="3081" w:type="dxa"/>
            <w:tcBorders>
              <w:bottom w:val="single" w:sz="4" w:space="0" w:color="auto"/>
            </w:tcBorders>
            <w:shd w:val="clear" w:color="auto" w:fill="auto"/>
          </w:tcPr>
          <w:p w14:paraId="63C703B3"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Option</w:t>
            </w:r>
          </w:p>
        </w:tc>
      </w:tr>
      <w:tr w:rsidR="00D352AD" w:rsidRPr="009C2ADD" w14:paraId="4A5D4C9C" w14:textId="77777777" w:rsidTr="0088417D">
        <w:tc>
          <w:tcPr>
            <w:tcW w:w="3080" w:type="dxa"/>
            <w:tcBorders>
              <w:bottom w:val="nil"/>
            </w:tcBorders>
            <w:shd w:val="clear" w:color="auto" w:fill="auto"/>
          </w:tcPr>
          <w:p w14:paraId="5F60F8C2"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Steepness</w:t>
            </w:r>
          </w:p>
        </w:tc>
        <w:tc>
          <w:tcPr>
            <w:tcW w:w="3081" w:type="dxa"/>
            <w:tcBorders>
              <w:bottom w:val="nil"/>
            </w:tcBorders>
            <w:shd w:val="clear" w:color="auto" w:fill="auto"/>
          </w:tcPr>
          <w:p w14:paraId="263400CC"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3</w:t>
            </w:r>
          </w:p>
        </w:tc>
        <w:tc>
          <w:tcPr>
            <w:tcW w:w="3081" w:type="dxa"/>
            <w:tcBorders>
              <w:bottom w:val="nil"/>
            </w:tcBorders>
            <w:shd w:val="clear" w:color="auto" w:fill="auto"/>
          </w:tcPr>
          <w:p w14:paraId="340F4F2D"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0.65, 0.80, 0.95</w:t>
            </w:r>
          </w:p>
        </w:tc>
      </w:tr>
      <w:tr w:rsidR="00D352AD" w:rsidRPr="009C2ADD" w14:paraId="5BAEFCE5" w14:textId="77777777" w:rsidTr="0088417D">
        <w:tc>
          <w:tcPr>
            <w:tcW w:w="3080" w:type="dxa"/>
            <w:tcBorders>
              <w:top w:val="nil"/>
              <w:bottom w:val="nil"/>
            </w:tcBorders>
            <w:shd w:val="clear" w:color="auto" w:fill="auto"/>
          </w:tcPr>
          <w:p w14:paraId="7850DFA6"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Diffusion rate</w:t>
            </w:r>
          </w:p>
        </w:tc>
        <w:tc>
          <w:tcPr>
            <w:tcW w:w="3081" w:type="dxa"/>
            <w:tcBorders>
              <w:top w:val="nil"/>
              <w:bottom w:val="nil"/>
            </w:tcBorders>
            <w:shd w:val="clear" w:color="auto" w:fill="auto"/>
          </w:tcPr>
          <w:p w14:paraId="51A0E17C"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3</w:t>
            </w:r>
          </w:p>
        </w:tc>
        <w:tc>
          <w:tcPr>
            <w:tcW w:w="3081" w:type="dxa"/>
            <w:tcBorders>
              <w:top w:val="nil"/>
              <w:bottom w:val="nil"/>
            </w:tcBorders>
            <w:shd w:val="clear" w:color="auto" w:fill="auto"/>
          </w:tcPr>
          <w:p w14:paraId="23F72764"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0, 0.11, 0.25</w:t>
            </w:r>
          </w:p>
        </w:tc>
      </w:tr>
      <w:tr w:rsidR="00D352AD" w:rsidRPr="009C2ADD" w14:paraId="2CBC9BC6" w14:textId="77777777" w:rsidTr="0088417D">
        <w:tc>
          <w:tcPr>
            <w:tcW w:w="3080" w:type="dxa"/>
            <w:tcBorders>
              <w:top w:val="nil"/>
              <w:bottom w:val="nil"/>
            </w:tcBorders>
            <w:shd w:val="clear" w:color="auto" w:fill="auto"/>
          </w:tcPr>
          <w:p w14:paraId="6328C7AA"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Size frequency weighting</w:t>
            </w:r>
          </w:p>
        </w:tc>
        <w:tc>
          <w:tcPr>
            <w:tcW w:w="3081" w:type="dxa"/>
            <w:tcBorders>
              <w:top w:val="nil"/>
              <w:bottom w:val="nil"/>
            </w:tcBorders>
            <w:shd w:val="clear" w:color="auto" w:fill="auto"/>
          </w:tcPr>
          <w:p w14:paraId="2E80A2DE"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2</w:t>
            </w:r>
          </w:p>
        </w:tc>
        <w:tc>
          <w:tcPr>
            <w:tcW w:w="3081" w:type="dxa"/>
            <w:tcBorders>
              <w:top w:val="nil"/>
              <w:bottom w:val="nil"/>
            </w:tcBorders>
            <w:shd w:val="clear" w:color="auto" w:fill="auto"/>
          </w:tcPr>
          <w:p w14:paraId="17F4FDE3"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Sample size divided by 20,40</w:t>
            </w:r>
          </w:p>
        </w:tc>
      </w:tr>
      <w:tr w:rsidR="00734E2C" w:rsidRPr="009C2ADD" w14:paraId="705A9DFD" w14:textId="77777777" w:rsidTr="0088417D">
        <w:tc>
          <w:tcPr>
            <w:tcW w:w="3080" w:type="dxa"/>
            <w:tcBorders>
              <w:top w:val="nil"/>
            </w:tcBorders>
            <w:shd w:val="clear" w:color="auto" w:fill="auto"/>
          </w:tcPr>
          <w:p w14:paraId="5AB0B825"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Natural mortality vectors</w:t>
            </w:r>
          </w:p>
        </w:tc>
        <w:tc>
          <w:tcPr>
            <w:tcW w:w="3081" w:type="dxa"/>
            <w:tcBorders>
              <w:top w:val="nil"/>
            </w:tcBorders>
            <w:shd w:val="clear" w:color="auto" w:fill="auto"/>
          </w:tcPr>
          <w:p w14:paraId="48954CA4"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4</w:t>
            </w:r>
          </w:p>
        </w:tc>
        <w:tc>
          <w:tcPr>
            <w:tcW w:w="3081" w:type="dxa"/>
            <w:tcBorders>
              <w:top w:val="nil"/>
            </w:tcBorders>
            <w:shd w:val="clear" w:color="auto" w:fill="auto"/>
          </w:tcPr>
          <w:p w14:paraId="22AA0A52" w14:textId="77777777" w:rsidR="00734E2C" w:rsidRPr="009C2ADD" w:rsidRDefault="00734E2C" w:rsidP="009C2ADD">
            <w:pPr>
              <w:adjustRightInd w:val="0"/>
              <w:snapToGrid w:val="0"/>
              <w:spacing w:after="0"/>
              <w:rPr>
                <w:rFonts w:ascii="Times New Roman" w:eastAsia="Times New Roman" w:hAnsi="Times New Roman"/>
                <w:lang w:eastAsia="ja-JP"/>
              </w:rPr>
            </w:pPr>
            <w:r w:rsidRPr="009C2ADD">
              <w:rPr>
                <w:rFonts w:ascii="Times New Roman" w:eastAsia="Times New Roman" w:hAnsi="Times New Roman"/>
                <w:lang w:eastAsia="ja-JP"/>
              </w:rPr>
              <w:t>M1,M2,M3, M4</w:t>
            </w:r>
          </w:p>
        </w:tc>
      </w:tr>
    </w:tbl>
    <w:p w14:paraId="5F6BE792" w14:textId="77777777" w:rsidR="00734E2C" w:rsidRPr="009C2ADD" w:rsidRDefault="00734E2C" w:rsidP="009C2ADD">
      <w:pPr>
        <w:adjustRightInd w:val="0"/>
        <w:snapToGrid w:val="0"/>
        <w:spacing w:after="0"/>
        <w:rPr>
          <w:rFonts w:ascii="Times New Roman" w:eastAsia="MS Mincho" w:hAnsi="Times New Roman"/>
        </w:rPr>
      </w:pPr>
    </w:p>
    <w:p w14:paraId="499FC533" w14:textId="214B3721" w:rsidR="00734E2C" w:rsidRPr="009C2ADD" w:rsidRDefault="00535BED" w:rsidP="009C2ADD">
      <w:pPr>
        <w:adjustRightInd w:val="0"/>
        <w:snapToGrid w:val="0"/>
        <w:spacing w:after="0"/>
        <w:jc w:val="center"/>
        <w:rPr>
          <w:rFonts w:ascii="Times New Roman" w:eastAsia="MS Mincho" w:hAnsi="Times New Roman"/>
        </w:rPr>
      </w:pPr>
      <w:r w:rsidRPr="009C2ADD">
        <w:rPr>
          <w:rFonts w:ascii="Times New Roman" w:eastAsia="MS Mincho" w:hAnsi="Times New Roman"/>
          <w:noProof/>
          <w:lang w:val="en-US" w:eastAsia="ko-KR"/>
        </w:rPr>
        <w:drawing>
          <wp:inline distT="0" distB="0" distL="0" distR="0" wp14:anchorId="4CE210AE" wp14:editId="113B0C15">
            <wp:extent cx="5431790" cy="3113405"/>
            <wp:effectExtent l="0" t="0" r="0" b="0"/>
            <wp:docPr id="42" name="Picture 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Grp="1"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31790" cy="3113405"/>
                    </a:xfrm>
                    <a:prstGeom prst="rect">
                      <a:avLst/>
                    </a:prstGeom>
                    <a:noFill/>
                    <a:ln>
                      <a:noFill/>
                    </a:ln>
                  </pic:spPr>
                </pic:pic>
              </a:graphicData>
            </a:graphic>
          </wp:inline>
        </w:drawing>
      </w:r>
    </w:p>
    <w:p w14:paraId="115D045B" w14:textId="39CB0B9F" w:rsidR="00734E2C" w:rsidRPr="008A6F43" w:rsidRDefault="00734E2C" w:rsidP="009C2ADD">
      <w:pPr>
        <w:adjustRightInd w:val="0"/>
        <w:snapToGrid w:val="0"/>
        <w:spacing w:after="0"/>
        <w:jc w:val="left"/>
        <w:rPr>
          <w:rFonts w:ascii="Times New Roman" w:eastAsia="MS Mincho" w:hAnsi="Times New Roman"/>
        </w:rPr>
      </w:pPr>
      <w:r w:rsidRPr="009C2ADD">
        <w:rPr>
          <w:rFonts w:ascii="Times New Roman" w:eastAsia="MS Mincho" w:hAnsi="Times New Roman"/>
          <w:b/>
          <w:bCs/>
        </w:rPr>
        <w:t>Figure SWO-</w:t>
      </w:r>
      <w:r w:rsidRPr="008A6F43">
        <w:rPr>
          <w:rFonts w:ascii="Times New Roman" w:eastAsia="MS Mincho" w:hAnsi="Times New Roman"/>
          <w:b/>
          <w:bCs/>
        </w:rPr>
        <w:t>1</w:t>
      </w:r>
      <w:r w:rsidRPr="008A6F43">
        <w:rPr>
          <w:rFonts w:ascii="Times New Roman" w:eastAsia="MS PMincho" w:hAnsi="Times New Roman"/>
        </w:rPr>
        <w:t xml:space="preserve">. </w:t>
      </w:r>
      <w:r w:rsidR="008A6F43" w:rsidRPr="008A6F43">
        <w:rPr>
          <w:rFonts w:ascii="Times New Roman" w:hAnsi="Times New Roman"/>
        </w:rPr>
        <w:t xml:space="preserve">Total swordfish catches in weight grouped by major longline-method fisheries in the model regions, 1952–2011. </w:t>
      </w:r>
      <w:r w:rsidR="008A6F43">
        <w:rPr>
          <w:rFonts w:ascii="Times New Roman" w:hAnsi="Times New Roman"/>
        </w:rPr>
        <w:t>(</w:t>
      </w:r>
      <w:r w:rsidR="008A6F43" w:rsidRPr="008A6F43">
        <w:rPr>
          <w:rFonts w:ascii="Times New Roman" w:hAnsi="Times New Roman"/>
        </w:rPr>
        <w:t>DW1 - distant water fleet region 1; AUS – Australian region 1; Other1 - Other fisheries region 1; DW2 - distant water fleet region 2; NZ2 - New Zealand region 2; EU2 – EU (Spanish) region 2; Other2 - other fisheries region 2</w:t>
      </w:r>
      <w:r w:rsidR="008A6F43">
        <w:rPr>
          <w:rFonts w:ascii="Times New Roman" w:hAnsi="Times New Roman"/>
        </w:rPr>
        <w:t>)</w:t>
      </w:r>
    </w:p>
    <w:p w14:paraId="387CCDD5" w14:textId="77777777" w:rsidR="00734E2C" w:rsidRPr="009C2ADD" w:rsidRDefault="00734E2C" w:rsidP="009C2ADD">
      <w:pPr>
        <w:adjustRightInd w:val="0"/>
        <w:snapToGrid w:val="0"/>
        <w:spacing w:after="0"/>
        <w:rPr>
          <w:rFonts w:ascii="Times New Roman" w:eastAsia="Times New Roman" w:hAnsi="Times New Roman"/>
          <w:lang w:val="en-AU" w:eastAsia="ja-JP"/>
        </w:rPr>
      </w:pPr>
    </w:p>
    <w:p w14:paraId="26F135C1" w14:textId="729E1D7B" w:rsidR="00734E2C" w:rsidRPr="009C2ADD" w:rsidRDefault="00535BED" w:rsidP="009C2ADD">
      <w:pPr>
        <w:adjustRightInd w:val="0"/>
        <w:snapToGrid w:val="0"/>
        <w:spacing w:after="0"/>
        <w:jc w:val="center"/>
        <w:rPr>
          <w:rFonts w:ascii="Times New Roman" w:eastAsia="Times New Roman" w:hAnsi="Times New Roman"/>
          <w:lang w:val="en-AU" w:eastAsia="ja-JP"/>
        </w:rPr>
      </w:pPr>
      <w:r w:rsidRPr="009C2ADD">
        <w:rPr>
          <w:rFonts w:ascii="Times New Roman" w:eastAsia="Times New Roman" w:hAnsi="Times New Roman"/>
          <w:noProof/>
          <w:lang w:val="en-US" w:eastAsia="ko-KR"/>
        </w:rPr>
        <w:drawing>
          <wp:inline distT="0" distB="0" distL="0" distR="0" wp14:anchorId="17A6B1BD" wp14:editId="2E50F39A">
            <wp:extent cx="5426710" cy="3118485"/>
            <wp:effectExtent l="0" t="0" r="0" b="0"/>
            <wp:docPr id="43" name="Picture 37" descr="Fig18_Rec_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18_Rec_dia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26710" cy="3118485"/>
                    </a:xfrm>
                    <a:prstGeom prst="rect">
                      <a:avLst/>
                    </a:prstGeom>
                    <a:noFill/>
                    <a:ln>
                      <a:noFill/>
                    </a:ln>
                  </pic:spPr>
                </pic:pic>
              </a:graphicData>
            </a:graphic>
          </wp:inline>
        </w:drawing>
      </w:r>
    </w:p>
    <w:p w14:paraId="5AE10132" w14:textId="389EDFB4" w:rsidR="00734E2C" w:rsidRPr="009C2ADD" w:rsidRDefault="00734E2C" w:rsidP="009C2ADD">
      <w:pPr>
        <w:adjustRightInd w:val="0"/>
        <w:snapToGrid w:val="0"/>
        <w:spacing w:after="0"/>
        <w:rPr>
          <w:rFonts w:ascii="Times New Roman" w:eastAsia="PMingLiU" w:hAnsi="Times New Roman"/>
          <w:lang w:val="en-AU" w:eastAsia="zh-TW"/>
        </w:rPr>
      </w:pPr>
      <w:r w:rsidRPr="009C2ADD">
        <w:rPr>
          <w:rFonts w:ascii="Times New Roman" w:eastAsia="PMingLiU" w:hAnsi="Times New Roman"/>
          <w:b/>
          <w:bCs/>
          <w:lang w:val="en-AU" w:eastAsia="zh-TW"/>
        </w:rPr>
        <w:t xml:space="preserve">Figure </w:t>
      </w:r>
      <w:r w:rsidRPr="009C2ADD">
        <w:rPr>
          <w:rFonts w:ascii="Times New Roman" w:eastAsia="Times New Roman" w:hAnsi="Times New Roman"/>
          <w:b/>
          <w:bCs/>
          <w:lang w:val="en-AU" w:eastAsia="ja-JP"/>
        </w:rPr>
        <w:t>SWO</w:t>
      </w:r>
      <w:r w:rsidRPr="009C2ADD">
        <w:rPr>
          <w:rFonts w:ascii="Times New Roman" w:eastAsia="PMingLiU" w:hAnsi="Times New Roman"/>
          <w:b/>
          <w:bCs/>
          <w:lang w:val="en-AU" w:eastAsia="zh-TW"/>
        </w:rPr>
        <w:t>2</w:t>
      </w:r>
      <w:r w:rsidRPr="009C2ADD">
        <w:rPr>
          <w:rFonts w:ascii="Times New Roman" w:eastAsia="PMingLiU" w:hAnsi="Times New Roman"/>
          <w:b/>
          <w:lang w:val="en-AU" w:eastAsia="zh-TW"/>
        </w:rPr>
        <w:t xml:space="preserve">. </w:t>
      </w:r>
      <w:proofErr w:type="gramStart"/>
      <w:r w:rsidRPr="009C2ADD">
        <w:rPr>
          <w:rFonts w:ascii="Times New Roman" w:eastAsia="PMingLiU" w:hAnsi="Times New Roman"/>
          <w:lang w:val="en-AU" w:eastAsia="zh-TW"/>
        </w:rPr>
        <w:t>Estimated annual average recruitment by model region for the diagnostic case model, showing the relative sizes among regions.</w:t>
      </w:r>
      <w:proofErr w:type="gramEnd"/>
    </w:p>
    <w:p w14:paraId="04F7CBC9" w14:textId="77777777" w:rsidR="006D1536" w:rsidRPr="009C2ADD" w:rsidRDefault="006D1536" w:rsidP="009C2ADD">
      <w:pPr>
        <w:adjustRightInd w:val="0"/>
        <w:snapToGrid w:val="0"/>
        <w:spacing w:after="0"/>
        <w:jc w:val="center"/>
        <w:rPr>
          <w:rFonts w:ascii="Times New Roman" w:eastAsia="PMingLiU" w:hAnsi="Times New Roman"/>
          <w:b/>
          <w:lang w:val="en-AU" w:eastAsia="zh-TW"/>
        </w:rPr>
      </w:pPr>
    </w:p>
    <w:p w14:paraId="315191B9" w14:textId="77777777" w:rsidR="006D1536" w:rsidRPr="009C2ADD" w:rsidRDefault="006D1536" w:rsidP="009C2ADD">
      <w:pPr>
        <w:adjustRightInd w:val="0"/>
        <w:snapToGrid w:val="0"/>
        <w:spacing w:after="0"/>
        <w:jc w:val="center"/>
        <w:rPr>
          <w:rFonts w:ascii="Times New Roman" w:eastAsia="PMingLiU" w:hAnsi="Times New Roman"/>
          <w:b/>
          <w:lang w:val="en-AU" w:eastAsia="zh-TW"/>
        </w:rPr>
      </w:pPr>
    </w:p>
    <w:p w14:paraId="2150266C" w14:textId="77777777" w:rsidR="006D1536" w:rsidRPr="009C2ADD" w:rsidRDefault="006D1536" w:rsidP="009C2ADD">
      <w:pPr>
        <w:adjustRightInd w:val="0"/>
        <w:snapToGrid w:val="0"/>
        <w:spacing w:after="0"/>
        <w:jc w:val="center"/>
        <w:rPr>
          <w:rFonts w:ascii="Times New Roman" w:eastAsia="Times New Roman" w:hAnsi="Times New Roman"/>
          <w:b/>
          <w:lang w:val="en-AU" w:eastAsia="ja-JP"/>
        </w:rPr>
      </w:pPr>
    </w:p>
    <w:p w14:paraId="1ADECA43" w14:textId="0BFDD63D" w:rsidR="00734E2C" w:rsidRPr="009C2ADD" w:rsidRDefault="00535BED" w:rsidP="009C2ADD">
      <w:pPr>
        <w:adjustRightInd w:val="0"/>
        <w:snapToGrid w:val="0"/>
        <w:spacing w:after="0"/>
        <w:rPr>
          <w:rFonts w:ascii="Times New Roman" w:eastAsia="Times New Roman" w:hAnsi="Times New Roman"/>
          <w:lang w:val="en-AU" w:eastAsia="ja-JP"/>
        </w:rPr>
      </w:pPr>
      <w:r w:rsidRPr="009C2ADD">
        <w:rPr>
          <w:rFonts w:ascii="Times New Roman" w:eastAsia="PMingLiU" w:hAnsi="Times New Roman"/>
          <w:noProof/>
          <w:lang w:val="en-US" w:eastAsia="ko-KR"/>
        </w:rPr>
        <w:drawing>
          <wp:inline distT="0" distB="0" distL="0" distR="0" wp14:anchorId="70FD60EC" wp14:editId="6588E1A3">
            <wp:extent cx="5964576" cy="3400926"/>
            <wp:effectExtent l="0" t="0" r="0" b="9525"/>
            <wp:docPr id="44" name="Picture 3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Grp="1"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63134" cy="3400104"/>
                    </a:xfrm>
                    <a:prstGeom prst="rect">
                      <a:avLst/>
                    </a:prstGeom>
                    <a:noFill/>
                    <a:ln>
                      <a:noFill/>
                    </a:ln>
                  </pic:spPr>
                </pic:pic>
              </a:graphicData>
            </a:graphic>
          </wp:inline>
        </w:drawing>
      </w:r>
    </w:p>
    <w:p w14:paraId="70023BB0" w14:textId="77777777" w:rsidR="00734E2C" w:rsidRPr="009C2ADD" w:rsidRDefault="00734E2C" w:rsidP="009C2ADD">
      <w:pPr>
        <w:adjustRightInd w:val="0"/>
        <w:snapToGrid w:val="0"/>
        <w:spacing w:after="0"/>
        <w:rPr>
          <w:rFonts w:ascii="Times New Roman" w:eastAsia="PMingLiU" w:hAnsi="Times New Roman"/>
          <w:lang w:val="en-AU" w:eastAsia="zh-TW"/>
        </w:rPr>
      </w:pPr>
      <w:r w:rsidRPr="009C2ADD">
        <w:rPr>
          <w:rFonts w:ascii="Times New Roman" w:eastAsia="PMingLiU" w:hAnsi="Times New Roman"/>
          <w:b/>
          <w:lang w:val="en-AU" w:eastAsia="zh-TW"/>
        </w:rPr>
        <w:t xml:space="preserve">Figure SWO3. </w:t>
      </w:r>
      <w:proofErr w:type="gramStart"/>
      <w:r w:rsidRPr="009C2ADD">
        <w:rPr>
          <w:rFonts w:ascii="Times New Roman" w:eastAsia="PMingLiU" w:hAnsi="Times New Roman"/>
          <w:lang w:val="en-AU" w:eastAsia="zh-TW"/>
        </w:rPr>
        <w:t>Estimated annual average spawning potential by model region for the diagnostic case model, showing the relative sizes among regions.</w:t>
      </w:r>
      <w:proofErr w:type="gramEnd"/>
    </w:p>
    <w:p w14:paraId="20B8B67E" w14:textId="77777777" w:rsidR="00734E2C" w:rsidRPr="009C2ADD" w:rsidRDefault="00734E2C" w:rsidP="009C2ADD">
      <w:pPr>
        <w:adjustRightInd w:val="0"/>
        <w:snapToGrid w:val="0"/>
        <w:spacing w:after="0"/>
        <w:jc w:val="center"/>
        <w:rPr>
          <w:rFonts w:ascii="Times New Roman" w:eastAsia="Times New Roman" w:hAnsi="Times New Roman"/>
          <w:lang w:val="en-AU" w:eastAsia="ja-JP"/>
        </w:rPr>
      </w:pPr>
    </w:p>
    <w:p w14:paraId="693DB472" w14:textId="45A4CADF" w:rsidR="00734E2C" w:rsidRPr="009C2ADD" w:rsidRDefault="00535BED" w:rsidP="009C2ADD">
      <w:pPr>
        <w:adjustRightInd w:val="0"/>
        <w:snapToGrid w:val="0"/>
        <w:spacing w:after="0"/>
        <w:jc w:val="center"/>
        <w:rPr>
          <w:rFonts w:ascii="Times New Roman" w:eastAsia="Times New Roman" w:hAnsi="Times New Roman"/>
          <w:lang w:val="en-AU" w:eastAsia="ja-JP"/>
        </w:rPr>
      </w:pPr>
      <w:r w:rsidRPr="009C2ADD">
        <w:rPr>
          <w:rFonts w:ascii="Times New Roman" w:eastAsia="Times New Roman" w:hAnsi="Times New Roman"/>
          <w:noProof/>
          <w:lang w:val="en-US" w:eastAsia="ko-KR"/>
        </w:rPr>
        <w:drawing>
          <wp:inline distT="0" distB="0" distL="0" distR="0" wp14:anchorId="437C1F97" wp14:editId="65A9FEE7">
            <wp:extent cx="5715000" cy="3282315"/>
            <wp:effectExtent l="0" t="0" r="0" b="0"/>
            <wp:docPr id="45" name="Picture 35" descr="Fig25_FAAtrendd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25_FAAtrenddia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15000" cy="3282315"/>
                    </a:xfrm>
                    <a:prstGeom prst="rect">
                      <a:avLst/>
                    </a:prstGeom>
                    <a:noFill/>
                    <a:ln>
                      <a:noFill/>
                    </a:ln>
                  </pic:spPr>
                </pic:pic>
              </a:graphicData>
            </a:graphic>
          </wp:inline>
        </w:drawing>
      </w:r>
    </w:p>
    <w:p w14:paraId="7F406DD9" w14:textId="77777777" w:rsidR="00734E2C" w:rsidRPr="009C2ADD" w:rsidRDefault="00734E2C" w:rsidP="009C2ADD">
      <w:pPr>
        <w:adjustRightInd w:val="0"/>
        <w:snapToGrid w:val="0"/>
        <w:spacing w:after="0"/>
        <w:rPr>
          <w:rFonts w:ascii="Times New Roman" w:eastAsia="PMingLiU" w:hAnsi="Times New Roman"/>
          <w:bCs/>
          <w:lang w:eastAsia="zh-TW"/>
        </w:rPr>
      </w:pPr>
      <w:r w:rsidRPr="009C2ADD">
        <w:rPr>
          <w:rFonts w:ascii="Times New Roman" w:eastAsia="MS Mincho" w:hAnsi="Times New Roman"/>
          <w:b/>
        </w:rPr>
        <w:t xml:space="preserve">Figure SWO-4. </w:t>
      </w:r>
      <w:proofErr w:type="gramStart"/>
      <w:r w:rsidRPr="009C2ADD">
        <w:rPr>
          <w:rFonts w:ascii="Times New Roman" w:eastAsia="MS Mincho" w:hAnsi="Times New Roman"/>
        </w:rPr>
        <w:t>Estimated annual average juvenile (age classes 1-3), maturing adult (4-6) and adult (7+) fishing mortality for the diagnostic case model.</w:t>
      </w:r>
      <w:proofErr w:type="gramEnd"/>
    </w:p>
    <w:p w14:paraId="65C3285F" w14:textId="77777777" w:rsidR="00734E2C" w:rsidRPr="009C2ADD" w:rsidRDefault="00734E2C" w:rsidP="009C2ADD">
      <w:pPr>
        <w:adjustRightInd w:val="0"/>
        <w:snapToGrid w:val="0"/>
        <w:spacing w:after="0"/>
        <w:rPr>
          <w:rFonts w:ascii="Times New Roman" w:eastAsia="MS PMincho" w:hAnsi="Times New Roman"/>
          <w:lang w:val="en-AU" w:eastAsia="ja-JP"/>
        </w:rPr>
      </w:pPr>
    </w:p>
    <w:p w14:paraId="0AF0BF2C" w14:textId="79495F67" w:rsidR="00734E2C" w:rsidRPr="009C2ADD" w:rsidRDefault="00535BED" w:rsidP="009C2ADD">
      <w:pPr>
        <w:adjustRightInd w:val="0"/>
        <w:snapToGrid w:val="0"/>
        <w:spacing w:after="0"/>
        <w:jc w:val="center"/>
        <w:rPr>
          <w:rFonts w:ascii="Times New Roman" w:eastAsia="MS Mincho" w:hAnsi="Times New Roman"/>
          <w:b/>
          <w:bCs/>
        </w:rPr>
      </w:pPr>
      <w:r w:rsidRPr="009C2ADD">
        <w:rPr>
          <w:rFonts w:ascii="Times New Roman" w:eastAsia="MS Mincho" w:hAnsi="Times New Roman"/>
          <w:b/>
          <w:noProof/>
          <w:lang w:val="en-US" w:eastAsia="ko-KR"/>
        </w:rPr>
        <w:drawing>
          <wp:inline distT="0" distB="0" distL="0" distR="0" wp14:anchorId="0BD4C664" wp14:editId="57FA5B44">
            <wp:extent cx="5855368" cy="3362933"/>
            <wp:effectExtent l="0" t="0" r="0" b="9525"/>
            <wp:docPr id="46" name="Picture 34" descr="Fig28d_plot_depletion_compare_2017Grid_steep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28d_plot_depletion_compare_2017Grid_steepnes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859480" cy="3365295"/>
                    </a:xfrm>
                    <a:prstGeom prst="rect">
                      <a:avLst/>
                    </a:prstGeom>
                    <a:noFill/>
                    <a:ln>
                      <a:noFill/>
                    </a:ln>
                  </pic:spPr>
                </pic:pic>
              </a:graphicData>
            </a:graphic>
          </wp:inline>
        </w:drawing>
      </w:r>
    </w:p>
    <w:p w14:paraId="50E2BBB9" w14:textId="77777777" w:rsidR="00734E2C" w:rsidRPr="009C2ADD" w:rsidRDefault="00734E2C" w:rsidP="009C2ADD">
      <w:pPr>
        <w:adjustRightInd w:val="0"/>
        <w:snapToGrid w:val="0"/>
        <w:spacing w:after="0"/>
        <w:rPr>
          <w:rFonts w:ascii="Times New Roman" w:eastAsia="PMingLiU" w:hAnsi="Times New Roman"/>
          <w:b/>
          <w:bCs/>
          <w:lang w:eastAsia="zh-TW"/>
        </w:rPr>
      </w:pPr>
      <w:r w:rsidRPr="009C2ADD">
        <w:rPr>
          <w:rFonts w:ascii="Times New Roman" w:eastAsia="MS Mincho" w:hAnsi="Times New Roman"/>
          <w:b/>
          <w:bCs/>
        </w:rPr>
        <w:t>Figure SWO-5</w:t>
      </w:r>
      <w:r w:rsidRPr="009C2ADD">
        <w:rPr>
          <w:rFonts w:ascii="Times New Roman" w:eastAsia="MS PMincho" w:hAnsi="Times New Roman"/>
          <w:b/>
        </w:rPr>
        <w:t xml:space="preserve">. </w:t>
      </w:r>
      <w:r w:rsidRPr="009C2ADD">
        <w:rPr>
          <w:rFonts w:ascii="Times New Roman" w:eastAsia="MS PMincho" w:hAnsi="Times New Roman"/>
        </w:rPr>
        <w:t>Plot showing the trajectories of fishing depletion (of spawning potential) for the 72 model runs retained for the structural uncertainty grid used for management advice. The colours depict the models in the grid with three levels of steepness (0.65, 0.8 and 0.95).</w:t>
      </w:r>
      <w:r w:rsidRPr="009C2ADD">
        <w:rPr>
          <w:rFonts w:ascii="Times New Roman" w:eastAsia="MS Mincho" w:hAnsi="Times New Roman"/>
          <w:b/>
          <w:bCs/>
        </w:rPr>
        <w:br w:type="page"/>
      </w:r>
    </w:p>
    <w:p w14:paraId="25487FA6" w14:textId="77777777" w:rsidR="00734E2C" w:rsidRPr="009C2ADD" w:rsidRDefault="00734E2C" w:rsidP="009C2ADD">
      <w:pPr>
        <w:adjustRightInd w:val="0"/>
        <w:snapToGrid w:val="0"/>
        <w:spacing w:after="0"/>
        <w:rPr>
          <w:rFonts w:ascii="Times New Roman" w:eastAsia="MS PMincho" w:hAnsi="Times New Roman"/>
          <w:lang w:val="en-AU" w:eastAsia="ja-JP"/>
        </w:rPr>
      </w:pPr>
    </w:p>
    <w:p w14:paraId="6955DC2B" w14:textId="0551125B" w:rsidR="00734E2C" w:rsidRPr="009C2ADD" w:rsidRDefault="00535BED" w:rsidP="009C2ADD">
      <w:pPr>
        <w:adjustRightInd w:val="0"/>
        <w:snapToGrid w:val="0"/>
        <w:spacing w:after="0"/>
        <w:jc w:val="center"/>
        <w:rPr>
          <w:rFonts w:ascii="Times New Roman" w:eastAsia="MS PMincho" w:hAnsi="Times New Roman"/>
          <w:lang w:val="en-AU" w:eastAsia="ja-JP"/>
        </w:rPr>
      </w:pPr>
      <w:r w:rsidRPr="009C2ADD">
        <w:rPr>
          <w:rFonts w:ascii="Times New Roman" w:eastAsia="MS PMincho" w:hAnsi="Times New Roman"/>
          <w:noProof/>
          <w:lang w:val="en-US" w:eastAsia="ko-KR"/>
        </w:rPr>
        <w:drawing>
          <wp:inline distT="0" distB="0" distL="0" distR="0" wp14:anchorId="7CCB9855" wp14:editId="7EE6CEB7">
            <wp:extent cx="5791200" cy="5791200"/>
            <wp:effectExtent l="0" t="0" r="0" b="0"/>
            <wp:docPr id="47" name="Picture 33" descr="Majuro-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juro-summary-re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95736" cy="5795736"/>
                    </a:xfrm>
                    <a:prstGeom prst="rect">
                      <a:avLst/>
                    </a:prstGeom>
                    <a:noFill/>
                    <a:ln>
                      <a:noFill/>
                    </a:ln>
                  </pic:spPr>
                </pic:pic>
              </a:graphicData>
            </a:graphic>
          </wp:inline>
        </w:drawing>
      </w:r>
    </w:p>
    <w:p w14:paraId="1DEC47CC" w14:textId="6453ECB6" w:rsidR="00734E2C" w:rsidRPr="009C2ADD" w:rsidRDefault="00734E2C" w:rsidP="009C2ADD">
      <w:pPr>
        <w:adjustRightInd w:val="0"/>
        <w:snapToGrid w:val="0"/>
        <w:spacing w:after="0"/>
        <w:rPr>
          <w:rFonts w:ascii="Times New Roman" w:eastAsia="MS Mincho" w:hAnsi="Times New Roman"/>
          <w:b/>
          <w:bCs/>
        </w:rPr>
      </w:pPr>
      <w:r w:rsidRPr="009C2ADD">
        <w:rPr>
          <w:rFonts w:ascii="Times New Roman" w:eastAsia="MS Mincho" w:hAnsi="Times New Roman"/>
          <w:b/>
          <w:bCs/>
        </w:rPr>
        <w:t>Figure SWO-6.</w:t>
      </w:r>
      <w:r w:rsidRPr="009C2ADD">
        <w:rPr>
          <w:rFonts w:ascii="Times New Roman" w:eastAsia="MS Mincho" w:hAnsi="Times New Roman"/>
        </w:rPr>
        <w:t xml:space="preserve">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70772D">
        <w:rPr>
          <w:rFonts w:ascii="Times New Roman" w:eastAsia="MS Mincho" w:hAnsi="Times New Roman"/>
          <w:vertAlign w:val="subscript"/>
        </w:rPr>
        <w:t>MSY</w:t>
      </w:r>
      <w:r w:rsidRPr="009C2ADD">
        <w:rPr>
          <w:rFonts w:ascii="Times New Roman" w:eastAsia="MS Mincho" w:hAnsi="Times New Roman"/>
        </w:rPr>
        <w:t xml:space="preserve"> (F</w:t>
      </w:r>
      <w:r w:rsidRPr="0070772D">
        <w:rPr>
          <w:rFonts w:ascii="Times New Roman" w:eastAsia="MS Mincho" w:hAnsi="Times New Roman"/>
          <w:vertAlign w:val="subscript"/>
        </w:rPr>
        <w:t>MSY</w:t>
      </w:r>
      <w:r w:rsidRPr="009C2ADD">
        <w:rPr>
          <w:rFonts w:ascii="Times New Roman" w:eastAsia="MS Mincho" w:hAnsi="Times New Roman"/>
        </w:rPr>
        <w:t xml:space="preserve"> is marked with the black dashed line). The points represent </w:t>
      </w:r>
      <w:r w:rsidR="00300F08" w:rsidRPr="0070772D">
        <w:rPr>
          <w:rFonts w:ascii="Times New Roman" w:eastAsia="MS Mincho" w:hAnsi="Times New Roman"/>
        </w:rPr>
        <w:t>SB</w:t>
      </w:r>
      <w:r w:rsidR="00300F08" w:rsidRPr="0070772D">
        <w:rPr>
          <w:rFonts w:ascii="Times New Roman" w:eastAsia="MS Mincho" w:hAnsi="Times New Roman"/>
          <w:vertAlign w:val="subscript"/>
        </w:rPr>
        <w:t>latest</w:t>
      </w:r>
      <w:r w:rsidR="00300F08" w:rsidRPr="00300F08" w:rsidDel="00300F08">
        <w:rPr>
          <w:rFonts w:ascii="Times New Roman" w:eastAsia="MS Mincho" w:hAnsi="Times New Roman"/>
        </w:rPr>
        <w:t xml:space="preserve"> </w:t>
      </w:r>
      <w:r w:rsidRPr="009C2ADD">
        <w:rPr>
          <w:rFonts w:ascii="Times New Roman" w:eastAsia="MS Mincho" w:hAnsi="Times New Roman"/>
        </w:rPr>
        <w:t>/SB</w:t>
      </w:r>
      <w:r w:rsidRPr="0070772D">
        <w:rPr>
          <w:rFonts w:ascii="Times New Roman" w:eastAsia="MS Mincho" w:hAnsi="Times New Roman"/>
          <w:vertAlign w:val="subscript"/>
        </w:rPr>
        <w:t>F=</w:t>
      </w:r>
      <w:proofErr w:type="gramStart"/>
      <w:r w:rsidRPr="0070772D">
        <w:rPr>
          <w:rFonts w:ascii="Times New Roman" w:eastAsia="MS Mincho" w:hAnsi="Times New Roman"/>
          <w:vertAlign w:val="subscript"/>
        </w:rPr>
        <w:t>0</w:t>
      </w:r>
      <w:r w:rsidRPr="009C2ADD">
        <w:rPr>
          <w:rFonts w:ascii="Times New Roman" w:eastAsia="MS Mincho" w:hAnsi="Times New Roman"/>
        </w:rPr>
        <w:t>,</w:t>
      </w:r>
      <w:proofErr w:type="gramEnd"/>
      <w:r w:rsidRPr="009C2ADD">
        <w:rPr>
          <w:rFonts w:ascii="Times New Roman" w:eastAsia="MS Mincho" w:hAnsi="Times New Roman"/>
        </w:rPr>
        <w:t xml:space="preserve"> and the colours depict the models in the grid </w:t>
      </w:r>
      <w:r w:rsidRPr="009C2ADD">
        <w:rPr>
          <w:rFonts w:ascii="Times New Roman" w:eastAsia="MS PMincho" w:hAnsi="Times New Roman"/>
        </w:rPr>
        <w:t>with three levels of steepness (0.65, 0.8 and 0.95).</w:t>
      </w:r>
    </w:p>
    <w:p w14:paraId="0C8B1F59" w14:textId="4FCF1D6D" w:rsidR="00734E2C" w:rsidRPr="009C2ADD" w:rsidRDefault="00535BED" w:rsidP="009C2ADD">
      <w:pPr>
        <w:adjustRightInd w:val="0"/>
        <w:snapToGrid w:val="0"/>
        <w:spacing w:after="0"/>
        <w:rPr>
          <w:rFonts w:ascii="Times New Roman" w:eastAsia="MS Mincho" w:hAnsi="Times New Roman"/>
        </w:rPr>
      </w:pPr>
      <w:r w:rsidRPr="009C2ADD">
        <w:rPr>
          <w:rFonts w:ascii="Times New Roman" w:eastAsia="MS Mincho" w:hAnsi="Times New Roman"/>
          <w:noProof/>
          <w:lang w:val="en-US" w:eastAsia="ko-KR"/>
        </w:rPr>
        <w:drawing>
          <wp:inline distT="0" distB="0" distL="0" distR="0" wp14:anchorId="299FE2F3" wp14:editId="3223C832">
            <wp:extent cx="5983705" cy="5983705"/>
            <wp:effectExtent l="0" t="0" r="0" b="0"/>
            <wp:docPr id="48" name="Picture 48" descr="Majuro-SBrec-summary-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juro-SBrec-summary-re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87908" cy="5987908"/>
                    </a:xfrm>
                    <a:prstGeom prst="rect">
                      <a:avLst/>
                    </a:prstGeom>
                    <a:noFill/>
                    <a:ln>
                      <a:noFill/>
                    </a:ln>
                  </pic:spPr>
                </pic:pic>
              </a:graphicData>
            </a:graphic>
          </wp:inline>
        </w:drawing>
      </w:r>
    </w:p>
    <w:p w14:paraId="503E62B0" w14:textId="77777777" w:rsidR="00734E2C" w:rsidRPr="009C2ADD" w:rsidRDefault="00734E2C" w:rsidP="009C2ADD">
      <w:pPr>
        <w:adjustRightInd w:val="0"/>
        <w:snapToGrid w:val="0"/>
        <w:spacing w:after="0"/>
        <w:rPr>
          <w:rFonts w:ascii="Times New Roman" w:eastAsia="MS PMincho" w:hAnsi="Times New Roman"/>
          <w:lang w:val="en-AU" w:eastAsia="ja-JP"/>
        </w:rPr>
      </w:pPr>
      <w:r w:rsidRPr="009C2ADD">
        <w:rPr>
          <w:rFonts w:ascii="Times New Roman" w:eastAsia="PMingLiU" w:hAnsi="Times New Roman"/>
          <w:b/>
          <w:bCs/>
          <w:lang w:val="en-AU" w:eastAsia="zh-TW"/>
        </w:rPr>
        <w:t xml:space="preserve">Figure </w:t>
      </w:r>
      <w:r w:rsidRPr="009C2ADD">
        <w:rPr>
          <w:rFonts w:ascii="Times New Roman" w:eastAsia="Times New Roman" w:hAnsi="Times New Roman"/>
          <w:b/>
          <w:bCs/>
          <w:lang w:val="en-AU" w:eastAsia="ja-JP"/>
        </w:rPr>
        <w:t>SWO-7</w:t>
      </w:r>
      <w:r w:rsidRPr="009C2ADD">
        <w:rPr>
          <w:rFonts w:ascii="Times New Roman" w:eastAsia="PMingLiU" w:hAnsi="Times New Roman"/>
          <w:lang w:val="en-AU" w:eastAsia="zh-TW"/>
        </w:rPr>
        <w:t>. Majuro plot summarising the results for each of the models in the structural uncertainty grid retained for management advice. The plots represent estimates of stock status in terms of spawning potential depletion and fishing mortality. The red zone represents spawning potential levels lower than the agreed limit reference point which is marked with the solid black line. The orange region is for fishing mortality greater than F</w:t>
      </w:r>
      <w:r w:rsidRPr="009C2ADD">
        <w:rPr>
          <w:rFonts w:ascii="Times New Roman" w:eastAsia="PMingLiU" w:hAnsi="Times New Roman"/>
          <w:vertAlign w:val="subscript"/>
          <w:lang w:val="en-AU" w:eastAsia="zh-TW"/>
        </w:rPr>
        <w:t xml:space="preserve">MSY </w:t>
      </w:r>
      <w:r w:rsidRPr="009C2ADD">
        <w:rPr>
          <w:rFonts w:ascii="Times New Roman" w:eastAsia="PMingLiU" w:hAnsi="Times New Roman"/>
          <w:lang w:val="en-AU" w:eastAsia="zh-TW"/>
        </w:rPr>
        <w:t>(F</w:t>
      </w:r>
      <w:r w:rsidRPr="009C2ADD">
        <w:rPr>
          <w:rFonts w:ascii="Times New Roman" w:eastAsia="PMingLiU" w:hAnsi="Times New Roman"/>
          <w:vertAlign w:val="subscript"/>
          <w:lang w:val="en-AU" w:eastAsia="zh-TW"/>
        </w:rPr>
        <w:t>MSY</w:t>
      </w:r>
      <w:r w:rsidRPr="009C2ADD">
        <w:rPr>
          <w:rFonts w:ascii="Times New Roman" w:eastAsia="PMingLiU" w:hAnsi="Times New Roman"/>
          <w:lang w:val="en-AU" w:eastAsia="zh-TW"/>
        </w:rPr>
        <w:t xml:space="preserve"> is marked with the black dashed line). The points represent SB</w:t>
      </w:r>
      <w:r w:rsidRPr="0070772D">
        <w:rPr>
          <w:rFonts w:ascii="Times New Roman" w:eastAsia="Times New Roman" w:hAnsi="Times New Roman"/>
          <w:i/>
          <w:vertAlign w:val="subscript"/>
          <w:lang w:val="en-AU" w:eastAsia="ja-JP"/>
        </w:rPr>
        <w:t>recent</w:t>
      </w:r>
      <w:r w:rsidRPr="009C2ADD">
        <w:rPr>
          <w:rFonts w:ascii="Times New Roman" w:eastAsia="PMingLiU" w:hAnsi="Times New Roman"/>
          <w:lang w:val="en-AU" w:eastAsia="zh-TW"/>
        </w:rPr>
        <w:t>/SB</w:t>
      </w:r>
      <w:r w:rsidRPr="0070772D">
        <w:rPr>
          <w:rFonts w:ascii="Times New Roman" w:eastAsia="PMingLiU" w:hAnsi="Times New Roman"/>
          <w:i/>
          <w:vertAlign w:val="subscript"/>
          <w:lang w:val="en-AU" w:eastAsia="zh-TW"/>
        </w:rPr>
        <w:t>F=</w:t>
      </w:r>
      <w:proofErr w:type="gramStart"/>
      <w:r w:rsidRPr="0070772D">
        <w:rPr>
          <w:rFonts w:ascii="Times New Roman" w:eastAsia="PMingLiU" w:hAnsi="Times New Roman"/>
          <w:i/>
          <w:vertAlign w:val="subscript"/>
          <w:lang w:val="en-AU" w:eastAsia="zh-TW"/>
        </w:rPr>
        <w:t>0</w:t>
      </w:r>
      <w:r w:rsidRPr="009C2ADD">
        <w:rPr>
          <w:rFonts w:ascii="Times New Roman" w:eastAsia="PMingLiU" w:hAnsi="Times New Roman"/>
          <w:lang w:val="en-AU" w:eastAsia="zh-TW"/>
        </w:rPr>
        <w:t>,</w:t>
      </w:r>
      <w:proofErr w:type="gramEnd"/>
      <w:r w:rsidRPr="009C2ADD">
        <w:rPr>
          <w:rFonts w:ascii="Times New Roman" w:eastAsia="PMingLiU" w:hAnsi="Times New Roman"/>
          <w:lang w:val="en-AU" w:eastAsia="zh-TW"/>
        </w:rPr>
        <w:t xml:space="preserve"> and the colours depict the models in the grid </w:t>
      </w:r>
      <w:r w:rsidRPr="009C2ADD">
        <w:rPr>
          <w:rFonts w:ascii="Times New Roman" w:eastAsia="MS PMincho" w:hAnsi="Times New Roman"/>
          <w:lang w:val="en-AU" w:eastAsia="zh-TW"/>
        </w:rPr>
        <w:t xml:space="preserve">with </w:t>
      </w:r>
      <w:r w:rsidRPr="009C2ADD">
        <w:rPr>
          <w:rFonts w:ascii="Times New Roman" w:eastAsia="MS PMincho" w:hAnsi="Times New Roman"/>
          <w:lang w:val="en-AU" w:eastAsia="ja-JP"/>
        </w:rPr>
        <w:t>three levels of steepness (0.65, 0.8 and 0.95)</w:t>
      </w:r>
      <w:r w:rsidRPr="009C2ADD">
        <w:rPr>
          <w:rFonts w:ascii="Times New Roman" w:eastAsia="MS PMincho" w:hAnsi="Times New Roman"/>
          <w:lang w:val="en-AU" w:eastAsia="zh-TW"/>
        </w:rPr>
        <w:t>.</w:t>
      </w:r>
      <w:r w:rsidRPr="009C2ADD">
        <w:rPr>
          <w:rFonts w:ascii="Times New Roman" w:eastAsia="MS PMincho" w:hAnsi="Times New Roman"/>
          <w:lang w:val="en-AU" w:eastAsia="ja-JP"/>
        </w:rPr>
        <w:t xml:space="preserve"> Note, SB</w:t>
      </w:r>
      <w:r w:rsidRPr="0070772D">
        <w:rPr>
          <w:rFonts w:ascii="Times New Roman" w:eastAsia="Times New Roman" w:hAnsi="Times New Roman"/>
          <w:i/>
          <w:vertAlign w:val="subscript"/>
          <w:lang w:val="en-AU" w:eastAsia="ja-JP"/>
        </w:rPr>
        <w:t>recent</w:t>
      </w:r>
      <w:r w:rsidRPr="009C2ADD">
        <w:rPr>
          <w:rFonts w:ascii="Times New Roman" w:eastAsia="Times New Roman" w:hAnsi="Times New Roman"/>
          <w:i/>
          <w:lang w:val="en-AU" w:eastAsia="ja-JP"/>
        </w:rPr>
        <w:t xml:space="preserve"> </w:t>
      </w:r>
      <w:r w:rsidRPr="009C2ADD">
        <w:rPr>
          <w:rFonts w:ascii="Times New Roman" w:eastAsia="MS PMincho" w:hAnsi="Times New Roman"/>
          <w:lang w:val="en-AU" w:eastAsia="ja-JP"/>
        </w:rPr>
        <w:t>is defined as the mean of SB over 2012-2015.</w:t>
      </w:r>
    </w:p>
    <w:p w14:paraId="045CCD1D" w14:textId="77777777" w:rsidR="00734E2C" w:rsidRPr="009C2ADD" w:rsidRDefault="00734E2C" w:rsidP="009C2ADD">
      <w:pPr>
        <w:adjustRightInd w:val="0"/>
        <w:snapToGrid w:val="0"/>
        <w:spacing w:after="0"/>
        <w:rPr>
          <w:rFonts w:ascii="Times New Roman" w:eastAsia="PMingLiU" w:hAnsi="Times New Roman"/>
          <w:b/>
          <w:bCs/>
          <w:lang w:eastAsia="zh-TW"/>
        </w:rPr>
      </w:pPr>
      <w:r w:rsidRPr="009C2ADD">
        <w:rPr>
          <w:rFonts w:ascii="Times New Roman" w:eastAsia="MS Mincho" w:hAnsi="Times New Roman"/>
          <w:b/>
          <w:bCs/>
        </w:rPr>
        <w:br w:type="page"/>
      </w:r>
    </w:p>
    <w:p w14:paraId="77357679" w14:textId="2A6FF775" w:rsidR="00734E2C" w:rsidRDefault="00734E2C" w:rsidP="009C2ADD">
      <w:pPr>
        <w:adjustRightInd w:val="0"/>
        <w:snapToGrid w:val="0"/>
        <w:spacing w:after="0"/>
        <w:rPr>
          <w:rFonts w:ascii="Times New Roman" w:eastAsia="PMingLiU" w:hAnsi="Times New Roman"/>
          <w:lang w:val="en-AU" w:eastAsia="ja-JP"/>
        </w:rPr>
      </w:pPr>
    </w:p>
    <w:p w14:paraId="295C11AA" w14:textId="48216BCC" w:rsidR="00B077F4" w:rsidRPr="009C2ADD" w:rsidRDefault="00B077F4" w:rsidP="009C2ADD">
      <w:pPr>
        <w:adjustRightInd w:val="0"/>
        <w:snapToGrid w:val="0"/>
        <w:spacing w:after="0"/>
        <w:rPr>
          <w:rFonts w:ascii="Times New Roman" w:eastAsia="PMingLiU" w:hAnsi="Times New Roman"/>
          <w:lang w:val="en-AU" w:eastAsia="ja-JP"/>
        </w:rPr>
      </w:pPr>
      <w:r>
        <w:rPr>
          <w:rFonts w:ascii="Times New Roman" w:eastAsia="PMingLiU" w:hAnsi="Times New Roman"/>
          <w:noProof/>
          <w:lang w:val="en-US" w:eastAsia="ko-KR"/>
        </w:rPr>
        <w:drawing>
          <wp:inline distT="0" distB="0" distL="0" distR="0" wp14:anchorId="45315A9C" wp14:editId="3FA73FD1">
            <wp:extent cx="5943600" cy="5943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8 Kobe-summary-rep.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90EEEDA" w14:textId="62310C66" w:rsidR="00734E2C" w:rsidRPr="00464B7F" w:rsidRDefault="00734E2C" w:rsidP="00464B7F">
      <w:pPr>
        <w:pStyle w:val="CommentText"/>
        <w:rPr>
          <w:rFonts w:ascii="Times New Roman" w:hAnsi="Times New Roman"/>
          <w:color w:val="FF0000"/>
        </w:rPr>
      </w:pPr>
      <w:r w:rsidRPr="00633679">
        <w:rPr>
          <w:rFonts w:ascii="Times New Roman" w:eastAsia="PMingLiU" w:hAnsi="Times New Roman"/>
          <w:b/>
          <w:bCs/>
          <w:sz w:val="22"/>
          <w:szCs w:val="22"/>
          <w:lang w:val="en-AU" w:eastAsia="zh-TW"/>
        </w:rPr>
        <w:t xml:space="preserve">Figure </w:t>
      </w:r>
      <w:r w:rsidRPr="00633679">
        <w:rPr>
          <w:rFonts w:ascii="Times New Roman" w:eastAsia="Times New Roman" w:hAnsi="Times New Roman"/>
          <w:b/>
          <w:bCs/>
          <w:sz w:val="22"/>
          <w:szCs w:val="22"/>
          <w:lang w:val="en-AU" w:eastAsia="ja-JP"/>
        </w:rPr>
        <w:t>SWO-</w:t>
      </w:r>
      <w:r w:rsidRPr="00633679">
        <w:rPr>
          <w:rFonts w:ascii="Times New Roman" w:eastAsia="PMingLiU" w:hAnsi="Times New Roman"/>
          <w:b/>
          <w:bCs/>
          <w:sz w:val="22"/>
          <w:szCs w:val="22"/>
          <w:lang w:val="en-AU" w:eastAsia="zh-TW"/>
        </w:rPr>
        <w:t xml:space="preserve">8. </w:t>
      </w:r>
      <w:proofErr w:type="gramStart"/>
      <w:r w:rsidRPr="00633679">
        <w:rPr>
          <w:rFonts w:ascii="Times New Roman" w:eastAsia="PMingLiU" w:hAnsi="Times New Roman"/>
          <w:sz w:val="22"/>
          <w:szCs w:val="22"/>
          <w:lang w:val="en-AU" w:eastAsia="zh-TW"/>
        </w:rPr>
        <w:t xml:space="preserve">Kobe plot summarising the results for each of the models in the structural uncertainty grid, where the x-axis represents </w:t>
      </w:r>
      <w:r w:rsidR="00300F08" w:rsidRPr="0070772D">
        <w:rPr>
          <w:rFonts w:ascii="Times New Roman" w:eastAsia="MS Mincho" w:hAnsi="Times New Roman"/>
        </w:rPr>
        <w:t>SB</w:t>
      </w:r>
      <w:r w:rsidR="00300F08" w:rsidRPr="0070772D">
        <w:rPr>
          <w:rFonts w:ascii="Times New Roman" w:eastAsia="MS Mincho" w:hAnsi="Times New Roman"/>
          <w:vertAlign w:val="subscript"/>
        </w:rPr>
        <w:t>latest</w:t>
      </w:r>
      <w:r w:rsidR="00300F08" w:rsidRPr="00300F08" w:rsidDel="00300F08">
        <w:rPr>
          <w:rFonts w:ascii="Times New Roman" w:eastAsia="PMingLiU" w:hAnsi="Times New Roman"/>
          <w:sz w:val="22"/>
          <w:szCs w:val="22"/>
          <w:lang w:val="en-AU" w:eastAsia="zh-TW"/>
        </w:rPr>
        <w:t xml:space="preserve"> </w:t>
      </w:r>
      <w:r w:rsidRPr="00633679">
        <w:rPr>
          <w:rFonts w:ascii="Times New Roman" w:eastAsia="PMingLiU" w:hAnsi="Times New Roman"/>
          <w:sz w:val="22"/>
          <w:szCs w:val="22"/>
          <w:lang w:val="en-AU" w:eastAsia="zh-TW"/>
        </w:rPr>
        <w:t>/SB</w:t>
      </w:r>
      <w:r w:rsidR="00300F08" w:rsidRPr="00104C78">
        <w:rPr>
          <w:rFonts w:ascii="Times New Roman" w:hAnsi="Times New Roman"/>
          <w:vertAlign w:val="subscript"/>
          <w:lang w:val="en-AU"/>
        </w:rPr>
        <w:t>MSY</w:t>
      </w:r>
      <w:r w:rsidRPr="00633679">
        <w:rPr>
          <w:rFonts w:ascii="Times New Roman" w:eastAsia="PMingLiU" w:hAnsi="Times New Roman"/>
          <w:sz w:val="22"/>
          <w:szCs w:val="22"/>
          <w:lang w:val="en-AU" w:eastAsia="zh-TW"/>
        </w:rPr>
        <w:t>.</w:t>
      </w:r>
      <w:proofErr w:type="gramEnd"/>
      <w:r w:rsidRPr="00633679">
        <w:rPr>
          <w:rFonts w:ascii="Times New Roman" w:eastAsia="PMingLiU" w:hAnsi="Times New Roman"/>
          <w:sz w:val="22"/>
          <w:szCs w:val="22"/>
          <w:lang w:val="en-AU" w:eastAsia="zh-TW"/>
        </w:rPr>
        <w:t xml:space="preserve"> The colours depict the models in the grid with</w:t>
      </w:r>
      <w:r w:rsidRPr="00633679">
        <w:rPr>
          <w:rFonts w:ascii="Times New Roman" w:eastAsia="Times New Roman" w:hAnsi="Times New Roman"/>
          <w:sz w:val="22"/>
          <w:szCs w:val="22"/>
          <w:lang w:val="en-AU" w:eastAsia="ja-JP"/>
        </w:rPr>
        <w:t xml:space="preserve"> three levels of steepness (0.65, 0.8 and 0.95)</w:t>
      </w:r>
      <w:r w:rsidRPr="00633679">
        <w:rPr>
          <w:rFonts w:ascii="Times New Roman" w:eastAsia="PMingLiU" w:hAnsi="Times New Roman"/>
          <w:sz w:val="22"/>
          <w:szCs w:val="22"/>
          <w:lang w:val="en-AU" w:eastAsia="zh-TW"/>
        </w:rPr>
        <w:t>.</w:t>
      </w:r>
      <w:r w:rsidR="00633679" w:rsidRPr="00633679">
        <w:rPr>
          <w:rFonts w:ascii="Times New Roman" w:eastAsia="PMingLiU" w:hAnsi="Times New Roman"/>
          <w:sz w:val="22"/>
          <w:szCs w:val="22"/>
          <w:lang w:val="en-AU" w:eastAsia="zh-TW"/>
        </w:rPr>
        <w:t xml:space="preserve"> </w:t>
      </w:r>
    </w:p>
    <w:p w14:paraId="2CEDF471" w14:textId="77777777" w:rsidR="00734E2C" w:rsidRPr="009C2ADD" w:rsidRDefault="00734E2C" w:rsidP="009C2ADD">
      <w:pPr>
        <w:adjustRightInd w:val="0"/>
        <w:snapToGrid w:val="0"/>
        <w:spacing w:after="0"/>
        <w:rPr>
          <w:rFonts w:ascii="Times New Roman" w:eastAsia="PMingLiU" w:hAnsi="Times New Roman"/>
          <w:lang w:val="en-AU" w:eastAsia="zh-TW"/>
        </w:rPr>
      </w:pPr>
    </w:p>
    <w:p w14:paraId="3FC76553" w14:textId="77777777" w:rsidR="00734E2C" w:rsidRPr="009C2ADD" w:rsidRDefault="00734E2C" w:rsidP="009C2ADD">
      <w:pPr>
        <w:adjustRightInd w:val="0"/>
        <w:snapToGrid w:val="0"/>
        <w:spacing w:after="0"/>
        <w:rPr>
          <w:rFonts w:ascii="Times New Roman" w:eastAsia="PMingLiU" w:hAnsi="Times New Roman"/>
          <w:lang w:eastAsia="zh-TW"/>
        </w:rPr>
      </w:pPr>
      <w:r w:rsidRPr="009C2ADD">
        <w:rPr>
          <w:rFonts w:ascii="Times New Roman" w:eastAsia="MS Mincho" w:hAnsi="Times New Roman"/>
        </w:rPr>
        <w:br w:type="page"/>
      </w:r>
    </w:p>
    <w:p w14:paraId="5F86E58F" w14:textId="0EB57EF9" w:rsidR="00734E2C" w:rsidRDefault="00734E2C" w:rsidP="009C2ADD">
      <w:pPr>
        <w:adjustRightInd w:val="0"/>
        <w:snapToGrid w:val="0"/>
        <w:spacing w:after="0"/>
        <w:rPr>
          <w:rFonts w:ascii="Times New Roman" w:eastAsia="Times New Roman" w:hAnsi="Times New Roman"/>
          <w:lang w:val="en-AU" w:eastAsia="ja-JP"/>
        </w:rPr>
      </w:pPr>
    </w:p>
    <w:p w14:paraId="1A50B074" w14:textId="7962FA15" w:rsidR="00B077F4" w:rsidRPr="009C2ADD" w:rsidRDefault="00B077F4" w:rsidP="009C2ADD">
      <w:pPr>
        <w:adjustRightInd w:val="0"/>
        <w:snapToGrid w:val="0"/>
        <w:spacing w:after="0"/>
        <w:rPr>
          <w:rFonts w:ascii="Times New Roman" w:eastAsia="Times New Roman" w:hAnsi="Times New Roman"/>
          <w:lang w:val="en-AU" w:eastAsia="ja-JP"/>
        </w:rPr>
      </w:pPr>
      <w:r>
        <w:rPr>
          <w:rFonts w:ascii="Times New Roman" w:eastAsia="Times New Roman" w:hAnsi="Times New Roman"/>
          <w:noProof/>
          <w:lang w:val="en-US" w:eastAsia="ko-KR"/>
        </w:rPr>
        <w:drawing>
          <wp:inline distT="0" distB="0" distL="0" distR="0" wp14:anchorId="6520ED57" wp14:editId="561B5B4A">
            <wp:extent cx="5943600" cy="5943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WO-9 Kobe-SBrec-summary-rep.png"/>
                    <pic:cNvPicPr/>
                  </pic:nvPicPr>
                  <pic:blipFill>
                    <a:blip r:embed="rId6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52198EE" w14:textId="7525A990" w:rsidR="00734E2C" w:rsidRDefault="00734E2C" w:rsidP="009C2ADD">
      <w:pPr>
        <w:adjustRightInd w:val="0"/>
        <w:snapToGrid w:val="0"/>
        <w:spacing w:after="0"/>
        <w:rPr>
          <w:rFonts w:ascii="Times New Roman" w:hAnsi="Times New Roman"/>
          <w:lang w:val="en-AU" w:eastAsia="ko-KR"/>
        </w:rPr>
      </w:pPr>
      <w:r w:rsidRPr="009C2ADD">
        <w:rPr>
          <w:rFonts w:ascii="Times New Roman" w:eastAsia="PMingLiU" w:hAnsi="Times New Roman"/>
          <w:b/>
          <w:bCs/>
          <w:lang w:val="en-AU" w:eastAsia="zh-TW"/>
        </w:rPr>
        <w:t xml:space="preserve">Figure </w:t>
      </w:r>
      <w:r w:rsidRPr="009C2ADD">
        <w:rPr>
          <w:rFonts w:ascii="Times New Roman" w:eastAsia="Times New Roman" w:hAnsi="Times New Roman"/>
          <w:b/>
          <w:bCs/>
          <w:lang w:val="en-AU" w:eastAsia="ja-JP"/>
        </w:rPr>
        <w:t>SWO-9</w:t>
      </w:r>
      <w:r w:rsidRPr="009C2ADD">
        <w:rPr>
          <w:rFonts w:ascii="Times New Roman" w:eastAsia="PMingLiU" w:hAnsi="Times New Roman"/>
          <w:b/>
          <w:bCs/>
          <w:lang w:val="en-AU" w:eastAsia="zh-TW"/>
        </w:rPr>
        <w:t xml:space="preserve">. </w:t>
      </w:r>
      <w:proofErr w:type="gramStart"/>
      <w:r w:rsidRPr="009C2ADD">
        <w:rPr>
          <w:rFonts w:ascii="Times New Roman" w:eastAsia="PMingLiU" w:hAnsi="Times New Roman"/>
          <w:lang w:val="en-AU" w:eastAsia="zh-TW"/>
        </w:rPr>
        <w:t>Kobe plot summarising the results for each of the models in the structural uncertainty grid.</w:t>
      </w:r>
      <w:proofErr w:type="gramEnd"/>
      <w:r w:rsidRPr="009C2ADD">
        <w:rPr>
          <w:rFonts w:ascii="Times New Roman" w:eastAsia="PMingLiU" w:hAnsi="Times New Roman"/>
          <w:lang w:val="en-AU" w:eastAsia="zh-TW"/>
        </w:rPr>
        <w:t xml:space="preserve"> The colours depict the models in the grid with</w:t>
      </w:r>
      <w:r w:rsidRPr="009C2ADD">
        <w:rPr>
          <w:rFonts w:ascii="Times New Roman" w:eastAsia="Times New Roman" w:hAnsi="Times New Roman"/>
          <w:lang w:val="en-AU" w:eastAsia="ja-JP"/>
        </w:rPr>
        <w:t xml:space="preserve"> three levels of steepness (0.65, 0.8 and 0.95)</w:t>
      </w:r>
      <w:r w:rsidRPr="009C2ADD">
        <w:rPr>
          <w:rFonts w:ascii="Times New Roman" w:eastAsia="PMingLiU" w:hAnsi="Times New Roman"/>
          <w:lang w:val="en-AU" w:eastAsia="zh-TW"/>
        </w:rPr>
        <w:t>.</w:t>
      </w:r>
      <w:r w:rsidRPr="009C2ADD">
        <w:rPr>
          <w:rFonts w:ascii="Times New Roman" w:eastAsia="Times New Roman" w:hAnsi="Times New Roman"/>
          <w:lang w:val="en-AU" w:eastAsia="ja-JP"/>
        </w:rPr>
        <w:t xml:space="preserve"> As in Figure SWO7, SB</w:t>
      </w:r>
      <w:r w:rsidRPr="0070772D">
        <w:rPr>
          <w:rFonts w:ascii="Times New Roman" w:eastAsia="Times New Roman" w:hAnsi="Times New Roman"/>
          <w:i/>
          <w:vertAlign w:val="subscript"/>
          <w:lang w:val="en-AU" w:eastAsia="ja-JP"/>
        </w:rPr>
        <w:t>recent</w:t>
      </w:r>
      <w:r w:rsidRPr="009C2ADD">
        <w:rPr>
          <w:rFonts w:ascii="Times New Roman" w:eastAsia="Times New Roman" w:hAnsi="Times New Roman"/>
          <w:i/>
          <w:lang w:val="en-AU" w:eastAsia="ja-JP"/>
        </w:rPr>
        <w:t xml:space="preserve"> </w:t>
      </w:r>
      <w:r w:rsidRPr="009C2ADD">
        <w:rPr>
          <w:rFonts w:ascii="Times New Roman" w:eastAsia="Times New Roman" w:hAnsi="Times New Roman"/>
          <w:lang w:val="en-AU" w:eastAsia="ja-JP"/>
        </w:rPr>
        <w:t xml:space="preserve">was used instead of </w:t>
      </w:r>
      <w:r w:rsidR="00300F08" w:rsidRPr="0070772D">
        <w:rPr>
          <w:rFonts w:ascii="Times New Roman" w:eastAsia="MS Mincho" w:hAnsi="Times New Roman"/>
        </w:rPr>
        <w:t>SB</w:t>
      </w:r>
      <w:r w:rsidR="00300F08" w:rsidRPr="00214513">
        <w:rPr>
          <w:rFonts w:ascii="Times New Roman" w:eastAsia="MS Mincho" w:hAnsi="Times New Roman"/>
          <w:i/>
          <w:iCs/>
          <w:vertAlign w:val="subscript"/>
        </w:rPr>
        <w:t>l</w:t>
      </w:r>
      <w:r w:rsidR="00300F08" w:rsidRPr="00104C78">
        <w:rPr>
          <w:rFonts w:ascii="Times New Roman" w:eastAsia="MS Mincho" w:hAnsi="Times New Roman"/>
          <w:i/>
          <w:vertAlign w:val="subscript"/>
        </w:rPr>
        <w:t>atest</w:t>
      </w:r>
      <w:r w:rsidRPr="009C2ADD">
        <w:rPr>
          <w:rFonts w:ascii="Times New Roman" w:eastAsia="Times New Roman" w:hAnsi="Times New Roman"/>
          <w:lang w:val="en-AU" w:eastAsia="ja-JP"/>
        </w:rPr>
        <w:t>.</w:t>
      </w:r>
    </w:p>
    <w:p w14:paraId="31F5087D" w14:textId="77777777" w:rsidR="000549CD" w:rsidRDefault="000549CD" w:rsidP="009C2ADD">
      <w:pPr>
        <w:adjustRightInd w:val="0"/>
        <w:snapToGrid w:val="0"/>
        <w:spacing w:after="0"/>
        <w:rPr>
          <w:rFonts w:ascii="Times New Roman" w:hAnsi="Times New Roman"/>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EE3D1F" w14:paraId="772630C1" w14:textId="77777777" w:rsidTr="00EE3D1F">
        <w:tc>
          <w:tcPr>
            <w:tcW w:w="9468" w:type="dxa"/>
          </w:tcPr>
          <w:p w14:paraId="68C92415" w14:textId="4F848FCB" w:rsidR="00EE3D1F" w:rsidRDefault="00EE3D1F" w:rsidP="00EE3D1F">
            <w:pPr>
              <w:adjustRightInd w:val="0"/>
              <w:snapToGrid w:val="0"/>
              <w:spacing w:after="0"/>
              <w:jc w:val="center"/>
              <w:rPr>
                <w:rFonts w:ascii="Times New Roman" w:hAnsi="Times New Roman"/>
                <w:lang w:val="en-AU" w:eastAsia="ko-KR"/>
              </w:rPr>
            </w:pPr>
            <w:r>
              <w:rPr>
                <w:b/>
                <w:noProof/>
                <w:lang w:val="en-US" w:eastAsia="ko-KR"/>
              </w:rPr>
              <w:drawing>
                <wp:inline distT="0" distB="0" distL="0" distR="0" wp14:anchorId="2B8D3F7B" wp14:editId="525768C6">
                  <wp:extent cx="3753853" cy="3753853"/>
                  <wp:effectExtent l="0" t="0" r="0" b="0"/>
                  <wp:docPr id="66" name="図 56" descr="Assessment/plots/Fig35a_Majuro.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Assessment/plots/Fig35a_Majuro.plot.pd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60715" cy="3760715"/>
                          </a:xfrm>
                          <a:prstGeom prst="rect">
                            <a:avLst/>
                          </a:prstGeom>
                          <a:noFill/>
                          <a:ln>
                            <a:noFill/>
                          </a:ln>
                        </pic:spPr>
                      </pic:pic>
                    </a:graphicData>
                  </a:graphic>
                </wp:inline>
              </w:drawing>
            </w:r>
          </w:p>
        </w:tc>
      </w:tr>
      <w:tr w:rsidR="00EE3D1F" w14:paraId="46FBD636" w14:textId="77777777" w:rsidTr="00EE3D1F">
        <w:tc>
          <w:tcPr>
            <w:tcW w:w="9468" w:type="dxa"/>
          </w:tcPr>
          <w:p w14:paraId="1EDA8BE6" w14:textId="066E3CE3" w:rsidR="00EE3D1F" w:rsidRDefault="00EE3D1F" w:rsidP="00EE3D1F">
            <w:pPr>
              <w:adjustRightInd w:val="0"/>
              <w:snapToGrid w:val="0"/>
              <w:spacing w:after="0"/>
              <w:jc w:val="center"/>
              <w:rPr>
                <w:b/>
                <w:noProof/>
                <w:lang w:val="en-US" w:eastAsia="ko-KR"/>
              </w:rPr>
            </w:pPr>
            <w:r>
              <w:rPr>
                <w:b/>
                <w:noProof/>
                <w:lang w:val="en-US" w:eastAsia="ko-KR"/>
              </w:rPr>
              <w:drawing>
                <wp:inline distT="0" distB="0" distL="0" distR="0" wp14:anchorId="4E2287E9" wp14:editId="4D34E2BB">
                  <wp:extent cx="3753853" cy="3753853"/>
                  <wp:effectExtent l="0" t="0" r="0" b="0"/>
                  <wp:docPr id="67" name="図 57" descr="Assessment/plots/Fig35b_Kobe.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ssessment/plots/Fig35b_Kobe.plot.pd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60716" cy="3760716"/>
                          </a:xfrm>
                          <a:prstGeom prst="rect">
                            <a:avLst/>
                          </a:prstGeom>
                          <a:noFill/>
                          <a:ln>
                            <a:noFill/>
                          </a:ln>
                        </pic:spPr>
                      </pic:pic>
                    </a:graphicData>
                  </a:graphic>
                </wp:inline>
              </w:drawing>
            </w:r>
          </w:p>
        </w:tc>
      </w:tr>
    </w:tbl>
    <w:p w14:paraId="2053832C" w14:textId="22B88E55" w:rsidR="000549CD" w:rsidRPr="0070772D" w:rsidRDefault="000549CD" w:rsidP="009C2ADD">
      <w:pPr>
        <w:adjustRightInd w:val="0"/>
        <w:snapToGrid w:val="0"/>
        <w:spacing w:after="0"/>
        <w:rPr>
          <w:rFonts w:ascii="Times New Roman" w:hAnsi="Times New Roman"/>
          <w:lang w:val="en-AU" w:eastAsia="ko-KR"/>
        </w:rPr>
      </w:pPr>
      <w:r w:rsidRPr="000549CD">
        <w:rPr>
          <w:rFonts w:ascii="Times New Roman" w:eastAsia="PMingLiU" w:hAnsi="Times New Roman"/>
          <w:b/>
          <w:bCs/>
          <w:lang w:val="en-AU" w:eastAsia="zh-TW"/>
        </w:rPr>
        <w:t xml:space="preserve">Figure </w:t>
      </w:r>
      <w:r w:rsidRPr="00066444">
        <w:rPr>
          <w:rFonts w:ascii="Times New Roman" w:eastAsia="Times New Roman" w:hAnsi="Times New Roman"/>
          <w:b/>
          <w:bCs/>
          <w:lang w:val="en-AU" w:eastAsia="ja-JP"/>
        </w:rPr>
        <w:t>SWO-</w:t>
      </w:r>
      <w:r w:rsidRPr="00066444">
        <w:rPr>
          <w:rFonts w:ascii="Times New Roman" w:hAnsi="Times New Roman"/>
          <w:b/>
          <w:bCs/>
          <w:lang w:val="en-AU" w:eastAsia="ko-KR"/>
        </w:rPr>
        <w:t>10</w:t>
      </w:r>
      <w:r w:rsidRPr="000549CD">
        <w:rPr>
          <w:rFonts w:ascii="Times New Roman" w:eastAsia="PMingLiU" w:hAnsi="Times New Roman"/>
          <w:b/>
          <w:bCs/>
          <w:lang w:val="en-AU" w:eastAsia="zh-TW"/>
        </w:rPr>
        <w:t>.</w:t>
      </w:r>
      <w:r w:rsidRPr="00066444">
        <w:rPr>
          <w:rFonts w:ascii="Times New Roman" w:hAnsi="Times New Roman"/>
          <w:b/>
          <w:bCs/>
          <w:lang w:val="en-AU" w:eastAsia="ko-KR"/>
        </w:rPr>
        <w:t xml:space="preserve"> </w:t>
      </w:r>
      <w:r w:rsidRPr="0070772D">
        <w:rPr>
          <w:rFonts w:ascii="Times New Roman" w:hAnsi="Times New Roman"/>
        </w:rPr>
        <w:t xml:space="preserve">Estimated time-series (or “dynamic”) Majuro and Kobe plots from the SW Pacific </w:t>
      </w:r>
      <w:proofErr w:type="gramStart"/>
      <w:r w:rsidRPr="0070772D">
        <w:rPr>
          <w:rFonts w:ascii="Times New Roman" w:hAnsi="Times New Roman"/>
        </w:rPr>
        <w:t>swordfish  ‘diagnostic</w:t>
      </w:r>
      <w:proofErr w:type="gramEnd"/>
      <w:r w:rsidRPr="0070772D">
        <w:rPr>
          <w:rFonts w:ascii="Times New Roman" w:hAnsi="Times New Roman"/>
        </w:rPr>
        <w:t xml:space="preserve"> case’ model run.</w:t>
      </w:r>
    </w:p>
    <w:p w14:paraId="04F4D794" w14:textId="77777777" w:rsidR="00734E2C" w:rsidRPr="009C2ADD" w:rsidRDefault="00734E2C" w:rsidP="009C2ADD">
      <w:pPr>
        <w:adjustRightInd w:val="0"/>
        <w:snapToGrid w:val="0"/>
        <w:spacing w:after="0"/>
        <w:rPr>
          <w:rFonts w:ascii="Times New Roman" w:eastAsia="Times New Roman" w:hAnsi="Times New Roman"/>
          <w:lang w:val="en-AU" w:eastAsia="ja-JP"/>
        </w:rPr>
      </w:pPr>
    </w:p>
    <w:p w14:paraId="78B73EDF" w14:textId="77777777" w:rsidR="00734E2C" w:rsidRPr="009C2ADD" w:rsidRDefault="00734E2C" w:rsidP="009C2ADD">
      <w:pPr>
        <w:adjustRightInd w:val="0"/>
        <w:snapToGrid w:val="0"/>
        <w:spacing w:after="0"/>
        <w:rPr>
          <w:rFonts w:ascii="Times New Roman" w:eastAsia="Times New Roman" w:hAnsi="Times New Roman"/>
          <w:lang w:eastAsia="ja-JP"/>
        </w:rPr>
      </w:pPr>
    </w:p>
    <w:p w14:paraId="28F3F63C" w14:textId="31EE652F" w:rsidR="00734E2C" w:rsidRPr="009C2ADD" w:rsidRDefault="00535BED" w:rsidP="009C2ADD">
      <w:pPr>
        <w:adjustRightInd w:val="0"/>
        <w:snapToGrid w:val="0"/>
        <w:spacing w:after="0"/>
        <w:rPr>
          <w:rFonts w:ascii="Times New Roman" w:eastAsia="Times New Roman" w:hAnsi="Times New Roman"/>
          <w:b/>
          <w:bCs/>
          <w:noProof/>
          <w:lang w:val="en-AU" w:eastAsia="ja-JP"/>
        </w:rPr>
      </w:pPr>
      <w:r w:rsidRPr="009C2ADD">
        <w:rPr>
          <w:rFonts w:ascii="Times New Roman" w:eastAsia="Times New Roman" w:hAnsi="Times New Roman"/>
          <w:b/>
          <w:noProof/>
          <w:lang w:val="en-US" w:eastAsia="ko-KR"/>
        </w:rPr>
        <w:drawing>
          <wp:inline distT="0" distB="0" distL="0" distR="0" wp14:anchorId="6A3705D4" wp14:editId="4B5F2276">
            <wp:extent cx="5951621" cy="5951621"/>
            <wp:effectExtent l="0" t="0" r="0" b="0"/>
            <wp:docPr id="51" name="Picture 29" descr="/Users/yukiot/Dropbox/MFCL/SC13/SWO/Assessment/plots/Fig36_splotimpactAdul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sers/yukiot/Dropbox/MFCL/SC13/SWO/Assessment/plots/Fig36_splotimpactAdult.pd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53752" cy="5953752"/>
                    </a:xfrm>
                    <a:prstGeom prst="rect">
                      <a:avLst/>
                    </a:prstGeom>
                    <a:noFill/>
                    <a:ln>
                      <a:noFill/>
                    </a:ln>
                  </pic:spPr>
                </pic:pic>
              </a:graphicData>
            </a:graphic>
          </wp:inline>
        </w:drawing>
      </w:r>
    </w:p>
    <w:p w14:paraId="323A3423" w14:textId="64FAA6A7" w:rsidR="00734E2C" w:rsidRPr="009C2ADD" w:rsidRDefault="00734E2C" w:rsidP="009C2ADD">
      <w:pPr>
        <w:autoSpaceDE w:val="0"/>
        <w:autoSpaceDN w:val="0"/>
        <w:adjustRightInd w:val="0"/>
        <w:snapToGrid w:val="0"/>
        <w:spacing w:after="0"/>
        <w:rPr>
          <w:rFonts w:ascii="Times New Roman" w:eastAsia="Times New Roman" w:hAnsi="Times New Roman"/>
          <w:b/>
          <w:bCs/>
          <w:noProof/>
          <w:lang w:val="en-AU" w:eastAsia="ja-JP"/>
        </w:rPr>
      </w:pPr>
      <w:r w:rsidRPr="009C2ADD">
        <w:rPr>
          <w:rFonts w:ascii="Times New Roman" w:eastAsia="PMingLiU" w:hAnsi="Times New Roman"/>
          <w:b/>
          <w:bCs/>
          <w:lang w:val="en-AU" w:eastAsia="zh-TW"/>
        </w:rPr>
        <w:t xml:space="preserve">Figure </w:t>
      </w:r>
      <w:r w:rsidRPr="009C2ADD">
        <w:rPr>
          <w:rFonts w:ascii="Times New Roman" w:eastAsia="Times New Roman" w:hAnsi="Times New Roman"/>
          <w:b/>
          <w:bCs/>
          <w:lang w:val="en-AU" w:eastAsia="ja-JP"/>
        </w:rPr>
        <w:t>SWO-1</w:t>
      </w:r>
      <w:r w:rsidR="000549CD">
        <w:rPr>
          <w:rFonts w:ascii="Times New Roman" w:hAnsi="Times New Roman" w:hint="eastAsia"/>
          <w:b/>
          <w:bCs/>
          <w:lang w:val="en-AU" w:eastAsia="ko-KR"/>
        </w:rPr>
        <w:t>1</w:t>
      </w:r>
      <w:r w:rsidRPr="009C2ADD">
        <w:rPr>
          <w:rFonts w:ascii="Times New Roman" w:eastAsia="PMingLiU" w:hAnsi="Times New Roman"/>
          <w:lang w:val="en-AU" w:eastAsia="zh-TW"/>
        </w:rPr>
        <w:t xml:space="preserve">. Estimates of reduction in spawning potential due to fishing by region, and over all regions (lower </w:t>
      </w:r>
      <w:r w:rsidRPr="009C2ADD">
        <w:rPr>
          <w:rFonts w:ascii="Times New Roman" w:eastAsia="Times New Roman" w:hAnsi="Times New Roman"/>
          <w:lang w:val="en-AU" w:eastAsia="ja-JP"/>
        </w:rPr>
        <w:t>left</w:t>
      </w:r>
      <w:r w:rsidRPr="009C2ADD">
        <w:rPr>
          <w:rFonts w:ascii="Times New Roman" w:eastAsia="PMingLiU" w:hAnsi="Times New Roman"/>
          <w:lang w:val="en-AU" w:eastAsia="zh-TW"/>
        </w:rPr>
        <w:t xml:space="preserve"> panel), attributed to various fishery groups </w:t>
      </w:r>
      <w:r w:rsidR="00081AEE">
        <w:rPr>
          <w:rFonts w:ascii="Times New Roman" w:eastAsia="PMingLiU" w:hAnsi="Times New Roman"/>
          <w:lang w:val="en-AU" w:eastAsia="zh-TW"/>
        </w:rPr>
        <w:t xml:space="preserve">(distant water ‘north’, ‘central’ and ‘south’, corresponding to the model regions, and a combined domestic fleet) </w:t>
      </w:r>
      <w:r w:rsidRPr="009C2ADD">
        <w:rPr>
          <w:rFonts w:ascii="Times New Roman" w:eastAsia="PMingLiU" w:hAnsi="Times New Roman"/>
          <w:lang w:val="en-AU" w:eastAsia="zh-TW"/>
        </w:rPr>
        <w:t>for the diagnostic case model.</w:t>
      </w:r>
      <w:r w:rsidRPr="009C2ADD">
        <w:rPr>
          <w:rFonts w:ascii="Times New Roman" w:eastAsia="Times New Roman" w:hAnsi="Times New Roman"/>
          <w:lang w:val="en-AU" w:eastAsia="ja-JP"/>
        </w:rPr>
        <w:t xml:space="preserve"> </w:t>
      </w:r>
    </w:p>
    <w:p w14:paraId="7DEF0278" w14:textId="77777777" w:rsidR="00734E2C" w:rsidRPr="009C2ADD" w:rsidRDefault="00734E2C" w:rsidP="009C2ADD">
      <w:pPr>
        <w:adjustRightInd w:val="0"/>
        <w:snapToGrid w:val="0"/>
        <w:spacing w:after="0"/>
        <w:rPr>
          <w:rFonts w:ascii="Times New Roman" w:eastAsia="Times New Roman" w:hAnsi="Times New Roman"/>
          <w:lang w:val="en-AU" w:eastAsia="ja-JP"/>
        </w:rPr>
      </w:pPr>
      <w:r w:rsidRPr="009C2ADD">
        <w:rPr>
          <w:rFonts w:ascii="Times New Roman" w:eastAsia="MS Mincho" w:hAnsi="Times New Roman"/>
          <w:b/>
          <w:bCs/>
        </w:rPr>
        <w:br w:type="page"/>
      </w:r>
      <w:proofErr w:type="gramStart"/>
      <w:r w:rsidRPr="009C2ADD">
        <w:rPr>
          <w:rFonts w:ascii="Times New Roman" w:eastAsia="PMingLiU" w:hAnsi="Times New Roman"/>
          <w:b/>
          <w:bCs/>
          <w:lang w:val="en-AU" w:eastAsia="zh-TW"/>
        </w:rPr>
        <w:t xml:space="preserve">Table </w:t>
      </w:r>
      <w:r w:rsidRPr="009C2ADD">
        <w:rPr>
          <w:rFonts w:ascii="Times New Roman" w:eastAsia="Times New Roman" w:hAnsi="Times New Roman"/>
          <w:b/>
          <w:bCs/>
          <w:lang w:val="en-AU" w:eastAsia="ja-JP"/>
        </w:rPr>
        <w:t>SWO-</w:t>
      </w:r>
      <w:r w:rsidRPr="009C2ADD">
        <w:rPr>
          <w:rFonts w:ascii="Times New Roman" w:eastAsia="PMingLiU" w:hAnsi="Times New Roman"/>
          <w:b/>
          <w:bCs/>
          <w:lang w:val="en-AU" w:eastAsia="zh-TW"/>
        </w:rPr>
        <w:t>2</w:t>
      </w:r>
      <w:r w:rsidRPr="009C2ADD">
        <w:rPr>
          <w:rFonts w:ascii="Times New Roman" w:eastAsia="PMingLiU" w:hAnsi="Times New Roman"/>
          <w:lang w:val="en-AU" w:eastAsia="zh-TW"/>
        </w:rPr>
        <w:t>.</w:t>
      </w:r>
      <w:proofErr w:type="gramEnd"/>
      <w:r w:rsidRPr="009C2ADD">
        <w:rPr>
          <w:rFonts w:ascii="Times New Roman" w:eastAsia="PMingLiU" w:hAnsi="Times New Roman"/>
          <w:lang w:val="en-AU" w:eastAsia="zh-TW"/>
        </w:rPr>
        <w:t xml:space="preserve"> Summary of reference points over the </w:t>
      </w:r>
      <w:r w:rsidRPr="009C2ADD">
        <w:rPr>
          <w:rFonts w:ascii="Times New Roman" w:eastAsia="Times New Roman" w:hAnsi="Times New Roman"/>
          <w:lang w:val="en-AU" w:eastAsia="ja-JP"/>
        </w:rPr>
        <w:t>72</w:t>
      </w:r>
      <w:r w:rsidRPr="009C2ADD">
        <w:rPr>
          <w:rFonts w:ascii="Times New Roman" w:eastAsia="PMingLiU" w:hAnsi="Times New Roman"/>
          <w:lang w:val="en-AU" w:eastAsia="zh-TW"/>
        </w:rPr>
        <w:t xml:space="preserve"> models in the structural uncertainty grid for management advice. Note that SB</w:t>
      </w:r>
      <w:r w:rsidRPr="0070772D">
        <w:rPr>
          <w:rFonts w:ascii="Times New Roman" w:eastAsia="PMingLiU" w:hAnsi="Times New Roman"/>
          <w:i/>
          <w:vertAlign w:val="subscript"/>
          <w:lang w:val="en-AU" w:eastAsia="zh-TW"/>
        </w:rPr>
        <w:t>recent</w:t>
      </w:r>
      <w:r w:rsidRPr="009C2ADD">
        <w:rPr>
          <w:rFonts w:ascii="Times New Roman" w:eastAsia="PMingLiU" w:hAnsi="Times New Roman"/>
          <w:lang w:val="en-AU" w:eastAsia="zh-TW"/>
        </w:rPr>
        <w:t>/SB</w:t>
      </w:r>
      <w:r w:rsidRPr="0070772D">
        <w:rPr>
          <w:rFonts w:ascii="Times New Roman" w:eastAsia="PMingLiU" w:hAnsi="Times New Roman"/>
          <w:i/>
          <w:vertAlign w:val="subscript"/>
          <w:lang w:val="en-AU" w:eastAsia="zh-TW"/>
        </w:rPr>
        <w:t>F=0</w:t>
      </w:r>
      <w:r w:rsidRPr="009C2ADD">
        <w:rPr>
          <w:rFonts w:ascii="Times New Roman" w:eastAsia="PMingLiU" w:hAnsi="Times New Roman"/>
          <w:i/>
          <w:lang w:val="en-AU" w:eastAsia="zh-TW"/>
        </w:rPr>
        <w:t xml:space="preserve"> </w:t>
      </w:r>
      <w:r w:rsidRPr="009C2ADD">
        <w:rPr>
          <w:rFonts w:ascii="Times New Roman" w:eastAsia="PMingLiU" w:hAnsi="Times New Roman"/>
          <w:lang w:val="en-AU" w:eastAsia="zh-TW"/>
        </w:rPr>
        <w:t>is calculated where SB</w:t>
      </w:r>
      <w:r w:rsidRPr="0070772D">
        <w:rPr>
          <w:rFonts w:ascii="Times New Roman" w:eastAsia="PMingLiU" w:hAnsi="Times New Roman"/>
          <w:i/>
          <w:vertAlign w:val="subscript"/>
          <w:lang w:val="en-AU" w:eastAsia="zh-TW"/>
        </w:rPr>
        <w:t>recent</w:t>
      </w:r>
      <w:r w:rsidRPr="009C2ADD">
        <w:rPr>
          <w:rFonts w:ascii="Times New Roman" w:eastAsia="PMingLiU" w:hAnsi="Times New Roman"/>
          <w:i/>
          <w:lang w:val="en-AU" w:eastAsia="zh-TW"/>
        </w:rPr>
        <w:t xml:space="preserve"> </w:t>
      </w:r>
      <w:r w:rsidRPr="009C2ADD">
        <w:rPr>
          <w:rFonts w:ascii="Times New Roman" w:eastAsia="PMingLiU" w:hAnsi="Times New Roman"/>
          <w:lang w:val="en-AU" w:eastAsia="zh-TW"/>
        </w:rPr>
        <w:t xml:space="preserve">is the mean SB over 2012-2015 instead of 2011-2014 (used in the stock assessment report), at the request </w:t>
      </w:r>
      <w:r w:rsidR="009846FB" w:rsidRPr="009C2ADD">
        <w:rPr>
          <w:rFonts w:ascii="Times New Roman" w:eastAsia="PMingLiU" w:hAnsi="Times New Roman"/>
          <w:lang w:val="en-AU" w:eastAsia="zh-TW"/>
        </w:rPr>
        <w:t>of the Scientific Committee.</w:t>
      </w:r>
    </w:p>
    <w:tbl>
      <w:tblPr>
        <w:tblpPr w:leftFromText="187" w:rightFromText="187" w:vertAnchor="text" w:horzAnchor="margin" w:tblpY="1"/>
        <w:tblOverlap w:val="never"/>
        <w:tblW w:w="0" w:type="auto"/>
        <w:tblBorders>
          <w:top w:val="single" w:sz="4" w:space="0" w:color="auto"/>
          <w:bottom w:val="single" w:sz="4" w:space="0" w:color="auto"/>
        </w:tblBorders>
        <w:tblLook w:val="04A0" w:firstRow="1" w:lastRow="0" w:firstColumn="1" w:lastColumn="0" w:noHBand="0" w:noVBand="1"/>
      </w:tblPr>
      <w:tblGrid>
        <w:gridCol w:w="1732"/>
        <w:gridCol w:w="1264"/>
        <w:gridCol w:w="1265"/>
        <w:gridCol w:w="1265"/>
        <w:gridCol w:w="1265"/>
        <w:gridCol w:w="1265"/>
        <w:gridCol w:w="1265"/>
      </w:tblGrid>
      <w:tr w:rsidR="00D352AD" w:rsidRPr="009C2ADD" w14:paraId="5041BC7E" w14:textId="77777777" w:rsidTr="00A318D4">
        <w:tc>
          <w:tcPr>
            <w:tcW w:w="1732" w:type="dxa"/>
            <w:tcBorders>
              <w:top w:val="single" w:sz="4" w:space="0" w:color="auto"/>
              <w:bottom w:val="single" w:sz="4" w:space="0" w:color="auto"/>
            </w:tcBorders>
            <w:shd w:val="clear" w:color="auto" w:fill="auto"/>
          </w:tcPr>
          <w:p w14:paraId="629A5BCD" w14:textId="77777777" w:rsidR="00734E2C" w:rsidRPr="009C2ADD" w:rsidRDefault="00734E2C" w:rsidP="009C2ADD">
            <w:pPr>
              <w:adjustRightInd w:val="0"/>
              <w:snapToGrid w:val="0"/>
              <w:spacing w:after="0"/>
              <w:rPr>
                <w:rFonts w:ascii="Times New Roman" w:eastAsia="Times New Roman" w:hAnsi="Times New Roman"/>
                <w:b/>
                <w:lang w:eastAsia="ja-JP"/>
              </w:rPr>
            </w:pPr>
          </w:p>
        </w:tc>
        <w:tc>
          <w:tcPr>
            <w:tcW w:w="1264" w:type="dxa"/>
            <w:tcBorders>
              <w:top w:val="single" w:sz="4" w:space="0" w:color="auto"/>
              <w:bottom w:val="single" w:sz="4" w:space="0" w:color="auto"/>
            </w:tcBorders>
            <w:shd w:val="clear" w:color="auto" w:fill="auto"/>
            <w:vAlign w:val="bottom"/>
          </w:tcPr>
          <w:p w14:paraId="56C0BA43"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Mean</w:t>
            </w:r>
          </w:p>
        </w:tc>
        <w:tc>
          <w:tcPr>
            <w:tcW w:w="1265" w:type="dxa"/>
            <w:tcBorders>
              <w:top w:val="single" w:sz="4" w:space="0" w:color="auto"/>
              <w:bottom w:val="single" w:sz="4" w:space="0" w:color="auto"/>
            </w:tcBorders>
            <w:shd w:val="clear" w:color="auto" w:fill="auto"/>
            <w:vAlign w:val="bottom"/>
          </w:tcPr>
          <w:p w14:paraId="3AB680AB"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Median</w:t>
            </w:r>
          </w:p>
        </w:tc>
        <w:tc>
          <w:tcPr>
            <w:tcW w:w="1265" w:type="dxa"/>
            <w:tcBorders>
              <w:top w:val="single" w:sz="4" w:space="0" w:color="auto"/>
              <w:bottom w:val="single" w:sz="4" w:space="0" w:color="auto"/>
            </w:tcBorders>
            <w:shd w:val="clear" w:color="auto" w:fill="auto"/>
            <w:vAlign w:val="bottom"/>
          </w:tcPr>
          <w:p w14:paraId="06730248"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Min</w:t>
            </w:r>
          </w:p>
        </w:tc>
        <w:tc>
          <w:tcPr>
            <w:tcW w:w="1265" w:type="dxa"/>
            <w:tcBorders>
              <w:top w:val="single" w:sz="4" w:space="0" w:color="auto"/>
              <w:bottom w:val="single" w:sz="4" w:space="0" w:color="auto"/>
            </w:tcBorders>
            <w:shd w:val="clear" w:color="auto" w:fill="auto"/>
            <w:vAlign w:val="bottom"/>
          </w:tcPr>
          <w:p w14:paraId="052B35B0"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10%</w:t>
            </w:r>
          </w:p>
        </w:tc>
        <w:tc>
          <w:tcPr>
            <w:tcW w:w="1265" w:type="dxa"/>
            <w:tcBorders>
              <w:top w:val="single" w:sz="4" w:space="0" w:color="auto"/>
              <w:bottom w:val="single" w:sz="4" w:space="0" w:color="auto"/>
            </w:tcBorders>
            <w:shd w:val="clear" w:color="auto" w:fill="auto"/>
            <w:vAlign w:val="bottom"/>
          </w:tcPr>
          <w:p w14:paraId="65B756E2"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90%</w:t>
            </w:r>
          </w:p>
        </w:tc>
        <w:tc>
          <w:tcPr>
            <w:tcW w:w="1265" w:type="dxa"/>
            <w:tcBorders>
              <w:top w:val="single" w:sz="4" w:space="0" w:color="auto"/>
              <w:bottom w:val="single" w:sz="4" w:space="0" w:color="auto"/>
            </w:tcBorders>
            <w:shd w:val="clear" w:color="auto" w:fill="auto"/>
            <w:vAlign w:val="bottom"/>
          </w:tcPr>
          <w:p w14:paraId="458D13E9" w14:textId="77777777" w:rsidR="00734E2C" w:rsidRPr="009C2ADD" w:rsidRDefault="00734E2C" w:rsidP="009C2ADD">
            <w:pPr>
              <w:adjustRightInd w:val="0"/>
              <w:snapToGrid w:val="0"/>
              <w:spacing w:after="0"/>
              <w:jc w:val="center"/>
              <w:rPr>
                <w:rFonts w:ascii="Times New Roman" w:eastAsia="Times New Roman" w:hAnsi="Times New Roman"/>
                <w:b/>
                <w:lang w:eastAsia="ja-JP"/>
              </w:rPr>
            </w:pPr>
            <w:r w:rsidRPr="009C2ADD">
              <w:rPr>
                <w:rFonts w:ascii="Times New Roman" w:eastAsia="Times New Roman" w:hAnsi="Times New Roman"/>
                <w:b/>
                <w:lang w:eastAsia="ja-JP"/>
              </w:rPr>
              <w:t>Max</w:t>
            </w:r>
          </w:p>
        </w:tc>
      </w:tr>
      <w:tr w:rsidR="00D352AD" w:rsidRPr="009C2ADD" w14:paraId="1324D8E3" w14:textId="77777777" w:rsidTr="00A318D4">
        <w:tc>
          <w:tcPr>
            <w:tcW w:w="1732" w:type="dxa"/>
            <w:tcBorders>
              <w:top w:val="single" w:sz="4" w:space="0" w:color="auto"/>
            </w:tcBorders>
            <w:shd w:val="clear" w:color="auto" w:fill="auto"/>
          </w:tcPr>
          <w:p w14:paraId="04E9085E"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C</w:t>
            </w:r>
            <w:r w:rsidRPr="0070772D">
              <w:rPr>
                <w:rFonts w:ascii="Times New Roman" w:eastAsia="Times New Roman" w:hAnsi="Times New Roman"/>
                <w:i/>
                <w:vertAlign w:val="subscript"/>
                <w:lang w:eastAsia="ja-JP"/>
              </w:rPr>
              <w:t>latest</w:t>
            </w:r>
          </w:p>
        </w:tc>
        <w:tc>
          <w:tcPr>
            <w:tcW w:w="1264" w:type="dxa"/>
            <w:tcBorders>
              <w:top w:val="single" w:sz="4" w:space="0" w:color="auto"/>
            </w:tcBorders>
            <w:shd w:val="clear" w:color="auto" w:fill="auto"/>
            <w:vAlign w:val="center"/>
          </w:tcPr>
          <w:p w14:paraId="7AF2A269" w14:textId="7762973F"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9,884</w:t>
            </w:r>
          </w:p>
        </w:tc>
        <w:tc>
          <w:tcPr>
            <w:tcW w:w="1265" w:type="dxa"/>
            <w:tcBorders>
              <w:top w:val="single" w:sz="4" w:space="0" w:color="auto"/>
            </w:tcBorders>
            <w:shd w:val="clear" w:color="auto" w:fill="auto"/>
            <w:vAlign w:val="center"/>
          </w:tcPr>
          <w:p w14:paraId="494D930D" w14:textId="1C5143D9"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9,884</w:t>
            </w:r>
          </w:p>
        </w:tc>
        <w:tc>
          <w:tcPr>
            <w:tcW w:w="1265" w:type="dxa"/>
            <w:tcBorders>
              <w:top w:val="single" w:sz="4" w:space="0" w:color="auto"/>
            </w:tcBorders>
            <w:shd w:val="clear" w:color="auto" w:fill="auto"/>
            <w:vAlign w:val="center"/>
          </w:tcPr>
          <w:p w14:paraId="400F2BC5" w14:textId="74A4AE53"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9,318</w:t>
            </w:r>
          </w:p>
        </w:tc>
        <w:tc>
          <w:tcPr>
            <w:tcW w:w="1265" w:type="dxa"/>
            <w:tcBorders>
              <w:top w:val="single" w:sz="4" w:space="0" w:color="auto"/>
            </w:tcBorders>
            <w:shd w:val="clear" w:color="auto" w:fill="auto"/>
            <w:vAlign w:val="center"/>
          </w:tcPr>
          <w:p w14:paraId="210EFA70" w14:textId="6CC0A5D4"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9,343</w:t>
            </w:r>
          </w:p>
        </w:tc>
        <w:tc>
          <w:tcPr>
            <w:tcW w:w="1265" w:type="dxa"/>
            <w:tcBorders>
              <w:top w:val="single" w:sz="4" w:space="0" w:color="auto"/>
            </w:tcBorders>
            <w:shd w:val="clear" w:color="auto" w:fill="auto"/>
            <w:vAlign w:val="center"/>
          </w:tcPr>
          <w:p w14:paraId="56AA544E" w14:textId="35A6A3A3"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10,157</w:t>
            </w:r>
          </w:p>
        </w:tc>
        <w:tc>
          <w:tcPr>
            <w:tcW w:w="1265" w:type="dxa"/>
            <w:tcBorders>
              <w:top w:val="single" w:sz="4" w:space="0" w:color="auto"/>
            </w:tcBorders>
            <w:shd w:val="clear" w:color="auto" w:fill="auto"/>
            <w:vAlign w:val="center"/>
          </w:tcPr>
          <w:p w14:paraId="5F712853" w14:textId="54E0742A"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10,287</w:t>
            </w:r>
          </w:p>
        </w:tc>
      </w:tr>
      <w:tr w:rsidR="00D352AD" w:rsidRPr="009C2ADD" w14:paraId="118432DE" w14:textId="77777777" w:rsidTr="00A318D4">
        <w:tc>
          <w:tcPr>
            <w:tcW w:w="1732" w:type="dxa"/>
            <w:shd w:val="clear" w:color="auto" w:fill="auto"/>
          </w:tcPr>
          <w:p w14:paraId="07A1430D"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MSY</w:t>
            </w:r>
          </w:p>
        </w:tc>
        <w:tc>
          <w:tcPr>
            <w:tcW w:w="1264" w:type="dxa"/>
            <w:shd w:val="clear" w:color="auto" w:fill="auto"/>
            <w:vAlign w:val="center"/>
          </w:tcPr>
          <w:p w14:paraId="5096013E" w14:textId="41D541D4"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8,172</w:t>
            </w:r>
          </w:p>
        </w:tc>
        <w:tc>
          <w:tcPr>
            <w:tcW w:w="1265" w:type="dxa"/>
            <w:shd w:val="clear" w:color="auto" w:fill="auto"/>
            <w:vAlign w:val="center"/>
          </w:tcPr>
          <w:p w14:paraId="25BA9838" w14:textId="2D4B424D"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7,913</w:t>
            </w:r>
          </w:p>
        </w:tc>
        <w:tc>
          <w:tcPr>
            <w:tcW w:w="1265" w:type="dxa"/>
            <w:shd w:val="clear" w:color="auto" w:fill="auto"/>
            <w:vAlign w:val="center"/>
          </w:tcPr>
          <w:p w14:paraId="026E5704" w14:textId="3B3B471C"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5,905</w:t>
            </w:r>
          </w:p>
        </w:tc>
        <w:tc>
          <w:tcPr>
            <w:tcW w:w="1265" w:type="dxa"/>
            <w:shd w:val="clear" w:color="auto" w:fill="auto"/>
            <w:vAlign w:val="center"/>
          </w:tcPr>
          <w:p w14:paraId="5E0CF08B" w14:textId="6C23CD6B"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6,396</w:t>
            </w:r>
          </w:p>
        </w:tc>
        <w:tc>
          <w:tcPr>
            <w:tcW w:w="1265" w:type="dxa"/>
            <w:shd w:val="clear" w:color="auto" w:fill="auto"/>
            <w:vAlign w:val="center"/>
          </w:tcPr>
          <w:p w14:paraId="3174F844" w14:textId="348C7051"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10,150</w:t>
            </w:r>
          </w:p>
        </w:tc>
        <w:tc>
          <w:tcPr>
            <w:tcW w:w="1265" w:type="dxa"/>
            <w:shd w:val="clear" w:color="auto" w:fill="auto"/>
            <w:vAlign w:val="center"/>
          </w:tcPr>
          <w:p w14:paraId="6F65052B" w14:textId="0ABDA33A"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11,360</w:t>
            </w:r>
          </w:p>
        </w:tc>
      </w:tr>
      <w:tr w:rsidR="00D352AD" w:rsidRPr="009C2ADD" w14:paraId="2A6AD167" w14:textId="77777777" w:rsidTr="00A318D4">
        <w:tc>
          <w:tcPr>
            <w:tcW w:w="1732" w:type="dxa"/>
            <w:shd w:val="clear" w:color="auto" w:fill="auto"/>
          </w:tcPr>
          <w:p w14:paraId="17A02606"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Y</w:t>
            </w:r>
            <w:r w:rsidRPr="0070772D">
              <w:rPr>
                <w:rFonts w:ascii="Times New Roman" w:eastAsia="Times New Roman" w:hAnsi="Times New Roman"/>
                <w:i/>
                <w:vertAlign w:val="subscript"/>
                <w:lang w:eastAsia="ja-JP"/>
              </w:rPr>
              <w:t>Frecent</w:t>
            </w:r>
          </w:p>
        </w:tc>
        <w:tc>
          <w:tcPr>
            <w:tcW w:w="1264" w:type="dxa"/>
            <w:shd w:val="clear" w:color="auto" w:fill="auto"/>
            <w:vAlign w:val="center"/>
          </w:tcPr>
          <w:p w14:paraId="75DF7092" w14:textId="282BACB5"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7,628</w:t>
            </w:r>
          </w:p>
        </w:tc>
        <w:tc>
          <w:tcPr>
            <w:tcW w:w="1265" w:type="dxa"/>
            <w:shd w:val="clear" w:color="auto" w:fill="auto"/>
            <w:vAlign w:val="center"/>
          </w:tcPr>
          <w:p w14:paraId="17EE7A51" w14:textId="2E8D5DEB"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7,775</w:t>
            </w:r>
          </w:p>
        </w:tc>
        <w:tc>
          <w:tcPr>
            <w:tcW w:w="1265" w:type="dxa"/>
            <w:shd w:val="clear" w:color="auto" w:fill="auto"/>
            <w:vAlign w:val="center"/>
          </w:tcPr>
          <w:p w14:paraId="32D730D8" w14:textId="0058C2C3"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4,998</w:t>
            </w:r>
          </w:p>
        </w:tc>
        <w:tc>
          <w:tcPr>
            <w:tcW w:w="1265" w:type="dxa"/>
            <w:shd w:val="clear" w:color="auto" w:fill="auto"/>
            <w:vAlign w:val="center"/>
          </w:tcPr>
          <w:p w14:paraId="0479A9E3" w14:textId="683463C4"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6,062</w:t>
            </w:r>
          </w:p>
        </w:tc>
        <w:tc>
          <w:tcPr>
            <w:tcW w:w="1265" w:type="dxa"/>
            <w:shd w:val="clear" w:color="auto" w:fill="auto"/>
            <w:vAlign w:val="center"/>
          </w:tcPr>
          <w:p w14:paraId="4A770DA8" w14:textId="3CE4477F"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8,948</w:t>
            </w:r>
          </w:p>
        </w:tc>
        <w:tc>
          <w:tcPr>
            <w:tcW w:w="1265" w:type="dxa"/>
            <w:shd w:val="clear" w:color="auto" w:fill="auto"/>
            <w:vAlign w:val="center"/>
          </w:tcPr>
          <w:p w14:paraId="5453B59B" w14:textId="1C97AD94"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9,684</w:t>
            </w:r>
          </w:p>
        </w:tc>
      </w:tr>
      <w:tr w:rsidR="00D352AD" w:rsidRPr="009C2ADD" w14:paraId="34704FA3" w14:textId="77777777" w:rsidTr="00A318D4">
        <w:tc>
          <w:tcPr>
            <w:tcW w:w="1732" w:type="dxa"/>
            <w:shd w:val="clear" w:color="auto" w:fill="auto"/>
          </w:tcPr>
          <w:p w14:paraId="5EF02AF1"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Pr="0070772D">
              <w:rPr>
                <w:rFonts w:ascii="Times New Roman" w:eastAsia="Times New Roman" w:hAnsi="Times New Roman"/>
                <w:i/>
                <w:vertAlign w:val="subscript"/>
                <w:lang w:eastAsia="ja-JP"/>
              </w:rPr>
              <w:t>mult</w:t>
            </w:r>
          </w:p>
        </w:tc>
        <w:tc>
          <w:tcPr>
            <w:tcW w:w="1264" w:type="dxa"/>
            <w:shd w:val="clear" w:color="auto" w:fill="auto"/>
            <w:vAlign w:val="center"/>
          </w:tcPr>
          <w:p w14:paraId="3EAC472D"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1.27</w:t>
            </w:r>
          </w:p>
        </w:tc>
        <w:tc>
          <w:tcPr>
            <w:tcW w:w="1265" w:type="dxa"/>
            <w:shd w:val="clear" w:color="auto" w:fill="auto"/>
            <w:vAlign w:val="center"/>
          </w:tcPr>
          <w:p w14:paraId="72336B34"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1.15</w:t>
            </w:r>
          </w:p>
        </w:tc>
        <w:tc>
          <w:tcPr>
            <w:tcW w:w="1265" w:type="dxa"/>
            <w:shd w:val="clear" w:color="auto" w:fill="auto"/>
            <w:vAlign w:val="center"/>
          </w:tcPr>
          <w:p w14:paraId="39A48C46"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0.66</w:t>
            </w:r>
          </w:p>
        </w:tc>
        <w:tc>
          <w:tcPr>
            <w:tcW w:w="1265" w:type="dxa"/>
            <w:shd w:val="clear" w:color="auto" w:fill="auto"/>
            <w:vAlign w:val="center"/>
          </w:tcPr>
          <w:p w14:paraId="78A61FEF"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0.79</w:t>
            </w:r>
          </w:p>
        </w:tc>
        <w:tc>
          <w:tcPr>
            <w:tcW w:w="1265" w:type="dxa"/>
            <w:shd w:val="clear" w:color="auto" w:fill="auto"/>
            <w:vAlign w:val="center"/>
          </w:tcPr>
          <w:p w14:paraId="1824111B"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1.89</w:t>
            </w:r>
          </w:p>
        </w:tc>
        <w:tc>
          <w:tcPr>
            <w:tcW w:w="1265" w:type="dxa"/>
            <w:shd w:val="clear" w:color="auto" w:fill="auto"/>
            <w:vAlign w:val="center"/>
          </w:tcPr>
          <w:p w14:paraId="3AB1074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2.32</w:t>
            </w:r>
          </w:p>
        </w:tc>
      </w:tr>
      <w:tr w:rsidR="00D352AD" w:rsidRPr="009C2ADD" w14:paraId="6EC79777" w14:textId="77777777" w:rsidTr="00A318D4">
        <w:tc>
          <w:tcPr>
            <w:tcW w:w="1732" w:type="dxa"/>
            <w:shd w:val="clear" w:color="auto" w:fill="auto"/>
          </w:tcPr>
          <w:p w14:paraId="53ABDFD4" w14:textId="7ED83E63"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00300F08" w:rsidRPr="00104C78">
              <w:rPr>
                <w:rFonts w:ascii="Times New Roman" w:hAnsi="Times New Roman"/>
                <w:vertAlign w:val="subscript"/>
                <w:lang w:val="en-AU"/>
              </w:rPr>
              <w:t>MSY</w:t>
            </w:r>
          </w:p>
        </w:tc>
        <w:tc>
          <w:tcPr>
            <w:tcW w:w="1264" w:type="dxa"/>
            <w:shd w:val="clear" w:color="auto" w:fill="auto"/>
            <w:vAlign w:val="center"/>
          </w:tcPr>
          <w:p w14:paraId="03B6AA07"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0.16</w:t>
            </w:r>
          </w:p>
        </w:tc>
        <w:tc>
          <w:tcPr>
            <w:tcW w:w="1265" w:type="dxa"/>
            <w:shd w:val="clear" w:color="auto" w:fill="auto"/>
            <w:vAlign w:val="center"/>
          </w:tcPr>
          <w:p w14:paraId="11A57223"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0.14</w:t>
            </w:r>
          </w:p>
        </w:tc>
        <w:tc>
          <w:tcPr>
            <w:tcW w:w="1265" w:type="dxa"/>
            <w:shd w:val="clear" w:color="auto" w:fill="auto"/>
            <w:vAlign w:val="center"/>
          </w:tcPr>
          <w:p w14:paraId="131866E9"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2A30A2FB"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26E942B7"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0.22</w:t>
            </w:r>
          </w:p>
        </w:tc>
        <w:tc>
          <w:tcPr>
            <w:tcW w:w="1265" w:type="dxa"/>
            <w:shd w:val="clear" w:color="auto" w:fill="auto"/>
            <w:vAlign w:val="center"/>
          </w:tcPr>
          <w:p w14:paraId="5DB11D8D"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0.23</w:t>
            </w:r>
          </w:p>
        </w:tc>
      </w:tr>
      <w:tr w:rsidR="00D352AD" w:rsidRPr="009C2ADD" w14:paraId="33FF92ED" w14:textId="77777777" w:rsidTr="00A318D4">
        <w:tc>
          <w:tcPr>
            <w:tcW w:w="1732" w:type="dxa"/>
            <w:shd w:val="clear" w:color="auto" w:fill="auto"/>
          </w:tcPr>
          <w:p w14:paraId="7A0AA9FC" w14:textId="48DE677B"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F</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/F</w:t>
            </w:r>
            <w:r w:rsidR="00300F08" w:rsidRPr="00104C78">
              <w:rPr>
                <w:rFonts w:ascii="Times New Roman" w:hAnsi="Times New Roman"/>
                <w:vertAlign w:val="subscript"/>
                <w:lang w:val="en-AU"/>
              </w:rPr>
              <w:t>MSY</w:t>
            </w:r>
          </w:p>
        </w:tc>
        <w:tc>
          <w:tcPr>
            <w:tcW w:w="1264" w:type="dxa"/>
            <w:shd w:val="clear" w:color="auto" w:fill="auto"/>
            <w:vAlign w:val="center"/>
          </w:tcPr>
          <w:p w14:paraId="06282F3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0.88</w:t>
            </w:r>
          </w:p>
        </w:tc>
        <w:tc>
          <w:tcPr>
            <w:tcW w:w="1265" w:type="dxa"/>
            <w:shd w:val="clear" w:color="auto" w:fill="auto"/>
            <w:vAlign w:val="center"/>
          </w:tcPr>
          <w:p w14:paraId="4EA75460"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0.87</w:t>
            </w:r>
          </w:p>
        </w:tc>
        <w:tc>
          <w:tcPr>
            <w:tcW w:w="1265" w:type="dxa"/>
            <w:shd w:val="clear" w:color="auto" w:fill="auto"/>
            <w:vAlign w:val="center"/>
          </w:tcPr>
          <w:p w14:paraId="045CBE18"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0.43</w:t>
            </w:r>
          </w:p>
        </w:tc>
        <w:tc>
          <w:tcPr>
            <w:tcW w:w="1265" w:type="dxa"/>
            <w:shd w:val="clear" w:color="auto" w:fill="auto"/>
            <w:vAlign w:val="center"/>
          </w:tcPr>
          <w:p w14:paraId="74F562AD"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0.53</w:t>
            </w:r>
          </w:p>
        </w:tc>
        <w:tc>
          <w:tcPr>
            <w:tcW w:w="1265" w:type="dxa"/>
            <w:shd w:val="clear" w:color="auto" w:fill="auto"/>
            <w:vAlign w:val="center"/>
          </w:tcPr>
          <w:p w14:paraId="04D77D63"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1.26</w:t>
            </w:r>
          </w:p>
        </w:tc>
        <w:tc>
          <w:tcPr>
            <w:tcW w:w="1265" w:type="dxa"/>
            <w:shd w:val="clear" w:color="auto" w:fill="auto"/>
            <w:vAlign w:val="center"/>
          </w:tcPr>
          <w:p w14:paraId="59F2003A"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1.51</w:t>
            </w:r>
          </w:p>
        </w:tc>
      </w:tr>
      <w:tr w:rsidR="00D352AD" w:rsidRPr="009C2ADD" w14:paraId="6FCAD0D3" w14:textId="77777777" w:rsidTr="00A318D4">
        <w:tc>
          <w:tcPr>
            <w:tcW w:w="1732" w:type="dxa"/>
            <w:shd w:val="clear" w:color="auto" w:fill="auto"/>
          </w:tcPr>
          <w:p w14:paraId="6EB4707A" w14:textId="1734BBC4"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00300F08" w:rsidRPr="00104C78">
              <w:rPr>
                <w:rFonts w:ascii="Times New Roman" w:hAnsi="Times New Roman"/>
                <w:vertAlign w:val="subscript"/>
                <w:lang w:val="en-AU"/>
              </w:rPr>
              <w:t>MSY</w:t>
            </w:r>
          </w:p>
        </w:tc>
        <w:tc>
          <w:tcPr>
            <w:tcW w:w="1264" w:type="dxa"/>
            <w:shd w:val="clear" w:color="auto" w:fill="auto"/>
            <w:vAlign w:val="center"/>
          </w:tcPr>
          <w:p w14:paraId="1B4BE51E" w14:textId="01EAC376"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17,314</w:t>
            </w:r>
          </w:p>
        </w:tc>
        <w:tc>
          <w:tcPr>
            <w:tcW w:w="1265" w:type="dxa"/>
            <w:shd w:val="clear" w:color="auto" w:fill="auto"/>
            <w:vAlign w:val="center"/>
          </w:tcPr>
          <w:p w14:paraId="49A17FD9" w14:textId="26593E4A"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17,740</w:t>
            </w:r>
          </w:p>
        </w:tc>
        <w:tc>
          <w:tcPr>
            <w:tcW w:w="1265" w:type="dxa"/>
            <w:shd w:val="clear" w:color="auto" w:fill="auto"/>
            <w:vAlign w:val="center"/>
          </w:tcPr>
          <w:p w14:paraId="53B27A67" w14:textId="48B76E1B"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7,278</w:t>
            </w:r>
          </w:p>
        </w:tc>
        <w:tc>
          <w:tcPr>
            <w:tcW w:w="1265" w:type="dxa"/>
            <w:shd w:val="clear" w:color="auto" w:fill="auto"/>
            <w:vAlign w:val="center"/>
          </w:tcPr>
          <w:p w14:paraId="010EA1B4" w14:textId="4007EEC1"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8,943</w:t>
            </w:r>
          </w:p>
        </w:tc>
        <w:tc>
          <w:tcPr>
            <w:tcW w:w="1265" w:type="dxa"/>
            <w:shd w:val="clear" w:color="auto" w:fill="auto"/>
            <w:vAlign w:val="center"/>
          </w:tcPr>
          <w:p w14:paraId="295E3987" w14:textId="0B5F4001"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26,661</w:t>
            </w:r>
          </w:p>
        </w:tc>
        <w:tc>
          <w:tcPr>
            <w:tcW w:w="1265" w:type="dxa"/>
            <w:shd w:val="clear" w:color="auto" w:fill="auto"/>
            <w:vAlign w:val="center"/>
          </w:tcPr>
          <w:p w14:paraId="1ED1C04B" w14:textId="60270A54"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30,460</w:t>
            </w:r>
          </w:p>
        </w:tc>
      </w:tr>
      <w:tr w:rsidR="00D352AD" w:rsidRPr="009C2ADD" w14:paraId="0AA17F78" w14:textId="77777777" w:rsidTr="00A318D4">
        <w:tc>
          <w:tcPr>
            <w:tcW w:w="1732" w:type="dxa"/>
            <w:shd w:val="clear" w:color="auto" w:fill="auto"/>
          </w:tcPr>
          <w:p w14:paraId="52BA3376"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0</w:t>
            </w:r>
          </w:p>
        </w:tc>
        <w:tc>
          <w:tcPr>
            <w:tcW w:w="1264" w:type="dxa"/>
            <w:shd w:val="clear" w:color="auto" w:fill="auto"/>
            <w:vAlign w:val="center"/>
          </w:tcPr>
          <w:p w14:paraId="4C552164" w14:textId="54C4198C"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84,173</w:t>
            </w:r>
          </w:p>
        </w:tc>
        <w:tc>
          <w:tcPr>
            <w:tcW w:w="1265" w:type="dxa"/>
            <w:shd w:val="clear" w:color="auto" w:fill="auto"/>
            <w:vAlign w:val="center"/>
          </w:tcPr>
          <w:p w14:paraId="78EEC5E7" w14:textId="0214F252"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84,075</w:t>
            </w:r>
          </w:p>
        </w:tc>
        <w:tc>
          <w:tcPr>
            <w:tcW w:w="1265" w:type="dxa"/>
            <w:shd w:val="clear" w:color="auto" w:fill="auto"/>
            <w:vAlign w:val="center"/>
          </w:tcPr>
          <w:p w14:paraId="7B2B212E" w14:textId="78A0DAD3"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57,070</w:t>
            </w:r>
          </w:p>
        </w:tc>
        <w:tc>
          <w:tcPr>
            <w:tcW w:w="1265" w:type="dxa"/>
            <w:shd w:val="clear" w:color="auto" w:fill="auto"/>
            <w:vAlign w:val="center"/>
          </w:tcPr>
          <w:p w14:paraId="40A4E210" w14:textId="4DF7C2D8"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71,199</w:t>
            </w:r>
          </w:p>
        </w:tc>
        <w:tc>
          <w:tcPr>
            <w:tcW w:w="1265" w:type="dxa"/>
            <w:shd w:val="clear" w:color="auto" w:fill="auto"/>
            <w:vAlign w:val="center"/>
          </w:tcPr>
          <w:p w14:paraId="10815F80" w14:textId="34FAC258"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98,039</w:t>
            </w:r>
          </w:p>
        </w:tc>
        <w:tc>
          <w:tcPr>
            <w:tcW w:w="1265" w:type="dxa"/>
            <w:shd w:val="clear" w:color="auto" w:fill="auto"/>
            <w:vAlign w:val="center"/>
          </w:tcPr>
          <w:p w14:paraId="4E396340" w14:textId="12FE76B3"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111,000</w:t>
            </w:r>
          </w:p>
        </w:tc>
      </w:tr>
      <w:tr w:rsidR="00D352AD" w:rsidRPr="009C2ADD" w14:paraId="4003B676" w14:textId="77777777" w:rsidTr="00A318D4">
        <w:tc>
          <w:tcPr>
            <w:tcW w:w="1732" w:type="dxa"/>
            <w:shd w:val="clear" w:color="auto" w:fill="auto"/>
          </w:tcPr>
          <w:p w14:paraId="70A3E3AD" w14:textId="5D141F20"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00300F08" w:rsidRPr="00104C78">
              <w:rPr>
                <w:rFonts w:ascii="Times New Roman" w:hAnsi="Times New Roman"/>
                <w:vertAlign w:val="subscript"/>
                <w:lang w:val="en-AU"/>
              </w:rPr>
              <w:t>MSY</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0</w:t>
            </w:r>
          </w:p>
        </w:tc>
        <w:tc>
          <w:tcPr>
            <w:tcW w:w="1264" w:type="dxa"/>
            <w:shd w:val="clear" w:color="auto" w:fill="auto"/>
            <w:vAlign w:val="center"/>
          </w:tcPr>
          <w:p w14:paraId="5A624FD1"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0.20</w:t>
            </w:r>
          </w:p>
        </w:tc>
        <w:tc>
          <w:tcPr>
            <w:tcW w:w="1265" w:type="dxa"/>
            <w:shd w:val="clear" w:color="auto" w:fill="auto"/>
            <w:vAlign w:val="center"/>
          </w:tcPr>
          <w:p w14:paraId="089CFB64"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0.21</w:t>
            </w:r>
          </w:p>
        </w:tc>
        <w:tc>
          <w:tcPr>
            <w:tcW w:w="1265" w:type="dxa"/>
            <w:shd w:val="clear" w:color="auto" w:fill="auto"/>
            <w:vAlign w:val="center"/>
          </w:tcPr>
          <w:p w14:paraId="0964E57A"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0.11</w:t>
            </w:r>
          </w:p>
        </w:tc>
        <w:tc>
          <w:tcPr>
            <w:tcW w:w="1265" w:type="dxa"/>
            <w:shd w:val="clear" w:color="auto" w:fill="auto"/>
            <w:vAlign w:val="center"/>
          </w:tcPr>
          <w:p w14:paraId="7EC42AFF"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0.12</w:t>
            </w:r>
          </w:p>
        </w:tc>
        <w:tc>
          <w:tcPr>
            <w:tcW w:w="1265" w:type="dxa"/>
            <w:shd w:val="clear" w:color="auto" w:fill="auto"/>
            <w:vAlign w:val="center"/>
          </w:tcPr>
          <w:p w14:paraId="46B262E3"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0.28</w:t>
            </w:r>
          </w:p>
        </w:tc>
        <w:tc>
          <w:tcPr>
            <w:tcW w:w="1265" w:type="dxa"/>
            <w:shd w:val="clear" w:color="auto" w:fill="auto"/>
            <w:vAlign w:val="center"/>
          </w:tcPr>
          <w:p w14:paraId="448867D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0.28</w:t>
            </w:r>
          </w:p>
        </w:tc>
      </w:tr>
      <w:tr w:rsidR="00D352AD" w:rsidRPr="009C2ADD" w14:paraId="1F25AA2C" w14:textId="77777777" w:rsidTr="00A318D4">
        <w:tc>
          <w:tcPr>
            <w:tcW w:w="1732" w:type="dxa"/>
            <w:shd w:val="clear" w:color="auto" w:fill="auto"/>
          </w:tcPr>
          <w:p w14:paraId="697B982B"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45899884" w14:textId="471C6481"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78,619</w:t>
            </w:r>
          </w:p>
        </w:tc>
        <w:tc>
          <w:tcPr>
            <w:tcW w:w="1265" w:type="dxa"/>
            <w:shd w:val="clear" w:color="auto" w:fill="auto"/>
            <w:vAlign w:val="center"/>
          </w:tcPr>
          <w:p w14:paraId="4AACD333" w14:textId="27487A89"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78,301</w:t>
            </w:r>
          </w:p>
        </w:tc>
        <w:tc>
          <w:tcPr>
            <w:tcW w:w="1265" w:type="dxa"/>
            <w:shd w:val="clear" w:color="auto" w:fill="auto"/>
            <w:vAlign w:val="center"/>
          </w:tcPr>
          <w:p w14:paraId="632F1DCC" w14:textId="2291B329"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61,996</w:t>
            </w:r>
          </w:p>
        </w:tc>
        <w:tc>
          <w:tcPr>
            <w:tcW w:w="1265" w:type="dxa"/>
            <w:shd w:val="clear" w:color="auto" w:fill="auto"/>
            <w:vAlign w:val="center"/>
          </w:tcPr>
          <w:p w14:paraId="219705E2" w14:textId="4A92FA1F"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64,342</w:t>
            </w:r>
          </w:p>
        </w:tc>
        <w:tc>
          <w:tcPr>
            <w:tcW w:w="1265" w:type="dxa"/>
            <w:shd w:val="clear" w:color="auto" w:fill="auto"/>
            <w:vAlign w:val="center"/>
          </w:tcPr>
          <w:p w14:paraId="39C982B9" w14:textId="03924305"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92,120</w:t>
            </w:r>
          </w:p>
        </w:tc>
        <w:tc>
          <w:tcPr>
            <w:tcW w:w="1265" w:type="dxa"/>
            <w:shd w:val="clear" w:color="auto" w:fill="auto"/>
            <w:vAlign w:val="center"/>
          </w:tcPr>
          <w:p w14:paraId="02A8C1F6" w14:textId="1D21BC6F"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100,691</w:t>
            </w:r>
          </w:p>
        </w:tc>
      </w:tr>
      <w:tr w:rsidR="00D352AD" w:rsidRPr="009C2ADD" w14:paraId="5123CA1D" w14:textId="77777777" w:rsidTr="00A318D4">
        <w:tc>
          <w:tcPr>
            <w:tcW w:w="1732" w:type="dxa"/>
            <w:shd w:val="clear" w:color="auto" w:fill="auto"/>
          </w:tcPr>
          <w:p w14:paraId="02FE2F7C" w14:textId="67FAEF0E"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00300F08" w:rsidRPr="00104C78">
              <w:rPr>
                <w:rFonts w:ascii="Times New Roman" w:hAnsi="Times New Roman"/>
                <w:vertAlign w:val="subscript"/>
                <w:lang w:val="en-AU"/>
              </w:rPr>
              <w:t>MSY</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6C7055D3"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0.22</w:t>
            </w:r>
          </w:p>
        </w:tc>
        <w:tc>
          <w:tcPr>
            <w:tcW w:w="1265" w:type="dxa"/>
            <w:shd w:val="clear" w:color="auto" w:fill="auto"/>
            <w:vAlign w:val="center"/>
          </w:tcPr>
          <w:p w14:paraId="2C997F2F"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0.23</w:t>
            </w:r>
          </w:p>
        </w:tc>
        <w:tc>
          <w:tcPr>
            <w:tcW w:w="1265" w:type="dxa"/>
            <w:shd w:val="clear" w:color="auto" w:fill="auto"/>
            <w:vAlign w:val="center"/>
          </w:tcPr>
          <w:p w14:paraId="17B0FE7A"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0.10</w:t>
            </w:r>
          </w:p>
        </w:tc>
        <w:tc>
          <w:tcPr>
            <w:tcW w:w="1265" w:type="dxa"/>
            <w:shd w:val="clear" w:color="auto" w:fill="auto"/>
            <w:vAlign w:val="center"/>
          </w:tcPr>
          <w:p w14:paraId="7C1F3DF9"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0.12</w:t>
            </w:r>
          </w:p>
        </w:tc>
        <w:tc>
          <w:tcPr>
            <w:tcW w:w="1265" w:type="dxa"/>
            <w:shd w:val="clear" w:color="auto" w:fill="auto"/>
            <w:vAlign w:val="center"/>
          </w:tcPr>
          <w:p w14:paraId="55996760"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0.32</w:t>
            </w:r>
          </w:p>
        </w:tc>
        <w:tc>
          <w:tcPr>
            <w:tcW w:w="1265" w:type="dxa"/>
            <w:shd w:val="clear" w:color="auto" w:fill="auto"/>
            <w:vAlign w:val="center"/>
          </w:tcPr>
          <w:p w14:paraId="791FB9B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0.33</w:t>
            </w:r>
          </w:p>
        </w:tc>
      </w:tr>
      <w:tr w:rsidR="00D352AD" w:rsidRPr="009C2ADD" w14:paraId="0F73ECFB" w14:textId="77777777" w:rsidTr="00A318D4">
        <w:tc>
          <w:tcPr>
            <w:tcW w:w="1732" w:type="dxa"/>
            <w:shd w:val="clear" w:color="auto" w:fill="auto"/>
          </w:tcPr>
          <w:p w14:paraId="650D9C77" w14:textId="20B1E386" w:rsidR="00734E2C" w:rsidRPr="009C2ADD" w:rsidRDefault="00300F08" w:rsidP="009C2ADD">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00734E2C" w:rsidRPr="009C2ADD">
              <w:rPr>
                <w:rFonts w:ascii="Times New Roman" w:eastAsia="Times New Roman" w:hAnsi="Times New Roman"/>
                <w:i/>
                <w:lang w:eastAsia="ja-JP"/>
              </w:rPr>
              <w:t>/SB</w:t>
            </w:r>
            <w:r w:rsidR="00734E2C" w:rsidRPr="0070772D">
              <w:rPr>
                <w:rFonts w:ascii="Times New Roman" w:eastAsia="Times New Roman" w:hAnsi="Times New Roman"/>
                <w:i/>
                <w:vertAlign w:val="subscript"/>
                <w:lang w:eastAsia="ja-JP"/>
              </w:rPr>
              <w:t>0</w:t>
            </w:r>
          </w:p>
        </w:tc>
        <w:tc>
          <w:tcPr>
            <w:tcW w:w="1264" w:type="dxa"/>
            <w:shd w:val="clear" w:color="auto" w:fill="auto"/>
            <w:vAlign w:val="center"/>
          </w:tcPr>
          <w:p w14:paraId="56386A94"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0.33</w:t>
            </w:r>
          </w:p>
        </w:tc>
        <w:tc>
          <w:tcPr>
            <w:tcW w:w="1265" w:type="dxa"/>
            <w:shd w:val="clear" w:color="auto" w:fill="auto"/>
            <w:vAlign w:val="center"/>
          </w:tcPr>
          <w:p w14:paraId="4D5D9871"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0.32</w:t>
            </w:r>
          </w:p>
        </w:tc>
        <w:tc>
          <w:tcPr>
            <w:tcW w:w="1265" w:type="dxa"/>
            <w:shd w:val="clear" w:color="auto" w:fill="auto"/>
            <w:vAlign w:val="center"/>
          </w:tcPr>
          <w:p w14:paraId="1AADF760"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0.24</w:t>
            </w:r>
          </w:p>
        </w:tc>
        <w:tc>
          <w:tcPr>
            <w:tcW w:w="1265" w:type="dxa"/>
            <w:shd w:val="clear" w:color="auto" w:fill="auto"/>
            <w:vAlign w:val="center"/>
          </w:tcPr>
          <w:p w14:paraId="1EF7ECED"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0.25</w:t>
            </w:r>
          </w:p>
        </w:tc>
        <w:tc>
          <w:tcPr>
            <w:tcW w:w="1265" w:type="dxa"/>
            <w:shd w:val="clear" w:color="auto" w:fill="auto"/>
            <w:vAlign w:val="center"/>
          </w:tcPr>
          <w:p w14:paraId="28490BC7"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0.44</w:t>
            </w:r>
          </w:p>
        </w:tc>
        <w:tc>
          <w:tcPr>
            <w:tcW w:w="1265" w:type="dxa"/>
            <w:shd w:val="clear" w:color="auto" w:fill="auto"/>
            <w:vAlign w:val="center"/>
          </w:tcPr>
          <w:p w14:paraId="1555964E"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0.46</w:t>
            </w:r>
          </w:p>
        </w:tc>
      </w:tr>
      <w:tr w:rsidR="00D352AD" w:rsidRPr="009C2ADD" w14:paraId="633A2E54" w14:textId="77777777" w:rsidTr="00A318D4">
        <w:tc>
          <w:tcPr>
            <w:tcW w:w="1732" w:type="dxa"/>
            <w:shd w:val="clear" w:color="auto" w:fill="auto"/>
          </w:tcPr>
          <w:p w14:paraId="6D5706F6" w14:textId="637253AF" w:rsidR="00734E2C" w:rsidRPr="009C2ADD" w:rsidRDefault="00300F08" w:rsidP="009C2ADD">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00734E2C" w:rsidRPr="009C2ADD">
              <w:rPr>
                <w:rFonts w:ascii="Times New Roman" w:eastAsia="Times New Roman" w:hAnsi="Times New Roman"/>
                <w:i/>
                <w:lang w:eastAsia="ja-JP"/>
              </w:rPr>
              <w:t>/SB</w:t>
            </w:r>
            <w:r w:rsidR="00734E2C" w:rsidRPr="0070772D">
              <w:rPr>
                <w:rFonts w:ascii="Times New Roman" w:eastAsia="Times New Roman" w:hAnsi="Times New Roman"/>
                <w:i/>
                <w:vertAlign w:val="subscript"/>
                <w:lang w:eastAsia="ja-JP"/>
              </w:rPr>
              <w:t>F=0</w:t>
            </w:r>
          </w:p>
        </w:tc>
        <w:tc>
          <w:tcPr>
            <w:tcW w:w="1264" w:type="dxa"/>
            <w:shd w:val="clear" w:color="auto" w:fill="auto"/>
            <w:vAlign w:val="center"/>
          </w:tcPr>
          <w:p w14:paraId="3EB30AE5"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75B5D306"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5B6D733B"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0.26</w:t>
            </w:r>
          </w:p>
        </w:tc>
        <w:tc>
          <w:tcPr>
            <w:tcW w:w="1265" w:type="dxa"/>
            <w:shd w:val="clear" w:color="auto" w:fill="auto"/>
            <w:vAlign w:val="center"/>
          </w:tcPr>
          <w:p w14:paraId="10EA8790"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0.27</w:t>
            </w:r>
          </w:p>
        </w:tc>
        <w:tc>
          <w:tcPr>
            <w:tcW w:w="1265" w:type="dxa"/>
            <w:shd w:val="clear" w:color="auto" w:fill="auto"/>
            <w:vAlign w:val="center"/>
          </w:tcPr>
          <w:p w14:paraId="105F4CB9"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0.44</w:t>
            </w:r>
          </w:p>
        </w:tc>
        <w:tc>
          <w:tcPr>
            <w:tcW w:w="1265" w:type="dxa"/>
            <w:shd w:val="clear" w:color="auto" w:fill="auto"/>
            <w:vAlign w:val="center"/>
          </w:tcPr>
          <w:p w14:paraId="330F0B88"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0.49</w:t>
            </w:r>
          </w:p>
        </w:tc>
      </w:tr>
      <w:tr w:rsidR="00D352AD" w:rsidRPr="009C2ADD" w14:paraId="3CA3AB8F" w14:textId="77777777" w:rsidTr="00A318D4">
        <w:tc>
          <w:tcPr>
            <w:tcW w:w="1732" w:type="dxa"/>
            <w:shd w:val="clear" w:color="auto" w:fill="auto"/>
          </w:tcPr>
          <w:p w14:paraId="4A10491F" w14:textId="315E0153" w:rsidR="00734E2C" w:rsidRPr="009C2ADD" w:rsidRDefault="00300F08" w:rsidP="009C2ADD">
            <w:pPr>
              <w:adjustRightInd w:val="0"/>
              <w:snapToGrid w:val="0"/>
              <w:spacing w:after="0"/>
              <w:rPr>
                <w:rFonts w:ascii="Times New Roman" w:eastAsia="Times New Roman" w:hAnsi="Times New Roman"/>
                <w:i/>
                <w:lang w:eastAsia="ja-JP"/>
              </w:rPr>
            </w:pPr>
            <w:r w:rsidRPr="009C2ADD">
              <w:rPr>
                <w:rFonts w:ascii="Times New Roman" w:eastAsia="MS Mincho" w:hAnsi="Times New Roman"/>
                <w:i/>
              </w:rPr>
              <w:t>SB</w:t>
            </w:r>
            <w:r w:rsidRPr="00104C78">
              <w:rPr>
                <w:rFonts w:ascii="Times New Roman" w:eastAsia="MS Mincho" w:hAnsi="Times New Roman"/>
                <w:i/>
                <w:vertAlign w:val="subscript"/>
              </w:rPr>
              <w:t>latest</w:t>
            </w:r>
            <w:r w:rsidRPr="009C2ADD" w:rsidDel="00300F08">
              <w:rPr>
                <w:rFonts w:ascii="Times New Roman" w:eastAsia="Times New Roman" w:hAnsi="Times New Roman"/>
                <w:i/>
                <w:lang w:eastAsia="ja-JP"/>
              </w:rPr>
              <w:t xml:space="preserve"> </w:t>
            </w:r>
            <w:r w:rsidR="00734E2C" w:rsidRPr="009C2ADD">
              <w:rPr>
                <w:rFonts w:ascii="Times New Roman" w:eastAsia="Times New Roman" w:hAnsi="Times New Roman"/>
                <w:i/>
                <w:lang w:eastAsia="ja-JP"/>
              </w:rPr>
              <w:t>/SB</w:t>
            </w:r>
            <w:r w:rsidRPr="00104C78">
              <w:rPr>
                <w:rFonts w:ascii="Times New Roman" w:hAnsi="Times New Roman"/>
                <w:vertAlign w:val="subscript"/>
                <w:lang w:val="en-AU"/>
              </w:rPr>
              <w:t>MSY</w:t>
            </w:r>
          </w:p>
        </w:tc>
        <w:tc>
          <w:tcPr>
            <w:tcW w:w="1264" w:type="dxa"/>
            <w:shd w:val="clear" w:color="auto" w:fill="auto"/>
            <w:vAlign w:val="center"/>
          </w:tcPr>
          <w:p w14:paraId="6DD206B9"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1.85</w:t>
            </w:r>
          </w:p>
        </w:tc>
        <w:tc>
          <w:tcPr>
            <w:tcW w:w="1265" w:type="dxa"/>
            <w:shd w:val="clear" w:color="auto" w:fill="auto"/>
            <w:vAlign w:val="center"/>
          </w:tcPr>
          <w:p w14:paraId="2D58C698"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1.61</w:t>
            </w:r>
          </w:p>
        </w:tc>
        <w:tc>
          <w:tcPr>
            <w:tcW w:w="1265" w:type="dxa"/>
            <w:shd w:val="clear" w:color="auto" w:fill="auto"/>
            <w:vAlign w:val="center"/>
          </w:tcPr>
          <w:p w14:paraId="41C77189"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0.85</w:t>
            </w:r>
          </w:p>
        </w:tc>
        <w:tc>
          <w:tcPr>
            <w:tcW w:w="1265" w:type="dxa"/>
            <w:shd w:val="clear" w:color="auto" w:fill="auto"/>
            <w:vAlign w:val="center"/>
          </w:tcPr>
          <w:p w14:paraId="1B5B7714"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0.99</w:t>
            </w:r>
          </w:p>
        </w:tc>
        <w:tc>
          <w:tcPr>
            <w:tcW w:w="1265" w:type="dxa"/>
            <w:shd w:val="clear" w:color="auto" w:fill="auto"/>
            <w:vAlign w:val="center"/>
          </w:tcPr>
          <w:p w14:paraId="1EF3F9BB"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3.14</w:t>
            </w:r>
          </w:p>
        </w:tc>
        <w:tc>
          <w:tcPr>
            <w:tcW w:w="1265" w:type="dxa"/>
            <w:shd w:val="clear" w:color="auto" w:fill="auto"/>
            <w:vAlign w:val="center"/>
          </w:tcPr>
          <w:p w14:paraId="10C04F0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4.05</w:t>
            </w:r>
          </w:p>
        </w:tc>
      </w:tr>
      <w:tr w:rsidR="00D352AD" w:rsidRPr="009C2ADD" w14:paraId="5CA90BA7" w14:textId="77777777" w:rsidTr="00A318D4">
        <w:tc>
          <w:tcPr>
            <w:tcW w:w="1732" w:type="dxa"/>
            <w:shd w:val="clear" w:color="auto" w:fill="auto"/>
          </w:tcPr>
          <w:p w14:paraId="6DF970C0" w14:textId="77777777"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F=0</w:t>
            </w:r>
          </w:p>
        </w:tc>
        <w:tc>
          <w:tcPr>
            <w:tcW w:w="1264" w:type="dxa"/>
            <w:shd w:val="clear" w:color="auto" w:fill="auto"/>
            <w:vAlign w:val="center"/>
          </w:tcPr>
          <w:p w14:paraId="156773DB"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0.36</w:t>
            </w:r>
          </w:p>
        </w:tc>
        <w:tc>
          <w:tcPr>
            <w:tcW w:w="1265" w:type="dxa"/>
            <w:shd w:val="clear" w:color="auto" w:fill="auto"/>
            <w:vAlign w:val="center"/>
          </w:tcPr>
          <w:p w14:paraId="3CD4670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0.35</w:t>
            </w:r>
          </w:p>
        </w:tc>
        <w:tc>
          <w:tcPr>
            <w:tcW w:w="1265" w:type="dxa"/>
            <w:shd w:val="clear" w:color="auto" w:fill="auto"/>
            <w:vAlign w:val="center"/>
          </w:tcPr>
          <w:p w14:paraId="3B80986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0.27</w:t>
            </w:r>
          </w:p>
        </w:tc>
        <w:tc>
          <w:tcPr>
            <w:tcW w:w="1265" w:type="dxa"/>
            <w:shd w:val="clear" w:color="auto" w:fill="auto"/>
            <w:vAlign w:val="center"/>
          </w:tcPr>
          <w:p w14:paraId="4F62CD94"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0.29</w:t>
            </w:r>
          </w:p>
        </w:tc>
        <w:tc>
          <w:tcPr>
            <w:tcW w:w="1265" w:type="dxa"/>
            <w:shd w:val="clear" w:color="auto" w:fill="auto"/>
            <w:vAlign w:val="center"/>
          </w:tcPr>
          <w:p w14:paraId="1C7588C6"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0.43</w:t>
            </w:r>
          </w:p>
        </w:tc>
        <w:tc>
          <w:tcPr>
            <w:tcW w:w="1265" w:type="dxa"/>
            <w:shd w:val="clear" w:color="auto" w:fill="auto"/>
            <w:vAlign w:val="center"/>
          </w:tcPr>
          <w:p w14:paraId="640CDDE2"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0.48</w:t>
            </w:r>
          </w:p>
        </w:tc>
      </w:tr>
      <w:tr w:rsidR="00D352AD" w:rsidRPr="009C2ADD" w14:paraId="6BCD1114" w14:textId="77777777" w:rsidTr="00A318D4">
        <w:tc>
          <w:tcPr>
            <w:tcW w:w="1732" w:type="dxa"/>
            <w:shd w:val="clear" w:color="auto" w:fill="auto"/>
          </w:tcPr>
          <w:p w14:paraId="5C30FCBA" w14:textId="7E658EF0" w:rsidR="00734E2C" w:rsidRPr="009C2ADD" w:rsidRDefault="00734E2C" w:rsidP="009C2ADD">
            <w:pPr>
              <w:adjustRightInd w:val="0"/>
              <w:snapToGrid w:val="0"/>
              <w:spacing w:after="0"/>
              <w:rPr>
                <w:rFonts w:ascii="Times New Roman" w:eastAsia="Times New Roman" w:hAnsi="Times New Roman"/>
                <w:i/>
                <w:lang w:eastAsia="ja-JP"/>
              </w:rPr>
            </w:pPr>
            <w:r w:rsidRPr="009C2ADD">
              <w:rPr>
                <w:rFonts w:ascii="Times New Roman" w:eastAsia="Times New Roman" w:hAnsi="Times New Roman"/>
                <w:i/>
                <w:lang w:eastAsia="ja-JP"/>
              </w:rPr>
              <w:t>SB</w:t>
            </w:r>
            <w:r w:rsidRPr="0070772D">
              <w:rPr>
                <w:rFonts w:ascii="Times New Roman" w:eastAsia="Times New Roman" w:hAnsi="Times New Roman"/>
                <w:i/>
                <w:vertAlign w:val="subscript"/>
                <w:lang w:eastAsia="ja-JP"/>
              </w:rPr>
              <w:t>recent</w:t>
            </w:r>
            <w:r w:rsidRPr="009C2ADD">
              <w:rPr>
                <w:rFonts w:ascii="Times New Roman" w:eastAsia="Times New Roman" w:hAnsi="Times New Roman"/>
                <w:i/>
                <w:lang w:eastAsia="ja-JP"/>
              </w:rPr>
              <w:t>/SB</w:t>
            </w:r>
            <w:r w:rsidR="00300F08" w:rsidRPr="00104C78">
              <w:rPr>
                <w:rFonts w:ascii="Times New Roman" w:hAnsi="Times New Roman"/>
                <w:vertAlign w:val="subscript"/>
                <w:lang w:val="en-AU"/>
              </w:rPr>
              <w:t>MSY</w:t>
            </w:r>
          </w:p>
        </w:tc>
        <w:tc>
          <w:tcPr>
            <w:tcW w:w="1264" w:type="dxa"/>
            <w:shd w:val="clear" w:color="auto" w:fill="auto"/>
            <w:vAlign w:val="center"/>
          </w:tcPr>
          <w:p w14:paraId="5E5C5D76"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1.86</w:t>
            </w:r>
          </w:p>
        </w:tc>
        <w:tc>
          <w:tcPr>
            <w:tcW w:w="1265" w:type="dxa"/>
            <w:shd w:val="clear" w:color="auto" w:fill="auto"/>
            <w:vAlign w:val="center"/>
          </w:tcPr>
          <w:p w14:paraId="187A554E"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1.58</w:t>
            </w:r>
          </w:p>
        </w:tc>
        <w:tc>
          <w:tcPr>
            <w:tcW w:w="1265" w:type="dxa"/>
            <w:shd w:val="clear" w:color="auto" w:fill="auto"/>
            <w:vAlign w:val="center"/>
          </w:tcPr>
          <w:p w14:paraId="28275838"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0.88</w:t>
            </w:r>
          </w:p>
        </w:tc>
        <w:tc>
          <w:tcPr>
            <w:tcW w:w="1265" w:type="dxa"/>
            <w:shd w:val="clear" w:color="auto" w:fill="auto"/>
            <w:vAlign w:val="center"/>
          </w:tcPr>
          <w:p w14:paraId="08702FBE"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1.02</w:t>
            </w:r>
          </w:p>
        </w:tc>
        <w:tc>
          <w:tcPr>
            <w:tcW w:w="1265" w:type="dxa"/>
            <w:shd w:val="clear" w:color="auto" w:fill="auto"/>
            <w:vAlign w:val="center"/>
          </w:tcPr>
          <w:p w14:paraId="52E445DE"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3.10</w:t>
            </w:r>
          </w:p>
        </w:tc>
        <w:tc>
          <w:tcPr>
            <w:tcW w:w="1265" w:type="dxa"/>
            <w:shd w:val="clear" w:color="auto" w:fill="auto"/>
            <w:vAlign w:val="center"/>
          </w:tcPr>
          <w:p w14:paraId="1A59382F" w14:textId="77777777" w:rsidR="00734E2C" w:rsidRPr="009C2ADD" w:rsidRDefault="00734E2C" w:rsidP="009C2ADD">
            <w:pPr>
              <w:adjustRightInd w:val="0"/>
              <w:snapToGrid w:val="0"/>
              <w:spacing w:after="0"/>
              <w:jc w:val="center"/>
              <w:rPr>
                <w:rFonts w:ascii="Times New Roman" w:eastAsia="Times New Roman" w:hAnsi="Times New Roman"/>
                <w:lang w:eastAsia="ja-JP"/>
              </w:rPr>
            </w:pPr>
            <w:r w:rsidRPr="009C2ADD">
              <w:rPr>
                <w:rFonts w:ascii="Times New Roman" w:eastAsia="Times New Roman" w:hAnsi="Times New Roman"/>
                <w:lang w:eastAsia="ja-JP"/>
              </w:rPr>
              <w:t>3.96</w:t>
            </w:r>
          </w:p>
        </w:tc>
      </w:tr>
    </w:tbl>
    <w:p w14:paraId="54351C8C" w14:textId="77777777" w:rsidR="00E36DE2" w:rsidRPr="009C2ADD" w:rsidRDefault="00E36DE2" w:rsidP="009C2ADD">
      <w:pPr>
        <w:autoSpaceDE w:val="0"/>
        <w:autoSpaceDN w:val="0"/>
        <w:adjustRightInd w:val="0"/>
        <w:snapToGrid w:val="0"/>
        <w:spacing w:after="0"/>
        <w:rPr>
          <w:rFonts w:ascii="Times New Roman" w:hAnsi="Times New Roman"/>
          <w:b/>
          <w:lang w:val="en-AU"/>
        </w:rPr>
      </w:pPr>
    </w:p>
    <w:p w14:paraId="35151A56" w14:textId="22255CAE"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spawning biomass was median (SB</w:t>
      </w:r>
      <w:r w:rsidRPr="0070772D">
        <w:rPr>
          <w:rFonts w:ascii="Times New Roman" w:hAnsi="Times New Roman"/>
          <w:b/>
          <w:vertAlign w:val="subscript"/>
          <w:lang w:val="en-AU"/>
        </w:rPr>
        <w:t>recent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0.35 with a probable range of 0.29 to 0.43 (80% probability interval). The median estimate (0.35) is below that estimated from the 2014 assessment grid((SB</w:t>
      </w:r>
      <w:r w:rsidRPr="0070772D">
        <w:rPr>
          <w:rFonts w:ascii="Times New Roman" w:hAnsi="Times New Roman"/>
          <w:b/>
          <w:vertAlign w:val="subscript"/>
          <w:lang w:val="en-AU"/>
        </w:rPr>
        <w:t>current</w:t>
      </w:r>
      <w:r w:rsidRPr="009C2ADD">
        <w:rPr>
          <w:rFonts w:ascii="Times New Roman" w:hAnsi="Times New Roman"/>
          <w:b/>
          <w:lang w:val="en-AU"/>
        </w:rPr>
        <w:t>/SB</w:t>
      </w:r>
      <w:r w:rsidRPr="0070772D">
        <w:rPr>
          <w:rFonts w:ascii="Times New Roman" w:hAnsi="Times New Roman"/>
          <w:b/>
          <w:vertAlign w:val="subscript"/>
          <w:lang w:val="en-AU"/>
        </w:rPr>
        <w:t>F=0</w:t>
      </w:r>
      <w:r w:rsidRPr="009C2ADD">
        <w:rPr>
          <w:rFonts w:ascii="Times New Roman" w:hAnsi="Times New Roman"/>
          <w:b/>
          <w:lang w:val="en-AU"/>
        </w:rPr>
        <w:t>) = 0.49, see SC9-SA-WP-05), noting the differences in grid uncertainty axes used in that assessment, due to the inclusion of two representations of growth and maturity. SC13 also noted that in the previous assessment this central tendency was not considered for the provision of management advice given the uncertainties in growth assumptions. The median estimate for SB</w:t>
      </w:r>
      <w:r w:rsidRPr="0070772D">
        <w:rPr>
          <w:rFonts w:ascii="Times New Roman" w:hAnsi="Times New Roman"/>
          <w:b/>
          <w:vertAlign w:val="subscript"/>
          <w:lang w:val="en-AU"/>
        </w:rPr>
        <w:t>recent</w:t>
      </w:r>
      <w:r w:rsidRPr="009C2ADD">
        <w:rPr>
          <w:rFonts w:ascii="Times New Roman" w:hAnsi="Times New Roman"/>
          <w:b/>
          <w:lang w:val="en-AU"/>
        </w:rPr>
        <w:t>/SB</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is 1.23, </w:t>
      </w:r>
      <w:r w:rsidR="00214513">
        <w:rPr>
          <w:rFonts w:ascii="Times New Roman" w:hAnsi="Times New Roman"/>
          <w:b/>
          <w:lang w:val="en-AU"/>
        </w:rPr>
        <w:t>which</w:t>
      </w:r>
      <w:r w:rsidRPr="009C2ADD">
        <w:rPr>
          <w:rFonts w:ascii="Times New Roman" w:hAnsi="Times New Roman"/>
          <w:b/>
          <w:lang w:val="en-AU"/>
        </w:rPr>
        <w:t xml:space="preserve"> is below that estimated from the 2014 assessment grid ((SB</w:t>
      </w:r>
      <w:r w:rsidRPr="0070772D">
        <w:rPr>
          <w:rFonts w:ascii="Times New Roman" w:hAnsi="Times New Roman"/>
          <w:b/>
          <w:vertAlign w:val="subscript"/>
          <w:lang w:val="en-AU"/>
        </w:rPr>
        <w:t>current</w:t>
      </w:r>
      <w:r w:rsidRPr="009C2ADD">
        <w:rPr>
          <w:rFonts w:ascii="Times New Roman" w:hAnsi="Times New Roman"/>
          <w:b/>
          <w:lang w:val="en-AU"/>
        </w:rPr>
        <w:t>/SB</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 2.07, see SC9-SA-WP-05). </w:t>
      </w:r>
    </w:p>
    <w:p w14:paraId="2C8C7AA6"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05A028A4" w14:textId="41D08163"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 central tendency of relative recent fishing mortality was median (F</w:t>
      </w:r>
      <w:r w:rsidRPr="0070772D">
        <w:rPr>
          <w:rFonts w:ascii="Times New Roman" w:hAnsi="Times New Roman"/>
          <w:b/>
          <w:vertAlign w:val="subscript"/>
          <w:lang w:val="en-AU"/>
        </w:rPr>
        <w:t>recent</w:t>
      </w:r>
      <w:r w:rsidRPr="009C2ADD">
        <w:rPr>
          <w:rFonts w:ascii="Times New Roman" w:hAnsi="Times New Roman"/>
          <w:b/>
          <w:lang w:val="en-AU"/>
        </w:rPr>
        <w:t>/F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 0.86 with an 80% probability interval of 0.51 to 1.23. While this suggested that there was likely a buffer between recent fishing mortality and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it also showed that there was some probability that recent fishing mortality was above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t>
      </w:r>
    </w:p>
    <w:p w14:paraId="47C958BA"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6C43D56C" w14:textId="1A8C2322"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also noted that there was a roughly 32% probability (23 out of 72 models) that the recent fishing mortality was above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with </w:t>
      </w:r>
      <w:proofErr w:type="gramStart"/>
      <w:r w:rsidRPr="009C2ADD">
        <w:rPr>
          <w:rFonts w:ascii="Times New Roman" w:hAnsi="Times New Roman"/>
          <w:b/>
          <w:lang w:val="en-AU"/>
        </w:rPr>
        <w:t>Prob(</w:t>
      </w:r>
      <w:proofErr w:type="gramEnd"/>
      <w:r w:rsidRPr="009C2ADD">
        <w:rPr>
          <w:rFonts w:ascii="Times New Roman" w:hAnsi="Times New Roman"/>
          <w:b/>
          <w:lang w:val="en-AU"/>
        </w:rPr>
        <w:t>(F</w:t>
      </w:r>
      <w:r w:rsidRPr="0070772D">
        <w:rPr>
          <w:rFonts w:ascii="Times New Roman" w:hAnsi="Times New Roman"/>
          <w:b/>
          <w:vertAlign w:val="subscript"/>
          <w:lang w:val="en-AU"/>
        </w:rPr>
        <w:t>recent</w:t>
      </w:r>
      <w:r w:rsidRPr="009C2ADD">
        <w:rPr>
          <w:rFonts w:ascii="Times New Roman" w:hAnsi="Times New Roman"/>
          <w:b/>
          <w:lang w:val="en-AU"/>
        </w:rPr>
        <w:t>/F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)&gt;1) = 0.32. The median estimate (0.86) is above that estimated from the 2014 assessment grid (F</w:t>
      </w:r>
      <w:r w:rsidRPr="00783705">
        <w:rPr>
          <w:rFonts w:ascii="Times New Roman" w:hAnsi="Times New Roman"/>
          <w:b/>
          <w:vertAlign w:val="subscript"/>
          <w:lang w:val="en-AU"/>
        </w:rPr>
        <w:t>current</w:t>
      </w:r>
      <w:r w:rsidRPr="009C2ADD">
        <w:rPr>
          <w:rFonts w:ascii="Times New Roman" w:hAnsi="Times New Roman"/>
          <w:b/>
          <w:lang w:val="en-AU"/>
        </w:rPr>
        <w:t>/F</w:t>
      </w:r>
      <w:r w:rsidR="00783705" w:rsidRPr="0070772D">
        <w:rPr>
          <w:rFonts w:ascii="Times New Roman" w:hAnsi="Times New Roman"/>
          <w:b/>
          <w:vertAlign w:val="subscript"/>
          <w:lang w:val="en-AU" w:eastAsia="ko-KR"/>
        </w:rPr>
        <w:t>MSY</w:t>
      </w:r>
      <w:r w:rsidRPr="009C2ADD">
        <w:rPr>
          <w:rFonts w:ascii="Times New Roman" w:hAnsi="Times New Roman"/>
          <w:b/>
          <w:lang w:val="en-AU"/>
        </w:rPr>
        <w:t xml:space="preserve"> = 0.74, see SC9-SA-WP-05). </w:t>
      </w:r>
    </w:p>
    <w:p w14:paraId="2D8050EF"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015F72C5" w14:textId="5BA50DC9"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Fishing mortality rate increased notably from the mid-1990s in both model regions, on maturing</w:t>
      </w:r>
      <w:r w:rsidR="00D3647B" w:rsidRPr="00D3647B">
        <w:rPr>
          <w:rFonts w:ascii="Times New Roman" w:hAnsi="Times New Roman"/>
          <w:b/>
          <w:lang w:val="en-AU"/>
        </w:rPr>
        <w:t xml:space="preserve"> </w:t>
      </w:r>
      <w:r w:rsidR="00D3647B">
        <w:rPr>
          <w:rFonts w:ascii="Times New Roman" w:hAnsi="Times New Roman"/>
          <w:b/>
          <w:lang w:val="en-AU"/>
        </w:rPr>
        <w:t>swordfish</w:t>
      </w:r>
      <w:r w:rsidRPr="009C2ADD">
        <w:rPr>
          <w:rFonts w:ascii="Times New Roman" w:hAnsi="Times New Roman"/>
          <w:b/>
          <w:lang w:val="en-AU"/>
        </w:rPr>
        <w:t xml:space="preserve"> aged 4-6 fish in particular. </w:t>
      </w:r>
    </w:p>
    <w:p w14:paraId="562D27FA"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45C29DA6"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Across all models in the uncertainty grid the spawning biomass declines steeply between the late 1990s and 2010 but since then the rate of decline has been less.  Those declines are found in both model regions, but are higher in the eastern Region 2 (equator to 50°S, 165°E to 130°W). </w:t>
      </w:r>
    </w:p>
    <w:p w14:paraId="2766A02C"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5626B7FB"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in comparison with the bigeye and yellowfin assessments, evidence for an increase in recent recruitment for southwest Pacific swordfish was not found in either the CPUE time series or estimates of recruitment. SC13 noted that the longline only nature of the fishery catching mainly larger, older </w:t>
      </w:r>
      <w:proofErr w:type="gramStart"/>
      <w:r w:rsidRPr="009C2ADD">
        <w:rPr>
          <w:rFonts w:ascii="Times New Roman" w:hAnsi="Times New Roman"/>
          <w:b/>
          <w:lang w:val="en-AU"/>
        </w:rPr>
        <w:t>swordfish,</w:t>
      </w:r>
      <w:proofErr w:type="gramEnd"/>
      <w:r w:rsidRPr="009C2ADD">
        <w:rPr>
          <w:rFonts w:ascii="Times New Roman" w:hAnsi="Times New Roman"/>
          <w:b/>
          <w:lang w:val="en-AU"/>
        </w:rPr>
        <w:t xml:space="preserve"> is not strongly informative with regards to recruitment dynamics.  </w:t>
      </w:r>
    </w:p>
    <w:p w14:paraId="62A5B7A6"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3CAD406E" w14:textId="0C979C47" w:rsidR="00734E2C" w:rsidRPr="009C2ADD" w:rsidRDefault="00734E2C" w:rsidP="00001F31">
      <w:pPr>
        <w:pStyle w:val="ListParagraph"/>
        <w:numPr>
          <w:ilvl w:val="0"/>
          <w:numId w:val="180"/>
        </w:numPr>
        <w:autoSpaceDE w:val="0"/>
        <w:autoSpaceDN w:val="0"/>
        <w:adjustRightInd w:val="0"/>
        <w:snapToGrid w:val="0"/>
        <w:ind w:left="0" w:firstLine="0"/>
        <w:contextualSpacing w:val="0"/>
        <w:rPr>
          <w:rFonts w:ascii="Times New Roman" w:eastAsia="MS Mincho" w:hAnsi="Times New Roman"/>
          <w:b/>
          <w:lang w:val="en-US" w:eastAsia="ja-JP"/>
        </w:rPr>
      </w:pPr>
      <w:r w:rsidRPr="009C2ADD">
        <w:rPr>
          <w:rFonts w:ascii="Times New Roman" w:eastAsia="Times New Roman" w:hAnsi="Times New Roman"/>
          <w:b/>
          <w:lang w:eastAsia="en-NZ"/>
        </w:rPr>
        <w:t>Management advice and implications</w:t>
      </w:r>
      <w:r w:rsidRPr="009C2ADD">
        <w:rPr>
          <w:rFonts w:ascii="Times New Roman" w:eastAsia="Times New Roman" w:hAnsi="Times New Roman"/>
          <w:b/>
          <w:lang w:eastAsia="en-NZ"/>
        </w:rPr>
        <w:tab/>
      </w:r>
      <w:r w:rsidRPr="009C2ADD">
        <w:rPr>
          <w:rFonts w:ascii="Times New Roman" w:eastAsia="MS Mincho" w:hAnsi="Times New Roman"/>
          <w:b/>
          <w:lang w:val="en-US" w:eastAsia="ja-JP"/>
        </w:rPr>
        <w:tab/>
      </w:r>
    </w:p>
    <w:p w14:paraId="28B8E7F2" w14:textId="77777777" w:rsidR="00E462BE" w:rsidRPr="009C2ADD" w:rsidRDefault="00E462BE" w:rsidP="009C2ADD">
      <w:pPr>
        <w:pStyle w:val="ListParagraph"/>
        <w:autoSpaceDE w:val="0"/>
        <w:autoSpaceDN w:val="0"/>
        <w:adjustRightInd w:val="0"/>
        <w:snapToGrid w:val="0"/>
        <w:ind w:firstLine="0"/>
        <w:contextualSpacing w:val="0"/>
        <w:rPr>
          <w:rFonts w:ascii="Times New Roman" w:eastAsia="MS Mincho" w:hAnsi="Times New Roman"/>
          <w:b/>
          <w:lang w:val="en-US" w:eastAsia="ja-JP"/>
        </w:rPr>
      </w:pPr>
    </w:p>
    <w:p w14:paraId="5D8D8E61" w14:textId="5F8F5622"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Based on the uncertainty grid adopted by SC13, the south west Pacific </w:t>
      </w:r>
      <w:r w:rsidR="00D3647B">
        <w:rPr>
          <w:rFonts w:ascii="Times New Roman" w:hAnsi="Times New Roman"/>
          <w:b/>
          <w:lang w:val="en-AU"/>
        </w:rPr>
        <w:t>s</w:t>
      </w:r>
      <w:r w:rsidRPr="009C2ADD">
        <w:rPr>
          <w:rFonts w:ascii="Times New Roman" w:hAnsi="Times New Roman"/>
          <w:b/>
          <w:lang w:val="en-AU"/>
        </w:rPr>
        <w:t>wordfish spawning biomass is likely above the 20%SB</w:t>
      </w:r>
      <w:r w:rsidR="00816D18" w:rsidRPr="0070772D">
        <w:rPr>
          <w:rFonts w:ascii="Times New Roman" w:hAnsi="Times New Roman"/>
          <w:b/>
          <w:vertAlign w:val="subscript"/>
          <w:lang w:val="en-AU"/>
        </w:rPr>
        <w:t>F</w:t>
      </w:r>
      <w:r w:rsidRPr="0070772D">
        <w:rPr>
          <w:rFonts w:ascii="Times New Roman" w:hAnsi="Times New Roman"/>
          <w:b/>
          <w:vertAlign w:val="subscript"/>
          <w:lang w:val="en-AU"/>
        </w:rPr>
        <w:t>=0</w:t>
      </w:r>
      <w:r w:rsidRPr="009C2ADD">
        <w:rPr>
          <w:rFonts w:ascii="Times New Roman" w:hAnsi="Times New Roman"/>
          <w:b/>
          <w:lang w:val="en-AU"/>
        </w:rPr>
        <w:t>,</w:t>
      </w:r>
      <w:r w:rsidR="00816D18">
        <w:rPr>
          <w:rFonts w:ascii="Times New Roman" w:hAnsi="Times New Roman"/>
          <w:b/>
          <w:lang w:val="en-AU"/>
        </w:rPr>
        <w:t xml:space="preserve"> </w:t>
      </w:r>
      <w:r w:rsidRPr="009C2ADD">
        <w:rPr>
          <w:rFonts w:ascii="Times New Roman" w:hAnsi="Times New Roman"/>
          <w:b/>
          <w:lang w:val="en-AU"/>
        </w:rPr>
        <w:t>biomass LRP adopted for tunas and the SB</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level </w:t>
      </w:r>
      <w:r w:rsidR="00FA646B">
        <w:rPr>
          <w:rFonts w:ascii="Times New Roman" w:hAnsi="Times New Roman"/>
          <w:b/>
          <w:lang w:val="en-AU"/>
        </w:rPr>
        <w:t>(</w:t>
      </w:r>
      <w:r w:rsidRPr="009C2ADD">
        <w:rPr>
          <w:rFonts w:ascii="Times New Roman" w:hAnsi="Times New Roman"/>
          <w:b/>
          <w:lang w:val="en-AU"/>
        </w:rPr>
        <w:t>noting that the Commission has yet to adopted an LRP for south Pacific swordfish) and it is highly likely that the stock is not in an overfished condition (0% probability). Recent F is likely below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and it appears that the stock is not experiencing overfishing (32% probability</w:t>
      </w:r>
      <w:r w:rsidR="00FA646B">
        <w:rPr>
          <w:rFonts w:ascii="Times New Roman" w:hAnsi="Times New Roman"/>
          <w:b/>
          <w:lang w:val="en-AU"/>
        </w:rPr>
        <w:t xml:space="preserve"> of overfishing</w:t>
      </w:r>
      <w:r w:rsidRPr="009C2ADD">
        <w:rPr>
          <w:rFonts w:ascii="Times New Roman" w:hAnsi="Times New Roman"/>
          <w:b/>
          <w:lang w:val="en-AU"/>
        </w:rPr>
        <w:t xml:space="preserve">).  </w:t>
      </w:r>
    </w:p>
    <w:p w14:paraId="0A8345DB"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1A9C17F3" w14:textId="18E84998"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there has been an increase in fishing mortality notably from the mid-1990s, and that the biomass relative to unfished levels is estimated to have declined rapidly during the period late-1990s to 2010 followed by a more gradual but continued decline after 2010, across the uncertainty grid. It was noted the fishing mortality was likely below F</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 xml:space="preserve">. </w:t>
      </w:r>
    </w:p>
    <w:p w14:paraId="6406D58A" w14:textId="77777777" w:rsidR="00AE423F" w:rsidRPr="009C2ADD" w:rsidRDefault="00AE423F" w:rsidP="009C2ADD">
      <w:pPr>
        <w:pStyle w:val="ListParagraph"/>
        <w:adjustRightInd w:val="0"/>
        <w:snapToGrid w:val="0"/>
        <w:contextualSpacing w:val="0"/>
        <w:rPr>
          <w:rFonts w:ascii="Times New Roman" w:hAnsi="Times New Roman"/>
          <w:b/>
          <w:lang w:val="en-AU"/>
        </w:rPr>
      </w:pPr>
    </w:p>
    <w:p w14:paraId="714F90A7"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Consistent with its previous advice (from SC9), SC13 recommends that the Commission consider developing appropriate management measures for the area north of 20°S to the equator which is not covered by CMM 2009-03, noting that:</w:t>
      </w:r>
    </w:p>
    <w:p w14:paraId="146D4C88" w14:textId="77777777" w:rsidR="00734E2C" w:rsidRPr="009C2ADD" w:rsidRDefault="00734E2C" w:rsidP="009C2ADD">
      <w:pPr>
        <w:numPr>
          <w:ilvl w:val="0"/>
          <w:numId w:val="8"/>
        </w:numPr>
        <w:adjustRightInd w:val="0"/>
        <w:snapToGrid w:val="0"/>
        <w:spacing w:after="0"/>
        <w:rPr>
          <w:rFonts w:ascii="Times New Roman" w:eastAsia="Times New Roman" w:hAnsi="Times New Roman"/>
          <w:b/>
          <w:lang w:val="en-US" w:eastAsia="ja-JP"/>
        </w:rPr>
      </w:pPr>
      <w:r w:rsidRPr="009C2ADD">
        <w:rPr>
          <w:rFonts w:ascii="Times New Roman" w:eastAsia="Times New Roman" w:hAnsi="Times New Roman"/>
          <w:b/>
          <w:lang w:val="en-US" w:eastAsia="ja-JP"/>
        </w:rPr>
        <w:t xml:space="preserve">recent catches between the equator and 20°S continue to represent the largest component of the catch in Region 2 (equator to 50°S, 165°E to 130°W) and represent half the total catches from the stock, and, </w:t>
      </w:r>
    </w:p>
    <w:p w14:paraId="401DCC9B" w14:textId="77777777" w:rsidR="00734E2C" w:rsidRPr="009C2ADD" w:rsidRDefault="00734E2C" w:rsidP="009C2ADD">
      <w:pPr>
        <w:numPr>
          <w:ilvl w:val="0"/>
          <w:numId w:val="8"/>
        </w:numPr>
        <w:adjustRightInd w:val="0"/>
        <w:snapToGrid w:val="0"/>
        <w:spacing w:after="0"/>
        <w:ind w:left="1077" w:hanging="357"/>
        <w:rPr>
          <w:rFonts w:ascii="Times New Roman" w:eastAsia="Times New Roman" w:hAnsi="Times New Roman"/>
          <w:b/>
          <w:lang w:val="en-US" w:eastAsia="ja-JP"/>
        </w:rPr>
      </w:pPr>
      <w:proofErr w:type="gramStart"/>
      <w:r w:rsidRPr="009C2ADD">
        <w:rPr>
          <w:rFonts w:ascii="Times New Roman" w:eastAsia="Times New Roman" w:hAnsi="Times New Roman"/>
          <w:b/>
          <w:lang w:val="en-US" w:eastAsia="ja-JP"/>
        </w:rPr>
        <w:t>catches</w:t>
      </w:r>
      <w:proofErr w:type="gramEnd"/>
      <w:r w:rsidRPr="009C2ADD">
        <w:rPr>
          <w:rFonts w:ascii="Times New Roman" w:eastAsia="Times New Roman" w:hAnsi="Times New Roman"/>
          <w:b/>
          <w:lang w:val="en-US" w:eastAsia="ja-JP"/>
        </w:rPr>
        <w:t xml:space="preserve"> in that area contribute substantially to fishing mortality and spawning biomass depletion levels in eastern Region 2 that are substantially higher than in the western region (Region 1). </w:t>
      </w:r>
    </w:p>
    <w:p w14:paraId="75103030"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523F2FEC"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Further, SC13 recommends that current restrictions on catches south of 20°S also be maintained. </w:t>
      </w:r>
    </w:p>
    <w:p w14:paraId="6F842B09" w14:textId="77777777" w:rsidR="00356987" w:rsidRPr="009C2ADD" w:rsidRDefault="00356987" w:rsidP="009C2ADD">
      <w:pPr>
        <w:adjustRightInd w:val="0"/>
        <w:snapToGrid w:val="0"/>
        <w:spacing w:after="0"/>
        <w:ind w:left="1080"/>
        <w:rPr>
          <w:rFonts w:ascii="Times New Roman" w:eastAsia="바탕" w:hAnsi="Times New Roman"/>
          <w:lang w:eastAsia="ko-KR"/>
        </w:rPr>
      </w:pPr>
    </w:p>
    <w:p w14:paraId="3C73EBBC" w14:textId="09159C66" w:rsidR="00734E2C" w:rsidRPr="009C2ADD" w:rsidRDefault="003A411E" w:rsidP="009C2ADD">
      <w:pPr>
        <w:pStyle w:val="Heading3"/>
        <w:adjustRightInd w:val="0"/>
        <w:snapToGrid w:val="0"/>
        <w:spacing w:before="0"/>
        <w:rPr>
          <w:rFonts w:ascii="Times New Roman" w:eastAsia="Times New Roman" w:hAnsi="Times New Roman" w:cs="Times New Roman"/>
          <w:lang w:eastAsia="en-NZ"/>
        </w:rPr>
      </w:pPr>
      <w:r w:rsidRPr="009C2ADD">
        <w:rPr>
          <w:rFonts w:ascii="Times New Roman" w:eastAsia="Times New Roman" w:hAnsi="Times New Roman" w:cs="Times New Roman"/>
          <w:lang w:eastAsia="en-NZ"/>
        </w:rPr>
        <w:t xml:space="preserve">4.4.2 </w:t>
      </w:r>
      <w:r w:rsidR="00AE423F" w:rsidRPr="009C2ADD">
        <w:rPr>
          <w:rFonts w:ascii="Times New Roman" w:eastAsia="Times New Roman" w:hAnsi="Times New Roman" w:cs="Times New Roman"/>
          <w:lang w:eastAsia="en-NZ"/>
        </w:rPr>
        <w:tab/>
      </w:r>
      <w:r w:rsidR="00734E2C" w:rsidRPr="009C2ADD">
        <w:rPr>
          <w:rFonts w:ascii="Times New Roman" w:eastAsia="Times New Roman" w:hAnsi="Times New Roman" w:cs="Times New Roman"/>
          <w:lang w:eastAsia="en-NZ"/>
        </w:rPr>
        <w:t>Southwest Pacific striped marlin (</w:t>
      </w:r>
      <w:r w:rsidR="00734E2C" w:rsidRPr="00464B7F">
        <w:rPr>
          <w:rFonts w:ascii="Times New Roman" w:eastAsia="Times New Roman" w:hAnsi="Times New Roman" w:cs="Times New Roman"/>
          <w:i/>
          <w:lang w:eastAsia="en-NZ"/>
        </w:rPr>
        <w:t>Kajikia audax</w:t>
      </w:r>
      <w:r w:rsidR="00734E2C" w:rsidRPr="009C2ADD">
        <w:rPr>
          <w:rFonts w:ascii="Times New Roman" w:eastAsia="Times New Roman" w:hAnsi="Times New Roman" w:cs="Times New Roman"/>
          <w:lang w:eastAsia="en-NZ"/>
        </w:rPr>
        <w:t>)</w:t>
      </w:r>
    </w:p>
    <w:p w14:paraId="462761B0" w14:textId="77777777" w:rsidR="00734E2C" w:rsidRPr="009C2ADD" w:rsidRDefault="00734E2C" w:rsidP="009C2ADD">
      <w:pPr>
        <w:adjustRightInd w:val="0"/>
        <w:snapToGrid w:val="0"/>
        <w:spacing w:after="0"/>
        <w:rPr>
          <w:rFonts w:ascii="Times New Roman" w:eastAsia="바탕" w:hAnsi="Times New Roman"/>
          <w:lang w:eastAsia="ko-KR"/>
        </w:rPr>
      </w:pPr>
    </w:p>
    <w:p w14:paraId="58A6E696" w14:textId="22034B45" w:rsidR="00E462BE" w:rsidRPr="009C2ADD" w:rsidRDefault="00E462BE"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4.4.2.1 </w:t>
      </w:r>
      <w:r w:rsidRPr="009C2ADD">
        <w:rPr>
          <w:rFonts w:ascii="Times New Roman" w:eastAsia="바탕" w:hAnsi="Times New Roman"/>
          <w:b/>
          <w:lang w:eastAsia="ko-KR"/>
        </w:rPr>
        <w:tab/>
        <w:t>Review of research and information</w:t>
      </w:r>
    </w:p>
    <w:p w14:paraId="15E8E0C3" w14:textId="77777777" w:rsidR="00E462BE" w:rsidRPr="009C2ADD" w:rsidRDefault="00E462BE" w:rsidP="009C2ADD">
      <w:pPr>
        <w:adjustRightInd w:val="0"/>
        <w:snapToGrid w:val="0"/>
        <w:spacing w:after="0"/>
        <w:rPr>
          <w:rFonts w:ascii="Times New Roman" w:eastAsia="바탕" w:hAnsi="Times New Roman"/>
          <w:lang w:eastAsia="ko-KR"/>
        </w:rPr>
      </w:pPr>
    </w:p>
    <w:p w14:paraId="6FDB8755" w14:textId="225C0DA2"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last stock assessment for South</w:t>
      </w:r>
      <w:r w:rsidR="00356987" w:rsidRPr="009C2ADD">
        <w:rPr>
          <w:rFonts w:ascii="Times New Roman" w:hAnsi="Times New Roman"/>
          <w:lang w:val="en-AU"/>
        </w:rPr>
        <w:t>west Pacific striped marlin was</w:t>
      </w:r>
      <w:r w:rsidR="009846FB" w:rsidRPr="009C2ADD">
        <w:rPr>
          <w:rFonts w:ascii="Times New Roman" w:hAnsi="Times New Roman"/>
          <w:lang w:val="en-AU"/>
        </w:rPr>
        <w:t xml:space="preserve"> conducted </w:t>
      </w:r>
      <w:r w:rsidRPr="009C2ADD">
        <w:rPr>
          <w:rFonts w:ascii="Times New Roman" w:hAnsi="Times New Roman"/>
          <w:lang w:val="en-AU"/>
        </w:rPr>
        <w:t>in 2011. SC13 received no updated information.</w:t>
      </w:r>
    </w:p>
    <w:p w14:paraId="1D1DAB61"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736B52E8" w14:textId="18739E6C" w:rsidR="00E462BE" w:rsidRPr="009C2ADD" w:rsidRDefault="00E462BE" w:rsidP="009C2ADD">
      <w:pPr>
        <w:autoSpaceDE w:val="0"/>
        <w:autoSpaceDN w:val="0"/>
        <w:adjustRightInd w:val="0"/>
        <w:snapToGrid w:val="0"/>
        <w:spacing w:after="0"/>
        <w:rPr>
          <w:rFonts w:ascii="Times New Roman" w:hAnsi="Times New Roman"/>
          <w:b/>
          <w:lang w:eastAsia="ko-KR"/>
        </w:rPr>
      </w:pPr>
      <w:r w:rsidRPr="009C2ADD">
        <w:rPr>
          <w:rFonts w:ascii="Times New Roman" w:hAnsi="Times New Roman"/>
          <w:b/>
          <w:lang w:eastAsia="ko-KR"/>
        </w:rPr>
        <w:t xml:space="preserve">4.4.2.2 </w:t>
      </w:r>
      <w:r w:rsidRPr="009C2ADD">
        <w:rPr>
          <w:rFonts w:ascii="Times New Roman" w:hAnsi="Times New Roman"/>
          <w:b/>
          <w:lang w:eastAsia="ko-KR"/>
        </w:rPr>
        <w:tab/>
        <w:t>Provision of scientific information</w:t>
      </w:r>
    </w:p>
    <w:p w14:paraId="1644762B" w14:textId="77777777" w:rsidR="00AE423F" w:rsidRPr="009C2ADD" w:rsidRDefault="00AE423F" w:rsidP="009C2ADD">
      <w:pPr>
        <w:autoSpaceDE w:val="0"/>
        <w:autoSpaceDN w:val="0"/>
        <w:adjustRightInd w:val="0"/>
        <w:snapToGrid w:val="0"/>
        <w:spacing w:after="0"/>
        <w:rPr>
          <w:rFonts w:ascii="Times New Roman" w:hAnsi="Times New Roman"/>
          <w:b/>
          <w:lang w:eastAsia="ko-KR"/>
        </w:rPr>
      </w:pPr>
    </w:p>
    <w:p w14:paraId="53E3C562" w14:textId="52BCF3CE" w:rsidR="00734E2C" w:rsidRPr="009C2ADD" w:rsidRDefault="00734E2C" w:rsidP="00001F31">
      <w:pPr>
        <w:pStyle w:val="ListParagraph"/>
        <w:numPr>
          <w:ilvl w:val="0"/>
          <w:numId w:val="181"/>
        </w:numPr>
        <w:autoSpaceDE w:val="0"/>
        <w:autoSpaceDN w:val="0"/>
        <w:adjustRightInd w:val="0"/>
        <w:snapToGrid w:val="0"/>
        <w:ind w:left="0" w:firstLine="0"/>
        <w:contextualSpacing w:val="0"/>
        <w:rPr>
          <w:rFonts w:ascii="Times New Roman" w:eastAsia="Times New Roman" w:hAnsi="Times New Roman"/>
          <w:b/>
          <w:lang w:eastAsia="en-NZ"/>
        </w:rPr>
      </w:pPr>
      <w:r w:rsidRPr="009C2ADD">
        <w:rPr>
          <w:rFonts w:ascii="Times New Roman" w:eastAsia="Times New Roman" w:hAnsi="Times New Roman"/>
          <w:b/>
          <w:lang w:eastAsia="en-NZ"/>
        </w:rPr>
        <w:t>Stock status and trends</w:t>
      </w:r>
    </w:p>
    <w:p w14:paraId="64182408" w14:textId="77777777" w:rsidR="00356987" w:rsidRPr="009C2ADD" w:rsidRDefault="00356987" w:rsidP="009C2ADD">
      <w:pPr>
        <w:adjustRightInd w:val="0"/>
        <w:snapToGrid w:val="0"/>
        <w:spacing w:after="0"/>
        <w:rPr>
          <w:rFonts w:ascii="Times New Roman" w:eastAsia="MS Mincho" w:hAnsi="Times New Roman"/>
          <w:b/>
          <w:i/>
        </w:rPr>
      </w:pPr>
    </w:p>
    <w:p w14:paraId="0D2B222C" w14:textId="5EE48FCA"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sidR="00A74DE8">
        <w:rPr>
          <w:rFonts w:ascii="Times New Roman" w:hAnsi="Times New Roman"/>
          <w:b/>
          <w:lang w:val="en-AU"/>
        </w:rPr>
        <w:t>was</w:t>
      </w:r>
      <w:r w:rsidR="00A74DE8" w:rsidRPr="009C2ADD">
        <w:rPr>
          <w:rFonts w:ascii="Times New Roman" w:hAnsi="Times New Roman"/>
          <w:b/>
          <w:lang w:val="en-AU"/>
        </w:rPr>
        <w:t xml:space="preserve"> </w:t>
      </w:r>
      <w:r w:rsidRPr="009C2ADD">
        <w:rPr>
          <w:rFonts w:ascii="Times New Roman" w:hAnsi="Times New Roman"/>
          <w:b/>
          <w:lang w:val="en-AU"/>
        </w:rPr>
        <w:t xml:space="preserve">conducted for </w:t>
      </w:r>
      <w:r w:rsidR="00A74DE8">
        <w:rPr>
          <w:rFonts w:ascii="Times New Roman" w:hAnsi="Times New Roman"/>
          <w:b/>
          <w:lang w:val="en-AU"/>
        </w:rPr>
        <w:t>this</w:t>
      </w:r>
      <w:r w:rsidR="00A74DE8" w:rsidRPr="009C2ADD">
        <w:rPr>
          <w:rFonts w:ascii="Times New Roman" w:hAnsi="Times New Roman"/>
          <w:b/>
          <w:lang w:val="en-AU"/>
        </w:rPr>
        <w:t xml:space="preserve"> </w:t>
      </w:r>
      <w:r w:rsidRPr="009C2ADD">
        <w:rPr>
          <w:rFonts w:ascii="Times New Roman" w:hAnsi="Times New Roman"/>
          <w:b/>
          <w:lang w:val="en-AU"/>
        </w:rPr>
        <w:t>species in 2017. Therefore, the stock status descriptions from SC8 for South</w:t>
      </w:r>
      <w:r w:rsidR="00A74DE8">
        <w:rPr>
          <w:rFonts w:ascii="Times New Roman" w:hAnsi="Times New Roman"/>
          <w:b/>
          <w:lang w:val="en-AU"/>
        </w:rPr>
        <w:t>west</w:t>
      </w:r>
      <w:r w:rsidRPr="009C2ADD">
        <w:rPr>
          <w:rFonts w:ascii="Times New Roman" w:hAnsi="Times New Roman"/>
          <w:b/>
          <w:lang w:val="en-AU"/>
        </w:rPr>
        <w:t xml:space="preserve"> Pacific striped marlin are still current. Updated information on catches was not compiled for and reviewed by SC13.</w:t>
      </w:r>
    </w:p>
    <w:p w14:paraId="5B75FF80"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79B10B2E" w14:textId="63A97840" w:rsidR="00734E2C" w:rsidRPr="009C2ADD" w:rsidRDefault="00734E2C" w:rsidP="00001F31">
      <w:pPr>
        <w:pStyle w:val="ListParagraph"/>
        <w:numPr>
          <w:ilvl w:val="0"/>
          <w:numId w:val="181"/>
        </w:numPr>
        <w:autoSpaceDE w:val="0"/>
        <w:autoSpaceDN w:val="0"/>
        <w:adjustRightInd w:val="0"/>
        <w:snapToGrid w:val="0"/>
        <w:ind w:left="0" w:firstLine="0"/>
        <w:contextualSpacing w:val="0"/>
        <w:rPr>
          <w:rFonts w:ascii="Times New Roman" w:eastAsia="Times New Roman" w:hAnsi="Times New Roman"/>
          <w:b/>
          <w:lang w:eastAsia="ko-KR"/>
        </w:rPr>
      </w:pPr>
      <w:r w:rsidRPr="009C2ADD">
        <w:rPr>
          <w:rFonts w:ascii="Times New Roman" w:eastAsia="Times New Roman" w:hAnsi="Times New Roman"/>
          <w:b/>
          <w:lang w:eastAsia="en-NZ"/>
        </w:rPr>
        <w:t>Management advice and implications</w:t>
      </w:r>
    </w:p>
    <w:p w14:paraId="1806DFA5" w14:textId="77777777" w:rsidR="00734E2C" w:rsidRPr="009C2ADD" w:rsidRDefault="00734E2C" w:rsidP="009C2ADD">
      <w:pPr>
        <w:adjustRightInd w:val="0"/>
        <w:snapToGrid w:val="0"/>
        <w:spacing w:after="0"/>
        <w:ind w:left="720"/>
        <w:rPr>
          <w:rFonts w:ascii="Times New Roman" w:eastAsia="Times New Roman" w:hAnsi="Times New Roman"/>
          <w:b/>
          <w:lang w:eastAsia="en-NZ"/>
        </w:rPr>
      </w:pPr>
    </w:p>
    <w:p w14:paraId="5ABE8133"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management advice has been provided since SC8 for South Pacific striped marlin. Therefore, previous advice should be maintained, pending a new assessment or other new information.</w:t>
      </w:r>
    </w:p>
    <w:p w14:paraId="22CB7765" w14:textId="77777777" w:rsidR="00734E2C" w:rsidRPr="009C2ADD" w:rsidRDefault="00734E2C" w:rsidP="009C2ADD">
      <w:pPr>
        <w:adjustRightInd w:val="0"/>
        <w:snapToGrid w:val="0"/>
        <w:spacing w:after="0"/>
        <w:rPr>
          <w:rFonts w:ascii="Times New Roman" w:eastAsia="바탕" w:hAnsi="Times New Roman"/>
          <w:lang w:eastAsia="ko-KR"/>
        </w:rPr>
      </w:pPr>
    </w:p>
    <w:p w14:paraId="72B0331B" w14:textId="58D7ADF6" w:rsidR="00734E2C" w:rsidRPr="009C2ADD" w:rsidRDefault="003A411E" w:rsidP="009C2ADD">
      <w:pPr>
        <w:pStyle w:val="Heading3"/>
        <w:adjustRightInd w:val="0"/>
        <w:snapToGrid w:val="0"/>
        <w:spacing w:before="0"/>
        <w:rPr>
          <w:rFonts w:ascii="Times New Roman" w:eastAsia="바탕" w:hAnsi="Times New Roman" w:cs="Times New Roman"/>
          <w:lang w:eastAsia="ko-KR"/>
        </w:rPr>
      </w:pPr>
      <w:r w:rsidRPr="009C2ADD">
        <w:rPr>
          <w:rFonts w:ascii="Times New Roman" w:eastAsia="바탕" w:hAnsi="Times New Roman" w:cs="Times New Roman"/>
          <w:lang w:eastAsia="ko-KR"/>
        </w:rPr>
        <w:t xml:space="preserve">4.4.3 </w:t>
      </w:r>
      <w:r w:rsidR="00AE423F" w:rsidRPr="009C2ADD">
        <w:rPr>
          <w:rFonts w:ascii="Times New Roman" w:eastAsia="바탕" w:hAnsi="Times New Roman" w:cs="Times New Roman"/>
          <w:lang w:eastAsia="ko-KR"/>
        </w:rPr>
        <w:tab/>
      </w:r>
      <w:r w:rsidR="00734E2C" w:rsidRPr="009C2ADD">
        <w:rPr>
          <w:rFonts w:ascii="Times New Roman" w:eastAsia="바탕" w:hAnsi="Times New Roman" w:cs="Times New Roman"/>
          <w:lang w:eastAsia="ko-KR"/>
        </w:rPr>
        <w:t>North Pacific striped marlin (</w:t>
      </w:r>
      <w:r w:rsidR="00734E2C" w:rsidRPr="009C2ADD">
        <w:rPr>
          <w:rFonts w:ascii="Times New Roman" w:eastAsia="바탕" w:hAnsi="Times New Roman" w:cs="Times New Roman"/>
          <w:i/>
          <w:lang w:eastAsia="ko-KR"/>
        </w:rPr>
        <w:t>Kajikia audax</w:t>
      </w:r>
      <w:r w:rsidR="00734E2C" w:rsidRPr="009C2ADD">
        <w:rPr>
          <w:rFonts w:ascii="Times New Roman" w:eastAsia="바탕" w:hAnsi="Times New Roman" w:cs="Times New Roman"/>
          <w:lang w:eastAsia="ko-KR"/>
        </w:rPr>
        <w:t>)</w:t>
      </w:r>
    </w:p>
    <w:p w14:paraId="6CA595B5" w14:textId="77777777" w:rsidR="00734E2C" w:rsidRPr="009C2ADD" w:rsidRDefault="00734E2C" w:rsidP="009C2ADD">
      <w:pPr>
        <w:adjustRightInd w:val="0"/>
        <w:snapToGrid w:val="0"/>
        <w:spacing w:after="0"/>
        <w:rPr>
          <w:rFonts w:ascii="Times New Roman" w:eastAsia="바탕" w:hAnsi="Times New Roman"/>
          <w:b/>
          <w:bCs/>
          <w:lang w:eastAsia="ko-KR"/>
        </w:rPr>
      </w:pPr>
    </w:p>
    <w:p w14:paraId="2CC7077A" w14:textId="6423237B" w:rsidR="00E462BE" w:rsidRPr="009C2ADD" w:rsidRDefault="00E462BE"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4.4.3.1 Review of research and information</w:t>
      </w:r>
    </w:p>
    <w:p w14:paraId="6A76A19E" w14:textId="77777777" w:rsidR="00E462BE" w:rsidRPr="009C2ADD" w:rsidRDefault="00E462BE" w:rsidP="009C2ADD">
      <w:pPr>
        <w:adjustRightInd w:val="0"/>
        <w:snapToGrid w:val="0"/>
        <w:spacing w:after="0"/>
        <w:rPr>
          <w:rFonts w:ascii="Times New Roman" w:eastAsia="바탕" w:hAnsi="Times New Roman"/>
          <w:b/>
          <w:bCs/>
          <w:lang w:eastAsia="ko-KR"/>
        </w:rPr>
      </w:pPr>
    </w:p>
    <w:p w14:paraId="276D272F" w14:textId="016D27A8"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last stock assessment for North Pacific striped marlin was conducted </w:t>
      </w:r>
      <w:r w:rsidR="00A74DE8">
        <w:rPr>
          <w:rFonts w:ascii="Times New Roman" w:hAnsi="Times New Roman"/>
          <w:lang w:val="en-AU"/>
        </w:rPr>
        <w:t>in</w:t>
      </w:r>
      <w:r w:rsidR="00A74DE8" w:rsidRPr="009C2ADD">
        <w:rPr>
          <w:rFonts w:ascii="Times New Roman" w:hAnsi="Times New Roman"/>
          <w:lang w:val="en-AU"/>
        </w:rPr>
        <w:t xml:space="preserve"> </w:t>
      </w:r>
      <w:r w:rsidRPr="009C2ADD">
        <w:rPr>
          <w:rFonts w:ascii="Times New Roman" w:hAnsi="Times New Roman"/>
          <w:lang w:val="en-AU"/>
        </w:rPr>
        <w:t>2015. SC13 received no updated information.</w:t>
      </w:r>
    </w:p>
    <w:p w14:paraId="653995C0"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2184F53E" w14:textId="3BD5104E" w:rsidR="00734E2C" w:rsidRPr="009C2ADD" w:rsidRDefault="009E5549" w:rsidP="009C2ADD">
      <w:pPr>
        <w:adjustRightInd w:val="0"/>
        <w:snapToGrid w:val="0"/>
        <w:spacing w:after="0"/>
        <w:outlineLvl w:val="6"/>
        <w:rPr>
          <w:rFonts w:ascii="Times New Roman" w:hAnsi="Times New Roman"/>
          <w:b/>
          <w:lang w:val="en-AU" w:eastAsia="ko-KR"/>
        </w:rPr>
      </w:pPr>
      <w:r w:rsidRPr="009C2ADD">
        <w:rPr>
          <w:rFonts w:ascii="Times New Roman" w:hAnsi="Times New Roman"/>
          <w:b/>
          <w:lang w:val="en-AU" w:eastAsia="ko-KR"/>
        </w:rPr>
        <w:t xml:space="preserve">4.4.3.2 </w:t>
      </w:r>
      <w:r w:rsidR="00AE423F" w:rsidRPr="009C2ADD">
        <w:rPr>
          <w:rFonts w:ascii="Times New Roman" w:hAnsi="Times New Roman"/>
          <w:b/>
          <w:lang w:val="en-AU" w:eastAsia="ko-KR"/>
        </w:rPr>
        <w:tab/>
      </w:r>
      <w:r w:rsidRPr="009C2ADD">
        <w:rPr>
          <w:rFonts w:ascii="Times New Roman" w:hAnsi="Times New Roman"/>
          <w:b/>
          <w:lang w:val="en-AU" w:eastAsia="ko-KR"/>
        </w:rPr>
        <w:t>Provision of scientific information</w:t>
      </w:r>
    </w:p>
    <w:p w14:paraId="312DB7DB" w14:textId="77777777" w:rsidR="009E5549" w:rsidRPr="009C2ADD" w:rsidRDefault="009E5549" w:rsidP="009C2ADD">
      <w:pPr>
        <w:adjustRightInd w:val="0"/>
        <w:snapToGrid w:val="0"/>
        <w:spacing w:after="0"/>
        <w:outlineLvl w:val="6"/>
        <w:rPr>
          <w:rFonts w:ascii="Times New Roman" w:hAnsi="Times New Roman"/>
          <w:b/>
          <w:lang w:val="en-AU" w:eastAsia="ko-KR"/>
        </w:rPr>
      </w:pPr>
    </w:p>
    <w:p w14:paraId="04C103B9" w14:textId="0E7AB1E4" w:rsidR="00734E2C" w:rsidRPr="009C2ADD" w:rsidRDefault="00734E2C" w:rsidP="00001F31">
      <w:pPr>
        <w:pStyle w:val="ListParagraph"/>
        <w:numPr>
          <w:ilvl w:val="0"/>
          <w:numId w:val="182"/>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Stock status and trends</w:t>
      </w:r>
    </w:p>
    <w:p w14:paraId="6D32C95A" w14:textId="77777777" w:rsidR="00AE423F" w:rsidRPr="009C2ADD" w:rsidRDefault="00AE423F" w:rsidP="009C2ADD">
      <w:pPr>
        <w:pStyle w:val="ListParagraph"/>
        <w:adjustRightInd w:val="0"/>
        <w:snapToGrid w:val="0"/>
        <w:ind w:firstLine="0"/>
        <w:contextualSpacing w:val="0"/>
        <w:rPr>
          <w:rFonts w:ascii="Times New Roman" w:hAnsi="Times New Roman"/>
          <w:b/>
          <w:lang w:val="en-AU"/>
        </w:rPr>
      </w:pPr>
    </w:p>
    <w:p w14:paraId="71F3D2FC" w14:textId="73C7C42A"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sidR="00A74DE8">
        <w:rPr>
          <w:rFonts w:ascii="Times New Roman" w:hAnsi="Times New Roman"/>
          <w:b/>
          <w:lang w:val="en-AU"/>
        </w:rPr>
        <w:t>was</w:t>
      </w:r>
      <w:r w:rsidR="00A74DE8" w:rsidRPr="009C2ADD">
        <w:rPr>
          <w:rFonts w:ascii="Times New Roman" w:hAnsi="Times New Roman"/>
          <w:b/>
          <w:lang w:val="en-AU"/>
        </w:rPr>
        <w:t xml:space="preserve"> </w:t>
      </w:r>
      <w:r w:rsidRPr="009C2ADD">
        <w:rPr>
          <w:rFonts w:ascii="Times New Roman" w:hAnsi="Times New Roman"/>
          <w:b/>
          <w:lang w:val="en-AU"/>
        </w:rPr>
        <w:t xml:space="preserve">conducted for </w:t>
      </w:r>
      <w:r w:rsidR="00A74DE8">
        <w:rPr>
          <w:rFonts w:ascii="Times New Roman" w:hAnsi="Times New Roman"/>
          <w:b/>
          <w:lang w:val="en-AU"/>
        </w:rPr>
        <w:t>this</w:t>
      </w:r>
      <w:r w:rsidR="00A74DE8" w:rsidRPr="009C2ADD">
        <w:rPr>
          <w:rFonts w:ascii="Times New Roman" w:hAnsi="Times New Roman"/>
          <w:b/>
          <w:lang w:val="en-AU"/>
        </w:rPr>
        <w:t xml:space="preserve"> </w:t>
      </w:r>
      <w:r w:rsidRPr="009C2ADD">
        <w:rPr>
          <w:rFonts w:ascii="Times New Roman" w:hAnsi="Times New Roman"/>
          <w:b/>
          <w:lang w:val="en-AU"/>
        </w:rPr>
        <w:t xml:space="preserve">species in 2017. Therefore, the stock status descriptions from SC11 for North Pacific striped marlin are still current. Updated information on North Pacific striped marlin catches may be available in the ISC Plenary Report, but was not compiled for and reviewed by SC13. </w:t>
      </w:r>
    </w:p>
    <w:p w14:paraId="50638365"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2A127E05" w14:textId="08436314" w:rsidR="00734E2C" w:rsidRPr="009C2ADD" w:rsidRDefault="00734E2C" w:rsidP="00001F31">
      <w:pPr>
        <w:pStyle w:val="ListParagraph"/>
        <w:numPr>
          <w:ilvl w:val="0"/>
          <w:numId w:val="182"/>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Management advice and implications</w:t>
      </w:r>
    </w:p>
    <w:p w14:paraId="14B4A3B8" w14:textId="77777777" w:rsidR="00AE423F" w:rsidRPr="009C2ADD" w:rsidRDefault="00AE423F" w:rsidP="009C2ADD">
      <w:pPr>
        <w:pStyle w:val="ListParagraph"/>
        <w:adjustRightInd w:val="0"/>
        <w:snapToGrid w:val="0"/>
        <w:ind w:firstLine="0"/>
        <w:contextualSpacing w:val="0"/>
        <w:rPr>
          <w:rFonts w:ascii="Times New Roman" w:hAnsi="Times New Roman"/>
          <w:b/>
          <w:lang w:val="en-AU"/>
        </w:rPr>
      </w:pPr>
    </w:p>
    <w:p w14:paraId="253DA2DE"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conservation advice has been provided since SC11 for North Pacific striped marlin. Therefore, previous advice should be maintained, pending a new assessment or other new information.</w:t>
      </w:r>
    </w:p>
    <w:p w14:paraId="70F97E24" w14:textId="77777777" w:rsidR="00AE423F" w:rsidRPr="009C2ADD" w:rsidRDefault="00AE423F" w:rsidP="009C2ADD">
      <w:pPr>
        <w:autoSpaceDE w:val="0"/>
        <w:autoSpaceDN w:val="0"/>
        <w:adjustRightInd w:val="0"/>
        <w:snapToGrid w:val="0"/>
        <w:spacing w:after="0"/>
        <w:rPr>
          <w:rFonts w:ascii="Times New Roman" w:hAnsi="Times New Roman"/>
          <w:b/>
          <w:lang w:val="en-AU"/>
        </w:rPr>
      </w:pPr>
    </w:p>
    <w:p w14:paraId="68406C88" w14:textId="2E69230A" w:rsidR="00734E2C" w:rsidRPr="009C2ADD" w:rsidRDefault="0088144A" w:rsidP="009C2ADD">
      <w:pPr>
        <w:pStyle w:val="Heading3"/>
        <w:adjustRightInd w:val="0"/>
        <w:snapToGrid w:val="0"/>
        <w:spacing w:before="0"/>
        <w:rPr>
          <w:rFonts w:ascii="Times New Roman" w:eastAsia="바탕" w:hAnsi="Times New Roman" w:cs="Times New Roman"/>
          <w:bCs/>
          <w:lang w:eastAsia="ko-KR"/>
        </w:rPr>
      </w:pPr>
      <w:r w:rsidRPr="009C2ADD">
        <w:rPr>
          <w:rFonts w:ascii="Times New Roman" w:eastAsia="바탕" w:hAnsi="Times New Roman" w:cs="Times New Roman"/>
          <w:bCs/>
          <w:lang w:eastAsia="ko-KR"/>
        </w:rPr>
        <w:t xml:space="preserve">4.4.4 </w:t>
      </w:r>
      <w:r w:rsidR="00AE423F" w:rsidRPr="009C2ADD">
        <w:rPr>
          <w:rFonts w:ascii="Times New Roman" w:eastAsia="바탕" w:hAnsi="Times New Roman" w:cs="Times New Roman"/>
          <w:bCs/>
          <w:lang w:eastAsia="ko-KR"/>
        </w:rPr>
        <w:tab/>
      </w:r>
      <w:r w:rsidRPr="009C2ADD">
        <w:rPr>
          <w:rFonts w:ascii="Times New Roman" w:eastAsia="바탕" w:hAnsi="Times New Roman" w:cs="Times New Roman"/>
          <w:bCs/>
          <w:lang w:eastAsia="ko-KR"/>
        </w:rPr>
        <w:t>Pacific blue marlin (</w:t>
      </w:r>
      <w:r w:rsidRPr="00464B7F">
        <w:rPr>
          <w:rFonts w:ascii="Times New Roman" w:eastAsia="바탕" w:hAnsi="Times New Roman" w:cs="Times New Roman"/>
          <w:bCs/>
          <w:i/>
          <w:lang w:eastAsia="ko-KR"/>
        </w:rPr>
        <w:t>Makaira nigricans</w:t>
      </w:r>
      <w:r w:rsidRPr="009C2ADD">
        <w:rPr>
          <w:rFonts w:ascii="Times New Roman" w:eastAsia="바탕" w:hAnsi="Times New Roman" w:cs="Times New Roman"/>
          <w:bCs/>
          <w:lang w:eastAsia="ko-KR"/>
        </w:rPr>
        <w:t>)</w:t>
      </w:r>
    </w:p>
    <w:p w14:paraId="0B9E4F4E" w14:textId="77777777" w:rsidR="0088144A" w:rsidRPr="009C2ADD" w:rsidRDefault="0088144A" w:rsidP="009C2ADD">
      <w:pPr>
        <w:adjustRightInd w:val="0"/>
        <w:snapToGrid w:val="0"/>
        <w:spacing w:after="0"/>
        <w:rPr>
          <w:rFonts w:ascii="Times New Roman" w:eastAsia="바탕" w:hAnsi="Times New Roman"/>
          <w:b/>
          <w:bCs/>
          <w:lang w:eastAsia="ko-KR"/>
        </w:rPr>
      </w:pPr>
    </w:p>
    <w:p w14:paraId="394912E4" w14:textId="12720922" w:rsidR="009E5549" w:rsidRPr="009C2ADD" w:rsidRDefault="009E5549" w:rsidP="009C2ADD">
      <w:pPr>
        <w:adjustRightInd w:val="0"/>
        <w:snapToGrid w:val="0"/>
        <w:spacing w:after="0"/>
        <w:rPr>
          <w:rFonts w:ascii="Times New Roman" w:eastAsia="바탕" w:hAnsi="Times New Roman"/>
          <w:b/>
          <w:bCs/>
          <w:lang w:eastAsia="ko-KR"/>
        </w:rPr>
      </w:pPr>
      <w:r w:rsidRPr="009C2ADD">
        <w:rPr>
          <w:rFonts w:ascii="Times New Roman" w:eastAsia="바탕" w:hAnsi="Times New Roman"/>
          <w:b/>
          <w:bCs/>
          <w:lang w:eastAsia="ko-KR"/>
        </w:rPr>
        <w:t xml:space="preserve">4.4.4.1 </w:t>
      </w:r>
      <w:r w:rsidR="00AE423F" w:rsidRPr="009C2ADD">
        <w:rPr>
          <w:rFonts w:ascii="Times New Roman" w:eastAsia="바탕" w:hAnsi="Times New Roman"/>
          <w:b/>
          <w:bCs/>
          <w:lang w:eastAsia="ko-KR"/>
        </w:rPr>
        <w:tab/>
      </w:r>
      <w:r w:rsidRPr="009C2ADD">
        <w:rPr>
          <w:rFonts w:ascii="Times New Roman" w:eastAsia="바탕" w:hAnsi="Times New Roman"/>
          <w:b/>
          <w:bCs/>
          <w:lang w:eastAsia="ko-KR"/>
        </w:rPr>
        <w:t>Review of research and information</w:t>
      </w:r>
    </w:p>
    <w:p w14:paraId="251D3362" w14:textId="77777777" w:rsidR="009E5549" w:rsidRPr="009C2ADD" w:rsidRDefault="009E5549" w:rsidP="009C2ADD">
      <w:pPr>
        <w:adjustRightInd w:val="0"/>
        <w:snapToGrid w:val="0"/>
        <w:spacing w:after="0"/>
        <w:rPr>
          <w:rFonts w:ascii="Times New Roman" w:eastAsia="바탕" w:hAnsi="Times New Roman"/>
          <w:b/>
          <w:bCs/>
          <w:lang w:eastAsia="ko-KR"/>
        </w:rPr>
      </w:pPr>
    </w:p>
    <w:p w14:paraId="1D192D7B" w14:textId="2E21FE53" w:rsidR="009E5549" w:rsidRPr="009C2ADD" w:rsidRDefault="00734E2C" w:rsidP="009C2ADD">
      <w:pPr>
        <w:pStyle w:val="WCPFC"/>
        <w:adjustRightInd w:val="0"/>
        <w:spacing w:after="0"/>
        <w:ind w:left="0" w:firstLine="0"/>
        <w:rPr>
          <w:lang w:val="en-AU"/>
        </w:rPr>
      </w:pPr>
      <w:r w:rsidRPr="009C2ADD">
        <w:rPr>
          <w:lang w:val="en-AU"/>
        </w:rPr>
        <w:t>The last stock assessment on Pacific blue marlin was conducted by ISC in 2016. No new information was provided to SC13.</w:t>
      </w:r>
    </w:p>
    <w:p w14:paraId="239C730C" w14:textId="77777777" w:rsidR="00AE423F" w:rsidRPr="009C2ADD" w:rsidRDefault="00AE423F" w:rsidP="009C2ADD">
      <w:pPr>
        <w:pStyle w:val="WCPFC"/>
        <w:numPr>
          <w:ilvl w:val="0"/>
          <w:numId w:val="0"/>
        </w:numPr>
        <w:adjustRightInd w:val="0"/>
        <w:spacing w:after="0"/>
        <w:ind w:left="567"/>
        <w:rPr>
          <w:lang w:val="en-AU"/>
        </w:rPr>
      </w:pPr>
    </w:p>
    <w:p w14:paraId="321C6198" w14:textId="43F6493C" w:rsidR="009E5549" w:rsidRPr="009C2ADD" w:rsidRDefault="009E5549" w:rsidP="009C2ADD">
      <w:pPr>
        <w:autoSpaceDE w:val="0"/>
        <w:autoSpaceDN w:val="0"/>
        <w:adjustRightInd w:val="0"/>
        <w:snapToGrid w:val="0"/>
        <w:spacing w:after="0"/>
        <w:rPr>
          <w:rFonts w:ascii="Times New Roman" w:hAnsi="Times New Roman"/>
          <w:b/>
          <w:lang w:val="en-AU"/>
        </w:rPr>
      </w:pPr>
      <w:r w:rsidRPr="009C2ADD">
        <w:rPr>
          <w:rFonts w:ascii="Times New Roman" w:hAnsi="Times New Roman"/>
          <w:b/>
          <w:lang w:val="en-AU"/>
        </w:rPr>
        <w:t xml:space="preserve">4.4.3.2 </w:t>
      </w:r>
      <w:r w:rsidR="00AE423F" w:rsidRPr="009C2ADD">
        <w:rPr>
          <w:rFonts w:ascii="Times New Roman" w:hAnsi="Times New Roman"/>
          <w:b/>
          <w:lang w:val="en-AU"/>
        </w:rPr>
        <w:tab/>
      </w:r>
      <w:r w:rsidRPr="009C2ADD">
        <w:rPr>
          <w:rFonts w:ascii="Times New Roman" w:hAnsi="Times New Roman"/>
          <w:b/>
          <w:lang w:val="en-AU"/>
        </w:rPr>
        <w:t>Provision of scientific information</w:t>
      </w:r>
    </w:p>
    <w:p w14:paraId="65F8DE00" w14:textId="77777777" w:rsidR="00734E2C" w:rsidRPr="009C2ADD" w:rsidRDefault="00734E2C" w:rsidP="009C2ADD">
      <w:pPr>
        <w:adjustRightInd w:val="0"/>
        <w:snapToGrid w:val="0"/>
        <w:spacing w:after="0"/>
        <w:outlineLvl w:val="6"/>
        <w:rPr>
          <w:rFonts w:ascii="Times New Roman" w:eastAsia="Times New Roman" w:hAnsi="Times New Roman"/>
          <w:b/>
          <w:lang w:eastAsia="en-NZ"/>
        </w:rPr>
      </w:pPr>
    </w:p>
    <w:p w14:paraId="17699DAA" w14:textId="46456C36" w:rsidR="00734E2C" w:rsidRPr="009C2ADD" w:rsidRDefault="00734E2C" w:rsidP="00001F31">
      <w:pPr>
        <w:pStyle w:val="ListParagraph"/>
        <w:numPr>
          <w:ilvl w:val="0"/>
          <w:numId w:val="183"/>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Stock status and trends</w:t>
      </w:r>
    </w:p>
    <w:p w14:paraId="49D2394E" w14:textId="77777777" w:rsidR="00734E2C" w:rsidRPr="009C2ADD" w:rsidRDefault="00734E2C" w:rsidP="009C2ADD">
      <w:pPr>
        <w:adjustRightInd w:val="0"/>
        <w:snapToGrid w:val="0"/>
        <w:spacing w:after="0"/>
        <w:outlineLvl w:val="6"/>
        <w:rPr>
          <w:rFonts w:ascii="Times New Roman" w:eastAsia="Times New Roman" w:hAnsi="Times New Roman"/>
          <w:b/>
          <w:lang w:eastAsia="en-NZ"/>
        </w:rPr>
      </w:pPr>
    </w:p>
    <w:p w14:paraId="20ED482B" w14:textId="4BAFBB02"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noted that no stock assessment </w:t>
      </w:r>
      <w:r w:rsidR="00A74DE8">
        <w:rPr>
          <w:rFonts w:ascii="Times New Roman" w:hAnsi="Times New Roman"/>
          <w:b/>
          <w:lang w:val="en-AU"/>
        </w:rPr>
        <w:t>was</w:t>
      </w:r>
      <w:r w:rsidR="00A74DE8" w:rsidRPr="009C2ADD">
        <w:rPr>
          <w:rFonts w:ascii="Times New Roman" w:hAnsi="Times New Roman"/>
          <w:b/>
          <w:lang w:val="en-AU"/>
        </w:rPr>
        <w:t xml:space="preserve"> </w:t>
      </w:r>
      <w:r w:rsidRPr="009C2ADD">
        <w:rPr>
          <w:rFonts w:ascii="Times New Roman" w:hAnsi="Times New Roman"/>
          <w:b/>
          <w:lang w:val="en-AU"/>
        </w:rPr>
        <w:t xml:space="preserve">conducted for </w:t>
      </w:r>
      <w:r w:rsidR="00ED4F21">
        <w:rPr>
          <w:rFonts w:ascii="Times New Roman" w:hAnsi="Times New Roman"/>
          <w:b/>
          <w:lang w:val="en-AU"/>
        </w:rPr>
        <w:t>this</w:t>
      </w:r>
      <w:r w:rsidR="00ED4F21" w:rsidRPr="009C2ADD">
        <w:rPr>
          <w:rFonts w:ascii="Times New Roman" w:hAnsi="Times New Roman"/>
          <w:b/>
          <w:lang w:val="en-AU"/>
        </w:rPr>
        <w:t xml:space="preserve"> </w:t>
      </w:r>
      <w:r w:rsidRPr="009C2ADD">
        <w:rPr>
          <w:rFonts w:ascii="Times New Roman" w:hAnsi="Times New Roman"/>
          <w:b/>
          <w:lang w:val="en-AU"/>
        </w:rPr>
        <w:t>species in 2017. Therefore, the stock status descriptions from SC12 for Pacific blue marlin are still current. Updated information on Pacific blue marlin catches may be available in the ISC Plenary Report, but was not compiled for and reviewed by SC13.</w:t>
      </w:r>
    </w:p>
    <w:p w14:paraId="49F66380" w14:textId="77777777" w:rsidR="00734E2C" w:rsidRPr="009C2ADD" w:rsidRDefault="00734E2C" w:rsidP="009C2ADD">
      <w:pPr>
        <w:adjustRightInd w:val="0"/>
        <w:snapToGrid w:val="0"/>
        <w:spacing w:after="0"/>
        <w:ind w:left="440"/>
        <w:rPr>
          <w:rFonts w:ascii="Times New Roman" w:eastAsia="Times New Roman" w:hAnsi="Times New Roman"/>
          <w:lang w:eastAsia="en-NZ"/>
        </w:rPr>
      </w:pPr>
    </w:p>
    <w:p w14:paraId="0C540317" w14:textId="2370D6A1" w:rsidR="00734E2C" w:rsidRPr="009C2ADD" w:rsidRDefault="00734E2C" w:rsidP="00001F31">
      <w:pPr>
        <w:pStyle w:val="ListParagraph"/>
        <w:numPr>
          <w:ilvl w:val="0"/>
          <w:numId w:val="183"/>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Management advice and implications</w:t>
      </w:r>
    </w:p>
    <w:p w14:paraId="0E0737D0" w14:textId="77777777" w:rsidR="00734E2C" w:rsidRPr="009C2ADD" w:rsidRDefault="00734E2C" w:rsidP="009C2ADD">
      <w:pPr>
        <w:adjustRightInd w:val="0"/>
        <w:snapToGrid w:val="0"/>
        <w:spacing w:after="0"/>
        <w:rPr>
          <w:rFonts w:ascii="Times New Roman" w:eastAsia="Times New Roman" w:hAnsi="Times New Roman"/>
          <w:b/>
          <w:lang w:eastAsia="en-NZ"/>
        </w:rPr>
      </w:pPr>
    </w:p>
    <w:p w14:paraId="45F4F1B7" w14:textId="77777777" w:rsidR="00734E2C" w:rsidRPr="009C2ADD" w:rsidRDefault="00734E2C"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no conservation advice has been provided since SC12 for Pacific blue marlin. Therefore, previous advice should be maintained, pending a new assessment or other new information.</w:t>
      </w:r>
    </w:p>
    <w:p w14:paraId="60E9DA70" w14:textId="77777777" w:rsidR="00734E2C" w:rsidRPr="009C2ADD" w:rsidRDefault="00734E2C" w:rsidP="009C2ADD">
      <w:pPr>
        <w:adjustRightInd w:val="0"/>
        <w:snapToGrid w:val="0"/>
        <w:spacing w:after="0"/>
        <w:ind w:left="720"/>
        <w:rPr>
          <w:rFonts w:ascii="Times New Roman" w:eastAsia="Times New Roman" w:hAnsi="Times New Roman"/>
          <w:lang w:eastAsia="ko-KR"/>
        </w:rPr>
      </w:pPr>
    </w:p>
    <w:p w14:paraId="066DD62E" w14:textId="77777777" w:rsidR="00734E2C" w:rsidRPr="009C2ADD" w:rsidRDefault="00734E2C" w:rsidP="009C2ADD">
      <w:pPr>
        <w:adjustRightInd w:val="0"/>
        <w:snapToGrid w:val="0"/>
        <w:spacing w:after="0"/>
        <w:rPr>
          <w:rFonts w:ascii="Times New Roman" w:eastAsia="MS Mincho" w:hAnsi="Times New Roman"/>
          <w:lang w:eastAsia="ko-KR"/>
        </w:rPr>
      </w:pPr>
    </w:p>
    <w:p w14:paraId="1EB3A408" w14:textId="77777777" w:rsidR="005307C0" w:rsidRPr="009C2ADD" w:rsidRDefault="005307C0" w:rsidP="009C2ADD">
      <w:pPr>
        <w:pStyle w:val="Heading1"/>
        <w:adjustRightInd w:val="0"/>
        <w:snapToGrid w:val="0"/>
        <w:rPr>
          <w:rFonts w:ascii="Times New Roman" w:hAnsi="Times New Roman"/>
          <w:sz w:val="22"/>
          <w:szCs w:val="22"/>
        </w:rPr>
      </w:pPr>
      <w:bookmarkStart w:id="125" w:name="_Toc491850306"/>
      <w:bookmarkStart w:id="126" w:name="_Toc491851824"/>
      <w:r w:rsidRPr="009C2ADD">
        <w:rPr>
          <w:rFonts w:ascii="Times New Roman" w:hAnsi="Times New Roman"/>
          <w:sz w:val="22"/>
          <w:szCs w:val="22"/>
        </w:rPr>
        <w:t>AGENDA ITEM 5 - Management Issues Theme</w:t>
      </w:r>
      <w:bookmarkEnd w:id="125"/>
      <w:bookmarkEnd w:id="126"/>
    </w:p>
    <w:p w14:paraId="6CA899ED" w14:textId="77777777" w:rsidR="008B1463" w:rsidRPr="009C2ADD" w:rsidRDefault="008B1463" w:rsidP="009C2ADD">
      <w:pPr>
        <w:adjustRightInd w:val="0"/>
        <w:snapToGrid w:val="0"/>
        <w:spacing w:after="0"/>
        <w:jc w:val="center"/>
        <w:rPr>
          <w:rFonts w:ascii="Times New Roman" w:hAnsi="Times New Roman"/>
          <w:lang w:val="en-AU"/>
        </w:rPr>
      </w:pPr>
    </w:p>
    <w:p w14:paraId="5A644D46" w14:textId="77777777" w:rsidR="00AE423F" w:rsidRPr="009C2ADD" w:rsidRDefault="00AE423F" w:rsidP="009C2ADD">
      <w:pPr>
        <w:adjustRightInd w:val="0"/>
        <w:snapToGrid w:val="0"/>
        <w:spacing w:after="0"/>
        <w:jc w:val="center"/>
        <w:rPr>
          <w:rFonts w:ascii="Times New Roman" w:hAnsi="Times New Roman"/>
          <w:lang w:val="en-AU"/>
        </w:rPr>
      </w:pPr>
    </w:p>
    <w:p w14:paraId="1B25FCD4" w14:textId="54F56566" w:rsidR="005307C0" w:rsidRPr="009C2ADD" w:rsidRDefault="0028464D" w:rsidP="009C2ADD">
      <w:pPr>
        <w:pStyle w:val="Heading2"/>
        <w:adjustRightInd w:val="0"/>
        <w:snapToGrid w:val="0"/>
        <w:rPr>
          <w:color w:val="auto"/>
          <w:szCs w:val="22"/>
        </w:rPr>
      </w:pPr>
      <w:bookmarkStart w:id="127" w:name="_Toc491851825"/>
      <w:r w:rsidRPr="009C2ADD">
        <w:rPr>
          <w:color w:val="auto"/>
          <w:szCs w:val="22"/>
        </w:rPr>
        <w:t xml:space="preserve">5.1 </w:t>
      </w:r>
      <w:r w:rsidR="00AE423F" w:rsidRPr="009C2ADD">
        <w:rPr>
          <w:color w:val="auto"/>
          <w:szCs w:val="22"/>
        </w:rPr>
        <w:tab/>
      </w:r>
      <w:r w:rsidR="005307C0" w:rsidRPr="009C2ADD">
        <w:rPr>
          <w:color w:val="auto"/>
          <w:szCs w:val="22"/>
        </w:rPr>
        <w:t>Development of harvest strategy framework</w:t>
      </w:r>
      <w:bookmarkEnd w:id="127"/>
    </w:p>
    <w:p w14:paraId="653FD444" w14:textId="77777777" w:rsidR="00AE423F" w:rsidRPr="009C2ADD" w:rsidRDefault="00AE423F" w:rsidP="009C2ADD">
      <w:pPr>
        <w:adjustRightInd w:val="0"/>
        <w:snapToGrid w:val="0"/>
        <w:spacing w:after="0"/>
        <w:rPr>
          <w:rFonts w:ascii="Times New Roman" w:hAnsi="Times New Roman"/>
          <w:lang w:eastAsia="ja-JP"/>
        </w:rPr>
      </w:pPr>
    </w:p>
    <w:p w14:paraId="522D6682" w14:textId="0DB49A8B" w:rsidR="003A411E" w:rsidRPr="009C2ADD" w:rsidRDefault="0088144A" w:rsidP="009C2ADD">
      <w:pPr>
        <w:pStyle w:val="Heading3"/>
        <w:adjustRightInd w:val="0"/>
        <w:snapToGrid w:val="0"/>
        <w:spacing w:before="0"/>
        <w:rPr>
          <w:rFonts w:ascii="Times New Roman" w:hAnsi="Times New Roman" w:cs="Times New Roman"/>
          <w:lang w:val="en-AU"/>
        </w:rPr>
      </w:pPr>
      <w:r w:rsidRPr="009C2ADD">
        <w:rPr>
          <w:rFonts w:ascii="Times New Roman" w:hAnsi="Times New Roman" w:cs="Times New Roman"/>
          <w:lang w:val="en-AU"/>
        </w:rPr>
        <w:t xml:space="preserve">5.1.1 </w:t>
      </w:r>
      <w:r w:rsidR="00AE423F" w:rsidRPr="009C2ADD">
        <w:rPr>
          <w:rFonts w:ascii="Times New Roman" w:hAnsi="Times New Roman" w:cs="Times New Roman"/>
          <w:lang w:val="en-AU"/>
        </w:rPr>
        <w:tab/>
      </w:r>
      <w:r w:rsidRPr="009C2ADD">
        <w:rPr>
          <w:rFonts w:ascii="Times New Roman" w:hAnsi="Times New Roman" w:cs="Times New Roman"/>
          <w:lang w:val="en-AU"/>
        </w:rPr>
        <w:t>Reference points</w:t>
      </w:r>
    </w:p>
    <w:p w14:paraId="57CB4C31" w14:textId="77777777" w:rsidR="0088144A" w:rsidRPr="009C2ADD" w:rsidRDefault="0088144A" w:rsidP="009C2ADD">
      <w:pPr>
        <w:adjustRightInd w:val="0"/>
        <w:snapToGrid w:val="0"/>
        <w:spacing w:after="0"/>
        <w:rPr>
          <w:rFonts w:ascii="Times New Roman" w:hAnsi="Times New Roman"/>
          <w:lang w:val="en-AU"/>
        </w:rPr>
      </w:pPr>
    </w:p>
    <w:p w14:paraId="785CF4BF" w14:textId="37FB0010" w:rsidR="005307C0" w:rsidRPr="009C2ADD" w:rsidRDefault="005307C0" w:rsidP="009C2ADD">
      <w:pPr>
        <w:pStyle w:val="ListParagraph"/>
        <w:numPr>
          <w:ilvl w:val="0"/>
          <w:numId w:val="43"/>
        </w:numPr>
        <w:adjustRightInd w:val="0"/>
        <w:snapToGrid w:val="0"/>
        <w:ind w:left="0" w:firstLine="0"/>
        <w:contextualSpacing w:val="0"/>
        <w:rPr>
          <w:rFonts w:ascii="Times New Roman" w:hAnsi="Times New Roman"/>
          <w:b/>
          <w:lang w:val="en-AU"/>
        </w:rPr>
      </w:pPr>
      <w:r w:rsidRPr="009C2ADD">
        <w:rPr>
          <w:rFonts w:ascii="Times New Roman" w:hAnsi="Times New Roman"/>
          <w:b/>
          <w:lang w:val="en-AU"/>
        </w:rPr>
        <w:t xml:space="preserve">South Pacific albacore </w:t>
      </w:r>
    </w:p>
    <w:p w14:paraId="64998A74" w14:textId="77777777" w:rsidR="00AE423F" w:rsidRPr="009C2ADD" w:rsidRDefault="00AE423F" w:rsidP="009C2ADD">
      <w:pPr>
        <w:pStyle w:val="ListParagraph"/>
        <w:adjustRightInd w:val="0"/>
        <w:snapToGrid w:val="0"/>
        <w:ind w:firstLine="0"/>
        <w:contextualSpacing w:val="0"/>
        <w:rPr>
          <w:rFonts w:ascii="Times New Roman" w:hAnsi="Times New Roman"/>
          <w:b/>
          <w:lang w:val="en-AU"/>
        </w:rPr>
      </w:pPr>
    </w:p>
    <w:p w14:paraId="21263EF2"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Under this agenda item, SC13 had the opportunity to review a report on intersessional progress to develop a TRP for SP albacore. </w:t>
      </w:r>
    </w:p>
    <w:p w14:paraId="43AC2653"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5349919F"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Convenor reminded delegates that ‘</w:t>
      </w:r>
      <w:r w:rsidRPr="009C2ADD">
        <w:rPr>
          <w:rFonts w:ascii="Times New Roman" w:hAnsi="Times New Roman"/>
          <w:i/>
          <w:lang w:val="en-AU"/>
        </w:rPr>
        <w:t>The Commission had directed that further discussion of the TRP should take place over the course of 2017 as part of the ongoing consultative process for the development of a Bridging Measure for the Conservation and Management of the South Pacific Albacore stock, and should include a report on progress by the Convenor of that process to the 13th WCPFC Scientific Committee’</w:t>
      </w:r>
      <w:r w:rsidRPr="009C2ADD">
        <w:rPr>
          <w:rFonts w:ascii="Times New Roman" w:hAnsi="Times New Roman"/>
          <w:lang w:val="en-AU"/>
        </w:rPr>
        <w:t xml:space="preserve"> (WCPFC 13 Summary Report Paragraph 315).</w:t>
      </w:r>
    </w:p>
    <w:p w14:paraId="71617AAD"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48645415" w14:textId="2FA62A8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On behalf of the FFA Secretariat A</w:t>
      </w:r>
      <w:r w:rsidR="00ED4F21">
        <w:rPr>
          <w:rFonts w:ascii="Times New Roman" w:hAnsi="Times New Roman"/>
          <w:lang w:val="en-AU"/>
        </w:rPr>
        <w:t>.</w:t>
      </w:r>
      <w:r w:rsidRPr="009C2ADD">
        <w:rPr>
          <w:rFonts w:ascii="Times New Roman" w:hAnsi="Times New Roman"/>
          <w:lang w:val="en-AU"/>
        </w:rPr>
        <w:t xml:space="preserve"> McDonald presented </w:t>
      </w:r>
      <w:r w:rsidR="007F4EF3" w:rsidRPr="0070772D">
        <w:rPr>
          <w:rFonts w:ascii="Times New Roman" w:hAnsi="Times New Roman"/>
          <w:bCs/>
          <w:lang w:val="en-AU"/>
        </w:rPr>
        <w:t>SC13-</w:t>
      </w:r>
      <w:r w:rsidRPr="0070772D">
        <w:rPr>
          <w:rFonts w:ascii="Times New Roman" w:hAnsi="Times New Roman"/>
          <w:bCs/>
          <w:lang w:val="en-AU"/>
        </w:rPr>
        <w:t>MI-WP-01</w:t>
      </w:r>
      <w:r w:rsidRPr="009C2ADD">
        <w:rPr>
          <w:rFonts w:ascii="Times New Roman" w:hAnsi="Times New Roman"/>
          <w:i/>
          <w:lang w:val="en-AU"/>
        </w:rPr>
        <w:t>: Analysis of potential South Pacific Albacore Trigger Reference Points</w:t>
      </w:r>
      <w:r w:rsidRPr="009C2ADD">
        <w:rPr>
          <w:rFonts w:ascii="Times New Roman" w:hAnsi="Times New Roman"/>
          <w:lang w:val="en-AU"/>
        </w:rPr>
        <w:t>. The presenter noted that WCPFC13 had deferred a decision on a TRP for south Pacific albacore until December 2017 at the latest. The WCPFC Harvest Strategy workplan asked the SC to provide advice on implications of range of Target Reference Points for south Pacific albacore. To inform this advice from SC, the paper presented the results of modelling undertaken by SPC and FFA on the expected changes in catch rates, effort, catch and economic viability in the fishery over a 20 year timeframe for candidate reference points ranging from MSY (14%SB</w:t>
      </w:r>
      <w:r w:rsidRPr="0070772D">
        <w:rPr>
          <w:rFonts w:ascii="Times New Roman" w:hAnsi="Times New Roman"/>
          <w:vertAlign w:val="subscript"/>
          <w:lang w:val="en-AU"/>
        </w:rPr>
        <w:t>F=0</w:t>
      </w:r>
      <w:r w:rsidRPr="009C2ADD">
        <w:rPr>
          <w:rFonts w:ascii="Times New Roman" w:hAnsi="Times New Roman"/>
          <w:lang w:val="en-AU"/>
        </w:rPr>
        <w:t>) to MEY (59%SB</w:t>
      </w:r>
      <w:r w:rsidRPr="0070772D">
        <w:rPr>
          <w:rFonts w:ascii="Times New Roman" w:hAnsi="Times New Roman"/>
          <w:vertAlign w:val="subscript"/>
          <w:lang w:val="en-AU"/>
        </w:rPr>
        <w:t>F=0</w:t>
      </w:r>
      <w:r w:rsidRPr="009C2ADD">
        <w:rPr>
          <w:rFonts w:ascii="Times New Roman" w:hAnsi="Times New Roman"/>
          <w:lang w:val="en-AU"/>
        </w:rPr>
        <w:t xml:space="preserve">). Given the importance of a TRP being a reflection of management objectives, the paper recommended that CCMs describe their objectives for the fishery and using the information in the paper, discuss which TRPs broadly reflect those objectives.  </w:t>
      </w:r>
    </w:p>
    <w:p w14:paraId="47900708" w14:textId="77777777" w:rsidR="00AE423F" w:rsidRDefault="00AE423F" w:rsidP="009C2ADD">
      <w:pPr>
        <w:pStyle w:val="ListParagraph"/>
        <w:adjustRightInd w:val="0"/>
        <w:snapToGrid w:val="0"/>
        <w:contextualSpacing w:val="0"/>
        <w:rPr>
          <w:rFonts w:ascii="Times New Roman" w:hAnsi="Times New Roman"/>
          <w:lang w:val="en-AU"/>
        </w:rPr>
      </w:pPr>
    </w:p>
    <w:p w14:paraId="564173E4" w14:textId="4CD57F89" w:rsidR="00ED4F21" w:rsidRPr="0070772D" w:rsidRDefault="00ED4F21" w:rsidP="009C2ADD">
      <w:pPr>
        <w:pStyle w:val="ListParagraph"/>
        <w:adjustRightInd w:val="0"/>
        <w:snapToGrid w:val="0"/>
        <w:contextualSpacing w:val="0"/>
        <w:rPr>
          <w:rFonts w:ascii="Times New Roman" w:hAnsi="Times New Roman"/>
          <w:b/>
          <w:lang w:val="en-AU"/>
        </w:rPr>
      </w:pPr>
      <w:r w:rsidRPr="0070772D">
        <w:rPr>
          <w:rFonts w:ascii="Times New Roman" w:hAnsi="Times New Roman"/>
          <w:b/>
          <w:lang w:val="en-AU"/>
        </w:rPr>
        <w:t>Discussion</w:t>
      </w:r>
    </w:p>
    <w:p w14:paraId="2807C321" w14:textId="77777777" w:rsidR="00ED4F21" w:rsidRPr="009C2ADD" w:rsidRDefault="00ED4F21" w:rsidP="009C2ADD">
      <w:pPr>
        <w:pStyle w:val="ListParagraph"/>
        <w:adjustRightInd w:val="0"/>
        <w:snapToGrid w:val="0"/>
        <w:contextualSpacing w:val="0"/>
        <w:rPr>
          <w:rFonts w:ascii="Times New Roman" w:hAnsi="Times New Roman"/>
          <w:lang w:val="en-AU"/>
        </w:rPr>
      </w:pPr>
    </w:p>
    <w:p w14:paraId="4BFA82DE" w14:textId="2C24D06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Samoa, on behalf of FFA </w:t>
      </w:r>
      <w:r w:rsidR="00D5432C">
        <w:rPr>
          <w:rFonts w:ascii="Times New Roman" w:hAnsi="Times New Roman"/>
          <w:lang w:val="en-AU"/>
        </w:rPr>
        <w:t>member</w:t>
      </w:r>
      <w:r w:rsidRPr="009C2ADD">
        <w:rPr>
          <w:rFonts w:ascii="Times New Roman" w:hAnsi="Times New Roman"/>
          <w:lang w:val="en-AU"/>
        </w:rPr>
        <w:t>s noted their proposal for the adoption of a Target Reference Point of 45% SB</w:t>
      </w:r>
      <w:r w:rsidRPr="0070772D">
        <w:rPr>
          <w:rFonts w:ascii="Times New Roman" w:hAnsi="Times New Roman"/>
          <w:vertAlign w:val="subscript"/>
          <w:lang w:val="en-AU"/>
        </w:rPr>
        <w:t>F=0</w:t>
      </w:r>
      <w:r w:rsidRPr="009C2ADD">
        <w:rPr>
          <w:rFonts w:ascii="Times New Roman" w:hAnsi="Times New Roman"/>
          <w:lang w:val="en-AU"/>
        </w:rPr>
        <w:t xml:space="preserve"> for south Pacific albacore at the past two annual meetings of the Commission. They believed this represented a bioeconomically-based TRP that would avoid breaching the LRP with a very low degree of risk, and expect it would return the catch rates to a level that was profitable for Pacific Island domestic fleets. This TRP had been adopted as an interim TRP by the 11 CCMs that are Participants to the Tokelau Arrangement, a group that has committed to the effective control and management of the south Pacific albacore fishery. A TRP of 45% SB</w:t>
      </w:r>
      <w:r w:rsidRPr="0070772D">
        <w:rPr>
          <w:rFonts w:ascii="Times New Roman" w:hAnsi="Times New Roman"/>
          <w:vertAlign w:val="subscript"/>
          <w:lang w:val="en-AU"/>
        </w:rPr>
        <w:t>F=0</w:t>
      </w:r>
      <w:r w:rsidRPr="009C2ADD">
        <w:rPr>
          <w:rFonts w:ascii="Times New Roman" w:hAnsi="Times New Roman"/>
          <w:lang w:val="en-AU"/>
        </w:rPr>
        <w:t xml:space="preserve"> for south Pacifi</w:t>
      </w:r>
      <w:r w:rsidR="007F4EF3" w:rsidRPr="009C2ADD">
        <w:rPr>
          <w:rFonts w:ascii="Times New Roman" w:hAnsi="Times New Roman"/>
          <w:lang w:val="en-AU"/>
        </w:rPr>
        <w:t xml:space="preserve">c albacore was consistent with </w:t>
      </w:r>
      <w:r w:rsidRPr="009C2ADD">
        <w:rPr>
          <w:rFonts w:ascii="Times New Roman" w:hAnsi="Times New Roman"/>
          <w:lang w:val="en-AU"/>
        </w:rPr>
        <w:t xml:space="preserve">our objectives for this fishery. However, they noted that while all CCMs agreed on the objective of a biologically healthy stock, </w:t>
      </w:r>
      <w:r w:rsidR="00D5432C">
        <w:rPr>
          <w:rFonts w:ascii="Times New Roman" w:hAnsi="Times New Roman"/>
          <w:lang w:val="en-AU"/>
        </w:rPr>
        <w:t>member</w:t>
      </w:r>
      <w:r w:rsidR="00D5432C">
        <w:rPr>
          <w:rFonts w:ascii="Times New Roman" w:hAnsi="Times New Roman"/>
          <w:lang w:val="en-AU" w:eastAsia="ko-KR"/>
        </w:rPr>
        <w:t>’</w:t>
      </w:r>
      <w:r w:rsidRPr="009C2ADD">
        <w:rPr>
          <w:rFonts w:ascii="Times New Roman" w:hAnsi="Times New Roman"/>
          <w:lang w:val="en-AU"/>
        </w:rPr>
        <w:t xml:space="preserve">s economic objectives varied and FFA </w:t>
      </w:r>
      <w:r w:rsidR="00D5432C">
        <w:rPr>
          <w:rFonts w:ascii="Times New Roman" w:hAnsi="Times New Roman"/>
          <w:lang w:val="en-AU"/>
        </w:rPr>
        <w:t>member</w:t>
      </w:r>
      <w:r w:rsidRPr="009C2ADD">
        <w:rPr>
          <w:rFonts w:ascii="Times New Roman" w:hAnsi="Times New Roman"/>
          <w:lang w:val="en-AU"/>
        </w:rPr>
        <w:t xml:space="preserve">s therefore accepted that some compromise on the TRP might be necessary to achieve acceptance and adoption of a TRP by all CCMs at WCPFC14. The lack of adoption of a TRP for this stock was preventing progress on the development of a harvest strategy, and was allowing the fishery to further decline both biologically and economically. FFA </w:t>
      </w:r>
      <w:r w:rsidR="00D5432C">
        <w:rPr>
          <w:rFonts w:ascii="Times New Roman" w:hAnsi="Times New Roman"/>
          <w:lang w:val="en-AU"/>
        </w:rPr>
        <w:t>member</w:t>
      </w:r>
      <w:r w:rsidRPr="009C2ADD">
        <w:rPr>
          <w:rFonts w:ascii="Times New Roman" w:hAnsi="Times New Roman"/>
          <w:lang w:val="en-AU"/>
        </w:rPr>
        <w:t xml:space="preserve">s looked forward to genuine engagement by all interested CCMs, so the SC can provide clear advice on the TRP options presented for the South Pacific albacore. </w:t>
      </w:r>
    </w:p>
    <w:p w14:paraId="4568B3BF"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647B654C" w14:textId="1B5B960D"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queried the </w:t>
      </w:r>
      <w:r w:rsidR="00081AEE">
        <w:rPr>
          <w:rFonts w:ascii="Times New Roman" w:hAnsi="Times New Roman" w:hint="eastAsia"/>
          <w:lang w:val="en-AU" w:eastAsia="ko-KR"/>
        </w:rPr>
        <w:t xml:space="preserve">level of </w:t>
      </w:r>
      <w:r w:rsidRPr="009C2ADD">
        <w:rPr>
          <w:rFonts w:ascii="Times New Roman" w:hAnsi="Times New Roman"/>
          <w:lang w:val="en-AU"/>
        </w:rPr>
        <w:t xml:space="preserve">confidence in the 20 year deterministic projections on economic and biological parameters. The presenter noted that it reflected the best science available to estimate future expected consequences, and SPC clarified that it was recognised that there are uncertainties in such stochastic projections of future equilibrium </w:t>
      </w:r>
      <w:proofErr w:type="gramStart"/>
      <w:r w:rsidRPr="009C2ADD">
        <w:rPr>
          <w:rFonts w:ascii="Times New Roman" w:hAnsi="Times New Roman"/>
          <w:lang w:val="en-AU"/>
        </w:rPr>
        <w:t>states,</w:t>
      </w:r>
      <w:proofErr w:type="gramEnd"/>
      <w:r w:rsidRPr="009C2ADD">
        <w:rPr>
          <w:rFonts w:ascii="Times New Roman" w:hAnsi="Times New Roman"/>
          <w:lang w:val="en-AU"/>
        </w:rPr>
        <w:t xml:space="preserve"> the modelling is most likely to result in an underestimate of future consequences for the stock rather than an overestimate. </w:t>
      </w:r>
    </w:p>
    <w:p w14:paraId="78475073"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6CEA0EF7" w14:textId="3505C54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US suggested that the cost per hook estimates of $0.90 to $1.30 were higher than their estimates for costs in the American Samoa fleet of around $0.70 per hook. The presenter and FFA economist clarified that these cost estimates </w:t>
      </w:r>
      <w:r w:rsidR="00081AEE">
        <w:rPr>
          <w:rFonts w:ascii="Times New Roman" w:hAnsi="Times New Roman"/>
          <w:lang w:val="en-AU"/>
        </w:rPr>
        <w:t xml:space="preserve">used within the analysis </w:t>
      </w:r>
      <w:r w:rsidRPr="009C2ADD">
        <w:rPr>
          <w:rFonts w:ascii="Times New Roman" w:hAnsi="Times New Roman"/>
          <w:lang w:val="en-AU"/>
        </w:rPr>
        <w:t xml:space="preserve">incorporated data on all operating and capital costs that were available at the time of the analysis. Any additional economic information on costs in the longline fishery, including the American Samoa fleet </w:t>
      </w:r>
      <w:r w:rsidR="00444E27" w:rsidRPr="009C2ADD">
        <w:rPr>
          <w:rFonts w:ascii="Times New Roman" w:hAnsi="Times New Roman"/>
          <w:lang w:val="en-AU"/>
        </w:rPr>
        <w:t>was</w:t>
      </w:r>
      <w:r w:rsidRPr="009C2ADD">
        <w:rPr>
          <w:rFonts w:ascii="Times New Roman" w:hAnsi="Times New Roman"/>
          <w:lang w:val="en-AU"/>
        </w:rPr>
        <w:t xml:space="preserve"> welcome to inform future economic analyses such as these. </w:t>
      </w:r>
    </w:p>
    <w:p w14:paraId="3465D751"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6A4D0B52"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asked for more detail on the costs included in the economic model. The FFA Secretariat clarified that costs include all operating and fixed capital costs, as well as a reasonable rate of return for the vessels to justify being in the fishery. </w:t>
      </w:r>
    </w:p>
    <w:p w14:paraId="62CBF882"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28B830B7" w14:textId="1DDCD3C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noted that the TRP proposed by FFA was based on the fishery status in 2008, but suggested that given the dynamic nature of a fishery that the exact biological and economic consequences of a TRP of 45% SB</w:t>
      </w:r>
      <w:r w:rsidRPr="0070772D">
        <w:rPr>
          <w:rFonts w:ascii="Times New Roman" w:hAnsi="Times New Roman"/>
          <w:vertAlign w:val="subscript"/>
          <w:lang w:val="en-AU"/>
        </w:rPr>
        <w:t>F=0</w:t>
      </w:r>
      <w:r w:rsidRPr="009C2ADD">
        <w:rPr>
          <w:rFonts w:ascii="Times New Roman" w:hAnsi="Times New Roman"/>
          <w:lang w:val="en-AU"/>
        </w:rPr>
        <w:t xml:space="preserve"> may change over the 20 year time period modelled. The presenter clarified that the consequences were estimated as change from 2013 levels, the last year of the stock assessment, and noted that the consequences of a TRP will differ depending on the timeframe over which they are achieved, and the management action taken to achieve them. These projections assumed an equilibrium state after a 20 year period for the indicative estimates. It was also recognised that a fishery is not a static system, so the actual consequences of a TRP may end up differing from those estimated by the model. The TRP is used as a reference not a rule, and in a dynamic system monitor</w:t>
      </w:r>
      <w:r w:rsidR="00081AEE">
        <w:rPr>
          <w:rFonts w:ascii="Times New Roman" w:hAnsi="Times New Roman" w:hint="eastAsia"/>
          <w:lang w:val="en-AU" w:eastAsia="ko-KR"/>
        </w:rPr>
        <w:t xml:space="preserve">ing </w:t>
      </w:r>
      <w:r w:rsidR="00081AEE">
        <w:rPr>
          <w:rFonts w:ascii="Times New Roman" w:hAnsi="Times New Roman"/>
          <w:lang w:val="en-AU"/>
        </w:rPr>
        <w:t>would indicate</w:t>
      </w:r>
      <w:r w:rsidRPr="009C2ADD">
        <w:rPr>
          <w:rFonts w:ascii="Times New Roman" w:hAnsi="Times New Roman"/>
          <w:lang w:val="en-AU"/>
        </w:rPr>
        <w:t xml:space="preserve"> whether the objectives of the fishery, and the TRP, are being achieved over time and management </w:t>
      </w:r>
      <w:r w:rsidR="00081AEE">
        <w:rPr>
          <w:rFonts w:ascii="Times New Roman" w:hAnsi="Times New Roman" w:hint="eastAsia"/>
          <w:lang w:val="en-AU" w:eastAsia="ko-KR"/>
        </w:rPr>
        <w:t>be</w:t>
      </w:r>
      <w:r w:rsidR="00081AEE" w:rsidRPr="009C2ADD">
        <w:rPr>
          <w:rFonts w:ascii="Times New Roman" w:hAnsi="Times New Roman"/>
          <w:lang w:val="en-AU"/>
        </w:rPr>
        <w:t xml:space="preserve"> </w:t>
      </w:r>
      <w:r w:rsidRPr="009C2ADD">
        <w:rPr>
          <w:rFonts w:ascii="Times New Roman" w:hAnsi="Times New Roman"/>
          <w:lang w:val="en-AU"/>
        </w:rPr>
        <w:t xml:space="preserve">amended accordingly. </w:t>
      </w:r>
    </w:p>
    <w:p w14:paraId="72C3D5AE"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3D31B3D9"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expressed concern with the potential of the model predictions to fail and the estimated consequences in 20 years time being incorrect. SPC advised that retrospective forecasting on bigeye showed that there is reasonable confidence in the model results. China further queried the lack of feedback in the model to capture stock dynamics and biological and economic changes in the future fishery. The presenter responded that the projections reflect the average estimated future consequences but it was recognised that reality may end up being different. Target reference points reflect the objectives for the fishery but they are only one element of the harvest strategy approach. Other necessary elements, in particular performance indicators and monitoring strategies, monitor performance on a regular basis to ensure that management is adapted to achieve those objectives over time if reality differs from the projections. Noting that the TRP will be </w:t>
      </w:r>
      <w:proofErr w:type="gramStart"/>
      <w:r w:rsidRPr="009C2ADD">
        <w:rPr>
          <w:rFonts w:ascii="Times New Roman" w:hAnsi="Times New Roman"/>
          <w:lang w:val="en-AU"/>
        </w:rPr>
        <w:t>interim, that</w:t>
      </w:r>
      <w:proofErr w:type="gramEnd"/>
      <w:r w:rsidRPr="009C2ADD">
        <w:rPr>
          <w:rFonts w:ascii="Times New Roman" w:hAnsi="Times New Roman"/>
          <w:lang w:val="en-AU"/>
        </w:rPr>
        <w:t xml:space="preserve"> can also be changed over time in response to changing management objectives. </w:t>
      </w:r>
    </w:p>
    <w:p w14:paraId="604376C1"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36CD5DBB"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that FFA refine the economic information presented to WCPFC14 to include future projections of the economic conditions index to assist CCMs to get a better understanding of the economic implications of the different TRPs proposed. </w:t>
      </w:r>
    </w:p>
    <w:p w14:paraId="1E54C3E7"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7F9196DC" w14:textId="637C200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stated that the economic feasibility of </w:t>
      </w:r>
      <w:r w:rsidR="00FA646B">
        <w:rPr>
          <w:rFonts w:ascii="Times New Roman" w:hAnsi="Times New Roman"/>
          <w:lang w:val="en-AU"/>
        </w:rPr>
        <w:t>a</w:t>
      </w:r>
      <w:r w:rsidR="00FA646B" w:rsidRPr="009C2ADD">
        <w:rPr>
          <w:rFonts w:ascii="Times New Roman" w:hAnsi="Times New Roman"/>
          <w:lang w:val="en-AU"/>
        </w:rPr>
        <w:t xml:space="preserve">lbacore </w:t>
      </w:r>
      <w:r w:rsidRPr="009C2ADD">
        <w:rPr>
          <w:rFonts w:ascii="Times New Roman" w:hAnsi="Times New Roman"/>
          <w:lang w:val="en-AU"/>
        </w:rPr>
        <w:t xml:space="preserve">fisheries is very important to them and that this feasibility is influenced by the future price of </w:t>
      </w:r>
      <w:r w:rsidR="00FA646B">
        <w:rPr>
          <w:rFonts w:ascii="Times New Roman" w:hAnsi="Times New Roman"/>
          <w:lang w:val="en-AU"/>
        </w:rPr>
        <w:t>a</w:t>
      </w:r>
      <w:r w:rsidR="00FA646B" w:rsidRPr="009C2ADD">
        <w:rPr>
          <w:rFonts w:ascii="Times New Roman" w:hAnsi="Times New Roman"/>
          <w:lang w:val="en-AU"/>
        </w:rPr>
        <w:t xml:space="preserve">lbacore </w:t>
      </w:r>
      <w:r w:rsidRPr="009C2ADD">
        <w:rPr>
          <w:rFonts w:ascii="Times New Roman" w:hAnsi="Times New Roman"/>
          <w:lang w:val="en-AU"/>
        </w:rPr>
        <w:t xml:space="preserve">which is beyond the control of the SC. They also noted that the prices of the Chinese fleet may differ from the prices analysed in the paper. The presenter clarified that the economic analysis included all information available for fleets fishing for </w:t>
      </w:r>
      <w:r w:rsidR="00FA646B">
        <w:rPr>
          <w:rFonts w:ascii="Times New Roman" w:hAnsi="Times New Roman"/>
          <w:lang w:val="en-AU"/>
        </w:rPr>
        <w:t>a</w:t>
      </w:r>
      <w:r w:rsidR="00FA646B" w:rsidRPr="009C2ADD">
        <w:rPr>
          <w:rFonts w:ascii="Times New Roman" w:hAnsi="Times New Roman"/>
          <w:lang w:val="en-AU"/>
        </w:rPr>
        <w:t xml:space="preserve">lbacore </w:t>
      </w:r>
      <w:r w:rsidRPr="009C2ADD">
        <w:rPr>
          <w:rFonts w:ascii="Times New Roman" w:hAnsi="Times New Roman"/>
          <w:lang w:val="en-AU"/>
        </w:rPr>
        <w:t xml:space="preserve">in the WCPO, including vessels fishing in both EEZs and the high seas, and reiterated that any additional information on the costs of different fleets would be welcome to inform this and other future economic analyses. </w:t>
      </w:r>
    </w:p>
    <w:p w14:paraId="666B731B"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0F558484"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French Polynesia expressed their support for the FFA statement and their proposed TRP, noting it was consistent with their objectives for a precautionary TRP for the south Pacific albacore fishery. They asked that the SC made a strong recommendation to the Commission to adopt a precautionary TRP for this fishery this year. </w:t>
      </w:r>
    </w:p>
    <w:p w14:paraId="01AFDE42"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5EC9628A"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New Caledonia expressed their concern with the sustainability of the south Pacific albacore fishery and supported the statement of French Polynesia and the FFA proposal. </w:t>
      </w:r>
    </w:p>
    <w:p w14:paraId="1ABAE5AB"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6ED636E0"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asked for further clarification on how the FFA proposed TRP related to the LRP. The presenter clarified that the FFA proposed TRP was 45% SB</w:t>
      </w:r>
      <w:r w:rsidRPr="0070772D">
        <w:rPr>
          <w:rFonts w:ascii="Times New Roman" w:hAnsi="Times New Roman"/>
          <w:vertAlign w:val="subscript"/>
          <w:lang w:val="en-AU"/>
        </w:rPr>
        <w:t>F=0</w:t>
      </w:r>
      <w:r w:rsidRPr="009C2ADD">
        <w:rPr>
          <w:rFonts w:ascii="Times New Roman" w:hAnsi="Times New Roman"/>
          <w:lang w:val="en-AU"/>
        </w:rPr>
        <w:t>, which has a very low probability of breaching the agree LRP of 20% SB</w:t>
      </w:r>
      <w:r w:rsidRPr="0070772D">
        <w:rPr>
          <w:rFonts w:ascii="Times New Roman" w:hAnsi="Times New Roman"/>
          <w:vertAlign w:val="subscript"/>
          <w:lang w:val="en-AU"/>
        </w:rPr>
        <w:t>F=0</w:t>
      </w:r>
      <w:r w:rsidRPr="009C2ADD">
        <w:rPr>
          <w:rFonts w:ascii="Times New Roman" w:hAnsi="Times New Roman"/>
          <w:lang w:val="en-AU"/>
        </w:rPr>
        <w:t xml:space="preserve">, as agreed by the Commission for the four key tuna species. </w:t>
      </w:r>
    </w:p>
    <w:p w14:paraId="7D419B74"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2B041B0C" w14:textId="16CE2E6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information related to the implications of a range of candidate target reference points for south Pacific albacore (SC13-MI-WP-01) and provided a number of suggestions to clarify aspects of the paper before a revised version is forwarded to WCPFC14. Noting that WCPFC13 agreed to defer the possible adoption of an interim target reference point for the South Pacific albacore stock, which had originally been agreed to take place in 2015 under the Harvest Strategy Work Plan, until December 2017 at the latest (para. 314 WCPFC13 Summary Report), SC13 encourages CCMs to describe their objectives for the fishery and recommends that WCPFC14 note the biological and economic consequences of the options modelled in this paper. In particular, SC13 draws the attention of WCPFC14 to the Limit Reference Point (LRP) already adopted by the Commission for south Pacific albacore and the need to identify a TRP which maintains the stock well above this limit, while noting that following the last assessment (SC11-SA-WP-06) the LRP is above SB</w:t>
      </w:r>
      <w:r w:rsidR="00887159" w:rsidRPr="00104C78">
        <w:rPr>
          <w:rFonts w:ascii="Times New Roman" w:hAnsi="Times New Roman" w:hint="eastAsia"/>
          <w:b/>
          <w:vertAlign w:val="subscript"/>
          <w:lang w:val="en-AU" w:eastAsia="ko-KR"/>
        </w:rPr>
        <w:t>MSY</w:t>
      </w:r>
      <w:r w:rsidRPr="009C2ADD">
        <w:rPr>
          <w:rFonts w:ascii="Times New Roman" w:hAnsi="Times New Roman"/>
          <w:b/>
          <w:lang w:val="en-AU"/>
        </w:rPr>
        <w:t>.</w:t>
      </w:r>
    </w:p>
    <w:p w14:paraId="0CC9C498" w14:textId="77777777" w:rsidR="003A411E" w:rsidRPr="009C2ADD" w:rsidRDefault="003A411E" w:rsidP="009C2ADD">
      <w:pPr>
        <w:autoSpaceDE w:val="0"/>
        <w:autoSpaceDN w:val="0"/>
        <w:adjustRightInd w:val="0"/>
        <w:snapToGrid w:val="0"/>
        <w:spacing w:after="0"/>
        <w:rPr>
          <w:rFonts w:ascii="Times New Roman" w:hAnsi="Times New Roman"/>
          <w:b/>
          <w:lang w:val="en-AU"/>
        </w:rPr>
      </w:pPr>
    </w:p>
    <w:p w14:paraId="00025BD4" w14:textId="58F5B9E2" w:rsidR="005307C0" w:rsidRPr="009C2ADD" w:rsidRDefault="0088144A" w:rsidP="009C2ADD">
      <w:pPr>
        <w:pStyle w:val="Heading3"/>
        <w:adjustRightInd w:val="0"/>
        <w:snapToGrid w:val="0"/>
        <w:spacing w:before="0"/>
        <w:rPr>
          <w:rFonts w:ascii="Times New Roman" w:hAnsi="Times New Roman" w:cs="Times New Roman"/>
          <w:lang w:val="en-AU"/>
        </w:rPr>
      </w:pPr>
      <w:r w:rsidRPr="009C2ADD">
        <w:rPr>
          <w:rFonts w:ascii="Times New Roman" w:hAnsi="Times New Roman" w:cs="Times New Roman"/>
          <w:lang w:val="en-AU"/>
        </w:rPr>
        <w:t xml:space="preserve">5.1.2 </w:t>
      </w:r>
      <w:r w:rsidR="00AE423F" w:rsidRPr="009C2ADD">
        <w:rPr>
          <w:rFonts w:ascii="Times New Roman" w:hAnsi="Times New Roman" w:cs="Times New Roman"/>
          <w:lang w:val="en-AU"/>
        </w:rPr>
        <w:tab/>
      </w:r>
      <w:r w:rsidRPr="009C2ADD">
        <w:rPr>
          <w:rFonts w:ascii="Times New Roman" w:hAnsi="Times New Roman" w:cs="Times New Roman"/>
          <w:lang w:val="en-AU"/>
        </w:rPr>
        <w:t>Performance indicators and monitoring strategies</w:t>
      </w:r>
    </w:p>
    <w:p w14:paraId="0BC60273" w14:textId="77777777" w:rsidR="0088144A" w:rsidRPr="009C2ADD" w:rsidRDefault="0088144A" w:rsidP="009C2ADD">
      <w:pPr>
        <w:adjustRightInd w:val="0"/>
        <w:snapToGrid w:val="0"/>
        <w:spacing w:after="0"/>
        <w:rPr>
          <w:rFonts w:ascii="Times New Roman" w:hAnsi="Times New Roman"/>
          <w:lang w:val="en-AU"/>
        </w:rPr>
      </w:pPr>
    </w:p>
    <w:p w14:paraId="75897F9F" w14:textId="45AE70AF"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Convenor noted that the Harvest Strateg</w:t>
      </w:r>
      <w:r w:rsidR="00074E36">
        <w:rPr>
          <w:rFonts w:ascii="Times New Roman" w:hAnsi="Times New Roman"/>
          <w:lang w:val="en-AU"/>
        </w:rPr>
        <w:t>y</w:t>
      </w:r>
      <w:r w:rsidRPr="009C2ADD">
        <w:rPr>
          <w:rFonts w:ascii="Times New Roman" w:hAnsi="Times New Roman"/>
          <w:lang w:val="en-AU"/>
        </w:rPr>
        <w:t xml:space="preserve"> Workplan (Attachment N, WCPFC13 Summary Report), requested that SC13 provide advice on a range of performance indicators to evaluate performance of harvest control rules for bigeye and yellowfin tuna fisheries. The Small Working Group on Management Objectives at WCPFC13 also requested that SC13 provide advice on refined candidate performance indicators for south Pacific albacore fisheries.</w:t>
      </w:r>
    </w:p>
    <w:p w14:paraId="65E8FFF8"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36F1EC07"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Following discussions in the SWG on management objectives at WCPFC13, and commensurate with the candidate performance indicators for the relevant fisheries, SC13 was specifically requested to provide advice on the corresponding monitoring strategy to assess performance of harvest strategies.</w:t>
      </w:r>
    </w:p>
    <w:p w14:paraId="37509353"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79F89424" w14:textId="5ED57C2F"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w:t>
      </w:r>
      <w:r w:rsidR="007E066D">
        <w:rPr>
          <w:rFonts w:ascii="Times New Roman" w:hAnsi="Times New Roman" w:hint="eastAsia"/>
          <w:lang w:val="en-AU" w:eastAsia="ko-KR"/>
        </w:rPr>
        <w:t>.</w:t>
      </w:r>
      <w:r w:rsidRPr="009C2ADD">
        <w:rPr>
          <w:rFonts w:ascii="Times New Roman" w:hAnsi="Times New Roman"/>
          <w:lang w:val="en-AU"/>
        </w:rPr>
        <w:t xml:space="preserve"> Scott (SPC) presented </w:t>
      </w:r>
      <w:r w:rsidRPr="00FB437A">
        <w:rPr>
          <w:rFonts w:ascii="Times New Roman" w:hAnsi="Times New Roman"/>
          <w:bCs/>
          <w:lang w:val="en-AU"/>
        </w:rPr>
        <w:t>SC13-MI-WP-02</w:t>
      </w:r>
      <w:r w:rsidRPr="009C2ADD">
        <w:rPr>
          <w:rFonts w:ascii="Times New Roman" w:hAnsi="Times New Roman"/>
          <w:lang w:val="en-AU"/>
        </w:rPr>
        <w:t xml:space="preserve"> </w:t>
      </w:r>
      <w:r w:rsidRPr="009C2ADD">
        <w:rPr>
          <w:rFonts w:ascii="Times New Roman" w:hAnsi="Times New Roman"/>
          <w:i/>
          <w:lang w:val="en-AU"/>
        </w:rPr>
        <w:t xml:space="preserve">Performance indicators and monitoring strategies for South Pacific </w:t>
      </w:r>
      <w:r w:rsidR="00074E36">
        <w:rPr>
          <w:rFonts w:ascii="Times New Roman" w:hAnsi="Times New Roman"/>
          <w:i/>
          <w:lang w:val="en-AU"/>
        </w:rPr>
        <w:t>a</w:t>
      </w:r>
      <w:r w:rsidRPr="009C2ADD">
        <w:rPr>
          <w:rFonts w:ascii="Times New Roman" w:hAnsi="Times New Roman"/>
          <w:i/>
          <w:lang w:val="en-AU"/>
        </w:rPr>
        <w:t>lbacore compatible with candidate management objectives for the Southern Longline Fishery</w:t>
      </w:r>
      <w:r w:rsidR="008048B6" w:rsidRPr="009C2ADD">
        <w:rPr>
          <w:rFonts w:ascii="Times New Roman" w:hAnsi="Times New Roman"/>
          <w:lang w:val="en-AU"/>
        </w:rPr>
        <w:t>.</w:t>
      </w:r>
      <w:r w:rsidRPr="009C2ADD">
        <w:rPr>
          <w:rFonts w:ascii="Times New Roman" w:hAnsi="Times New Roman"/>
          <w:lang w:val="en-AU"/>
        </w:rPr>
        <w:t xml:space="preserve"> In accordance with the timetable for the development of a harvest strategy approach for WCPFC stocks and fisheries, SC12 provided advice to the Commission in 2016 on candidate performance indicators and monitoring strategies for the tropical purse seine fishery and the southern longline fishery. During that Commission meeting the proposals for the tropical purse seine fishery were further considered by an informal WCPFC13 small working group to produce a refined list of prioritised indicators for the various biological, economic, social and ecosystem objectives for that fishery. The small working group suggested that the WCPFC Science Services Provider undertake a similar process for the southern longline fishery, for consideration by SC13. In this respect, SC13-MI-WP-02 presented a similar prioritisation of the list of management objectives and associated performance indicators for the southern longline fishery. This list was constructed to be as close as possible to that produced for the tropical purse seine fishery.</w:t>
      </w:r>
    </w:p>
    <w:p w14:paraId="2930B7D0" w14:textId="77777777" w:rsidR="00AE423F" w:rsidRDefault="00AE423F" w:rsidP="009C2ADD">
      <w:pPr>
        <w:autoSpaceDE w:val="0"/>
        <w:autoSpaceDN w:val="0"/>
        <w:adjustRightInd w:val="0"/>
        <w:snapToGrid w:val="0"/>
        <w:spacing w:after="0"/>
        <w:rPr>
          <w:rFonts w:ascii="Times New Roman" w:hAnsi="Times New Roman"/>
          <w:lang w:val="en-AU"/>
        </w:rPr>
      </w:pPr>
    </w:p>
    <w:p w14:paraId="46CCF47A" w14:textId="06F3EAC7" w:rsidR="008540A8" w:rsidRPr="0070772D" w:rsidRDefault="008540A8" w:rsidP="009C2ADD">
      <w:pPr>
        <w:autoSpaceDE w:val="0"/>
        <w:autoSpaceDN w:val="0"/>
        <w:adjustRightInd w:val="0"/>
        <w:snapToGrid w:val="0"/>
        <w:spacing w:after="0"/>
        <w:rPr>
          <w:rFonts w:ascii="Times New Roman" w:hAnsi="Times New Roman"/>
          <w:b/>
          <w:lang w:val="en-AU"/>
        </w:rPr>
      </w:pPr>
      <w:r w:rsidRPr="0070772D">
        <w:rPr>
          <w:rFonts w:ascii="Times New Roman" w:hAnsi="Times New Roman"/>
          <w:b/>
          <w:lang w:val="en-AU"/>
        </w:rPr>
        <w:t>Discussion</w:t>
      </w:r>
    </w:p>
    <w:p w14:paraId="3FCBC290" w14:textId="77777777" w:rsidR="008540A8" w:rsidRPr="009C2ADD" w:rsidRDefault="008540A8" w:rsidP="009C2ADD">
      <w:pPr>
        <w:autoSpaceDE w:val="0"/>
        <w:autoSpaceDN w:val="0"/>
        <w:adjustRightInd w:val="0"/>
        <w:snapToGrid w:val="0"/>
        <w:spacing w:after="0"/>
        <w:rPr>
          <w:rFonts w:ascii="Times New Roman" w:hAnsi="Times New Roman"/>
          <w:lang w:val="en-AU"/>
        </w:rPr>
      </w:pPr>
    </w:p>
    <w:p w14:paraId="505833D8" w14:textId="68B2126F"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was of the view that the list of indicators seemed to be too long, that some were redundant and some were difficult to monitor, and that constructing a management strategy </w:t>
      </w:r>
      <w:r w:rsidR="007B3C93" w:rsidRPr="009C2ADD">
        <w:rPr>
          <w:rFonts w:ascii="Times New Roman" w:hAnsi="Times New Roman"/>
          <w:lang w:val="en-AU"/>
        </w:rPr>
        <w:t xml:space="preserve">evaluation </w:t>
      </w:r>
      <w:r w:rsidRPr="009C2ADD">
        <w:rPr>
          <w:rFonts w:ascii="Times New Roman" w:hAnsi="Times New Roman"/>
          <w:lang w:val="en-AU"/>
        </w:rPr>
        <w:t xml:space="preserve">based on </w:t>
      </w:r>
      <w:r w:rsidR="007B3C93" w:rsidRPr="009C2ADD">
        <w:rPr>
          <w:rFonts w:ascii="Times New Roman" w:hAnsi="Times New Roman"/>
          <w:lang w:val="en-AU"/>
        </w:rPr>
        <w:t xml:space="preserve">a long list of </w:t>
      </w:r>
      <w:r w:rsidRPr="009C2ADD">
        <w:rPr>
          <w:rFonts w:ascii="Times New Roman" w:hAnsi="Times New Roman"/>
          <w:lang w:val="en-AU"/>
        </w:rPr>
        <w:t xml:space="preserve">performance indicators might be too complicated for a first attempt. R. Scott agreed it was complicated, but it was important to try with a longer list of indicators in the beginning which could be shortened as indicators were evaluated. The presenter was hesitant to shorten the list of indicators without undertaking adequate evaluations.   </w:t>
      </w:r>
    </w:p>
    <w:p w14:paraId="5644AE5A"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62C9CE97" w14:textId="7ADF3903"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Nauru on behalf of FFA </w:t>
      </w:r>
      <w:r w:rsidR="00D5432C">
        <w:rPr>
          <w:rFonts w:ascii="Times New Roman" w:hAnsi="Times New Roman"/>
          <w:lang w:val="en-AU"/>
        </w:rPr>
        <w:t>member</w:t>
      </w:r>
      <w:r w:rsidRPr="009C2ADD">
        <w:rPr>
          <w:rFonts w:ascii="Times New Roman" w:hAnsi="Times New Roman"/>
          <w:lang w:val="en-AU"/>
        </w:rPr>
        <w:t xml:space="preserve">s, noted the development of performance indicators and monitoring strategies to evaluate the effectiveness of management and the expected performance of harvest strategies was important work for the SC, because it will ensure that the right information was being collected and analysed to allow strategic and adaptive management of WCPO fisheries. They were pleased to see progress and that WCPFC13 adopted a list of performance indicators for the purposes of evaluating harvest control rules for the tropical purse seine fishery. FFA members thanked SPC for </w:t>
      </w:r>
      <w:proofErr w:type="gramStart"/>
      <w:r w:rsidRPr="009C2ADD">
        <w:rPr>
          <w:rFonts w:ascii="Times New Roman" w:hAnsi="Times New Roman"/>
          <w:lang w:val="en-AU"/>
        </w:rPr>
        <w:t>progressing</w:t>
      </w:r>
      <w:proofErr w:type="gramEnd"/>
      <w:r w:rsidRPr="009C2ADD">
        <w:rPr>
          <w:rFonts w:ascii="Times New Roman" w:hAnsi="Times New Roman"/>
          <w:lang w:val="en-AU"/>
        </w:rPr>
        <w:t xml:space="preserve"> this work for the southern longline and the tropical longline fisheries, and consider the list of potential performance indicators and monitoring strategies in working papers 2 and 3 an excellent start. FFA members were committed to building upon this work and have a number of suggestions for amendments and additions to the tables. FFA members also noted their concern that insufficient prioritisation was being given by the SC and the Commission to progress this important work, noting that an ISG meeting during breaks was unlikely to provide the necessary time and resources that this work deserved. They asked for this work and that of the other elements of the harvest strategy to be better integrated into the work of the Commission and given a higher priority by the Secretariat, the Chair and CCMs alike.</w:t>
      </w:r>
    </w:p>
    <w:p w14:paraId="23E1A304"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730770FC" w14:textId="3CD8663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voiced the same concern raised by Japan, regarding the long list of performance indicators as the cost might be too great to monitor all those indicators with so many CCMs. It sought further clarification on the process that would be used to refine that list. R. Scott noted that it was important to view this as an iterative process where the problem was defined, the MSE framework would be developed, then information learned would be incorporated back into the original question, which would in turn feed into the development of the management and harvest strategy for the fishery. This process was important to show what indicators might be useful at this stage, and then a secondary decision could be made on whether the information was informative for the process. China was of the view that starting with simple list of indicators with data available was the best approach, rather than a long complicated list of indicators that data </w:t>
      </w:r>
      <w:r w:rsidR="00767D15">
        <w:rPr>
          <w:rFonts w:ascii="Times New Roman" w:hAnsi="Times New Roman"/>
          <w:lang w:val="en-AU"/>
        </w:rPr>
        <w:t>were</w:t>
      </w:r>
      <w:r w:rsidR="00767D15" w:rsidRPr="009C2ADD">
        <w:rPr>
          <w:rFonts w:ascii="Times New Roman" w:hAnsi="Times New Roman"/>
          <w:lang w:val="en-AU"/>
        </w:rPr>
        <w:t xml:space="preserve"> </w:t>
      </w:r>
      <w:r w:rsidRPr="009C2ADD">
        <w:rPr>
          <w:rFonts w:ascii="Times New Roman" w:hAnsi="Times New Roman"/>
          <w:lang w:val="en-AU"/>
        </w:rPr>
        <w:t xml:space="preserve">not available for. </w:t>
      </w:r>
    </w:p>
    <w:p w14:paraId="486820A4"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7F867698" w14:textId="54D6EAA8"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Convener reflected on several comments regarding</w:t>
      </w:r>
      <w:r w:rsidR="00767D15">
        <w:rPr>
          <w:rFonts w:ascii="Times New Roman" w:hAnsi="Times New Roman"/>
          <w:lang w:val="en-AU"/>
        </w:rPr>
        <w:t xml:space="preserve"> the</w:t>
      </w:r>
      <w:r w:rsidRPr="009C2ADD">
        <w:rPr>
          <w:rFonts w:ascii="Times New Roman" w:hAnsi="Times New Roman"/>
          <w:lang w:val="en-AU"/>
        </w:rPr>
        <w:t xml:space="preserve"> long list of performance indicators. Noting that CCMs had different objectives in building the harvest control rules, the list might be ambitious, but it was part of a longer term goal of how to build a sustainable fishery that would take a number of years to achieve. He asked </w:t>
      </w:r>
      <w:r w:rsidR="00D5432C">
        <w:rPr>
          <w:rFonts w:ascii="Times New Roman" w:hAnsi="Times New Roman"/>
          <w:lang w:val="en-AU"/>
        </w:rPr>
        <w:t>member</w:t>
      </w:r>
      <w:r w:rsidRPr="009C2ADD">
        <w:rPr>
          <w:rFonts w:ascii="Times New Roman" w:hAnsi="Times New Roman"/>
          <w:lang w:val="en-AU"/>
        </w:rPr>
        <w:t xml:space="preserve">s to not lose sight of the long term goal and the need to gather data for indicators that will be helpful well into the future. </w:t>
      </w:r>
    </w:p>
    <w:p w14:paraId="1D1F8C3F"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5E5413C4" w14:textId="28190D5F" w:rsidR="00AE423F"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w:t>
      </w:r>
      <w:r w:rsidR="007E066D">
        <w:rPr>
          <w:rFonts w:ascii="Times New Roman" w:hAnsi="Times New Roman" w:hint="eastAsia"/>
          <w:lang w:val="en-AU" w:eastAsia="ko-KR"/>
        </w:rPr>
        <w:t>.</w:t>
      </w:r>
      <w:r w:rsidRPr="009C2ADD">
        <w:rPr>
          <w:rFonts w:ascii="Times New Roman" w:hAnsi="Times New Roman"/>
          <w:lang w:val="en-AU"/>
        </w:rPr>
        <w:t xml:space="preserve"> Scott (SPC) introduced </w:t>
      </w:r>
      <w:r w:rsidRPr="0070772D">
        <w:rPr>
          <w:rFonts w:ascii="Times New Roman" w:hAnsi="Times New Roman"/>
          <w:bCs/>
          <w:lang w:val="en-AU"/>
        </w:rPr>
        <w:t>SC13-MI-WP-03</w:t>
      </w:r>
      <w:r w:rsidRPr="009C2ADD">
        <w:rPr>
          <w:rFonts w:ascii="Times New Roman" w:hAnsi="Times New Roman"/>
          <w:lang w:val="en-AU"/>
        </w:rPr>
        <w:t xml:space="preserve"> </w:t>
      </w:r>
      <w:r w:rsidRPr="009C2ADD">
        <w:rPr>
          <w:rFonts w:ascii="Times New Roman" w:hAnsi="Times New Roman"/>
          <w:i/>
          <w:lang w:val="en-AU"/>
        </w:rPr>
        <w:t>Performance indicators and monitoring strategies for Bigeye and Yellowfin Tuna compatible with candidate management objectives for the Tropical Longline Fishery</w:t>
      </w:r>
      <w:r w:rsidRPr="009C2ADD">
        <w:rPr>
          <w:rFonts w:ascii="Times New Roman" w:hAnsi="Times New Roman"/>
          <w:lang w:val="en-AU"/>
        </w:rPr>
        <w:t>. In accordance with the timetable for the development of a harvest strategy approach for WCPFC stocks and fisheries (WCPFC-13 Summary Report Attachment N), SC13 was scheduled to provide advice to the Commission on a range of performance indicators for bigeye and yellowfin tuna that can be used to evaluate the performance of harvest control rules. SC13-MI-WP-03 presented a list of proposed performance indicators based on the candidate management objectives for the tropical longline fishery provided in the MOW2 report (WCPFC10-2013-15b) as well as the considerations of the 2016 WCPFC13 small working group on management objectives.</w:t>
      </w:r>
      <w:r w:rsidR="0054236F" w:rsidRPr="009C2ADD">
        <w:rPr>
          <w:rFonts w:ascii="Times New Roman" w:hAnsi="Times New Roman"/>
          <w:lang w:val="en-AU"/>
        </w:rPr>
        <w:t xml:space="preserve"> </w:t>
      </w:r>
      <w:r w:rsidR="00515832" w:rsidRPr="009C2ADD">
        <w:rPr>
          <w:rFonts w:ascii="Times New Roman" w:eastAsia="Times New Roman" w:hAnsi="Times New Roman"/>
          <w:lang w:val="en-AU"/>
        </w:rPr>
        <w:t>The paper highlighted the multi-species nature of the tropical longline fishery which catches a range of target species and noted that achieving MSY simultaneously for each individual stock (or species) may not be possible. In such cases the concept of pretty good yield or pretty good multi-species yield can be employed to define appropriate management targets that will achieve acceptably high yields across a range of different species. Given the lack of any existing target reference points for the stocks most relevant to the tropical longline fishery, it was suggested that a provisional TRP might be identified at this stage but this may be modified in future subject to further analyses and discussions on the trade-off between yield and the risk of falling below the limit reference point across the range of target species. It was noted that a complete set of performance indicators would be difficult to identify at this stage but that a partial and provisional set could be drafted and modified as additional information becomes available.</w:t>
      </w:r>
    </w:p>
    <w:p w14:paraId="7C9DF3FC" w14:textId="6422BB91" w:rsidR="008540A8" w:rsidRDefault="008540A8" w:rsidP="009C2ADD">
      <w:pPr>
        <w:autoSpaceDE w:val="0"/>
        <w:autoSpaceDN w:val="0"/>
        <w:adjustRightInd w:val="0"/>
        <w:snapToGrid w:val="0"/>
        <w:spacing w:after="0"/>
        <w:rPr>
          <w:rFonts w:ascii="Times New Roman" w:eastAsia="Times New Roman" w:hAnsi="Times New Roman"/>
          <w:lang w:val="en-AU"/>
        </w:rPr>
      </w:pPr>
    </w:p>
    <w:p w14:paraId="522B1035" w14:textId="77777777" w:rsidR="008540A8" w:rsidRPr="0070772D" w:rsidRDefault="008540A8" w:rsidP="009C2ADD">
      <w:pPr>
        <w:autoSpaceDE w:val="0"/>
        <w:autoSpaceDN w:val="0"/>
        <w:adjustRightInd w:val="0"/>
        <w:snapToGrid w:val="0"/>
        <w:spacing w:after="0"/>
        <w:rPr>
          <w:rFonts w:ascii="Times New Roman" w:eastAsia="Times New Roman" w:hAnsi="Times New Roman"/>
          <w:b/>
          <w:lang w:val="en-AU"/>
        </w:rPr>
      </w:pPr>
      <w:r w:rsidRPr="0070772D">
        <w:rPr>
          <w:rFonts w:ascii="Times New Roman" w:eastAsia="Times New Roman" w:hAnsi="Times New Roman"/>
          <w:b/>
          <w:lang w:val="en-AU"/>
        </w:rPr>
        <w:t>Discussion</w:t>
      </w:r>
    </w:p>
    <w:p w14:paraId="64809995" w14:textId="59199DF0" w:rsidR="005307C0" w:rsidRPr="009C2ADD" w:rsidRDefault="00515832" w:rsidP="009C2ADD">
      <w:pPr>
        <w:autoSpaceDE w:val="0"/>
        <w:autoSpaceDN w:val="0"/>
        <w:adjustRightInd w:val="0"/>
        <w:snapToGrid w:val="0"/>
        <w:spacing w:after="0"/>
        <w:rPr>
          <w:rFonts w:ascii="Times New Roman" w:hAnsi="Times New Roman"/>
          <w:lang w:val="en-AU"/>
        </w:rPr>
      </w:pPr>
      <w:r w:rsidRPr="009C2ADD">
        <w:rPr>
          <w:rFonts w:ascii="Times New Roman" w:eastAsia="Times New Roman" w:hAnsi="Times New Roman"/>
          <w:lang w:val="en-AU"/>
        </w:rPr>
        <w:t> </w:t>
      </w:r>
    </w:p>
    <w:p w14:paraId="3490C66A" w14:textId="711480D3"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noted this was a complicated issue with multi species and different gear. They agreed that at this stage it was not possible to have a complete set of </w:t>
      </w:r>
      <w:r w:rsidR="000076F8" w:rsidRPr="009C2ADD">
        <w:rPr>
          <w:rFonts w:ascii="Times New Roman" w:hAnsi="Times New Roman"/>
          <w:lang w:val="en-AU" w:eastAsia="ko-KR"/>
        </w:rPr>
        <w:t>indicators</w:t>
      </w:r>
      <w:r w:rsidRPr="009C2ADD">
        <w:rPr>
          <w:rFonts w:ascii="Times New Roman" w:hAnsi="Times New Roman"/>
          <w:lang w:val="en-AU"/>
        </w:rPr>
        <w:t xml:space="preserve">. Japan further noted the MSY was about half of the purse-seine fishery. And if the new growth curve of bigeye was to be believed, then the stock yield was almost double that of yellowfin. </w:t>
      </w:r>
    </w:p>
    <w:p w14:paraId="4CF609EF"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1DE1D6C7" w14:textId="2A4A71B3" w:rsidR="00B00C50" w:rsidRPr="009C2ADD" w:rsidRDefault="000076F8"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eastAsia="ko-KR"/>
        </w:rPr>
        <w:t>The US</w:t>
      </w:r>
      <w:r w:rsidR="00767D15">
        <w:rPr>
          <w:rFonts w:ascii="Times New Roman" w:hAnsi="Times New Roman"/>
          <w:lang w:val="en-AU" w:eastAsia="ko-KR"/>
        </w:rPr>
        <w:t>A</w:t>
      </w:r>
      <w:r w:rsidRPr="009C2ADD">
        <w:rPr>
          <w:rFonts w:ascii="Times New Roman" w:hAnsi="Times New Roman"/>
          <w:lang w:val="en-AU" w:eastAsia="ko-KR"/>
        </w:rPr>
        <w:t xml:space="preserve"> thanked SPC-OFP </w:t>
      </w:r>
      <w:r w:rsidR="00B00C50" w:rsidRPr="009C2ADD">
        <w:rPr>
          <w:rFonts w:ascii="Times New Roman" w:hAnsi="Times New Roman"/>
          <w:lang w:val="en-AU"/>
        </w:rPr>
        <w:t>for the presentation and the paper</w:t>
      </w:r>
      <w:r w:rsidRPr="009C2ADD">
        <w:rPr>
          <w:rFonts w:ascii="Times New Roman" w:hAnsi="Times New Roman"/>
          <w:lang w:val="en-AU" w:eastAsia="ko-KR"/>
        </w:rPr>
        <w:t xml:space="preserve">, </w:t>
      </w:r>
      <w:r w:rsidR="00B00C50" w:rsidRPr="009C2ADD">
        <w:rPr>
          <w:rFonts w:ascii="Times New Roman" w:hAnsi="Times New Roman"/>
          <w:lang w:val="en-AU"/>
        </w:rPr>
        <w:t>appreciate</w:t>
      </w:r>
      <w:r w:rsidR="00767D15">
        <w:rPr>
          <w:rFonts w:ascii="Times New Roman" w:hAnsi="Times New Roman"/>
          <w:lang w:val="en-AU"/>
        </w:rPr>
        <w:t>d</w:t>
      </w:r>
      <w:r w:rsidR="00B00C50" w:rsidRPr="009C2ADD">
        <w:rPr>
          <w:rFonts w:ascii="Times New Roman" w:hAnsi="Times New Roman"/>
          <w:lang w:val="en-AU"/>
        </w:rPr>
        <w:t xml:space="preserve"> that this analysis followed the MOW strawman document, and recommend</w:t>
      </w:r>
      <w:r w:rsidR="00767D15">
        <w:rPr>
          <w:rFonts w:ascii="Times New Roman" w:hAnsi="Times New Roman"/>
          <w:lang w:val="en-AU"/>
        </w:rPr>
        <w:t>ed</w:t>
      </w:r>
      <w:r w:rsidR="00B00C50" w:rsidRPr="009C2ADD">
        <w:rPr>
          <w:rFonts w:ascii="Times New Roman" w:hAnsi="Times New Roman"/>
          <w:lang w:val="en-AU"/>
        </w:rPr>
        <w:t xml:space="preserve"> that performance indicators </w:t>
      </w:r>
      <w:r w:rsidR="00767D15">
        <w:rPr>
          <w:rFonts w:ascii="Times New Roman" w:hAnsi="Times New Roman"/>
          <w:lang w:val="en-AU"/>
        </w:rPr>
        <w:t xml:space="preserve">continue to be structured </w:t>
      </w:r>
      <w:r w:rsidR="00B00C50" w:rsidRPr="009C2ADD">
        <w:rPr>
          <w:rFonts w:ascii="Times New Roman" w:hAnsi="Times New Roman"/>
          <w:lang w:val="en-AU"/>
        </w:rPr>
        <w:t xml:space="preserve">around fisheries </w:t>
      </w:r>
      <w:r w:rsidR="00B00C50" w:rsidRPr="009E77A2">
        <w:rPr>
          <w:rFonts w:ascii="Times New Roman" w:hAnsi="Times New Roman"/>
          <w:lang w:val="en-AU"/>
        </w:rPr>
        <w:t xml:space="preserve">rather than stocks.  The paper does note that if objectives are about the tropical LL fishery and not stocks, then there ought to be some indicators for the ecosystem and social indicators, and this should be addressed by the Commission in due course.  </w:t>
      </w:r>
      <w:r w:rsidR="00767D15">
        <w:rPr>
          <w:rFonts w:ascii="Times New Roman" w:hAnsi="Times New Roman"/>
          <w:lang w:val="en-AU"/>
        </w:rPr>
        <w:t xml:space="preserve">The USA </w:t>
      </w:r>
      <w:r w:rsidR="00B00C50" w:rsidRPr="009E77A2">
        <w:rPr>
          <w:rFonts w:ascii="Times New Roman" w:hAnsi="Times New Roman"/>
          <w:lang w:val="en-AU"/>
        </w:rPr>
        <w:t>note</w:t>
      </w:r>
      <w:r w:rsidR="00767D15">
        <w:rPr>
          <w:rFonts w:ascii="Times New Roman" w:hAnsi="Times New Roman"/>
          <w:lang w:val="en-AU"/>
        </w:rPr>
        <w:t>d</w:t>
      </w:r>
      <w:r w:rsidR="00B00C50" w:rsidRPr="009E77A2">
        <w:rPr>
          <w:rFonts w:ascii="Times New Roman" w:hAnsi="Times New Roman"/>
          <w:lang w:val="en-AU"/>
        </w:rPr>
        <w:t xml:space="preserve"> that the paper describes the difficulty in tracking ecosystem indicators without a multi-species or ecosystem operating model, </w:t>
      </w:r>
      <w:r w:rsidR="00767D15">
        <w:rPr>
          <w:rFonts w:ascii="Times New Roman" w:hAnsi="Times New Roman"/>
          <w:lang w:val="en-AU"/>
        </w:rPr>
        <w:t xml:space="preserve">and asked </w:t>
      </w:r>
      <w:r w:rsidR="00B00C50" w:rsidRPr="009E77A2">
        <w:rPr>
          <w:rFonts w:ascii="Times New Roman" w:hAnsi="Times New Roman"/>
          <w:lang w:val="en-AU"/>
        </w:rPr>
        <w:t>besides developing a model</w:t>
      </w:r>
      <w:r w:rsidR="001223BB">
        <w:rPr>
          <w:rFonts w:ascii="Times New Roman" w:hAnsi="Times New Roman"/>
          <w:lang w:val="en-AU"/>
        </w:rPr>
        <w:t xml:space="preserve"> whether</w:t>
      </w:r>
      <w:r w:rsidR="00B00C50" w:rsidRPr="009E77A2">
        <w:rPr>
          <w:rFonts w:ascii="Times New Roman" w:hAnsi="Times New Roman"/>
          <w:lang w:val="en-AU"/>
        </w:rPr>
        <w:t xml:space="preserve"> there</w:t>
      </w:r>
      <w:r w:rsidR="001223BB">
        <w:rPr>
          <w:rFonts w:ascii="Times New Roman" w:hAnsi="Times New Roman"/>
          <w:lang w:val="en-AU"/>
        </w:rPr>
        <w:t xml:space="preserve"> was</w:t>
      </w:r>
      <w:r w:rsidR="00B00C50" w:rsidRPr="009E77A2">
        <w:rPr>
          <w:rFonts w:ascii="Times New Roman" w:hAnsi="Times New Roman"/>
          <w:lang w:val="en-AU"/>
        </w:rPr>
        <w:t xml:space="preserve"> a way to track trade-offs among species</w:t>
      </w:r>
      <w:r w:rsidR="001223BB">
        <w:rPr>
          <w:rFonts w:ascii="Times New Roman" w:hAnsi="Times New Roman"/>
          <w:lang w:val="en-AU"/>
        </w:rPr>
        <w:t>.</w:t>
      </w:r>
      <w:r w:rsidR="00B00C50" w:rsidRPr="009E77A2">
        <w:rPr>
          <w:rFonts w:ascii="Times New Roman" w:hAnsi="Times New Roman"/>
          <w:lang w:val="en-AU"/>
        </w:rPr>
        <w:t xml:space="preserve">  </w:t>
      </w:r>
      <w:r w:rsidR="001223BB">
        <w:rPr>
          <w:rFonts w:ascii="Times New Roman" w:hAnsi="Times New Roman"/>
          <w:lang w:val="en-AU"/>
        </w:rPr>
        <w:t xml:space="preserve">The USA did not think that the </w:t>
      </w:r>
      <w:r w:rsidR="00B00C50" w:rsidRPr="009C2ADD">
        <w:rPr>
          <w:rFonts w:ascii="Times New Roman" w:hAnsi="Times New Roman"/>
          <w:lang w:val="en-AU"/>
        </w:rPr>
        <w:t>SC need</w:t>
      </w:r>
      <w:r w:rsidR="001223BB">
        <w:rPr>
          <w:rFonts w:ascii="Times New Roman" w:hAnsi="Times New Roman"/>
          <w:lang w:val="en-AU"/>
        </w:rPr>
        <w:t>ed</w:t>
      </w:r>
      <w:r w:rsidR="00B00C50" w:rsidRPr="009C2ADD">
        <w:rPr>
          <w:rFonts w:ascii="Times New Roman" w:hAnsi="Times New Roman"/>
          <w:lang w:val="en-AU"/>
        </w:rPr>
        <w:t xml:space="preserve"> to recommend specific indicators but </w:t>
      </w:r>
      <w:r w:rsidR="001223BB">
        <w:rPr>
          <w:rFonts w:ascii="Times New Roman" w:hAnsi="Times New Roman"/>
          <w:lang w:val="en-AU"/>
        </w:rPr>
        <w:t>that</w:t>
      </w:r>
      <w:r w:rsidR="001223BB" w:rsidRPr="009C2ADD">
        <w:rPr>
          <w:rFonts w:ascii="Times New Roman" w:hAnsi="Times New Roman"/>
          <w:lang w:val="en-AU"/>
        </w:rPr>
        <w:t xml:space="preserve"> </w:t>
      </w:r>
      <w:r w:rsidR="00B00C50" w:rsidRPr="009C2ADD">
        <w:rPr>
          <w:rFonts w:ascii="Times New Roman" w:hAnsi="Times New Roman"/>
          <w:lang w:val="en-AU"/>
        </w:rPr>
        <w:t>the SC should recommend the Commission consider the indicators to track objectives listed in the strawman and in last year’s exercise for the purse seine fishery.</w:t>
      </w:r>
    </w:p>
    <w:p w14:paraId="15E7EA32"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1B1DC091" w14:textId="04F8A304"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relation to the multi-species aspects, </w:t>
      </w:r>
      <w:r w:rsidR="00723C93" w:rsidRPr="009C2ADD">
        <w:rPr>
          <w:rFonts w:ascii="Times New Roman" w:hAnsi="Times New Roman"/>
          <w:lang w:val="en-AU"/>
        </w:rPr>
        <w:t>FSM</w:t>
      </w:r>
      <w:r w:rsidRPr="009C2ADD">
        <w:rPr>
          <w:rFonts w:ascii="Times New Roman" w:hAnsi="Times New Roman"/>
          <w:lang w:val="en-AU"/>
        </w:rPr>
        <w:t xml:space="preserve"> on behalf of PNA </w:t>
      </w:r>
      <w:r w:rsidR="00D5432C">
        <w:rPr>
          <w:rFonts w:ascii="Times New Roman" w:hAnsi="Times New Roman"/>
          <w:lang w:val="en-AU"/>
        </w:rPr>
        <w:t>member</w:t>
      </w:r>
      <w:r w:rsidRPr="009C2ADD">
        <w:rPr>
          <w:rFonts w:ascii="Times New Roman" w:hAnsi="Times New Roman"/>
          <w:lang w:val="en-AU"/>
        </w:rPr>
        <w:t xml:space="preserve">s expressed concern at the apparent differences in approach between the interim performance indicators adopted by the Commission for the purse seine fishery and those proposed for the tropical longline fishery. In PNA’s view, the analysis of multi-species aspects was a two-way process and similar approaches to multi-species elements should be adopted in both sets of indicators.  </w:t>
      </w:r>
    </w:p>
    <w:p w14:paraId="74A20954"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5F7133C5" w14:textId="51B0C1D0"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asked if the presenters had considered an alternative approach, for example using an ecosystem dynamic model such as Atlantis that also accounts for oceanographic </w:t>
      </w:r>
      <w:r w:rsidR="00CE4596">
        <w:rPr>
          <w:rFonts w:ascii="Times New Roman" w:hAnsi="Times New Roman" w:hint="eastAsia"/>
          <w:lang w:val="en-AU" w:eastAsia="ko-KR"/>
        </w:rPr>
        <w:t xml:space="preserve">processes </w:t>
      </w:r>
      <w:r w:rsidRPr="009C2ADD">
        <w:rPr>
          <w:rFonts w:ascii="Times New Roman" w:hAnsi="Times New Roman"/>
          <w:lang w:val="en-AU"/>
        </w:rPr>
        <w:t>and</w:t>
      </w:r>
      <w:r w:rsidR="00CE4596">
        <w:rPr>
          <w:rFonts w:ascii="Times New Roman" w:hAnsi="Times New Roman" w:hint="eastAsia"/>
          <w:lang w:val="en-AU" w:eastAsia="ko-KR"/>
        </w:rPr>
        <w:t xml:space="preserve"> multiple</w:t>
      </w:r>
      <w:r w:rsidRPr="009C2ADD">
        <w:rPr>
          <w:rFonts w:ascii="Times New Roman" w:hAnsi="Times New Roman"/>
          <w:lang w:val="en-AU"/>
        </w:rPr>
        <w:t xml:space="preserve"> species</w:t>
      </w:r>
      <w:r w:rsidRPr="0070772D">
        <w:rPr>
          <w:rFonts w:ascii="Times New Roman" w:hAnsi="Times New Roman"/>
          <w:lang w:val="en-AU"/>
        </w:rPr>
        <w:t>.</w:t>
      </w:r>
      <w:r w:rsidRPr="009C2ADD">
        <w:rPr>
          <w:rFonts w:ascii="Times New Roman" w:hAnsi="Times New Roman"/>
          <w:lang w:val="en-AU"/>
        </w:rPr>
        <w:t xml:space="preserve"> R. Scott responded that it would be a significant undertaking to get Atlantis up and running for tuna stocks. It would be more feasible to get a single species model up and running and then approximate a mixed species fishery. </w:t>
      </w:r>
    </w:p>
    <w:p w14:paraId="2A7EF4A0"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14DBF625" w14:textId="6C4CBF17" w:rsidR="005307C0"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PNG</w:t>
      </w:r>
      <w:r w:rsidR="005307C0" w:rsidRPr="009C2ADD">
        <w:rPr>
          <w:rFonts w:ascii="Times New Roman" w:hAnsi="Times New Roman"/>
          <w:lang w:val="en-AU"/>
        </w:rPr>
        <w:t xml:space="preserve"> of behalf of PNA </w:t>
      </w:r>
      <w:r w:rsidR="00D5432C">
        <w:rPr>
          <w:rFonts w:ascii="Times New Roman" w:hAnsi="Times New Roman"/>
          <w:lang w:val="en-AU"/>
        </w:rPr>
        <w:t>member</w:t>
      </w:r>
      <w:r w:rsidR="005307C0" w:rsidRPr="009C2ADD">
        <w:rPr>
          <w:rFonts w:ascii="Times New Roman" w:hAnsi="Times New Roman"/>
          <w:lang w:val="en-AU"/>
        </w:rPr>
        <w:t xml:space="preserve">s expressed appreciation for the SPC papers on elements of the harvest strategy, which were very helpful in working through a complex area.  PNA </w:t>
      </w:r>
      <w:r w:rsidR="00D5432C">
        <w:rPr>
          <w:rFonts w:ascii="Times New Roman" w:hAnsi="Times New Roman"/>
          <w:lang w:val="en-AU"/>
        </w:rPr>
        <w:t>member</w:t>
      </w:r>
      <w:r w:rsidR="005307C0" w:rsidRPr="009C2ADD">
        <w:rPr>
          <w:rFonts w:ascii="Times New Roman" w:hAnsi="Times New Roman"/>
          <w:lang w:val="en-AU"/>
        </w:rPr>
        <w:t xml:space="preserve">s emphasised that the WCPO tropical tuna stocks occur and were fished largely in the waters of developing coastal states, especially SIDS.  The harvest strategy process, including the adoption of harvest control rules, could benefit all participants in these fisheries.  However, for this process to be effective it was important that the objectives, indicators and monitoring strategies relating to tropical tunas clearly reflect the rights and interests of those developing coastal state CCMs who are primarily responsible for the management of those stocks. </w:t>
      </w:r>
    </w:p>
    <w:p w14:paraId="12E12E77"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557E9A4B" w14:textId="77777777" w:rsidR="005307C0" w:rsidRPr="009C2ADD" w:rsidRDefault="003F1AA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w:t>
      </w:r>
      <w:r w:rsidR="005307C0" w:rsidRPr="009C2ADD">
        <w:rPr>
          <w:rFonts w:ascii="Times New Roman" w:hAnsi="Times New Roman"/>
          <w:lang w:val="en-AU"/>
        </w:rPr>
        <w:t xml:space="preserve">onvener drew attention to useful information contained in </w:t>
      </w:r>
      <w:r w:rsidRPr="0070772D">
        <w:rPr>
          <w:rFonts w:ascii="Times New Roman" w:hAnsi="Times New Roman"/>
          <w:bCs/>
          <w:lang w:val="en-AU"/>
        </w:rPr>
        <w:t>SC13-</w:t>
      </w:r>
      <w:r w:rsidR="005307C0" w:rsidRPr="0070772D">
        <w:rPr>
          <w:rFonts w:ascii="Times New Roman" w:hAnsi="Times New Roman"/>
          <w:bCs/>
          <w:lang w:val="en-AU"/>
        </w:rPr>
        <w:t>MI-IP-01</w:t>
      </w:r>
      <w:r w:rsidR="005307C0" w:rsidRPr="009C2ADD">
        <w:rPr>
          <w:rFonts w:ascii="Times New Roman" w:hAnsi="Times New Roman"/>
          <w:lang w:val="en-AU"/>
        </w:rPr>
        <w:t xml:space="preserve"> </w:t>
      </w:r>
      <w:proofErr w:type="gramStart"/>
      <w:r w:rsidR="005307C0" w:rsidRPr="009C2ADD">
        <w:rPr>
          <w:rFonts w:ascii="Times New Roman" w:hAnsi="Times New Roman"/>
          <w:i/>
          <w:lang w:val="en-AU"/>
        </w:rPr>
        <w:t>Operationalising</w:t>
      </w:r>
      <w:proofErr w:type="gramEnd"/>
      <w:r w:rsidR="005307C0" w:rsidRPr="009C2ADD">
        <w:rPr>
          <w:rFonts w:ascii="Times New Roman" w:hAnsi="Times New Roman"/>
          <w:i/>
          <w:lang w:val="en-AU"/>
        </w:rPr>
        <w:t xml:space="preserve"> the monitoring strategies for tropical purse seine and southern longline fisheries: Information requirements and data availability</w:t>
      </w:r>
      <w:r w:rsidR="005307C0" w:rsidRPr="009C2ADD">
        <w:rPr>
          <w:rFonts w:ascii="Times New Roman" w:hAnsi="Times New Roman"/>
          <w:lang w:val="en-AU"/>
        </w:rPr>
        <w:t xml:space="preserve">. </w:t>
      </w:r>
    </w:p>
    <w:p w14:paraId="635D3E77"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424E848C" w14:textId="61571D07" w:rsidR="00CE4596" w:rsidRPr="0070772D" w:rsidRDefault="00CE4596" w:rsidP="009C2ADD">
      <w:pPr>
        <w:numPr>
          <w:ilvl w:val="0"/>
          <w:numId w:val="1"/>
        </w:numPr>
        <w:autoSpaceDE w:val="0"/>
        <w:autoSpaceDN w:val="0"/>
        <w:adjustRightInd w:val="0"/>
        <w:snapToGrid w:val="0"/>
        <w:spacing w:after="0"/>
        <w:ind w:left="0" w:firstLine="0"/>
        <w:rPr>
          <w:rFonts w:ascii="Times New Roman" w:hAnsi="Times New Roman"/>
          <w:b/>
          <w:lang w:val="en-AU"/>
        </w:rPr>
      </w:pPr>
      <w:r w:rsidRPr="0070772D">
        <w:rPr>
          <w:rFonts w:ascii="Times New Roman" w:hAnsi="Times New Roman"/>
          <w:lang w:val="en-AU"/>
        </w:rPr>
        <w:t xml:space="preserve">Taking note of the issues raised during this session, an Informal Small Group (ISG-08: Performance indicators and monitoring strategy) was convened to further discuss and refine the list of </w:t>
      </w:r>
      <w:r w:rsidR="00444E27" w:rsidRPr="0070772D">
        <w:rPr>
          <w:rFonts w:ascii="Times New Roman" w:hAnsi="Times New Roman"/>
          <w:lang w:val="en-AU"/>
        </w:rPr>
        <w:t>performance</w:t>
      </w:r>
      <w:r w:rsidRPr="0070772D">
        <w:rPr>
          <w:rFonts w:ascii="Times New Roman" w:hAnsi="Times New Roman"/>
          <w:lang w:val="en-AU"/>
        </w:rPr>
        <w:t xml:space="preserve"> indicators and monitoring strategies outlined in Working papers MI-WP-02 and MI-WP-03 and to help frame SC13’s advice to the </w:t>
      </w:r>
      <w:r w:rsidR="00444E27" w:rsidRPr="0070772D">
        <w:rPr>
          <w:rFonts w:ascii="Times New Roman" w:hAnsi="Times New Roman"/>
          <w:lang w:val="en-AU"/>
        </w:rPr>
        <w:t>Commission</w:t>
      </w:r>
      <w:r w:rsidRPr="0070772D">
        <w:rPr>
          <w:rFonts w:ascii="Times New Roman" w:hAnsi="Times New Roman"/>
          <w:lang w:val="en-AU"/>
        </w:rPr>
        <w:t xml:space="preserve">. The </w:t>
      </w:r>
      <w:r w:rsidR="00444E27" w:rsidRPr="0070772D">
        <w:rPr>
          <w:rFonts w:ascii="Times New Roman" w:hAnsi="Times New Roman"/>
          <w:lang w:val="en-AU"/>
        </w:rPr>
        <w:t>outcomes of this ISG are</w:t>
      </w:r>
      <w:r w:rsidRPr="0070772D">
        <w:rPr>
          <w:rFonts w:ascii="Times New Roman" w:hAnsi="Times New Roman"/>
          <w:lang w:val="en-AU"/>
        </w:rPr>
        <w:t xml:space="preserve"> provided in Attachment F</w:t>
      </w:r>
      <w:r w:rsidRPr="0070772D">
        <w:rPr>
          <w:rFonts w:ascii="Times New Roman" w:hAnsi="Times New Roman"/>
          <w:lang w:val="en-AU" w:eastAsia="ko-KR"/>
        </w:rPr>
        <w:t>.</w:t>
      </w:r>
    </w:p>
    <w:p w14:paraId="7D991CFE" w14:textId="77777777" w:rsidR="00CE4596" w:rsidRDefault="00CE4596" w:rsidP="0070772D">
      <w:pPr>
        <w:pStyle w:val="ListParagraph"/>
        <w:rPr>
          <w:rFonts w:ascii="Times New Roman" w:hAnsi="Times New Roman"/>
          <w:b/>
          <w:lang w:val="en-AU"/>
        </w:rPr>
      </w:pPr>
    </w:p>
    <w:p w14:paraId="74F21991" w14:textId="1FA5835F"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As requested by the Harvest Strategies Workplan (Attachment N, WCPFC13 Summary Report) and the Small Working Group on Management Objectives at WCPFC13, SC13 reviewed candidate performance indicators and monitoring strategies for i) South Pacific albacore commensurate with candidate management objectives for the Southern Longline Fishery (SC13-MI-WP-02) and ii) </w:t>
      </w:r>
      <w:r w:rsidR="008540A8">
        <w:rPr>
          <w:rFonts w:ascii="Times New Roman" w:hAnsi="Times New Roman"/>
          <w:b/>
          <w:lang w:val="en-AU"/>
        </w:rPr>
        <w:t>b</w:t>
      </w:r>
      <w:r w:rsidRPr="009C2ADD">
        <w:rPr>
          <w:rFonts w:ascii="Times New Roman" w:hAnsi="Times New Roman"/>
          <w:b/>
          <w:lang w:val="en-AU"/>
        </w:rPr>
        <w:t xml:space="preserve">igeye and </w:t>
      </w:r>
      <w:r w:rsidR="008540A8">
        <w:rPr>
          <w:rFonts w:ascii="Times New Roman" w:hAnsi="Times New Roman"/>
          <w:b/>
          <w:lang w:val="en-AU"/>
        </w:rPr>
        <w:t>y</w:t>
      </w:r>
      <w:r w:rsidRPr="009C2ADD">
        <w:rPr>
          <w:rFonts w:ascii="Times New Roman" w:hAnsi="Times New Roman"/>
          <w:b/>
          <w:lang w:val="en-AU"/>
        </w:rPr>
        <w:t xml:space="preserve">ellowfin </w:t>
      </w:r>
      <w:r w:rsidR="008540A8">
        <w:rPr>
          <w:rFonts w:ascii="Times New Roman" w:hAnsi="Times New Roman"/>
          <w:b/>
          <w:lang w:val="en-AU"/>
        </w:rPr>
        <w:t>t</w:t>
      </w:r>
      <w:r w:rsidRPr="009C2ADD">
        <w:rPr>
          <w:rFonts w:ascii="Times New Roman" w:hAnsi="Times New Roman"/>
          <w:b/>
          <w:lang w:val="en-AU"/>
        </w:rPr>
        <w:t>una commensurate with candidate management objectives for the Tropical Longline Fishery (SC13-MI-WP-03). SC13 provided a number of suggestions to clarify, and update as appropriate, aspects of these papers and requested that revised versions of both be forwarded to WCPFC14. In reviewing these papers SC13 noted that while the number of key performance indicators should be kept to a tractable level as they will influence the Management Strategy Evaluation (MSE) modelling framework currently being developed, they should also be sufficient to monitor the key long-term management objectives for these fisheries. It was also noted that the list of indicators and monitoring strategies can be reviewed throughout the current MSE work. SC13 recommends that WCPFC14 note the candidate performance indicators and monitoring strategies for each of these fisheries as listed in these revised papers, and provide advice on what performance indicators and monitoring strategies should be included for the development of harvest strategies under CMM 2014-06.</w:t>
      </w:r>
    </w:p>
    <w:p w14:paraId="527FED3E" w14:textId="77777777" w:rsidR="005307C0" w:rsidRPr="009C2ADD" w:rsidRDefault="005307C0" w:rsidP="009C2ADD">
      <w:pPr>
        <w:adjustRightInd w:val="0"/>
        <w:snapToGrid w:val="0"/>
        <w:spacing w:after="0"/>
        <w:rPr>
          <w:rFonts w:ascii="Times New Roman" w:hAnsi="Times New Roman"/>
          <w:lang w:val="en-AU"/>
        </w:rPr>
      </w:pPr>
    </w:p>
    <w:p w14:paraId="211C7953" w14:textId="21A35445" w:rsidR="003A411E" w:rsidRPr="009C2ADD" w:rsidRDefault="003A411E" w:rsidP="009C2ADD">
      <w:pPr>
        <w:pStyle w:val="Heading3"/>
        <w:adjustRightInd w:val="0"/>
        <w:snapToGrid w:val="0"/>
        <w:spacing w:before="0"/>
        <w:rPr>
          <w:rFonts w:ascii="Times New Roman" w:hAnsi="Times New Roman" w:cs="Times New Roman"/>
          <w:lang w:val="en-AU"/>
        </w:rPr>
      </w:pPr>
      <w:r w:rsidRPr="009C2ADD">
        <w:rPr>
          <w:rFonts w:ascii="Times New Roman" w:hAnsi="Times New Roman" w:cs="Times New Roman"/>
          <w:lang w:val="en-AU"/>
        </w:rPr>
        <w:t xml:space="preserve">5.1.3 </w:t>
      </w:r>
      <w:r w:rsidR="00AE423F" w:rsidRPr="009C2ADD">
        <w:rPr>
          <w:rFonts w:ascii="Times New Roman" w:hAnsi="Times New Roman" w:cs="Times New Roman"/>
          <w:lang w:val="en-AU"/>
        </w:rPr>
        <w:tab/>
      </w:r>
      <w:r w:rsidR="005307C0" w:rsidRPr="009C2ADD">
        <w:rPr>
          <w:rFonts w:ascii="Times New Roman" w:hAnsi="Times New Roman" w:cs="Times New Roman"/>
          <w:lang w:val="en-AU"/>
        </w:rPr>
        <w:t xml:space="preserve">Harvest control rules and </w:t>
      </w:r>
      <w:r w:rsidR="009E5549" w:rsidRPr="009C2ADD">
        <w:rPr>
          <w:rFonts w:ascii="Times New Roman" w:hAnsi="Times New Roman" w:cs="Times New Roman"/>
          <w:lang w:val="en-AU" w:eastAsia="ko-KR"/>
        </w:rPr>
        <w:t>m</w:t>
      </w:r>
      <w:r w:rsidR="009E5549" w:rsidRPr="009C2ADD">
        <w:rPr>
          <w:rFonts w:ascii="Times New Roman" w:hAnsi="Times New Roman" w:cs="Times New Roman"/>
          <w:lang w:val="en-AU"/>
        </w:rPr>
        <w:t xml:space="preserve">anagement </w:t>
      </w:r>
      <w:r w:rsidR="009E5549" w:rsidRPr="009C2ADD">
        <w:rPr>
          <w:rFonts w:ascii="Times New Roman" w:hAnsi="Times New Roman" w:cs="Times New Roman"/>
          <w:lang w:val="en-AU" w:eastAsia="ko-KR"/>
        </w:rPr>
        <w:t>s</w:t>
      </w:r>
      <w:r w:rsidR="009E5549" w:rsidRPr="009C2ADD">
        <w:rPr>
          <w:rFonts w:ascii="Times New Roman" w:hAnsi="Times New Roman" w:cs="Times New Roman"/>
          <w:lang w:val="en-AU"/>
        </w:rPr>
        <w:t xml:space="preserve">trategy </w:t>
      </w:r>
      <w:r w:rsidR="009E5549" w:rsidRPr="009C2ADD">
        <w:rPr>
          <w:rFonts w:ascii="Times New Roman" w:hAnsi="Times New Roman" w:cs="Times New Roman"/>
          <w:lang w:val="en-AU" w:eastAsia="ko-KR"/>
        </w:rPr>
        <w:t>e</w:t>
      </w:r>
      <w:r w:rsidR="009E5549" w:rsidRPr="009C2ADD">
        <w:rPr>
          <w:rFonts w:ascii="Times New Roman" w:hAnsi="Times New Roman" w:cs="Times New Roman"/>
          <w:lang w:val="en-AU"/>
        </w:rPr>
        <w:t>valuation</w:t>
      </w:r>
    </w:p>
    <w:p w14:paraId="10BD4562" w14:textId="462F56A9" w:rsidR="005307C0" w:rsidRPr="009C2ADD" w:rsidRDefault="005307C0" w:rsidP="009C2ADD">
      <w:pPr>
        <w:pStyle w:val="Heading3"/>
        <w:adjustRightInd w:val="0"/>
        <w:snapToGrid w:val="0"/>
        <w:spacing w:before="0"/>
        <w:rPr>
          <w:rFonts w:ascii="Times New Roman" w:hAnsi="Times New Roman" w:cs="Times New Roman"/>
          <w:lang w:val="en-AU"/>
        </w:rPr>
      </w:pPr>
      <w:r w:rsidRPr="009C2ADD">
        <w:rPr>
          <w:rFonts w:ascii="Times New Roman" w:hAnsi="Times New Roman" w:cs="Times New Roman"/>
          <w:lang w:val="en-AU"/>
        </w:rPr>
        <w:t xml:space="preserve"> </w:t>
      </w:r>
    </w:p>
    <w:p w14:paraId="481B7C9E"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Convenor noted that the Harvest Strategies Workplan (Attachment N, WCPFC13 Summary Report), requested that the SC13 provide advice on progress toward the evaluation of candidate harvest control rules for South Pacif</w:t>
      </w:r>
      <w:r w:rsidR="00AF5DDC" w:rsidRPr="009C2ADD">
        <w:rPr>
          <w:rFonts w:ascii="Times New Roman" w:hAnsi="Times New Roman"/>
          <w:lang w:val="en-AU"/>
        </w:rPr>
        <w:t xml:space="preserve">ic albacore and skipjack tuna. </w:t>
      </w:r>
    </w:p>
    <w:p w14:paraId="11E4B1B0"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6188A631" w14:textId="3F1CDBA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w:t>
      </w:r>
      <w:r w:rsidR="007E066D">
        <w:rPr>
          <w:rFonts w:ascii="Times New Roman" w:hAnsi="Times New Roman" w:hint="eastAsia"/>
          <w:lang w:val="en-AU" w:eastAsia="ko-KR"/>
        </w:rPr>
        <w:t>.</w:t>
      </w:r>
      <w:r w:rsidRPr="009C2ADD">
        <w:rPr>
          <w:rFonts w:ascii="Times New Roman" w:hAnsi="Times New Roman"/>
          <w:lang w:val="en-AU"/>
        </w:rPr>
        <w:t xml:space="preserve"> Scott (SPC) presented </w:t>
      </w:r>
      <w:r w:rsidRPr="0070772D">
        <w:rPr>
          <w:rFonts w:ascii="Times New Roman" w:hAnsi="Times New Roman"/>
          <w:bCs/>
          <w:lang w:val="en-AU"/>
        </w:rPr>
        <w:t>SC13-MI-WP-04</w:t>
      </w:r>
      <w:r w:rsidRPr="009C2ADD">
        <w:rPr>
          <w:rFonts w:ascii="Times New Roman" w:hAnsi="Times New Roman"/>
          <w:lang w:val="en-AU"/>
        </w:rPr>
        <w:t xml:space="preserve"> </w:t>
      </w:r>
      <w:r w:rsidRPr="009C2ADD">
        <w:rPr>
          <w:rFonts w:ascii="Times New Roman" w:hAnsi="Times New Roman"/>
          <w:i/>
          <w:lang w:val="en-AU"/>
        </w:rPr>
        <w:t>Developments in the MSE modelling framework</w:t>
      </w:r>
      <w:r w:rsidRPr="0070772D">
        <w:rPr>
          <w:rFonts w:ascii="Times New Roman" w:hAnsi="Times New Roman"/>
          <w:lang w:val="en-AU"/>
        </w:rPr>
        <w:t>, which presented an account of recent developments in the construction of the MSE framework for WCPFC stocks and fisheries and focused primarily on some of the technical issues related to the development of the modelling framework</w:t>
      </w:r>
      <w:r w:rsidRPr="009C2ADD">
        <w:rPr>
          <w:rFonts w:ascii="Times New Roman" w:hAnsi="Times New Roman"/>
          <w:lang w:val="en-AU"/>
        </w:rPr>
        <w:t>. In many cases, the results presented in this paper represent the current state of ongoing analyses and are not considered to be final. The paper specifically consider</w:t>
      </w:r>
      <w:r w:rsidR="00206BA1">
        <w:rPr>
          <w:rFonts w:ascii="Times New Roman" w:hAnsi="Times New Roman" w:hint="eastAsia"/>
          <w:lang w:val="en-AU" w:eastAsia="ko-KR"/>
        </w:rPr>
        <w:t>s</w:t>
      </w:r>
      <w:r w:rsidRPr="009C2ADD">
        <w:rPr>
          <w:rFonts w:ascii="Times New Roman" w:hAnsi="Times New Roman"/>
          <w:lang w:val="en-AU"/>
        </w:rPr>
        <w:t xml:space="preserve"> two issues, the generation of pseudo data from the operating model, and the development of an estimation model for skipjack that can be used within the management procedure to estimate stock status. In addition, the paper briefly identified a number of tools and software approaches that may be used for building the evaluation framework.</w:t>
      </w:r>
    </w:p>
    <w:p w14:paraId="373A15BC" w14:textId="77777777" w:rsidR="00AE423F" w:rsidRDefault="00AE423F" w:rsidP="009C2ADD">
      <w:pPr>
        <w:pStyle w:val="ListParagraph"/>
        <w:adjustRightInd w:val="0"/>
        <w:snapToGrid w:val="0"/>
        <w:contextualSpacing w:val="0"/>
        <w:rPr>
          <w:rFonts w:ascii="Times New Roman" w:hAnsi="Times New Roman"/>
          <w:lang w:val="en-AU"/>
        </w:rPr>
      </w:pPr>
    </w:p>
    <w:p w14:paraId="374E096B" w14:textId="47CC1DBF" w:rsidR="008540A8" w:rsidRDefault="008540A8" w:rsidP="009C2ADD">
      <w:pPr>
        <w:pStyle w:val="ListParagraph"/>
        <w:adjustRightInd w:val="0"/>
        <w:snapToGrid w:val="0"/>
        <w:contextualSpacing w:val="0"/>
        <w:rPr>
          <w:rFonts w:ascii="Times New Roman" w:hAnsi="Times New Roman"/>
          <w:b/>
          <w:lang w:val="en-AU"/>
        </w:rPr>
      </w:pPr>
      <w:r w:rsidRPr="0070772D">
        <w:rPr>
          <w:rFonts w:ascii="Times New Roman" w:hAnsi="Times New Roman"/>
          <w:b/>
          <w:lang w:val="en-AU"/>
        </w:rPr>
        <w:t>Discussion</w:t>
      </w:r>
    </w:p>
    <w:p w14:paraId="56828D50" w14:textId="77777777" w:rsidR="008540A8" w:rsidRPr="0070772D" w:rsidRDefault="008540A8" w:rsidP="009C2ADD">
      <w:pPr>
        <w:pStyle w:val="ListParagraph"/>
        <w:adjustRightInd w:val="0"/>
        <w:snapToGrid w:val="0"/>
        <w:contextualSpacing w:val="0"/>
        <w:rPr>
          <w:rFonts w:ascii="Times New Roman" w:hAnsi="Times New Roman"/>
          <w:b/>
          <w:lang w:val="en-AU"/>
        </w:rPr>
      </w:pPr>
    </w:p>
    <w:p w14:paraId="4302F77D" w14:textId="77777777" w:rsidR="00283641"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thanked the presenter for a very important piece of work that would play a significant role in the future. It noted that MSE was important and should realistically reflect what happens in the fishery. China especially liked that researchers compared generated data with observed fisheries data. R. Scott agreed with China’s view that the MSE should realistically reflect the fishery and that the generated model should account for the frequency of stock assessments, which were only conducted every 3 - 4 years. It was noted that the modelling had been using a </w:t>
      </w:r>
      <w:r w:rsidR="00017989" w:rsidRPr="009C2ADD">
        <w:rPr>
          <w:rFonts w:ascii="Times New Roman" w:hAnsi="Times New Roman"/>
          <w:lang w:val="en-AU"/>
        </w:rPr>
        <w:t>three-year</w:t>
      </w:r>
      <w:r w:rsidRPr="009C2ADD">
        <w:rPr>
          <w:rFonts w:ascii="Times New Roman" w:hAnsi="Times New Roman"/>
          <w:lang w:val="en-AU"/>
        </w:rPr>
        <w:t xml:space="preserve"> management run. Regarding model assumption</w:t>
      </w:r>
      <w:r w:rsidR="00206BA1">
        <w:rPr>
          <w:rFonts w:ascii="Times New Roman" w:hAnsi="Times New Roman" w:hint="eastAsia"/>
          <w:lang w:val="en-AU" w:eastAsia="ko-KR"/>
        </w:rPr>
        <w:t>s</w:t>
      </w:r>
      <w:r w:rsidRPr="009C2ADD">
        <w:rPr>
          <w:rFonts w:ascii="Times New Roman" w:hAnsi="Times New Roman"/>
          <w:lang w:val="en-AU"/>
        </w:rPr>
        <w:t xml:space="preserve">, R. Scott noted it was </w:t>
      </w:r>
      <w:proofErr w:type="gramStart"/>
      <w:r w:rsidRPr="009C2ADD">
        <w:rPr>
          <w:rFonts w:ascii="Times New Roman" w:hAnsi="Times New Roman"/>
          <w:lang w:val="en-AU"/>
        </w:rPr>
        <w:t>key</w:t>
      </w:r>
      <w:proofErr w:type="gramEnd"/>
      <w:r w:rsidRPr="009C2ADD">
        <w:rPr>
          <w:rFonts w:ascii="Times New Roman" w:hAnsi="Times New Roman"/>
          <w:lang w:val="en-AU"/>
        </w:rPr>
        <w:t xml:space="preserve"> not to use exactly the same model for the operating model </w:t>
      </w:r>
      <w:r w:rsidR="00497294" w:rsidRPr="009C2ADD">
        <w:rPr>
          <w:rFonts w:ascii="Times New Roman" w:hAnsi="Times New Roman"/>
          <w:lang w:val="en-AU"/>
        </w:rPr>
        <w:t>and the estimation model so that the stock dynamics and sources of uncertainty that are incorporated into the operating model are not perfectly accounted for by the management procedure. MULTIFAN-CL is considered an appropriate model to use for the operating model and has been developed to generate pseudo data for use in the simulation analyses. The use of MULTIFAN-CL within the management procedure, however, is less desirable but currently represents the most viable approach. Although the structure and details of the model differ from that used for the operating model the time taken for the model to converge to a solution is still quite long.</w:t>
      </w:r>
      <w:r w:rsidR="00794ECF">
        <w:rPr>
          <w:rFonts w:ascii="Times New Roman" w:hAnsi="Times New Roman"/>
          <w:lang w:val="en-AU"/>
        </w:rPr>
        <w:t xml:space="preserve"> </w:t>
      </w:r>
    </w:p>
    <w:p w14:paraId="3B6DE3A8" w14:textId="77777777" w:rsidR="00283641" w:rsidRDefault="00283641" w:rsidP="0070772D">
      <w:pPr>
        <w:autoSpaceDE w:val="0"/>
        <w:autoSpaceDN w:val="0"/>
        <w:adjustRightInd w:val="0"/>
        <w:snapToGrid w:val="0"/>
        <w:spacing w:after="0"/>
        <w:rPr>
          <w:rFonts w:ascii="Times New Roman" w:hAnsi="Times New Roman"/>
          <w:lang w:val="en-AU"/>
        </w:rPr>
      </w:pPr>
    </w:p>
    <w:p w14:paraId="7F26E6DA" w14:textId="48CB2E15"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suggested trialling a simplified </w:t>
      </w:r>
      <w:r w:rsidR="009460C2" w:rsidRPr="009C2ADD">
        <w:rPr>
          <w:rFonts w:ascii="Times New Roman" w:hAnsi="Times New Roman"/>
          <w:lang w:val="en-AU"/>
        </w:rPr>
        <w:t xml:space="preserve">MULTIFAN-CL </w:t>
      </w:r>
      <w:r w:rsidRPr="009C2ADD">
        <w:rPr>
          <w:rFonts w:ascii="Times New Roman" w:hAnsi="Times New Roman"/>
          <w:lang w:val="en-AU"/>
        </w:rPr>
        <w:t xml:space="preserve">model to develop the management procedure to ensure that it is rigorously tested. Japan also noted if tagging data was needed for the management procedure to run, the cost implication of tagging indefinitely or for quite some time would need to be explained to managers. In response, New Zealand noted that the need for tagging data was an issue that was highlighted for expert panel review and </w:t>
      </w:r>
      <w:r w:rsidR="00E765E9">
        <w:rPr>
          <w:rFonts w:ascii="Times New Roman" w:hAnsi="Times New Roman"/>
          <w:lang w:val="en-AU"/>
        </w:rPr>
        <w:t>that such data helped overcome some of the concerns of relying on CPUE as abundance indices</w:t>
      </w:r>
      <w:r w:rsidRPr="009C2ADD">
        <w:rPr>
          <w:rFonts w:ascii="Times New Roman" w:hAnsi="Times New Roman"/>
          <w:lang w:val="en-AU"/>
        </w:rPr>
        <w:t xml:space="preserve">. Without tagging data it would be very difficult to </w:t>
      </w:r>
      <w:r w:rsidR="00444E27" w:rsidRPr="009C2ADD">
        <w:rPr>
          <w:rFonts w:ascii="Times New Roman" w:hAnsi="Times New Roman"/>
          <w:lang w:val="en-AU"/>
        </w:rPr>
        <w:t>affect</w:t>
      </w:r>
      <w:r w:rsidRPr="009C2ADD">
        <w:rPr>
          <w:rFonts w:ascii="Times New Roman" w:hAnsi="Times New Roman"/>
          <w:lang w:val="en-AU"/>
        </w:rPr>
        <w:t xml:space="preserve"> a sound management procedure. </w:t>
      </w:r>
    </w:p>
    <w:p w14:paraId="4A608B6A"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7DC4F2DE" w14:textId="5D5A1600" w:rsidR="0012124E" w:rsidRPr="009C2ADD" w:rsidRDefault="0012124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iCs/>
        </w:rPr>
        <w:t xml:space="preserve">EU sought clarification regarding the paper presented by SPC using simplified models in the context of MSE. Considering that the evaluation model and the harvest control rules were linked, if a harvest control rule was adopted, would SPC need to move to a </w:t>
      </w:r>
      <w:r w:rsidR="00C80F0B" w:rsidRPr="009C2ADD">
        <w:rPr>
          <w:rFonts w:ascii="Times New Roman" w:hAnsi="Times New Roman"/>
          <w:iCs/>
        </w:rPr>
        <w:t>simpler assessment model or not?</w:t>
      </w:r>
      <w:r w:rsidRPr="009C2ADD">
        <w:rPr>
          <w:rFonts w:ascii="Times New Roman" w:hAnsi="Times New Roman"/>
        </w:rPr>
        <w:t xml:space="preserve"> </w:t>
      </w:r>
      <w:r w:rsidR="00C80F0B" w:rsidRPr="009C2ADD">
        <w:rPr>
          <w:rFonts w:ascii="Times New Roman" w:hAnsi="Times New Roman"/>
        </w:rPr>
        <w:t xml:space="preserve">R. Scott noted that the estimation model was a simplified procedure for generating information on stock status that could be used by the harvest control rule to determine future management actions. This procedure could be run annually or multi-annually and may be based on models of different complexity. The operating model used within the simulations, however, is based on the current MULTIFAN-CL stock assessment. Periodically the whole simulation framework will need to be re-evaluated including the appropriateness of the model settings used for the operating model. The period of time between such re-evaluations may be as little as three years in the initial stages, until confidence in the operating model has been established. </w:t>
      </w:r>
    </w:p>
    <w:p w14:paraId="177492D0"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67FDE05A" w14:textId="1EE88104"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Kiribati on behalf of FFA members, thanked SPC for progressing the important technical work involved in developing the modelling tools for the Management Strategy Evaluation framework. They noted the findings to date and look forward to ongoing updates as this work progressed. Kiribati further noted the additional resources that were being brought in to the SPC team to progress this work and thanked New Zealand for providing support to allow this to happen and looked forward to the commencement of a</w:t>
      </w:r>
      <w:r w:rsidR="00E52B13">
        <w:rPr>
          <w:rFonts w:ascii="Times New Roman" w:hAnsi="Times New Roman" w:hint="eastAsia"/>
          <w:lang w:val="en-AU" w:eastAsia="ko-KR"/>
        </w:rPr>
        <w:t>n SPC position</w:t>
      </w:r>
      <w:r w:rsidRPr="009C2ADD">
        <w:rPr>
          <w:rFonts w:ascii="Times New Roman" w:hAnsi="Times New Roman"/>
          <w:lang w:val="en-AU"/>
        </w:rPr>
        <w:t xml:space="preserve"> responsible for capacity building, education and consultation on this work. FFA members considered it critically important that stakeholders, in particular coastal state fisheries managers, were not only engaged in the development of the management strategy evaluation framework but were the primary drivers of inputs to the MSE model, including performance indicators, monitoring strategies, candidate harvest control rules and implementation mechanisms. In order to engage in this process FFA </w:t>
      </w:r>
      <w:r w:rsidR="00D5432C">
        <w:rPr>
          <w:rFonts w:ascii="Times New Roman" w:hAnsi="Times New Roman"/>
          <w:lang w:val="en-AU"/>
        </w:rPr>
        <w:t>member</w:t>
      </w:r>
      <w:r w:rsidRPr="009C2ADD">
        <w:rPr>
          <w:rFonts w:ascii="Times New Roman" w:hAnsi="Times New Roman"/>
          <w:lang w:val="en-AU"/>
        </w:rPr>
        <w:t xml:space="preserve">s needed to understand it, and they looked forward to an increase in capacity building and education activities to assist them with building the necessary understanding so FFA </w:t>
      </w:r>
      <w:r w:rsidR="00D5432C">
        <w:rPr>
          <w:rFonts w:ascii="Times New Roman" w:hAnsi="Times New Roman"/>
          <w:lang w:val="en-AU"/>
        </w:rPr>
        <w:t>member</w:t>
      </w:r>
      <w:r w:rsidRPr="009C2ADD">
        <w:rPr>
          <w:rFonts w:ascii="Times New Roman" w:hAnsi="Times New Roman"/>
          <w:lang w:val="en-AU"/>
        </w:rPr>
        <w:t>s could fully engage in this process.</w:t>
      </w:r>
    </w:p>
    <w:p w14:paraId="6E30EC55"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1194D9D4" w14:textId="29D9CBC5"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made comments related to the overall design of the MSE framework, noting modellers had used skipjack but wanted to develop an MSE that could be applied to all tuna stocks, and that needed to be kept in mind when considering overall design of the assessment model. China further noted there was an open access data </w:t>
      </w:r>
      <w:r w:rsidR="00B05BEE">
        <w:rPr>
          <w:rFonts w:ascii="Times New Roman" w:hAnsi="Times New Roman" w:hint="eastAsia"/>
          <w:lang w:val="en-AU" w:eastAsia="ko-KR"/>
        </w:rPr>
        <w:t>poor</w:t>
      </w:r>
      <w:r w:rsidR="00B05BEE" w:rsidRPr="009C2ADD">
        <w:rPr>
          <w:rFonts w:ascii="Times New Roman" w:hAnsi="Times New Roman"/>
          <w:lang w:val="en-AU"/>
        </w:rPr>
        <w:t xml:space="preserve"> </w:t>
      </w:r>
      <w:r w:rsidRPr="009C2ADD">
        <w:rPr>
          <w:rFonts w:ascii="Times New Roman" w:hAnsi="Times New Roman"/>
          <w:lang w:val="en-AU"/>
        </w:rPr>
        <w:t>app</w:t>
      </w:r>
      <w:r w:rsidR="009460C2" w:rsidRPr="009C2ADD">
        <w:rPr>
          <w:rFonts w:ascii="Times New Roman" w:hAnsi="Times New Roman"/>
          <w:lang w:val="en-AU"/>
        </w:rPr>
        <w:t>lication tool</w:t>
      </w:r>
      <w:r w:rsidRPr="009C2ADD">
        <w:rPr>
          <w:rFonts w:ascii="Times New Roman" w:hAnsi="Times New Roman"/>
          <w:lang w:val="en-AU"/>
        </w:rPr>
        <w:t xml:space="preserve"> called DLM-2 developed to model data limited stock</w:t>
      </w:r>
      <w:r w:rsidR="00E765E9">
        <w:rPr>
          <w:rFonts w:ascii="Times New Roman" w:hAnsi="Times New Roman" w:hint="eastAsia"/>
          <w:lang w:val="en-AU" w:eastAsia="ko-KR"/>
        </w:rPr>
        <w:t>s</w:t>
      </w:r>
      <w:r w:rsidRPr="009C2ADD">
        <w:rPr>
          <w:rFonts w:ascii="Times New Roman" w:hAnsi="Times New Roman"/>
          <w:lang w:val="en-AU"/>
        </w:rPr>
        <w:t>, which had over 150 harvest control rules readily available that could be interesting to apply to skipjack</w:t>
      </w:r>
      <w:r w:rsidR="009460C2" w:rsidRPr="009C2ADD">
        <w:rPr>
          <w:rFonts w:ascii="Times New Roman" w:hAnsi="Times New Roman"/>
          <w:lang w:val="en-AU"/>
        </w:rPr>
        <w:t xml:space="preserve"> fisheries in the </w:t>
      </w:r>
      <w:r w:rsidRPr="009C2ADD">
        <w:rPr>
          <w:rFonts w:ascii="Times New Roman" w:hAnsi="Times New Roman"/>
          <w:lang w:val="en-AU"/>
        </w:rPr>
        <w:t>WCPO. China had already applied DML-2 to data rich fisheri</w:t>
      </w:r>
      <w:r w:rsidR="00AF5DDC" w:rsidRPr="009C2ADD">
        <w:rPr>
          <w:rFonts w:ascii="Times New Roman" w:hAnsi="Times New Roman"/>
          <w:lang w:val="en-AU"/>
        </w:rPr>
        <w:t xml:space="preserve">es </w:t>
      </w:r>
      <w:r w:rsidRPr="009C2ADD">
        <w:rPr>
          <w:rFonts w:ascii="Times New Roman" w:hAnsi="Times New Roman"/>
          <w:lang w:val="en-AU"/>
        </w:rPr>
        <w:t xml:space="preserve">in the </w:t>
      </w:r>
      <w:r w:rsidR="00794ECF">
        <w:rPr>
          <w:rFonts w:ascii="Times New Roman" w:hAnsi="Times New Roman"/>
          <w:lang w:val="en-AU"/>
        </w:rPr>
        <w:t>Y</w:t>
      </w:r>
      <w:r w:rsidRPr="009C2ADD">
        <w:rPr>
          <w:rFonts w:ascii="Times New Roman" w:hAnsi="Times New Roman"/>
          <w:lang w:val="en-AU"/>
        </w:rPr>
        <w:t xml:space="preserve">ellow </w:t>
      </w:r>
      <w:r w:rsidR="00794ECF">
        <w:rPr>
          <w:rFonts w:ascii="Times New Roman" w:hAnsi="Times New Roman"/>
          <w:lang w:val="en-AU"/>
        </w:rPr>
        <w:t>S</w:t>
      </w:r>
      <w:r w:rsidRPr="009C2ADD">
        <w:rPr>
          <w:rFonts w:ascii="Times New Roman" w:hAnsi="Times New Roman"/>
          <w:lang w:val="en-AU"/>
        </w:rPr>
        <w:t xml:space="preserve">ea and was surprised how well the model worked. They especially liked how flexible and readily accessible it was, and free. The presenter had heard of DML-2 but had not looked into the app in much details, as the thrust of their research had been to focus on using tools currently at their disposal and build a framework on that. WCPO was not necessarily a data limited fishery, and those types of models tended to be quite conservative. In response to a further question on performance indicator diagrams in the presentation not reflecting the actual model, the presenter clarified that these diagrams were only used to illustrate the conceptual framework and where each of the component fit in a general sense. </w:t>
      </w:r>
    </w:p>
    <w:p w14:paraId="7AD81AE9" w14:textId="77777777" w:rsidR="00AE423F" w:rsidRPr="009C2ADD" w:rsidRDefault="00AE423F" w:rsidP="009C2ADD">
      <w:pPr>
        <w:autoSpaceDE w:val="0"/>
        <w:autoSpaceDN w:val="0"/>
        <w:adjustRightInd w:val="0"/>
        <w:snapToGrid w:val="0"/>
        <w:spacing w:after="0"/>
        <w:rPr>
          <w:rFonts w:ascii="Times New Roman" w:hAnsi="Times New Roman"/>
          <w:lang w:val="en-AU"/>
        </w:rPr>
      </w:pPr>
    </w:p>
    <w:p w14:paraId="16755A88" w14:textId="236B02FC" w:rsidR="005307C0" w:rsidRPr="009C2ADD" w:rsidRDefault="00A35E12"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USA</w:t>
      </w:r>
      <w:r w:rsidR="005307C0" w:rsidRPr="009C2ADD">
        <w:rPr>
          <w:rFonts w:ascii="Times New Roman" w:hAnsi="Times New Roman"/>
          <w:lang w:val="en-AU"/>
        </w:rPr>
        <w:t xml:space="preserve"> mentioned that </w:t>
      </w:r>
      <w:r w:rsidR="00E765E9">
        <w:rPr>
          <w:rFonts w:ascii="Times New Roman" w:hAnsi="Times New Roman" w:hint="eastAsia"/>
          <w:lang w:val="en-AU" w:eastAsia="ko-KR"/>
        </w:rPr>
        <w:t xml:space="preserve">the </w:t>
      </w:r>
      <w:r w:rsidR="005307C0" w:rsidRPr="009C2ADD">
        <w:rPr>
          <w:rFonts w:ascii="Times New Roman" w:hAnsi="Times New Roman"/>
          <w:lang w:val="en-AU"/>
        </w:rPr>
        <w:t>DLM tool might be a useful means forward in a data limited context, but it would not be useful to apply that integrated analysis to skipjack as the DML was not set up to do that and would require the designer of the tool to specify the application to skipjack, which may not be worth the time. China appreciated the views of the US</w:t>
      </w:r>
      <w:r>
        <w:rPr>
          <w:rFonts w:ascii="Times New Roman" w:hAnsi="Times New Roman"/>
          <w:lang w:val="en-AU"/>
        </w:rPr>
        <w:t>A</w:t>
      </w:r>
      <w:r w:rsidR="005307C0" w:rsidRPr="009C2ADD">
        <w:rPr>
          <w:rFonts w:ascii="Times New Roman" w:hAnsi="Times New Roman"/>
          <w:lang w:val="en-AU"/>
        </w:rPr>
        <w:t xml:space="preserve"> but the DML tool was an open source code, so </w:t>
      </w:r>
      <w:r>
        <w:rPr>
          <w:rFonts w:ascii="Times New Roman" w:hAnsi="Times New Roman"/>
          <w:lang w:val="en-AU"/>
        </w:rPr>
        <w:t xml:space="preserve">the </w:t>
      </w:r>
      <w:r w:rsidR="005307C0" w:rsidRPr="009C2ADD">
        <w:rPr>
          <w:rFonts w:ascii="Times New Roman" w:hAnsi="Times New Roman"/>
          <w:lang w:val="en-AU"/>
        </w:rPr>
        <w:t>original designer would not need to be involved. China had experience</w:t>
      </w:r>
      <w:r w:rsidR="00017989" w:rsidRPr="009C2ADD">
        <w:rPr>
          <w:rFonts w:ascii="Times New Roman" w:hAnsi="Times New Roman"/>
          <w:lang w:val="en-AU"/>
        </w:rPr>
        <w:t>d</w:t>
      </w:r>
      <w:r w:rsidR="005307C0" w:rsidRPr="009C2ADD">
        <w:rPr>
          <w:rFonts w:ascii="Times New Roman" w:hAnsi="Times New Roman"/>
          <w:lang w:val="en-AU"/>
        </w:rPr>
        <w:t xml:space="preserve"> success in using this tool to model fisheries in Mexico and the Yellow Sea. </w:t>
      </w:r>
    </w:p>
    <w:p w14:paraId="7DEA9A18" w14:textId="77777777" w:rsidR="00AE423F" w:rsidRPr="009C2ADD" w:rsidRDefault="00AE423F" w:rsidP="009C2ADD">
      <w:pPr>
        <w:pStyle w:val="ListParagraph"/>
        <w:adjustRightInd w:val="0"/>
        <w:snapToGrid w:val="0"/>
        <w:contextualSpacing w:val="0"/>
        <w:rPr>
          <w:rFonts w:ascii="Times New Roman" w:hAnsi="Times New Roman"/>
          <w:lang w:val="en-AU"/>
        </w:rPr>
      </w:pPr>
    </w:p>
    <w:p w14:paraId="2F1ED5F2" w14:textId="494ED08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Indonesia supported having a simple operating model that supported data poor fisheries. Noting that the operating model tried to capture all purse-seine fisheries and pole and line, it asked how this model would account for FADs. The presenter responded </w:t>
      </w:r>
      <w:r w:rsidR="00E765E9">
        <w:rPr>
          <w:rFonts w:ascii="Times New Roman" w:hAnsi="Times New Roman" w:hint="eastAsia"/>
          <w:lang w:val="en-AU" w:eastAsia="ko-KR"/>
        </w:rPr>
        <w:t xml:space="preserve">that </w:t>
      </w:r>
      <w:r w:rsidRPr="009C2ADD">
        <w:rPr>
          <w:rFonts w:ascii="Times New Roman" w:hAnsi="Times New Roman"/>
          <w:lang w:val="en-AU"/>
        </w:rPr>
        <w:t xml:space="preserve">how the purse-seine fishery would be represented in the operating model would depend on fleet components being built into the model. Each region would have purse-seine components representative of different fleets. Regarding FAD effects, those would also be captured within the associated effects of the model. Regarding unusual fluctuations in the pseudo and pole and line fleets in the modelling, this was </w:t>
      </w:r>
      <w:r w:rsidR="00E765E9">
        <w:rPr>
          <w:rFonts w:ascii="Times New Roman" w:hAnsi="Times New Roman" w:hint="eastAsia"/>
          <w:lang w:val="en-AU" w:eastAsia="ko-KR"/>
        </w:rPr>
        <w:t xml:space="preserve">a </w:t>
      </w:r>
      <w:r w:rsidRPr="009C2ADD">
        <w:rPr>
          <w:rFonts w:ascii="Times New Roman" w:hAnsi="Times New Roman"/>
          <w:lang w:val="en-AU"/>
        </w:rPr>
        <w:t xml:space="preserve">technical issue that related to the way researchers were using </w:t>
      </w:r>
      <w:r w:rsidR="00B05BEE" w:rsidRPr="009C2ADD">
        <w:rPr>
          <w:rFonts w:ascii="Times New Roman" w:hAnsi="Times New Roman"/>
          <w:lang w:val="en-AU"/>
        </w:rPr>
        <w:t>M</w:t>
      </w:r>
      <w:r w:rsidR="00B05BEE">
        <w:rPr>
          <w:rFonts w:ascii="Times New Roman" w:hAnsi="Times New Roman"/>
          <w:lang w:val="en-AU"/>
        </w:rPr>
        <w:t>ULTIFAN-CL</w:t>
      </w:r>
      <w:r w:rsidRPr="009C2ADD">
        <w:rPr>
          <w:rFonts w:ascii="Times New Roman" w:hAnsi="Times New Roman"/>
          <w:lang w:val="en-AU"/>
        </w:rPr>
        <w:t xml:space="preserve">, and highlighted areas where more work would be needed to address fluctuations.    </w:t>
      </w:r>
    </w:p>
    <w:p w14:paraId="64909058"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4D0263C7" w14:textId="4CC7C61E"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Fiji supported the statement from Kiribati regarding the importance of coastal state fisheries managers being meaningfully engaged in the development of management strategy evaluation frameworks. While recognising that there were technical elements of the development of this framework that were best progressed by scientists, </w:t>
      </w:r>
      <w:r w:rsidR="009460C2" w:rsidRPr="009C2ADD">
        <w:rPr>
          <w:rFonts w:ascii="Times New Roman" w:hAnsi="Times New Roman"/>
          <w:lang w:val="en-AU"/>
        </w:rPr>
        <w:t xml:space="preserve">members </w:t>
      </w:r>
      <w:r w:rsidRPr="009C2ADD">
        <w:rPr>
          <w:rFonts w:ascii="Times New Roman" w:hAnsi="Times New Roman"/>
          <w:lang w:val="en-AU"/>
        </w:rPr>
        <w:t xml:space="preserve">needed to build </w:t>
      </w:r>
      <w:r w:rsidR="009460C2" w:rsidRPr="009C2ADD">
        <w:rPr>
          <w:rFonts w:ascii="Times New Roman" w:hAnsi="Times New Roman"/>
          <w:lang w:val="en-AU"/>
        </w:rPr>
        <w:t xml:space="preserve">their </w:t>
      </w:r>
      <w:r w:rsidRPr="009C2ADD">
        <w:rPr>
          <w:rFonts w:ascii="Times New Roman" w:hAnsi="Times New Roman"/>
          <w:lang w:val="en-AU"/>
        </w:rPr>
        <w:t xml:space="preserve">understanding of the MSE frameworks, the inputs and outputs, and exactly how this tool will be used, so that </w:t>
      </w:r>
      <w:r w:rsidR="009460C2" w:rsidRPr="009C2ADD">
        <w:rPr>
          <w:rFonts w:ascii="Times New Roman" w:hAnsi="Times New Roman"/>
          <w:lang w:val="en-AU"/>
        </w:rPr>
        <w:t>they</w:t>
      </w:r>
      <w:r w:rsidRPr="009C2ADD">
        <w:rPr>
          <w:rFonts w:ascii="Times New Roman" w:hAnsi="Times New Roman"/>
          <w:lang w:val="en-AU"/>
        </w:rPr>
        <w:t xml:space="preserve"> could engage appropriately in this process. This year it had seen how changes to stock assessment models and the understanding of species life history and biology could significantly alter the results of stock assessments and therefore the estimation of a species stock status. This was a timely reminder of the potential issue of harvest strategies relying on biomass estimates, particularly harvest control rules, and FFA members would therefore like to ask that the SC continue to explore the potential role of empirical indicators in the various elements of the harvest strategies. </w:t>
      </w:r>
    </w:p>
    <w:p w14:paraId="7557375D"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6FBAB257" w14:textId="6FA3696B"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Tonga on behalf of FFA members noted that </w:t>
      </w:r>
      <w:r w:rsidR="009460C2" w:rsidRPr="009C2ADD">
        <w:rPr>
          <w:rFonts w:ascii="Times New Roman" w:hAnsi="Times New Roman"/>
          <w:lang w:val="en-AU"/>
        </w:rPr>
        <w:t>they</w:t>
      </w:r>
      <w:r w:rsidRPr="009C2ADD">
        <w:rPr>
          <w:rFonts w:ascii="Times New Roman" w:hAnsi="Times New Roman"/>
          <w:lang w:val="en-AU"/>
        </w:rPr>
        <w:t xml:space="preserve"> will not be making progress this year on the development of harvest control rules for key </w:t>
      </w:r>
      <w:r w:rsidR="009460C2" w:rsidRPr="009C2ADD">
        <w:rPr>
          <w:rFonts w:ascii="Times New Roman" w:hAnsi="Times New Roman"/>
          <w:lang w:val="en-AU"/>
        </w:rPr>
        <w:t xml:space="preserve">tuna </w:t>
      </w:r>
      <w:r w:rsidRPr="009C2ADD">
        <w:rPr>
          <w:rFonts w:ascii="Times New Roman" w:hAnsi="Times New Roman"/>
          <w:lang w:val="en-AU"/>
        </w:rPr>
        <w:t xml:space="preserve">fisheries. While this was partly due to the additional workload of the bridging measures discussions, FFA </w:t>
      </w:r>
      <w:r w:rsidR="00D5432C">
        <w:rPr>
          <w:rFonts w:ascii="Times New Roman" w:hAnsi="Times New Roman"/>
          <w:lang w:val="en-AU"/>
        </w:rPr>
        <w:t>member</w:t>
      </w:r>
      <w:r w:rsidRPr="009C2ADD">
        <w:rPr>
          <w:rFonts w:ascii="Times New Roman" w:hAnsi="Times New Roman"/>
          <w:lang w:val="en-AU"/>
        </w:rPr>
        <w:t>s were concerned that the Commission</w:t>
      </w:r>
      <w:r w:rsidR="00E765E9">
        <w:rPr>
          <w:rFonts w:ascii="Times New Roman" w:hAnsi="Times New Roman"/>
          <w:lang w:val="en-AU" w:eastAsia="ko-KR"/>
        </w:rPr>
        <w:t>’</w:t>
      </w:r>
      <w:r w:rsidRPr="009C2ADD">
        <w:rPr>
          <w:rFonts w:ascii="Times New Roman" w:hAnsi="Times New Roman"/>
          <w:lang w:val="en-AU"/>
        </w:rPr>
        <w:t>s lack of adoption of a target reference point for albacore was compromising the ability to make progress on candidate harvest control rules for albacore. CCMs were urged to come to the table and actively work with FFA members to discuss the options for an albacore TRP, so that the development of harvest control rules could move forward. Noting that the WCPFC14 was due to adopt a TRP for albacore, and the tropical tuna and albacore bridging CMMs discussions should be finalised this year, it was expected that the workload related to the development of harvest control rules and the management strategy evaluation framework would ramp up next year. The Commission was urged to ensure that appropriate prioritisation was given to the harvest strategy agenda so that sufficient time and resources were available to progress work next year.</w:t>
      </w:r>
    </w:p>
    <w:p w14:paraId="2DF3D303" w14:textId="77777777" w:rsidR="005506E8" w:rsidRPr="009C2ADD" w:rsidRDefault="005506E8" w:rsidP="009C2ADD">
      <w:pPr>
        <w:autoSpaceDE w:val="0"/>
        <w:autoSpaceDN w:val="0"/>
        <w:adjustRightInd w:val="0"/>
        <w:snapToGrid w:val="0"/>
        <w:spacing w:after="0"/>
        <w:rPr>
          <w:rFonts w:ascii="Times New Roman" w:hAnsi="Times New Roman"/>
          <w:lang w:val="en-AU"/>
        </w:rPr>
      </w:pPr>
    </w:p>
    <w:p w14:paraId="6858A6C5" w14:textId="6B10108D"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w:t>
      </w:r>
      <w:r w:rsidR="00822F72">
        <w:rPr>
          <w:rFonts w:ascii="Times New Roman" w:hAnsi="Times New Roman"/>
          <w:lang w:val="en-AU"/>
        </w:rPr>
        <w:t>a</w:t>
      </w:r>
      <w:r w:rsidRPr="009C2ADD">
        <w:rPr>
          <w:rFonts w:ascii="Times New Roman" w:hAnsi="Times New Roman"/>
          <w:lang w:val="en-AU"/>
        </w:rPr>
        <w:t xml:space="preserve">ipei noted that the performance of the model appeared to be good, but it sought clarification on the consistency problems with the tuning index and whether </w:t>
      </w:r>
      <w:r w:rsidR="009460C2" w:rsidRPr="009C2ADD">
        <w:rPr>
          <w:rFonts w:ascii="Times New Roman" w:hAnsi="Times New Roman"/>
          <w:lang w:val="en-AU"/>
        </w:rPr>
        <w:t xml:space="preserve">MULTIFAN-CL </w:t>
      </w:r>
      <w:r w:rsidRPr="009C2ADD">
        <w:rPr>
          <w:rFonts w:ascii="Times New Roman" w:hAnsi="Times New Roman"/>
          <w:lang w:val="en-AU"/>
        </w:rPr>
        <w:t xml:space="preserve">would be better as it did not have a tuning index. R. Scott noted that the </w:t>
      </w:r>
      <w:r w:rsidR="005506E8" w:rsidRPr="009C2ADD">
        <w:rPr>
          <w:rFonts w:ascii="Times New Roman" w:hAnsi="Times New Roman"/>
          <w:lang w:val="en-AU"/>
        </w:rPr>
        <w:t>i</w:t>
      </w:r>
      <w:r w:rsidRPr="009C2ADD">
        <w:rPr>
          <w:rFonts w:ascii="Times New Roman" w:hAnsi="Times New Roman"/>
          <w:lang w:val="en-AU"/>
        </w:rPr>
        <w:t xml:space="preserve">nternal consistency issue was specifically limited to the A4A model and how they had tried to apply it, which was set up with a different modelling structure. It was not really a consideration for </w:t>
      </w:r>
      <w:r w:rsidR="009460C2" w:rsidRPr="009C2ADD">
        <w:rPr>
          <w:rFonts w:ascii="Times New Roman" w:hAnsi="Times New Roman"/>
          <w:lang w:val="en-AU"/>
        </w:rPr>
        <w:t>MULTIFAN-CL</w:t>
      </w:r>
      <w:r w:rsidRPr="009C2ADD">
        <w:rPr>
          <w:rFonts w:ascii="Times New Roman" w:hAnsi="Times New Roman"/>
          <w:lang w:val="en-AU"/>
        </w:rPr>
        <w:t>.</w:t>
      </w:r>
    </w:p>
    <w:p w14:paraId="18620C60"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C02B473" w14:textId="5E5DA7D1"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noted that WCPFC12 had adopted a work-plan for the adoption of Harvest Strategies under CMM 2014-06 and that the development of Harvest Control Rules and Management Strategy Evaluation frameworks had commenced in 2016 and is scheduled to continue through until 2018. SC13 noted the importance of this ongoing work and reviewed the progress outlined in SC13-MI-WP-04. Noting that the initial focus of this work has been on WCPO skipjack, and that other stocks and fisheries will need to be considered as the work proceeds, SC13 provided feedback on the work undertaken to date and made a number of suggestions to help progress this work over the next year. SC13 also noted that additional resources (based on funding provided by New Zealand) are being provided to help expedite this work and appreciated the support for workshops and consultations to improve the capacity of fishery managers to become meaningfully engaged in the development of management strategy evaluation frameworks. SC13 recommends that WCPFC14 note the approach being taken to develop an MSE framework for WCPFC stocks and fisheries, noting that the results presented in this progress report are preliminary and that development of the framework is ongoing with the expectation that preliminary results would possibly be provided in 2018.</w:t>
      </w:r>
      <w:r w:rsidR="005506E8" w:rsidRPr="009C2ADD">
        <w:rPr>
          <w:rFonts w:ascii="Times New Roman" w:hAnsi="Times New Roman"/>
          <w:b/>
          <w:lang w:val="en-AU"/>
        </w:rPr>
        <w:t xml:space="preserve"> SC13 also noted that:</w:t>
      </w:r>
    </w:p>
    <w:p w14:paraId="7ED1744B" w14:textId="49FBD3D8" w:rsidR="005307C0" w:rsidRPr="009C2ADD" w:rsidRDefault="005307C0" w:rsidP="00B22C8E">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importance of ongoing stakeholder involvement and consultation in this work (e.g. via in-country stakeholder engagement with the Scientific Service Provider and/or through a higher-level meeting or workshop for broader stakeholder engagement) and recommends that WCPFC1</w:t>
      </w:r>
      <w:r w:rsidR="00B05BEE">
        <w:rPr>
          <w:rFonts w:ascii="Times New Roman" w:hAnsi="Times New Roman" w:hint="eastAsia"/>
          <w:b/>
          <w:lang w:val="en-AU" w:eastAsia="ko-KR"/>
        </w:rPr>
        <w:t>4</w:t>
      </w:r>
      <w:r w:rsidRPr="009C2ADD">
        <w:rPr>
          <w:rFonts w:ascii="Times New Roman" w:hAnsi="Times New Roman"/>
          <w:b/>
          <w:lang w:val="en-AU"/>
        </w:rPr>
        <w:t xml:space="preserve"> explore mechanisms and options for facilitating and funding these arrangements. </w:t>
      </w:r>
    </w:p>
    <w:p w14:paraId="4C7151C4" w14:textId="21C5636F" w:rsidR="005307C0" w:rsidRPr="009C2ADD" w:rsidRDefault="005307C0" w:rsidP="00B22C8E">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harvest strategy work needs to be integrated into the work of the Commission and given a greater priority.</w:t>
      </w:r>
    </w:p>
    <w:p w14:paraId="5BB1D961" w14:textId="5E8A97B5" w:rsidR="005307C0" w:rsidRPr="009C2ADD" w:rsidRDefault="005307C0" w:rsidP="00B22C8E">
      <w:pPr>
        <w:pStyle w:val="ListParagraph"/>
        <w:numPr>
          <w:ilvl w:val="1"/>
          <w:numId w:val="52"/>
        </w:numPr>
        <w:adjustRightInd w:val="0"/>
        <w:snapToGrid w:val="0"/>
        <w:ind w:left="1080"/>
        <w:contextualSpacing w:val="0"/>
        <w:rPr>
          <w:rFonts w:ascii="Times New Roman" w:hAnsi="Times New Roman"/>
          <w:b/>
          <w:lang w:val="en-AU"/>
        </w:rPr>
      </w:pPr>
      <w:proofErr w:type="gramStart"/>
      <w:r w:rsidRPr="009C2ADD">
        <w:rPr>
          <w:rFonts w:ascii="Times New Roman" w:hAnsi="Times New Roman"/>
          <w:b/>
          <w:lang w:val="en-AU"/>
        </w:rPr>
        <w:t>the</w:t>
      </w:r>
      <w:proofErr w:type="gramEnd"/>
      <w:r w:rsidRPr="009C2ADD">
        <w:rPr>
          <w:rFonts w:ascii="Times New Roman" w:hAnsi="Times New Roman"/>
          <w:b/>
          <w:lang w:val="en-AU"/>
        </w:rPr>
        <w:t xml:space="preserve"> concerns of some CCMs about the discontinuation of the management objectives workshop process.</w:t>
      </w:r>
    </w:p>
    <w:p w14:paraId="50ED561F" w14:textId="77777777" w:rsidR="005307C0" w:rsidRPr="009C2ADD" w:rsidRDefault="005307C0" w:rsidP="009C2ADD">
      <w:pPr>
        <w:adjustRightInd w:val="0"/>
        <w:snapToGrid w:val="0"/>
        <w:spacing w:after="0"/>
        <w:rPr>
          <w:rFonts w:ascii="Times New Roman" w:hAnsi="Times New Roman"/>
          <w:lang w:val="en-AU"/>
        </w:rPr>
      </w:pPr>
    </w:p>
    <w:p w14:paraId="3C0DD514" w14:textId="3928796D" w:rsidR="005307C0" w:rsidRPr="009C2ADD" w:rsidRDefault="002453E6" w:rsidP="009C2ADD">
      <w:pPr>
        <w:pStyle w:val="Heading2"/>
        <w:adjustRightInd w:val="0"/>
        <w:snapToGrid w:val="0"/>
        <w:rPr>
          <w:color w:val="auto"/>
          <w:szCs w:val="22"/>
          <w:lang w:val="en-AU"/>
        </w:rPr>
      </w:pPr>
      <w:bookmarkStart w:id="128" w:name="_Toc491851826"/>
      <w:r w:rsidRPr="009C2ADD">
        <w:rPr>
          <w:color w:val="auto"/>
          <w:szCs w:val="22"/>
          <w:lang w:val="en-AU"/>
        </w:rPr>
        <w:t>5.2 Management issues related to FADs</w:t>
      </w:r>
      <w:bookmarkEnd w:id="128"/>
    </w:p>
    <w:p w14:paraId="0DE736DA" w14:textId="77777777" w:rsidR="009E5549" w:rsidRPr="009C2ADD" w:rsidRDefault="009E5549" w:rsidP="009C2ADD">
      <w:pPr>
        <w:autoSpaceDE w:val="0"/>
        <w:autoSpaceDN w:val="0"/>
        <w:adjustRightInd w:val="0"/>
        <w:snapToGrid w:val="0"/>
        <w:spacing w:after="0"/>
        <w:rPr>
          <w:rFonts w:ascii="Times New Roman" w:hAnsi="Times New Roman"/>
          <w:lang w:val="en-AU"/>
        </w:rPr>
      </w:pPr>
    </w:p>
    <w:p w14:paraId="79B436BB"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Convenor</w:t>
      </w:r>
      <w:r w:rsidR="000A1731" w:rsidRPr="009C2ADD">
        <w:rPr>
          <w:rFonts w:ascii="Times New Roman" w:hAnsi="Times New Roman"/>
          <w:lang w:val="en-AU"/>
        </w:rPr>
        <w:t xml:space="preserve"> drew attention to a</w:t>
      </w:r>
      <w:r w:rsidRPr="009C2ADD">
        <w:rPr>
          <w:rFonts w:ascii="Times New Roman" w:hAnsi="Times New Roman"/>
          <w:lang w:val="en-AU"/>
        </w:rPr>
        <w:t xml:space="preserve"> request from the Commission to consider the outcomes of the 2nd FADMgmtOptions-IWG (WCPFC13 Summary Report Paragraph 601.)</w:t>
      </w:r>
    </w:p>
    <w:p w14:paraId="11A4954E" w14:textId="77777777" w:rsidR="005307C0" w:rsidRPr="009C2ADD" w:rsidRDefault="005307C0" w:rsidP="009C2ADD">
      <w:pPr>
        <w:adjustRightInd w:val="0"/>
        <w:snapToGrid w:val="0"/>
        <w:spacing w:after="0"/>
        <w:ind w:left="964"/>
        <w:rPr>
          <w:rFonts w:ascii="Times New Roman" w:hAnsi="Times New Roman"/>
          <w:lang w:val="en-AU"/>
        </w:rPr>
      </w:pPr>
      <w:r w:rsidRPr="009C2ADD">
        <w:rPr>
          <w:rFonts w:ascii="Times New Roman" w:hAnsi="Times New Roman"/>
          <w:i/>
          <w:lang w:val="en-AU"/>
        </w:rPr>
        <w:t>601.</w:t>
      </w:r>
      <w:r w:rsidRPr="009C2ADD">
        <w:rPr>
          <w:rFonts w:ascii="Times New Roman" w:hAnsi="Times New Roman"/>
          <w:i/>
          <w:lang w:val="en-AU"/>
        </w:rPr>
        <w:tab/>
        <w:t xml:space="preserve">The Commission adopted the Report of the 2nd meeting of the FADMgmtOptions-IWG </w:t>
      </w:r>
      <w:r w:rsidRPr="009C2ADD">
        <w:rPr>
          <w:rFonts w:ascii="Times New Roman" w:hAnsi="Times New Roman"/>
          <w:b/>
          <w:i/>
          <w:lang w:val="en-AU"/>
        </w:rPr>
        <w:t>(</w:t>
      </w:r>
      <w:r w:rsidRPr="009C2ADD">
        <w:rPr>
          <w:rFonts w:ascii="Times New Roman" w:hAnsi="Times New Roman"/>
          <w:i/>
          <w:lang w:val="en-AU"/>
        </w:rPr>
        <w:t>WCPFC13-2016-FADMgmtOptions-IWG02_rev2)</w:t>
      </w:r>
      <w:r w:rsidRPr="009C2ADD">
        <w:rPr>
          <w:rFonts w:ascii="Times New Roman" w:hAnsi="Times New Roman"/>
          <w:b/>
          <w:i/>
          <w:lang w:val="en-AU"/>
        </w:rPr>
        <w:t>,</w:t>
      </w:r>
      <w:r w:rsidRPr="009C2ADD">
        <w:rPr>
          <w:rFonts w:ascii="Times New Roman" w:hAnsi="Times New Roman"/>
          <w:i/>
          <w:lang w:val="en-AU"/>
        </w:rPr>
        <w:t xml:space="preserve"> and agreed that the outcomes therein should be further considered at SC13 and TCC13.</w:t>
      </w:r>
    </w:p>
    <w:p w14:paraId="48B058C2" w14:textId="77777777" w:rsidR="003A411E" w:rsidRPr="009C2ADD" w:rsidRDefault="003A411E" w:rsidP="009C2ADD">
      <w:pPr>
        <w:pStyle w:val="Heading3"/>
        <w:adjustRightInd w:val="0"/>
        <w:snapToGrid w:val="0"/>
        <w:spacing w:before="0"/>
        <w:rPr>
          <w:rFonts w:ascii="Times New Roman" w:hAnsi="Times New Roman" w:cs="Times New Roman"/>
          <w:lang w:val="en-AU"/>
        </w:rPr>
      </w:pPr>
    </w:p>
    <w:p w14:paraId="1CB92A07"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Convenor noted that the FADMgmtOptions-IWG had recommended to WCPFC13 that the consultant’s report on options and considerations of implementing a marking and identification system for FADs in the WCPO (FADMgmtOptionsIWG-02-04) be forwarded to SC13 and TCC13 for further consideration (Paragraph 51, FADMgmtOptions-IWG02 Report).</w:t>
      </w:r>
    </w:p>
    <w:p w14:paraId="37BA55C1" w14:textId="77777777" w:rsidR="005506E8" w:rsidRPr="009C2ADD" w:rsidRDefault="005506E8" w:rsidP="009C2ADD">
      <w:pPr>
        <w:autoSpaceDE w:val="0"/>
        <w:autoSpaceDN w:val="0"/>
        <w:adjustRightInd w:val="0"/>
        <w:snapToGrid w:val="0"/>
        <w:spacing w:after="0"/>
        <w:rPr>
          <w:rFonts w:ascii="Times New Roman" w:hAnsi="Times New Roman"/>
          <w:lang w:val="en-AU"/>
        </w:rPr>
      </w:pPr>
    </w:p>
    <w:p w14:paraId="2CA1C2BF" w14:textId="078EE8FB" w:rsidR="009E5549"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was invited to consider the consultancy report and provide recommendations as appropriate.</w:t>
      </w:r>
    </w:p>
    <w:p w14:paraId="6B0580A9"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108CA27A" w14:textId="3F251DD4" w:rsidR="009E5549" w:rsidRPr="009C2ADD" w:rsidRDefault="009E5549" w:rsidP="009C2ADD">
      <w:pPr>
        <w:autoSpaceDE w:val="0"/>
        <w:autoSpaceDN w:val="0"/>
        <w:adjustRightInd w:val="0"/>
        <w:snapToGrid w:val="0"/>
        <w:spacing w:after="0"/>
        <w:rPr>
          <w:rFonts w:ascii="Times New Roman" w:hAnsi="Times New Roman"/>
          <w:b/>
          <w:lang w:val="en-AU" w:eastAsia="ko-KR"/>
        </w:rPr>
      </w:pPr>
      <w:r w:rsidRPr="009C2ADD">
        <w:rPr>
          <w:rFonts w:ascii="Times New Roman" w:hAnsi="Times New Roman"/>
          <w:b/>
          <w:lang w:val="en-AU" w:eastAsia="ko-KR"/>
        </w:rPr>
        <w:t xml:space="preserve">5.2.1 </w:t>
      </w:r>
      <w:r w:rsidR="005506E8" w:rsidRPr="009C2ADD">
        <w:rPr>
          <w:rFonts w:ascii="Times New Roman" w:hAnsi="Times New Roman"/>
          <w:b/>
          <w:lang w:val="en-AU" w:eastAsia="ko-KR"/>
        </w:rPr>
        <w:tab/>
      </w:r>
      <w:r w:rsidRPr="009C2ADD">
        <w:rPr>
          <w:rFonts w:ascii="Times New Roman" w:hAnsi="Times New Roman"/>
          <w:b/>
          <w:lang w:val="en-AU" w:eastAsia="ko-KR"/>
        </w:rPr>
        <w:t>FAD tracking</w:t>
      </w:r>
    </w:p>
    <w:p w14:paraId="4D25D339" w14:textId="77777777" w:rsidR="005506E8" w:rsidRPr="009C2ADD" w:rsidRDefault="005506E8" w:rsidP="009C2ADD">
      <w:pPr>
        <w:autoSpaceDE w:val="0"/>
        <w:autoSpaceDN w:val="0"/>
        <w:adjustRightInd w:val="0"/>
        <w:snapToGrid w:val="0"/>
        <w:spacing w:after="0"/>
        <w:rPr>
          <w:rFonts w:ascii="Times New Roman" w:hAnsi="Times New Roman"/>
          <w:b/>
          <w:lang w:val="en-AU"/>
        </w:rPr>
      </w:pPr>
    </w:p>
    <w:p w14:paraId="15A4B54E" w14:textId="7256B152"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50437C">
        <w:rPr>
          <w:rFonts w:ascii="Times New Roman" w:hAnsi="Times New Roman" w:hint="eastAsia"/>
          <w:lang w:val="en-AU" w:eastAsia="ko-KR"/>
        </w:rPr>
        <w:t>.</w:t>
      </w:r>
      <w:r w:rsidRPr="009C2ADD">
        <w:rPr>
          <w:rFonts w:ascii="Times New Roman" w:hAnsi="Times New Roman"/>
          <w:lang w:val="en-AU"/>
        </w:rPr>
        <w:t xml:space="preserve"> Escalle (SPC) presented </w:t>
      </w:r>
      <w:r w:rsidRPr="0070772D">
        <w:rPr>
          <w:rFonts w:ascii="Times New Roman" w:hAnsi="Times New Roman"/>
          <w:bCs/>
          <w:lang w:val="en-AU"/>
        </w:rPr>
        <w:t>SC13-MI-WP-05</w:t>
      </w:r>
      <w:r w:rsidRPr="009C2ADD">
        <w:rPr>
          <w:rFonts w:ascii="Times New Roman" w:hAnsi="Times New Roman"/>
          <w:lang w:val="en-AU"/>
        </w:rPr>
        <w:t xml:space="preserve"> </w:t>
      </w:r>
      <w:r w:rsidRPr="009C2ADD">
        <w:rPr>
          <w:rFonts w:ascii="Times New Roman" w:hAnsi="Times New Roman"/>
          <w:i/>
          <w:lang w:val="en-AU"/>
        </w:rPr>
        <w:t>Preliminary analyses of PNA FAD tracking data from 2016 and 2017</w:t>
      </w:r>
      <w:r w:rsidRPr="009C2ADD">
        <w:rPr>
          <w:rFonts w:ascii="Times New Roman" w:hAnsi="Times New Roman"/>
          <w:lang w:val="en-AU"/>
        </w:rPr>
        <w:t>, which provided information on the characteristics of the tracking data of satellite buoys deployed on FAD</w:t>
      </w:r>
      <w:r w:rsidR="00F92A0B">
        <w:rPr>
          <w:rFonts w:ascii="Times New Roman" w:hAnsi="Times New Roman" w:hint="eastAsia"/>
          <w:lang w:val="en-AU" w:eastAsia="ko-KR"/>
        </w:rPr>
        <w:t>s</w:t>
      </w:r>
      <w:r w:rsidRPr="009C2ADD">
        <w:rPr>
          <w:rFonts w:ascii="Times New Roman" w:hAnsi="Times New Roman"/>
          <w:lang w:val="en-AU"/>
        </w:rPr>
        <w:t xml:space="preserve"> reported by fishing companies to PNA, and </w:t>
      </w:r>
      <w:r w:rsidR="00F92A0B">
        <w:rPr>
          <w:rFonts w:ascii="Times New Roman" w:hAnsi="Times New Roman"/>
          <w:lang w:val="en-AU"/>
        </w:rPr>
        <w:t xml:space="preserve">the results of follow-up </w:t>
      </w:r>
      <w:r w:rsidRPr="009C2ADD">
        <w:rPr>
          <w:rFonts w:ascii="Times New Roman" w:hAnsi="Times New Roman"/>
          <w:lang w:val="en-AU"/>
        </w:rPr>
        <w:t>investigat</w:t>
      </w:r>
      <w:r w:rsidR="00F92A0B">
        <w:rPr>
          <w:rFonts w:ascii="Times New Roman" w:hAnsi="Times New Roman" w:hint="eastAsia"/>
          <w:lang w:val="en-AU" w:eastAsia="ko-KR"/>
        </w:rPr>
        <w:t>ions based on these data were</w:t>
      </w:r>
      <w:r w:rsidRPr="009C2ADD">
        <w:rPr>
          <w:rFonts w:ascii="Times New Roman" w:hAnsi="Times New Roman"/>
          <w:lang w:val="en-AU"/>
        </w:rPr>
        <w:t xml:space="preserve"> presented. This included FAD densities in time and space, beaching events, dynamics around the WCPO FAD closure and some initial FAD life-history information. The need for additional processing of the data was highlighted, in particular separating at-sea and on-board transmissions and precise FAD deployment locations. Finally, suggestions for several further analyses using this dataset were made. </w:t>
      </w:r>
    </w:p>
    <w:p w14:paraId="0DF62BFB" w14:textId="77777777" w:rsidR="005506E8" w:rsidRPr="009C2ADD" w:rsidRDefault="005506E8" w:rsidP="009C2ADD">
      <w:pPr>
        <w:autoSpaceDE w:val="0"/>
        <w:autoSpaceDN w:val="0"/>
        <w:adjustRightInd w:val="0"/>
        <w:snapToGrid w:val="0"/>
        <w:spacing w:after="0"/>
        <w:rPr>
          <w:rFonts w:ascii="Times New Roman" w:hAnsi="Times New Roman"/>
          <w:lang w:val="en-AU"/>
        </w:rPr>
      </w:pPr>
    </w:p>
    <w:p w14:paraId="6ACC23FC" w14:textId="77777777"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Niue was very interested in the work undertaken on FADs, especially FAD design, as it was increasingly concerned about the sheer number of FADs showing up on its shores, their drifting behaviour, and how many may be passing by Niue due to strong currents moving floating material that way.   </w:t>
      </w:r>
    </w:p>
    <w:p w14:paraId="3C0C46CF"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348D72A8" w14:textId="209FD09B" w:rsidR="005307C0" w:rsidRPr="009C2ADD" w:rsidRDefault="007E066D"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EU</w:t>
      </w:r>
      <w:r w:rsidR="005307C0" w:rsidRPr="009C2ADD">
        <w:rPr>
          <w:rFonts w:ascii="Times New Roman" w:hAnsi="Times New Roman"/>
          <w:lang w:val="en-AU"/>
        </w:rPr>
        <w:t xml:space="preserve"> noted the great potential of this work. It was surprised at the difficulties researchers had in the WCPO regarding locating the precise location of deployment, as the work the EU was conducting in other areas demonstrated it was quite evident from tracking the history of the buoy. In response to whether researchers had estimated the number of FADs deployed at sea in the WCPO compared with observer data, researchers </w:t>
      </w:r>
      <w:r w:rsidR="00F92A0B">
        <w:rPr>
          <w:rFonts w:ascii="Times New Roman" w:hAnsi="Times New Roman" w:hint="eastAsia"/>
          <w:lang w:val="en-AU" w:eastAsia="ko-KR"/>
        </w:rPr>
        <w:t>noted the</w:t>
      </w:r>
      <w:r w:rsidR="00F92A0B" w:rsidRPr="009C2ADD">
        <w:rPr>
          <w:rFonts w:ascii="Times New Roman" w:hAnsi="Times New Roman"/>
          <w:lang w:val="en-AU"/>
        </w:rPr>
        <w:t xml:space="preserve"> </w:t>
      </w:r>
      <w:r w:rsidR="005307C0" w:rsidRPr="009C2ADD">
        <w:rPr>
          <w:rFonts w:ascii="Times New Roman" w:hAnsi="Times New Roman"/>
          <w:lang w:val="en-AU"/>
        </w:rPr>
        <w:t xml:space="preserve">challenges </w:t>
      </w:r>
      <w:r w:rsidR="00F92A0B">
        <w:rPr>
          <w:rFonts w:ascii="Times New Roman" w:hAnsi="Times New Roman" w:hint="eastAsia"/>
          <w:lang w:val="en-AU" w:eastAsia="ko-KR"/>
        </w:rPr>
        <w:t xml:space="preserve">in </w:t>
      </w:r>
      <w:r w:rsidR="005307C0" w:rsidRPr="009C2ADD">
        <w:rPr>
          <w:rFonts w:ascii="Times New Roman" w:hAnsi="Times New Roman"/>
          <w:lang w:val="en-AU"/>
        </w:rPr>
        <w:t>determining the precise location and number of deployments for the 17,000 FADs so it wasn’t possible to track them all individually</w:t>
      </w:r>
      <w:r w:rsidR="004F13BB">
        <w:rPr>
          <w:rFonts w:ascii="Times New Roman" w:hAnsi="Times New Roman" w:hint="eastAsia"/>
          <w:lang w:val="en-AU" w:eastAsia="ko-KR"/>
        </w:rPr>
        <w:t>. H</w:t>
      </w:r>
      <w:r w:rsidR="004F13BB">
        <w:rPr>
          <w:rFonts w:ascii="Times New Roman" w:hAnsi="Times New Roman"/>
          <w:lang w:val="en-AU" w:eastAsia="ko-KR"/>
        </w:rPr>
        <w:t>o</w:t>
      </w:r>
      <w:r w:rsidR="004F13BB">
        <w:rPr>
          <w:rFonts w:ascii="Times New Roman" w:hAnsi="Times New Roman" w:hint="eastAsia"/>
          <w:lang w:val="en-AU" w:eastAsia="ko-KR"/>
        </w:rPr>
        <w:t>wever,</w:t>
      </w:r>
      <w:r w:rsidR="005307C0" w:rsidRPr="009C2ADD">
        <w:rPr>
          <w:rFonts w:ascii="Times New Roman" w:hAnsi="Times New Roman"/>
          <w:lang w:val="en-AU"/>
        </w:rPr>
        <w:t xml:space="preserve"> they were trying to build </w:t>
      </w:r>
      <w:r w:rsidR="004F13BB">
        <w:rPr>
          <w:rFonts w:ascii="Times New Roman" w:hAnsi="Times New Roman"/>
          <w:lang w:val="en-AU"/>
        </w:rPr>
        <w:t xml:space="preserve">procedures to </w:t>
      </w:r>
      <w:r w:rsidR="005307C0" w:rsidRPr="009C2ADD">
        <w:rPr>
          <w:rFonts w:ascii="Times New Roman" w:hAnsi="Times New Roman"/>
          <w:lang w:val="en-AU"/>
        </w:rPr>
        <w:t xml:space="preserve">identify precise locations </w:t>
      </w:r>
      <w:r w:rsidR="004F13BB">
        <w:rPr>
          <w:rFonts w:ascii="Times New Roman" w:hAnsi="Times New Roman" w:hint="eastAsia"/>
          <w:lang w:val="en-AU" w:eastAsia="ko-KR"/>
        </w:rPr>
        <w:t>whilst</w:t>
      </w:r>
      <w:r w:rsidR="004F13BB" w:rsidRPr="009C2ADD">
        <w:rPr>
          <w:rFonts w:ascii="Times New Roman" w:hAnsi="Times New Roman"/>
          <w:lang w:val="en-AU"/>
        </w:rPr>
        <w:t xml:space="preserve"> </w:t>
      </w:r>
      <w:r w:rsidR="005307C0" w:rsidRPr="009C2ADD">
        <w:rPr>
          <w:rFonts w:ascii="Times New Roman" w:hAnsi="Times New Roman"/>
          <w:lang w:val="en-AU"/>
        </w:rPr>
        <w:t xml:space="preserve">at sea and on board. They also only knew the number of active buoys, </w:t>
      </w:r>
      <w:r w:rsidR="004F13BB">
        <w:rPr>
          <w:rFonts w:ascii="Times New Roman" w:hAnsi="Times New Roman" w:hint="eastAsia"/>
          <w:lang w:val="en-AU" w:eastAsia="ko-KR"/>
        </w:rPr>
        <w:t>but</w:t>
      </w:r>
      <w:r w:rsidR="004F13BB" w:rsidRPr="009C2ADD">
        <w:rPr>
          <w:rFonts w:ascii="Times New Roman" w:hAnsi="Times New Roman"/>
          <w:lang w:val="en-AU"/>
        </w:rPr>
        <w:t xml:space="preserve"> </w:t>
      </w:r>
      <w:r w:rsidR="005307C0" w:rsidRPr="009C2ADD">
        <w:rPr>
          <w:rFonts w:ascii="Times New Roman" w:hAnsi="Times New Roman"/>
          <w:lang w:val="en-AU"/>
        </w:rPr>
        <w:t>did not know how many fishing companies had been deploying</w:t>
      </w:r>
      <w:r w:rsidR="004F13BB">
        <w:rPr>
          <w:rFonts w:ascii="Times New Roman" w:hAnsi="Times New Roman" w:hint="eastAsia"/>
          <w:lang w:val="en-AU" w:eastAsia="ko-KR"/>
        </w:rPr>
        <w:t xml:space="preserve"> them</w:t>
      </w:r>
      <w:r w:rsidR="005307C0" w:rsidRPr="009C2ADD">
        <w:rPr>
          <w:rFonts w:ascii="Times New Roman" w:hAnsi="Times New Roman"/>
          <w:lang w:val="en-AU"/>
        </w:rPr>
        <w:t xml:space="preserve">.  </w:t>
      </w:r>
    </w:p>
    <w:p w14:paraId="6DC23AC8"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120FC8A9" w14:textId="2F07A722" w:rsidR="001127D5" w:rsidRPr="009C2ADD" w:rsidRDefault="001127D5"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eastAsia="ko-KR"/>
        </w:rPr>
        <w:t xml:space="preserve">EU asked </w:t>
      </w:r>
      <w:r w:rsidR="00B849B1">
        <w:rPr>
          <w:rFonts w:ascii="Times New Roman" w:hAnsi="Times New Roman" w:hint="eastAsia"/>
          <w:lang w:val="en-AU" w:eastAsia="ko-KR"/>
        </w:rPr>
        <w:t xml:space="preserve">about </w:t>
      </w:r>
      <w:r w:rsidRPr="009C2ADD">
        <w:rPr>
          <w:rFonts w:ascii="Times New Roman" w:hAnsi="Times New Roman"/>
          <w:lang w:val="en-AU" w:eastAsia="ko-KR"/>
        </w:rPr>
        <w:t>the r</w:t>
      </w:r>
      <w:r w:rsidR="005307C0" w:rsidRPr="009C2ADD">
        <w:rPr>
          <w:rFonts w:ascii="Times New Roman" w:hAnsi="Times New Roman"/>
          <w:lang w:val="en-AU"/>
        </w:rPr>
        <w:t xml:space="preserve">elationship between CPUE and FAD density, </w:t>
      </w:r>
      <w:r w:rsidRPr="009C2ADD">
        <w:rPr>
          <w:rFonts w:ascii="Times New Roman" w:hAnsi="Times New Roman"/>
          <w:lang w:val="en-AU" w:eastAsia="ko-KR"/>
        </w:rPr>
        <w:t>including</w:t>
      </w:r>
      <w:r w:rsidR="00E2627A">
        <w:rPr>
          <w:rFonts w:ascii="Times New Roman" w:hAnsi="Times New Roman" w:hint="eastAsia"/>
          <w:lang w:val="en-AU" w:eastAsia="ko-KR"/>
        </w:rPr>
        <w:t xml:space="preserve"> whether</w:t>
      </w:r>
      <w:r w:rsidRPr="009C2ADD">
        <w:rPr>
          <w:rFonts w:ascii="Times New Roman" w:hAnsi="Times New Roman"/>
          <w:lang w:val="en-AU" w:eastAsia="ko-KR"/>
        </w:rPr>
        <w:t xml:space="preserve"> the </w:t>
      </w:r>
      <w:r w:rsidR="005307C0" w:rsidRPr="009C2ADD">
        <w:rPr>
          <w:rFonts w:ascii="Times New Roman" w:hAnsi="Times New Roman"/>
          <w:lang w:val="en-AU"/>
        </w:rPr>
        <w:t xml:space="preserve">metric </w:t>
      </w:r>
      <w:r w:rsidR="00E2627A">
        <w:rPr>
          <w:rFonts w:ascii="Times New Roman" w:hAnsi="Times New Roman" w:hint="eastAsia"/>
          <w:lang w:val="en-AU" w:eastAsia="ko-KR"/>
        </w:rPr>
        <w:t>for</w:t>
      </w:r>
      <w:r w:rsidR="00E2627A" w:rsidRPr="009C2ADD">
        <w:rPr>
          <w:rFonts w:ascii="Times New Roman" w:hAnsi="Times New Roman"/>
          <w:lang w:val="en-AU" w:eastAsia="ko-KR"/>
        </w:rPr>
        <w:t xml:space="preserve"> </w:t>
      </w:r>
      <w:r w:rsidRPr="009C2ADD">
        <w:rPr>
          <w:rFonts w:ascii="Times New Roman" w:hAnsi="Times New Roman"/>
          <w:lang w:val="en-AU" w:eastAsia="ko-KR"/>
        </w:rPr>
        <w:t xml:space="preserve">CPUE </w:t>
      </w:r>
      <w:r w:rsidR="00E2627A">
        <w:rPr>
          <w:rFonts w:ascii="Times New Roman" w:hAnsi="Times New Roman" w:hint="eastAsia"/>
          <w:lang w:val="en-AU" w:eastAsia="ko-KR"/>
        </w:rPr>
        <w:t>was</w:t>
      </w:r>
      <w:r w:rsidRPr="009C2ADD">
        <w:rPr>
          <w:rFonts w:ascii="Times New Roman" w:hAnsi="Times New Roman"/>
          <w:lang w:val="en-AU" w:eastAsia="ko-KR"/>
        </w:rPr>
        <w:t xml:space="preserve"> catch per set or catch per day, and whether the research can </w:t>
      </w:r>
      <w:r w:rsidRPr="009C2ADD">
        <w:rPr>
          <w:rFonts w:ascii="Times New Roman" w:hAnsi="Times New Roman"/>
          <w:lang w:val="en-AU"/>
        </w:rPr>
        <w:t xml:space="preserve">make any estimate of FAD loss or buoy loss </w:t>
      </w:r>
      <w:r w:rsidR="00E2627A">
        <w:rPr>
          <w:rFonts w:ascii="Times New Roman" w:hAnsi="Times New Roman" w:hint="eastAsia"/>
          <w:lang w:val="en-AU" w:eastAsia="ko-KR"/>
        </w:rPr>
        <w:t xml:space="preserve">due to those </w:t>
      </w:r>
      <w:r w:rsidRPr="009C2ADD">
        <w:rPr>
          <w:rFonts w:ascii="Times New Roman" w:hAnsi="Times New Roman"/>
          <w:lang w:val="en-AU"/>
        </w:rPr>
        <w:t>that have drifted out of the fishing ground</w:t>
      </w:r>
      <w:r w:rsidR="00E2627A">
        <w:rPr>
          <w:rFonts w:ascii="Times New Roman" w:hAnsi="Times New Roman" w:hint="eastAsia"/>
          <w:lang w:val="en-AU" w:eastAsia="ko-KR"/>
        </w:rPr>
        <w:t>s</w:t>
      </w:r>
      <w:r w:rsidRPr="009C2ADD">
        <w:rPr>
          <w:rFonts w:ascii="Times New Roman" w:hAnsi="Times New Roman"/>
          <w:lang w:val="en-AU" w:eastAsia="ko-KR"/>
        </w:rPr>
        <w:t xml:space="preserve">. </w:t>
      </w:r>
      <w:r w:rsidR="0050437C">
        <w:rPr>
          <w:rFonts w:ascii="Times New Roman" w:hAnsi="Times New Roman" w:hint="eastAsia"/>
          <w:lang w:val="en-AU" w:eastAsia="ko-KR"/>
        </w:rPr>
        <w:t>L.</w:t>
      </w:r>
      <w:r w:rsidR="0050437C" w:rsidRPr="009C2ADD">
        <w:rPr>
          <w:rFonts w:ascii="Times New Roman" w:hAnsi="Times New Roman"/>
          <w:lang w:val="en-AU" w:eastAsia="ko-KR"/>
        </w:rPr>
        <w:t xml:space="preserve"> </w:t>
      </w:r>
      <w:r w:rsidRPr="009C2ADD">
        <w:rPr>
          <w:rFonts w:ascii="Times New Roman" w:hAnsi="Times New Roman"/>
          <w:lang w:val="en-AU"/>
        </w:rPr>
        <w:t>Escalle</w:t>
      </w:r>
      <w:r w:rsidRPr="009C2ADD">
        <w:rPr>
          <w:rFonts w:ascii="Times New Roman" w:hAnsi="Times New Roman"/>
          <w:lang w:val="en-AU" w:eastAsia="ko-KR"/>
        </w:rPr>
        <w:t xml:space="preserve"> responded that they</w:t>
      </w:r>
      <w:r w:rsidRPr="009C2ADD">
        <w:rPr>
          <w:rFonts w:ascii="Times New Roman" w:hAnsi="Times New Roman"/>
          <w:lang w:val="en-AU"/>
        </w:rPr>
        <w:t xml:space="preserve"> only had access to the raw dataset</w:t>
      </w:r>
      <w:r w:rsidR="00205040" w:rsidRPr="009C2ADD">
        <w:rPr>
          <w:rFonts w:ascii="Times New Roman" w:hAnsi="Times New Roman"/>
          <w:lang w:val="en-AU" w:eastAsia="ko-KR"/>
        </w:rPr>
        <w:t xml:space="preserve"> and </w:t>
      </w:r>
      <w:proofErr w:type="gramStart"/>
      <w:r w:rsidRPr="009C2ADD">
        <w:rPr>
          <w:rFonts w:ascii="Times New Roman" w:hAnsi="Times New Roman"/>
          <w:lang w:val="en-AU"/>
        </w:rPr>
        <w:t>have</w:t>
      </w:r>
      <w:proofErr w:type="gramEnd"/>
      <w:r w:rsidRPr="009C2ADD">
        <w:rPr>
          <w:rFonts w:ascii="Times New Roman" w:hAnsi="Times New Roman"/>
          <w:lang w:val="en-AU"/>
        </w:rPr>
        <w:t xml:space="preserve"> not looked into CPUE comparison with FAD density</w:t>
      </w:r>
      <w:r w:rsidR="004F13BB" w:rsidRPr="004F13BB">
        <w:rPr>
          <w:rFonts w:ascii="Times New Roman" w:hAnsi="Times New Roman"/>
          <w:lang w:val="en-AU"/>
        </w:rPr>
        <w:t xml:space="preserve"> </w:t>
      </w:r>
      <w:r w:rsidR="004F13BB">
        <w:rPr>
          <w:rFonts w:ascii="Times New Roman" w:hAnsi="Times New Roman"/>
          <w:lang w:val="en-AU"/>
        </w:rPr>
        <w:t>into much detailed. So far</w:t>
      </w:r>
      <w:r w:rsidR="00205040" w:rsidRPr="009C2ADD">
        <w:rPr>
          <w:rFonts w:ascii="Times New Roman" w:hAnsi="Times New Roman"/>
          <w:lang w:val="en-AU" w:eastAsia="ko-KR"/>
        </w:rPr>
        <w:t xml:space="preserve"> they </w:t>
      </w:r>
      <w:r w:rsidRPr="009C2ADD">
        <w:rPr>
          <w:rFonts w:ascii="Times New Roman" w:hAnsi="Times New Roman"/>
          <w:lang w:val="en-AU"/>
        </w:rPr>
        <w:t>only looked at catch per set</w:t>
      </w:r>
      <w:r w:rsidR="00205040" w:rsidRPr="009C2ADD">
        <w:rPr>
          <w:rFonts w:ascii="Times New Roman" w:hAnsi="Times New Roman"/>
          <w:lang w:val="en-AU" w:eastAsia="ko-KR"/>
        </w:rPr>
        <w:t>,</w:t>
      </w:r>
      <w:r w:rsidRPr="009C2ADD">
        <w:rPr>
          <w:rFonts w:ascii="Times New Roman" w:hAnsi="Times New Roman"/>
          <w:lang w:val="en-AU"/>
        </w:rPr>
        <w:t xml:space="preserve"> but once a classification </w:t>
      </w:r>
      <w:r w:rsidR="00A01189">
        <w:rPr>
          <w:rFonts w:ascii="Times New Roman" w:hAnsi="Times New Roman"/>
          <w:lang w:val="en-AU"/>
        </w:rPr>
        <w:t xml:space="preserve">system to identify </w:t>
      </w:r>
      <w:r w:rsidRPr="009C2ADD">
        <w:rPr>
          <w:rFonts w:ascii="Times New Roman" w:hAnsi="Times New Roman"/>
          <w:lang w:val="en-AU"/>
        </w:rPr>
        <w:t>FAD</w:t>
      </w:r>
      <w:r w:rsidR="00A01189">
        <w:rPr>
          <w:rFonts w:ascii="Times New Roman" w:hAnsi="Times New Roman" w:hint="eastAsia"/>
          <w:lang w:val="en-AU" w:eastAsia="ko-KR"/>
        </w:rPr>
        <w:t>s</w:t>
      </w:r>
      <w:r w:rsidRPr="009C2ADD">
        <w:rPr>
          <w:rFonts w:ascii="Times New Roman" w:hAnsi="Times New Roman"/>
          <w:lang w:val="en-AU"/>
        </w:rPr>
        <w:t xml:space="preserve"> at sea </w:t>
      </w:r>
      <w:r w:rsidR="00A01189">
        <w:rPr>
          <w:rFonts w:ascii="Times New Roman" w:hAnsi="Times New Roman"/>
          <w:lang w:val="en-AU"/>
        </w:rPr>
        <w:t xml:space="preserve">had been developed, </w:t>
      </w:r>
      <w:r w:rsidR="00A01189">
        <w:rPr>
          <w:rFonts w:ascii="Times New Roman" w:hAnsi="Times New Roman"/>
          <w:lang w:val="en-AU" w:eastAsia="ko-KR"/>
        </w:rPr>
        <w:t>this would be looked into</w:t>
      </w:r>
      <w:r w:rsidRPr="009C2ADD">
        <w:rPr>
          <w:rFonts w:ascii="Times New Roman" w:hAnsi="Times New Roman"/>
          <w:lang w:val="en-AU"/>
        </w:rPr>
        <w:t>.</w:t>
      </w:r>
      <w:r w:rsidR="00205040" w:rsidRPr="009C2ADD">
        <w:rPr>
          <w:rFonts w:ascii="Times New Roman" w:hAnsi="Times New Roman"/>
          <w:lang w:val="en-AU"/>
        </w:rPr>
        <w:t xml:space="preserve"> Regarding FAD loss, it is hard to </w:t>
      </w:r>
      <w:r w:rsidR="00A01189">
        <w:rPr>
          <w:rFonts w:ascii="Times New Roman" w:hAnsi="Times New Roman" w:hint="eastAsia"/>
          <w:lang w:val="en-AU" w:eastAsia="ko-KR"/>
        </w:rPr>
        <w:t xml:space="preserve">identify those events, because in the data the end of a track could correspond to </w:t>
      </w:r>
      <w:r w:rsidR="00205040" w:rsidRPr="009C2ADD">
        <w:rPr>
          <w:rFonts w:ascii="Times New Roman" w:hAnsi="Times New Roman"/>
          <w:lang w:val="en-AU"/>
        </w:rPr>
        <w:t>beaching event</w:t>
      </w:r>
      <w:r w:rsidR="004C58AE">
        <w:rPr>
          <w:rFonts w:ascii="Times New Roman" w:hAnsi="Times New Roman" w:hint="eastAsia"/>
          <w:lang w:val="en-AU" w:eastAsia="ko-KR"/>
        </w:rPr>
        <w:t xml:space="preserve">, FAD being </w:t>
      </w:r>
      <w:r w:rsidR="00205040" w:rsidRPr="009C2ADD">
        <w:rPr>
          <w:rFonts w:ascii="Times New Roman" w:hAnsi="Times New Roman"/>
          <w:lang w:val="en-AU"/>
        </w:rPr>
        <w:t>picked up by other vessel or just deactivation.</w:t>
      </w:r>
    </w:p>
    <w:p w14:paraId="337B2534"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5C17E14D" w14:textId="565BF5B9"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w:t>
      </w:r>
      <w:r w:rsidR="00E2627A">
        <w:rPr>
          <w:rFonts w:ascii="Times New Roman" w:hAnsi="Times New Roman" w:hint="eastAsia"/>
          <w:lang w:val="en-AU" w:eastAsia="ko-KR"/>
        </w:rPr>
        <w:t xml:space="preserve">commented that it </w:t>
      </w:r>
      <w:r w:rsidRPr="009C2ADD">
        <w:rPr>
          <w:rFonts w:ascii="Times New Roman" w:hAnsi="Times New Roman"/>
          <w:lang w:val="en-AU"/>
        </w:rPr>
        <w:t xml:space="preserve">would like to see the work </w:t>
      </w:r>
      <w:r w:rsidR="004845DF" w:rsidRPr="009C2ADD">
        <w:rPr>
          <w:rFonts w:ascii="Times New Roman" w:hAnsi="Times New Roman"/>
          <w:lang w:val="en-AU" w:eastAsia="ko-KR"/>
        </w:rPr>
        <w:t>continued through the</w:t>
      </w:r>
      <w:r w:rsidRPr="009C2ADD">
        <w:rPr>
          <w:rFonts w:ascii="Times New Roman" w:hAnsi="Times New Roman"/>
          <w:lang w:val="en-AU"/>
        </w:rPr>
        <w:t xml:space="preserve"> financial support from the Commission, and would like to </w:t>
      </w:r>
      <w:r w:rsidR="004C58AE">
        <w:rPr>
          <w:rFonts w:ascii="Times New Roman" w:hAnsi="Times New Roman" w:hint="eastAsia"/>
          <w:lang w:val="en-AU" w:eastAsia="ko-KR"/>
        </w:rPr>
        <w:t>ask that</w:t>
      </w:r>
      <w:r w:rsidR="00CE09F4" w:rsidRPr="009C2ADD">
        <w:rPr>
          <w:rFonts w:ascii="Times New Roman" w:hAnsi="Times New Roman"/>
          <w:lang w:val="en-AU"/>
        </w:rPr>
        <w:t xml:space="preserve"> the</w:t>
      </w:r>
      <w:r w:rsidR="00CE09F4" w:rsidRPr="009C2ADD">
        <w:rPr>
          <w:rFonts w:ascii="Times New Roman" w:hAnsi="Times New Roman"/>
          <w:lang w:val="en-AU" w:eastAsia="ko-KR"/>
        </w:rPr>
        <w:t xml:space="preserve"> Commission</w:t>
      </w:r>
      <w:r w:rsidRPr="009C2ADD">
        <w:rPr>
          <w:rFonts w:ascii="Times New Roman" w:hAnsi="Times New Roman"/>
          <w:lang w:val="en-AU"/>
        </w:rPr>
        <w:t xml:space="preserve"> develop measures to regulate </w:t>
      </w:r>
      <w:r w:rsidR="00CE09F4" w:rsidRPr="009C2ADD">
        <w:rPr>
          <w:rFonts w:ascii="Times New Roman" w:hAnsi="Times New Roman"/>
          <w:lang w:val="en-AU" w:eastAsia="ko-KR"/>
        </w:rPr>
        <w:t xml:space="preserve">FAD </w:t>
      </w:r>
      <w:r w:rsidRPr="009C2ADD">
        <w:rPr>
          <w:rFonts w:ascii="Times New Roman" w:hAnsi="Times New Roman"/>
          <w:lang w:val="en-AU"/>
        </w:rPr>
        <w:t>marking so we have better</w:t>
      </w:r>
      <w:r w:rsidR="004C58AE">
        <w:rPr>
          <w:rFonts w:ascii="Times New Roman" w:hAnsi="Times New Roman" w:hint="eastAsia"/>
          <w:lang w:val="en-AU" w:eastAsia="ko-KR"/>
        </w:rPr>
        <w:t xml:space="preserve"> </w:t>
      </w:r>
      <w:r w:rsidR="004C58AE">
        <w:rPr>
          <w:rFonts w:ascii="Times New Roman" w:hAnsi="Times New Roman"/>
          <w:lang w:val="en-AU"/>
        </w:rPr>
        <w:t>information on the potential</w:t>
      </w:r>
      <w:r w:rsidRPr="009C2ADD">
        <w:rPr>
          <w:rFonts w:ascii="Times New Roman" w:hAnsi="Times New Roman"/>
          <w:lang w:val="en-AU"/>
        </w:rPr>
        <w:t xml:space="preserve"> implementation of such measures in the future. </w:t>
      </w:r>
    </w:p>
    <w:p w14:paraId="71D965EC"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1B2B3558" w14:textId="49AA5540" w:rsidR="005307C0"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PNG</w:t>
      </w:r>
      <w:r w:rsidR="005307C0" w:rsidRPr="009C2ADD">
        <w:rPr>
          <w:rFonts w:ascii="Times New Roman" w:hAnsi="Times New Roman"/>
          <w:lang w:val="en-AU"/>
        </w:rPr>
        <w:t xml:space="preserve"> on behalf of PNA </w:t>
      </w:r>
      <w:r w:rsidR="00D5432C">
        <w:rPr>
          <w:rFonts w:ascii="Times New Roman" w:hAnsi="Times New Roman"/>
          <w:lang w:val="en-AU"/>
        </w:rPr>
        <w:t>member</w:t>
      </w:r>
      <w:r w:rsidR="005307C0" w:rsidRPr="009C2ADD">
        <w:rPr>
          <w:rFonts w:ascii="Times New Roman" w:hAnsi="Times New Roman"/>
          <w:lang w:val="en-AU"/>
        </w:rPr>
        <w:t>s advised that the FAD Tracking Programme being described was designed primarily for management purposes but provided valuable data for analysis.  The program was a work in progress and the necessary legal arrangements were being strengthened to ensure the programme was fully effective.</w:t>
      </w:r>
    </w:p>
    <w:p w14:paraId="06C9C70F" w14:textId="1F891936" w:rsidR="009E5549" w:rsidRPr="009C2ADD" w:rsidRDefault="009E5549" w:rsidP="009C2ADD">
      <w:pPr>
        <w:pStyle w:val="Heading3"/>
        <w:adjustRightInd w:val="0"/>
        <w:snapToGrid w:val="0"/>
        <w:spacing w:before="0"/>
        <w:rPr>
          <w:rFonts w:ascii="Times New Roman" w:hAnsi="Times New Roman" w:cs="Times New Roman"/>
          <w:lang w:val="en-AU"/>
        </w:rPr>
      </w:pPr>
      <w:r w:rsidRPr="009C2ADD" w:rsidDel="009E5549">
        <w:rPr>
          <w:rFonts w:ascii="Times New Roman" w:hAnsi="Times New Roman" w:cs="Times New Roman"/>
          <w:lang w:val="en-AU"/>
        </w:rPr>
        <w:t xml:space="preserve"> </w:t>
      </w:r>
    </w:p>
    <w:p w14:paraId="42E44B9E" w14:textId="3B86BBE4"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preliminary data analyses from the PNA’s FAD tracking programme, investigating research areas such as FAD densities in time and space, beaching events, dynamics around the WCPO FAD closure and some initial FAD life-history information (SC13-MI-WP-05). While acknowledging the confidentiality associated with FAD-tracking data, SC13 was supportive of these new data being made available to the Scientific Services Provider for analysis, and noting the scope for further analyses and the importance of complete FAD tracking data to support these analyses, encouraged additional data being made available by fishing companies to continue this research. SC13 also noted the importance of FAD marking and monitoring to better identify and follow individual FADs required to facilitate this research, and the on-going WCPFC considerations on FAD marking and monitoring. SC13 recommends that WCPFC14 note these preliminary analyses and identify mechanisms to help facilitate further analyses, if the Commission requires improved information for decision-making on this subject.</w:t>
      </w:r>
    </w:p>
    <w:p w14:paraId="6E7D8C46" w14:textId="77777777" w:rsidR="009E5549" w:rsidRPr="009C2ADD" w:rsidRDefault="009E5549" w:rsidP="009C2ADD">
      <w:pPr>
        <w:autoSpaceDE w:val="0"/>
        <w:autoSpaceDN w:val="0"/>
        <w:adjustRightInd w:val="0"/>
        <w:snapToGrid w:val="0"/>
        <w:spacing w:after="0"/>
        <w:rPr>
          <w:rFonts w:ascii="Times New Roman" w:hAnsi="Times New Roman"/>
          <w:b/>
          <w:lang w:val="en-AU" w:eastAsia="ko-KR"/>
        </w:rPr>
      </w:pPr>
    </w:p>
    <w:p w14:paraId="617B4B52" w14:textId="29C85FA9" w:rsidR="009E5549" w:rsidRPr="009C2ADD" w:rsidRDefault="009E5549" w:rsidP="009C2ADD">
      <w:pPr>
        <w:autoSpaceDE w:val="0"/>
        <w:autoSpaceDN w:val="0"/>
        <w:adjustRightInd w:val="0"/>
        <w:snapToGrid w:val="0"/>
        <w:spacing w:after="0"/>
        <w:rPr>
          <w:rFonts w:ascii="Times New Roman" w:hAnsi="Times New Roman"/>
          <w:b/>
          <w:lang w:val="en-AU" w:eastAsia="ko-KR"/>
        </w:rPr>
      </w:pPr>
      <w:r w:rsidRPr="009C2ADD">
        <w:rPr>
          <w:rFonts w:ascii="Times New Roman" w:hAnsi="Times New Roman"/>
          <w:b/>
          <w:lang w:val="en-AU" w:eastAsia="ko-KR"/>
        </w:rPr>
        <w:t xml:space="preserve">5.2.2 </w:t>
      </w:r>
      <w:r w:rsidR="005506E8" w:rsidRPr="009C2ADD">
        <w:rPr>
          <w:rFonts w:ascii="Times New Roman" w:hAnsi="Times New Roman"/>
          <w:b/>
          <w:lang w:val="en-AU" w:eastAsia="ko-KR"/>
        </w:rPr>
        <w:tab/>
      </w:r>
      <w:r w:rsidRPr="009C2ADD">
        <w:rPr>
          <w:rFonts w:ascii="Times New Roman" w:hAnsi="Times New Roman"/>
          <w:b/>
          <w:lang w:val="en-AU" w:eastAsia="ko-KR"/>
        </w:rPr>
        <w:t>FAD management</w:t>
      </w:r>
    </w:p>
    <w:p w14:paraId="6998E64F" w14:textId="77777777" w:rsidR="005506E8" w:rsidRPr="009C2ADD" w:rsidRDefault="005506E8" w:rsidP="009C2ADD">
      <w:pPr>
        <w:autoSpaceDE w:val="0"/>
        <w:autoSpaceDN w:val="0"/>
        <w:adjustRightInd w:val="0"/>
        <w:snapToGrid w:val="0"/>
        <w:spacing w:after="0"/>
        <w:rPr>
          <w:rFonts w:ascii="Times New Roman" w:hAnsi="Times New Roman"/>
          <w:b/>
          <w:lang w:val="en-AU" w:eastAsia="ko-KR"/>
        </w:rPr>
      </w:pPr>
    </w:p>
    <w:p w14:paraId="4B35B1EE" w14:textId="3AE2F95D"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w:t>
      </w:r>
      <w:r w:rsidR="007E066D">
        <w:rPr>
          <w:rFonts w:ascii="Times New Roman" w:hAnsi="Times New Roman" w:hint="eastAsia"/>
          <w:lang w:val="en-AU" w:eastAsia="ko-KR"/>
        </w:rPr>
        <w:t>.</w:t>
      </w:r>
      <w:r w:rsidRPr="009C2ADD">
        <w:rPr>
          <w:rFonts w:ascii="Times New Roman" w:hAnsi="Times New Roman"/>
          <w:lang w:val="en-AU"/>
        </w:rPr>
        <w:t xml:space="preserve"> Hampton (SPC) presented SC13-MI-WP-06 Global FAD Science Symposium (2017): </w:t>
      </w:r>
      <w:r w:rsidR="00942507" w:rsidRPr="009C2ADD">
        <w:rPr>
          <w:rFonts w:ascii="Times New Roman" w:hAnsi="Times New Roman"/>
          <w:lang w:val="en-AU"/>
        </w:rPr>
        <w:t>“</w:t>
      </w:r>
      <w:r w:rsidRPr="009C2ADD">
        <w:rPr>
          <w:rFonts w:ascii="Times New Roman" w:hAnsi="Times New Roman"/>
          <w:i/>
          <w:lang w:val="en-AU"/>
        </w:rPr>
        <w:t>What does well-managed FAD use look like within a tropical purse seine fishery?</w:t>
      </w:r>
      <w:r w:rsidR="00942507" w:rsidRPr="009C2ADD">
        <w:rPr>
          <w:rFonts w:ascii="Times New Roman" w:hAnsi="Times New Roman"/>
          <w:i/>
          <w:lang w:val="en-AU"/>
        </w:rPr>
        <w:t>”</w:t>
      </w:r>
      <w:r w:rsidRPr="009C2ADD">
        <w:rPr>
          <w:rFonts w:ascii="Times New Roman" w:hAnsi="Times New Roman"/>
          <w:lang w:val="en-AU"/>
        </w:rPr>
        <w:t xml:space="preserve"> which was  attended by scientists, managers and industry representatives involved in purse seine FAD fisheries in all oceans. The Symposium documented general points and ‘best-practices’ under the three broad categories: (1) managing impacts on target species; (2) managing impacts on non-target species, coastal habitats, and the pelagic marine ecosystem; and, (3) the management framework, including monitoring, compliance and surveillance (MCS). The Symposium concluded that (i) that impacts of FADs and FAD management should be considered within the overall fisheries management framework and be guided by clear management objectives; (ii) shifting purse seine effort from drifting FAD to free-school sets would be effective to reduce impacts on target species subject to overfishing and non-target species generally; (iii) there is a need for improved data on FAD deployments and movements, to quantify impacts on species and the ecosystem; (iv) non-entangling FAD designs would be effective in avoiding interactions with some non-target species; and (v) 100% observer coverage of purse seine fishing and support vessels is necessary to fully document FAD use and impacts. </w:t>
      </w:r>
    </w:p>
    <w:p w14:paraId="070A8CA5" w14:textId="77777777" w:rsidR="005506E8" w:rsidRPr="009C2ADD" w:rsidRDefault="005506E8" w:rsidP="009C2ADD">
      <w:pPr>
        <w:autoSpaceDE w:val="0"/>
        <w:autoSpaceDN w:val="0"/>
        <w:adjustRightInd w:val="0"/>
        <w:snapToGrid w:val="0"/>
        <w:spacing w:after="0"/>
        <w:rPr>
          <w:rFonts w:ascii="Times New Roman" w:hAnsi="Times New Roman"/>
          <w:lang w:val="en-AU"/>
        </w:rPr>
      </w:pPr>
    </w:p>
    <w:p w14:paraId="65F7E6E1" w14:textId="59453E9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welcomed the comprehensive report. Regarding reported tuna catch and bycatch, China asked if SPC</w:t>
      </w:r>
      <w:r w:rsidR="00942507" w:rsidRPr="009C2ADD">
        <w:rPr>
          <w:rFonts w:ascii="Times New Roman" w:hAnsi="Times New Roman"/>
          <w:lang w:val="en-AU"/>
        </w:rPr>
        <w:t xml:space="preserve"> and/or</w:t>
      </w:r>
      <w:r w:rsidRPr="009C2ADD">
        <w:rPr>
          <w:rFonts w:ascii="Times New Roman" w:hAnsi="Times New Roman"/>
          <w:lang w:val="en-AU"/>
        </w:rPr>
        <w:t xml:space="preserve"> </w:t>
      </w:r>
      <w:r w:rsidR="00942507" w:rsidRPr="009C2ADD">
        <w:rPr>
          <w:rFonts w:ascii="Times New Roman" w:hAnsi="Times New Roman"/>
          <w:lang w:val="en-AU"/>
        </w:rPr>
        <w:t xml:space="preserve">the </w:t>
      </w:r>
      <w:r w:rsidRPr="009C2ADD">
        <w:rPr>
          <w:rFonts w:ascii="Times New Roman" w:hAnsi="Times New Roman"/>
          <w:lang w:val="en-AU"/>
        </w:rPr>
        <w:t xml:space="preserve">WCPFC </w:t>
      </w:r>
      <w:r w:rsidR="00942507" w:rsidRPr="009C2ADD">
        <w:rPr>
          <w:rFonts w:ascii="Times New Roman" w:hAnsi="Times New Roman"/>
          <w:lang w:val="en-AU"/>
        </w:rPr>
        <w:t>C</w:t>
      </w:r>
      <w:r w:rsidRPr="009C2ADD">
        <w:rPr>
          <w:rFonts w:ascii="Times New Roman" w:hAnsi="Times New Roman"/>
          <w:lang w:val="en-AU"/>
        </w:rPr>
        <w:t xml:space="preserve">ommission </w:t>
      </w:r>
      <w:r w:rsidR="00444E27" w:rsidRPr="009C2ADD">
        <w:rPr>
          <w:rFonts w:ascii="Times New Roman" w:hAnsi="Times New Roman"/>
          <w:lang w:val="en-AU"/>
        </w:rPr>
        <w:t>were</w:t>
      </w:r>
      <w:r w:rsidRPr="009C2ADD">
        <w:rPr>
          <w:rFonts w:ascii="Times New Roman" w:hAnsi="Times New Roman"/>
          <w:lang w:val="en-AU"/>
        </w:rPr>
        <w:t xml:space="preserve"> provided with financial support</w:t>
      </w:r>
      <w:r w:rsidR="00942507" w:rsidRPr="009C2ADD">
        <w:rPr>
          <w:rFonts w:ascii="Times New Roman" w:hAnsi="Times New Roman"/>
          <w:lang w:val="en-AU"/>
        </w:rPr>
        <w:t>,</w:t>
      </w:r>
      <w:r w:rsidRPr="009C2ADD">
        <w:rPr>
          <w:rFonts w:ascii="Times New Roman" w:hAnsi="Times New Roman"/>
          <w:lang w:val="en-AU"/>
        </w:rPr>
        <w:t xml:space="preserve"> </w:t>
      </w:r>
      <w:r w:rsidR="00E2627A">
        <w:rPr>
          <w:rFonts w:ascii="Times New Roman" w:hAnsi="Times New Roman" w:hint="eastAsia"/>
          <w:lang w:val="en-AU" w:eastAsia="ko-KR"/>
        </w:rPr>
        <w:t xml:space="preserve">and </w:t>
      </w:r>
      <w:r w:rsidRPr="009C2ADD">
        <w:rPr>
          <w:rFonts w:ascii="Times New Roman" w:hAnsi="Times New Roman"/>
          <w:lang w:val="en-AU"/>
        </w:rPr>
        <w:t>could it f</w:t>
      </w:r>
      <w:r w:rsidR="00942507" w:rsidRPr="009C2ADD">
        <w:rPr>
          <w:rFonts w:ascii="Times New Roman" w:hAnsi="Times New Roman"/>
          <w:lang w:val="en-AU"/>
        </w:rPr>
        <w:t>u</w:t>
      </w:r>
      <w:r w:rsidRPr="009C2ADD">
        <w:rPr>
          <w:rFonts w:ascii="Times New Roman" w:hAnsi="Times New Roman"/>
          <w:lang w:val="en-AU"/>
        </w:rPr>
        <w:t xml:space="preserve">nd such </w:t>
      </w:r>
      <w:r w:rsidR="00942507" w:rsidRPr="009C2ADD">
        <w:rPr>
          <w:rFonts w:ascii="Times New Roman" w:hAnsi="Times New Roman"/>
          <w:lang w:val="en-AU"/>
        </w:rPr>
        <w:t xml:space="preserve">work </w:t>
      </w:r>
      <w:r w:rsidRPr="009C2ADD">
        <w:rPr>
          <w:rFonts w:ascii="Times New Roman" w:hAnsi="Times New Roman"/>
          <w:lang w:val="en-AU"/>
        </w:rPr>
        <w:t>in the WCFPC area. The presenter noted another presentation at this meeting would discuss bi</w:t>
      </w:r>
      <w:r w:rsidR="00572EC4">
        <w:rPr>
          <w:rFonts w:ascii="Times New Roman" w:hAnsi="Times New Roman" w:hint="eastAsia"/>
          <w:lang w:val="en-AU" w:eastAsia="ko-KR"/>
        </w:rPr>
        <w:t>g</w:t>
      </w:r>
      <w:r w:rsidRPr="009C2ADD">
        <w:rPr>
          <w:rFonts w:ascii="Times New Roman" w:hAnsi="Times New Roman"/>
          <w:lang w:val="en-AU"/>
        </w:rPr>
        <w:t xml:space="preserve">eye hotspots, and SPC had also presented a fairly comprehensive report on purse-seine bycatch at SC13. Regarding non-entangling FADs, the type of thing that should be avoided was coils of purse-seine netting that becomes uncompressed overtime and hangs in the water, which risked entangling sharks and turtles etc. There were modern FAD designs in Europe and significant information available now on how to address this issue. </w:t>
      </w:r>
    </w:p>
    <w:p w14:paraId="4D72BDEB"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72612365" w14:textId="5AB7E6E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Korea sought clarification on </w:t>
      </w:r>
      <w:r w:rsidR="00BD08C6">
        <w:rPr>
          <w:rFonts w:ascii="Times New Roman" w:hAnsi="Times New Roman"/>
          <w:lang w:val="en-AU"/>
        </w:rPr>
        <w:t xml:space="preserve">the </w:t>
      </w:r>
      <w:r w:rsidRPr="009C2ADD">
        <w:rPr>
          <w:rFonts w:ascii="Times New Roman" w:hAnsi="Times New Roman"/>
          <w:lang w:val="en-AU"/>
        </w:rPr>
        <w:t xml:space="preserve">role of support vessels mentioned in the presentation. J. Hampton responded that purse-seiners these days operated with increasing support from other vessels, which had a primary role of deploying and retrieving FADs. </w:t>
      </w:r>
    </w:p>
    <w:p w14:paraId="2606B769"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1397DBD8" w14:textId="58B71BE9"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asked several questions including if the presenter had a general idea for what the management objective should be for this </w:t>
      </w:r>
      <w:r w:rsidR="00E2627A">
        <w:rPr>
          <w:rFonts w:ascii="Times New Roman" w:hAnsi="Times New Roman" w:hint="eastAsia"/>
          <w:lang w:val="en-AU" w:eastAsia="ko-KR"/>
        </w:rPr>
        <w:t>issue</w:t>
      </w:r>
      <w:r w:rsidRPr="009C2ADD">
        <w:rPr>
          <w:rFonts w:ascii="Times New Roman" w:hAnsi="Times New Roman"/>
          <w:lang w:val="en-AU"/>
        </w:rPr>
        <w:t xml:space="preserve">. J. Hampton noted that the main point was that there needed to be a management plan informed by research that could address issues such as FADs impact on endangered, threatened, and protected species. Regarding the definition of FAD, there needed to be more work to tighten up the general understanding of what a FAD was. Regarding the symposium focused on drifting FADs, and whether anchored FADs were having the same issues, J. Hampton noted that </w:t>
      </w:r>
      <w:r w:rsidR="00572EC4">
        <w:rPr>
          <w:rFonts w:ascii="Times New Roman" w:hAnsi="Times New Roman" w:hint="eastAsia"/>
          <w:lang w:val="en-AU" w:eastAsia="ko-KR"/>
        </w:rPr>
        <w:t>although</w:t>
      </w:r>
      <w:r w:rsidR="00572EC4" w:rsidRPr="009C2ADD">
        <w:rPr>
          <w:rFonts w:ascii="Times New Roman" w:hAnsi="Times New Roman"/>
          <w:lang w:val="en-AU"/>
        </w:rPr>
        <w:t xml:space="preserve"> </w:t>
      </w:r>
      <w:r w:rsidRPr="009C2ADD">
        <w:rPr>
          <w:rFonts w:ascii="Times New Roman" w:hAnsi="Times New Roman"/>
          <w:lang w:val="en-AU"/>
        </w:rPr>
        <w:t xml:space="preserve">anchored FADs </w:t>
      </w:r>
      <w:r w:rsidR="00572EC4">
        <w:rPr>
          <w:rFonts w:ascii="Times New Roman" w:hAnsi="Times New Roman" w:hint="eastAsia"/>
          <w:lang w:val="en-AU" w:eastAsia="ko-KR"/>
        </w:rPr>
        <w:t>are</w:t>
      </w:r>
      <w:r w:rsidR="00572EC4" w:rsidRPr="009C2ADD">
        <w:rPr>
          <w:rFonts w:ascii="Times New Roman" w:hAnsi="Times New Roman"/>
          <w:lang w:val="en-AU"/>
        </w:rPr>
        <w:t xml:space="preserve"> </w:t>
      </w:r>
      <w:r w:rsidRPr="009C2ADD">
        <w:rPr>
          <w:rFonts w:ascii="Times New Roman" w:hAnsi="Times New Roman"/>
          <w:lang w:val="en-AU"/>
        </w:rPr>
        <w:t xml:space="preserve">very uncommon now, </w:t>
      </w:r>
      <w:r w:rsidR="00572EC4">
        <w:rPr>
          <w:rFonts w:ascii="Times New Roman" w:hAnsi="Times New Roman" w:hint="eastAsia"/>
          <w:lang w:val="en-AU" w:eastAsia="ko-KR"/>
        </w:rPr>
        <w:t>they can be</w:t>
      </w:r>
      <w:r w:rsidRPr="009C2ADD">
        <w:rPr>
          <w:rFonts w:ascii="Times New Roman" w:hAnsi="Times New Roman"/>
          <w:lang w:val="en-AU"/>
        </w:rPr>
        <w:t xml:space="preserve"> important for coastal communities</w:t>
      </w:r>
      <w:r w:rsidR="00444E27">
        <w:rPr>
          <w:rFonts w:ascii="Times New Roman" w:hAnsi="Times New Roman"/>
          <w:lang w:val="en-AU"/>
        </w:rPr>
        <w:t>’</w:t>
      </w:r>
      <w:r w:rsidRPr="009C2ADD">
        <w:rPr>
          <w:rFonts w:ascii="Times New Roman" w:hAnsi="Times New Roman"/>
          <w:lang w:val="en-AU"/>
        </w:rPr>
        <w:t xml:space="preserve"> access to fish rather than being of benefit to commercial fisheries, </w:t>
      </w:r>
      <w:r w:rsidR="00572EC4">
        <w:rPr>
          <w:rFonts w:ascii="Times New Roman" w:hAnsi="Times New Roman" w:hint="eastAsia"/>
          <w:lang w:val="en-AU" w:eastAsia="ko-KR"/>
        </w:rPr>
        <w:t xml:space="preserve">and </w:t>
      </w:r>
      <w:r w:rsidRPr="009C2ADD">
        <w:rPr>
          <w:rFonts w:ascii="Times New Roman" w:hAnsi="Times New Roman"/>
          <w:lang w:val="en-AU"/>
        </w:rPr>
        <w:t xml:space="preserve">the symposium did not focus on anchored FADs. </w:t>
      </w:r>
    </w:p>
    <w:p w14:paraId="0ABA74BE"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43D9B493" w14:textId="6DB6B098" w:rsidR="005307C0" w:rsidRPr="009C2ADD" w:rsidRDefault="003C61E2"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EU</w:t>
      </w:r>
      <w:r w:rsidR="005307C0" w:rsidRPr="009C2ADD">
        <w:rPr>
          <w:rFonts w:ascii="Times New Roman" w:hAnsi="Times New Roman"/>
          <w:lang w:val="en-AU"/>
        </w:rPr>
        <w:t xml:space="preserve"> highlighted the importance of the Global FAD</w:t>
      </w:r>
      <w:r>
        <w:rPr>
          <w:rFonts w:ascii="Times New Roman" w:hAnsi="Times New Roman" w:hint="eastAsia"/>
          <w:lang w:val="en-AU" w:eastAsia="ko-KR"/>
        </w:rPr>
        <w:t>s</w:t>
      </w:r>
      <w:r w:rsidR="005307C0" w:rsidRPr="009C2ADD">
        <w:rPr>
          <w:rFonts w:ascii="Times New Roman" w:hAnsi="Times New Roman"/>
          <w:lang w:val="en-AU"/>
        </w:rPr>
        <w:t xml:space="preserve"> Science Symposium as a unique opportunity that allowed for scientific information to feed into the Joint T-RFMO </w:t>
      </w:r>
      <w:r w:rsidR="00572EC4">
        <w:rPr>
          <w:rFonts w:ascii="Times New Roman" w:hAnsi="Times New Roman" w:hint="eastAsia"/>
          <w:lang w:val="en-AU" w:eastAsia="ko-KR"/>
        </w:rPr>
        <w:t>FAD</w:t>
      </w:r>
      <w:r w:rsidR="00572EC4" w:rsidRPr="009C2ADD">
        <w:rPr>
          <w:rFonts w:ascii="Times New Roman" w:hAnsi="Times New Roman"/>
          <w:lang w:val="en-AU"/>
        </w:rPr>
        <w:t xml:space="preserve"> </w:t>
      </w:r>
      <w:r w:rsidR="005307C0" w:rsidRPr="009C2ADD">
        <w:rPr>
          <w:rFonts w:ascii="Times New Roman" w:hAnsi="Times New Roman"/>
          <w:lang w:val="en-AU"/>
        </w:rPr>
        <w:t>Working Group Meeting</w:t>
      </w:r>
      <w:r w:rsidR="000A632A" w:rsidRPr="000A632A">
        <w:rPr>
          <w:rFonts w:ascii="Times New Roman" w:hAnsi="Times New Roman"/>
          <w:lang w:val="en-AU"/>
        </w:rPr>
        <w:t xml:space="preserve"> </w:t>
      </w:r>
      <w:r w:rsidR="000A632A">
        <w:rPr>
          <w:rFonts w:ascii="Times New Roman" w:hAnsi="Times New Roman"/>
          <w:lang w:val="en-AU"/>
        </w:rPr>
        <w:t>that took place in Madrid</w:t>
      </w:r>
      <w:r w:rsidR="005307C0" w:rsidRPr="009C2ADD">
        <w:rPr>
          <w:rFonts w:ascii="Times New Roman" w:hAnsi="Times New Roman"/>
          <w:lang w:val="en-AU"/>
        </w:rPr>
        <w:t xml:space="preserve"> in April this year. WPCFC decided not to participate in this working group, but the EU thought it was important to send participants to future meetings as that working group could benefit from the experience of the WCPO. </w:t>
      </w:r>
    </w:p>
    <w:p w14:paraId="34F3D831"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11F153B5" w14:textId="3319F774"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Solomon Islands on behalf of PNA </w:t>
      </w:r>
      <w:r w:rsidR="00D5432C">
        <w:rPr>
          <w:rFonts w:ascii="Times New Roman" w:hAnsi="Times New Roman"/>
          <w:lang w:val="en-AU"/>
        </w:rPr>
        <w:t>member</w:t>
      </w:r>
      <w:r w:rsidRPr="009C2ADD">
        <w:rPr>
          <w:rFonts w:ascii="Times New Roman" w:hAnsi="Times New Roman"/>
          <w:lang w:val="en-AU"/>
        </w:rPr>
        <w:t xml:space="preserve">s, advised that they continued to support the position expressed by PNA and other FFA </w:t>
      </w:r>
      <w:r w:rsidR="00D5432C">
        <w:rPr>
          <w:rFonts w:ascii="Times New Roman" w:hAnsi="Times New Roman"/>
          <w:lang w:val="en-AU"/>
        </w:rPr>
        <w:t>member</w:t>
      </w:r>
      <w:r w:rsidRPr="009C2ADD">
        <w:rPr>
          <w:rFonts w:ascii="Times New Roman" w:hAnsi="Times New Roman"/>
          <w:lang w:val="en-AU"/>
        </w:rPr>
        <w:t xml:space="preserve">s at the Commission meeting last year that the WCPFC should not participate in the </w:t>
      </w:r>
      <w:r w:rsidR="00572EC4">
        <w:rPr>
          <w:rFonts w:ascii="Times New Roman" w:hAnsi="Times New Roman" w:hint="eastAsia"/>
          <w:lang w:val="en-AU" w:eastAsia="ko-KR"/>
        </w:rPr>
        <w:t>Joint</w:t>
      </w:r>
      <w:r w:rsidRPr="009C2ADD">
        <w:rPr>
          <w:rFonts w:ascii="Times New Roman" w:hAnsi="Times New Roman"/>
          <w:lang w:val="en-AU"/>
        </w:rPr>
        <w:t xml:space="preserve"> </w:t>
      </w:r>
      <w:r w:rsidR="00572EC4">
        <w:rPr>
          <w:rFonts w:ascii="Times New Roman" w:hAnsi="Times New Roman" w:hint="eastAsia"/>
          <w:lang w:val="en-AU" w:eastAsia="ko-KR"/>
        </w:rPr>
        <w:t>T-</w:t>
      </w:r>
      <w:r w:rsidRPr="009C2ADD">
        <w:rPr>
          <w:rFonts w:ascii="Times New Roman" w:hAnsi="Times New Roman"/>
          <w:lang w:val="en-AU"/>
        </w:rPr>
        <w:t xml:space="preserve">RFMO FAD </w:t>
      </w:r>
      <w:r w:rsidR="00572EC4">
        <w:rPr>
          <w:rFonts w:ascii="Times New Roman" w:hAnsi="Times New Roman" w:hint="eastAsia"/>
          <w:lang w:val="en-AU" w:eastAsia="ko-KR"/>
        </w:rPr>
        <w:t>W</w:t>
      </w:r>
      <w:r w:rsidRPr="009C2ADD">
        <w:rPr>
          <w:rFonts w:ascii="Times New Roman" w:hAnsi="Times New Roman"/>
          <w:lang w:val="en-AU"/>
        </w:rPr>
        <w:t xml:space="preserve">orking </w:t>
      </w:r>
      <w:r w:rsidR="00572EC4">
        <w:rPr>
          <w:rFonts w:ascii="Times New Roman" w:hAnsi="Times New Roman" w:hint="eastAsia"/>
          <w:lang w:val="en-AU" w:eastAsia="ko-KR"/>
        </w:rPr>
        <w:t>G</w:t>
      </w:r>
      <w:r w:rsidRPr="009C2ADD">
        <w:rPr>
          <w:rFonts w:ascii="Times New Roman" w:hAnsi="Times New Roman"/>
          <w:lang w:val="en-AU"/>
        </w:rPr>
        <w:t xml:space="preserve">roup.  PNA pointed out that they were working to develop high standards of FAD management in the tropical WCPO area, and were concerned that a global dialogue would result in lower standards that will assist FAD-dependent distant-water fishing fleets to push for lower standards. In addition, PNA members considered that the Kobe process started as a collaborative process to share experiences and lift standards but it became a process of lowest common denominators, providing a forum for global fishing states to push measures that had been rejected in WCPFC.  </w:t>
      </w:r>
    </w:p>
    <w:p w14:paraId="30A86188"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7224F43C" w14:textId="015B1EA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Palau, on behalf of PNA </w:t>
      </w:r>
      <w:r w:rsidR="00D5432C">
        <w:rPr>
          <w:rFonts w:ascii="Times New Roman" w:hAnsi="Times New Roman"/>
          <w:lang w:val="en-AU"/>
        </w:rPr>
        <w:t>member</w:t>
      </w:r>
      <w:r w:rsidRPr="009C2ADD">
        <w:rPr>
          <w:rFonts w:ascii="Times New Roman" w:hAnsi="Times New Roman"/>
          <w:lang w:val="en-AU"/>
        </w:rPr>
        <w:t xml:space="preserve">s pointed out that the WCPFC already had a very clear definition of a FAD, set out in paragraph 3 of CMM 2009-02. The same definition had already been incorporated into the national legislation of PNA </w:t>
      </w:r>
      <w:r w:rsidR="00D5432C">
        <w:rPr>
          <w:rFonts w:ascii="Times New Roman" w:hAnsi="Times New Roman"/>
          <w:lang w:val="en-AU"/>
        </w:rPr>
        <w:t>member</w:t>
      </w:r>
      <w:r w:rsidRPr="009C2ADD">
        <w:rPr>
          <w:rFonts w:ascii="Times New Roman" w:hAnsi="Times New Roman"/>
          <w:lang w:val="en-AU"/>
        </w:rPr>
        <w:t xml:space="preserve">s. Palau further noted it had banned all FAD fishing within its EEZ, but it was still finding FADs within its EEZ and it did not know where they were coming from. </w:t>
      </w:r>
    </w:p>
    <w:p w14:paraId="43D9474E"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0EBA8574" w14:textId="7A258A6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Pew Charitable Trusts welcomed this presentation and paper, as it was one of five papers produced by the symposium, and clarified the symposium was not part of the Kobe process. It was an independent symposium with an independent steering group, and the findings incorporate inputs from Pacific experts. Clearly, FADs </w:t>
      </w:r>
      <w:r w:rsidR="00572EC4">
        <w:rPr>
          <w:rFonts w:ascii="Times New Roman" w:hAnsi="Times New Roman" w:hint="eastAsia"/>
          <w:lang w:val="en-AU" w:eastAsia="ko-KR"/>
        </w:rPr>
        <w:t>are</w:t>
      </w:r>
      <w:r w:rsidR="00572EC4" w:rsidRPr="009C2ADD">
        <w:rPr>
          <w:rFonts w:ascii="Times New Roman" w:hAnsi="Times New Roman"/>
          <w:lang w:val="en-AU"/>
        </w:rPr>
        <w:t xml:space="preserve"> </w:t>
      </w:r>
      <w:r w:rsidRPr="009C2ADD">
        <w:rPr>
          <w:rFonts w:ascii="Times New Roman" w:hAnsi="Times New Roman"/>
          <w:lang w:val="en-AU"/>
        </w:rPr>
        <w:t xml:space="preserve">a critical gear in WCPO fisheries, and </w:t>
      </w:r>
      <w:r w:rsidR="00572EC4">
        <w:rPr>
          <w:rFonts w:ascii="Times New Roman" w:hAnsi="Times New Roman" w:hint="eastAsia"/>
          <w:lang w:val="en-AU" w:eastAsia="ko-KR"/>
        </w:rPr>
        <w:t xml:space="preserve">Pew </w:t>
      </w:r>
      <w:r w:rsidR="00444E27">
        <w:rPr>
          <w:rFonts w:ascii="Times New Roman" w:hAnsi="Times New Roman"/>
          <w:lang w:val="en-AU" w:eastAsia="ko-KR"/>
        </w:rPr>
        <w:t>is</w:t>
      </w:r>
      <w:r w:rsidRPr="009C2ADD">
        <w:rPr>
          <w:rFonts w:ascii="Times New Roman" w:hAnsi="Times New Roman"/>
          <w:lang w:val="en-AU"/>
        </w:rPr>
        <w:t xml:space="preserve"> supportive of the discussions on FADs at SC13. However, P</w:t>
      </w:r>
      <w:r w:rsidR="00572EC4">
        <w:rPr>
          <w:rFonts w:ascii="Times New Roman" w:hAnsi="Times New Roman" w:hint="eastAsia"/>
          <w:lang w:val="en-AU" w:eastAsia="ko-KR"/>
        </w:rPr>
        <w:t>ew</w:t>
      </w:r>
      <w:r w:rsidRPr="009C2ADD">
        <w:rPr>
          <w:rFonts w:ascii="Times New Roman" w:hAnsi="Times New Roman"/>
          <w:lang w:val="en-AU"/>
        </w:rPr>
        <w:t xml:space="preserve"> urged the SC to consider the points in this paper and recommend the Commission task the FAD working group with creating a clear process and workplan to lead to substantive outcomes that improve the management of the FAD fishery.</w:t>
      </w:r>
    </w:p>
    <w:p w14:paraId="406366AC"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49E7D19" w14:textId="7958DB70"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reviewed the report of the Global FAD Science Symposium, March 20-23, 2017, in Santa Monica, California (What does well-managed FAD use look like within a tropical purse seine fishery? SC13-MI-WP-06). SC13 noted the ‘best-practices’ recommended in this paper under the three broad categories: (1) managing impacts on target species; (2) managing impacts on non-target species, coastal habitats, and the pelagic marine ecosystem; and, (3) the management framework, including monitoring, compliance and surveillance. SC13 also noted that impacts of FADs and FAD management cannot be considered entirely independently of harvest strategies, issues related to fishing capacity, ecosystem structure, or management of all other fishing gears in tropical tuna fisheries. SC13 also noted the report from the </w:t>
      </w:r>
      <w:r w:rsidR="00572EC4">
        <w:rPr>
          <w:rFonts w:ascii="Times New Roman" w:hAnsi="Times New Roman" w:hint="eastAsia"/>
          <w:b/>
          <w:lang w:val="en-AU" w:eastAsia="ko-KR"/>
        </w:rPr>
        <w:t>J</w:t>
      </w:r>
      <w:r w:rsidRPr="009C2ADD">
        <w:rPr>
          <w:rFonts w:ascii="Times New Roman" w:hAnsi="Times New Roman"/>
          <w:b/>
          <w:lang w:val="en-AU"/>
        </w:rPr>
        <w:t xml:space="preserve">oint </w:t>
      </w:r>
      <w:r w:rsidR="00572EC4">
        <w:rPr>
          <w:rFonts w:ascii="Times New Roman" w:hAnsi="Times New Roman" w:hint="eastAsia"/>
          <w:b/>
          <w:lang w:val="en-AU" w:eastAsia="ko-KR"/>
        </w:rPr>
        <w:t>T</w:t>
      </w:r>
      <w:r w:rsidRPr="009C2ADD">
        <w:rPr>
          <w:rFonts w:ascii="Times New Roman" w:hAnsi="Times New Roman"/>
          <w:b/>
          <w:lang w:val="en-AU"/>
        </w:rPr>
        <w:t xml:space="preserve">-RFMOs </w:t>
      </w:r>
      <w:r w:rsidR="00572EC4">
        <w:rPr>
          <w:rFonts w:ascii="Times New Roman" w:hAnsi="Times New Roman" w:hint="eastAsia"/>
          <w:b/>
          <w:lang w:val="en-AU" w:eastAsia="ko-KR"/>
        </w:rPr>
        <w:t>FAD W</w:t>
      </w:r>
      <w:r w:rsidRPr="009C2ADD">
        <w:rPr>
          <w:rFonts w:ascii="Times New Roman" w:hAnsi="Times New Roman"/>
          <w:b/>
          <w:lang w:val="en-AU"/>
        </w:rPr>
        <w:t xml:space="preserve">orking </w:t>
      </w:r>
      <w:r w:rsidR="00572EC4">
        <w:rPr>
          <w:rFonts w:ascii="Times New Roman" w:hAnsi="Times New Roman" w:hint="eastAsia"/>
          <w:b/>
          <w:lang w:val="en-AU" w:eastAsia="ko-KR"/>
        </w:rPr>
        <w:t>G</w:t>
      </w:r>
      <w:r w:rsidRPr="009C2ADD">
        <w:rPr>
          <w:rFonts w:ascii="Times New Roman" w:hAnsi="Times New Roman"/>
          <w:b/>
          <w:lang w:val="en-AU"/>
        </w:rPr>
        <w:t>roup (SC13-MI-IP-03). SC13 recommends that WCPFC14 take into consideration the examples of best practice made within these reports when developing a framework for the management of FADs within the WCPO.</w:t>
      </w:r>
    </w:p>
    <w:p w14:paraId="407F292A" w14:textId="77777777" w:rsidR="005506E8" w:rsidRPr="009C2ADD" w:rsidRDefault="005506E8" w:rsidP="009C2ADD">
      <w:pPr>
        <w:pStyle w:val="ListParagraph"/>
        <w:adjustRightInd w:val="0"/>
        <w:snapToGrid w:val="0"/>
        <w:contextualSpacing w:val="0"/>
        <w:rPr>
          <w:rFonts w:ascii="Times New Roman" w:hAnsi="Times New Roman"/>
          <w:b/>
          <w:lang w:val="en-AU"/>
        </w:rPr>
      </w:pPr>
    </w:p>
    <w:p w14:paraId="19C00410" w14:textId="6183F7C2" w:rsidR="00787DAC" w:rsidRPr="009C2ADD" w:rsidRDefault="00787DA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outcome of ISG-02 (FAD data fields and FAD Research Plan) is in Attachment E.</w:t>
      </w:r>
    </w:p>
    <w:p w14:paraId="659D40B3" w14:textId="77777777" w:rsidR="003A411E" w:rsidRPr="009C2ADD" w:rsidRDefault="003A411E" w:rsidP="009C2ADD">
      <w:pPr>
        <w:adjustRightInd w:val="0"/>
        <w:snapToGrid w:val="0"/>
        <w:spacing w:after="0"/>
        <w:rPr>
          <w:rFonts w:ascii="Times New Roman" w:hAnsi="Times New Roman"/>
          <w:b/>
          <w:i/>
          <w:lang w:val="en-AU"/>
        </w:rPr>
      </w:pPr>
    </w:p>
    <w:p w14:paraId="2718A998" w14:textId="695B0D2B" w:rsidR="005307C0" w:rsidRPr="009C2ADD" w:rsidRDefault="0028464D" w:rsidP="009C2ADD">
      <w:pPr>
        <w:pStyle w:val="Heading2"/>
        <w:adjustRightInd w:val="0"/>
        <w:snapToGrid w:val="0"/>
        <w:rPr>
          <w:color w:val="auto"/>
          <w:szCs w:val="22"/>
          <w:lang w:val="en-AU"/>
        </w:rPr>
      </w:pPr>
      <w:bookmarkStart w:id="129" w:name="_Toc491851827"/>
      <w:r w:rsidRPr="009C2ADD">
        <w:rPr>
          <w:color w:val="auto"/>
          <w:szCs w:val="22"/>
          <w:lang w:val="en-AU"/>
        </w:rPr>
        <w:t xml:space="preserve">5.3 </w:t>
      </w:r>
      <w:r w:rsidR="005506E8" w:rsidRPr="009C2ADD">
        <w:rPr>
          <w:color w:val="auto"/>
          <w:szCs w:val="22"/>
          <w:lang w:val="en-AU"/>
        </w:rPr>
        <w:tab/>
      </w:r>
      <w:r w:rsidR="005307C0" w:rsidRPr="009C2ADD">
        <w:rPr>
          <w:color w:val="auto"/>
          <w:szCs w:val="22"/>
          <w:lang w:val="en-AU"/>
        </w:rPr>
        <w:t>Implementation of CMM 2016-01</w:t>
      </w:r>
      <w:bookmarkEnd w:id="129"/>
    </w:p>
    <w:p w14:paraId="1D91EE72" w14:textId="77777777" w:rsidR="003A411E" w:rsidRPr="009C2ADD" w:rsidRDefault="003A411E" w:rsidP="009C2ADD">
      <w:pPr>
        <w:adjustRightInd w:val="0"/>
        <w:snapToGrid w:val="0"/>
        <w:spacing w:after="0"/>
        <w:rPr>
          <w:rFonts w:ascii="Times New Roman" w:hAnsi="Times New Roman"/>
          <w:lang w:val="en-AU"/>
        </w:rPr>
      </w:pPr>
    </w:p>
    <w:p w14:paraId="782EEA42" w14:textId="60E75A96" w:rsidR="005307C0" w:rsidRPr="009C2ADD" w:rsidRDefault="00C612B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 xml:space="preserve">The Convention noted that </w:t>
      </w:r>
      <w:r w:rsidR="005307C0" w:rsidRPr="009C2ADD">
        <w:rPr>
          <w:rFonts w:ascii="Times New Roman" w:hAnsi="Times New Roman"/>
          <w:lang w:val="en-AU"/>
        </w:rPr>
        <w:t xml:space="preserve">SC13 </w:t>
      </w:r>
      <w:r>
        <w:rPr>
          <w:rFonts w:ascii="Times New Roman" w:hAnsi="Times New Roman"/>
          <w:lang w:val="en-AU"/>
        </w:rPr>
        <w:t>had been requested to</w:t>
      </w:r>
      <w:r w:rsidRPr="009C2ADD">
        <w:rPr>
          <w:rFonts w:ascii="Times New Roman" w:hAnsi="Times New Roman"/>
          <w:lang w:val="en-AU"/>
        </w:rPr>
        <w:t xml:space="preserve"> </w:t>
      </w:r>
      <w:r w:rsidR="005307C0" w:rsidRPr="009C2ADD">
        <w:rPr>
          <w:rFonts w:ascii="Times New Roman" w:hAnsi="Times New Roman"/>
          <w:lang w:val="en-AU"/>
        </w:rPr>
        <w:t xml:space="preserve">review any updated information related to CMM 2016-01, including bigeye tuna hotspot analysis and </w:t>
      </w:r>
      <w:r w:rsidR="00572EC4">
        <w:rPr>
          <w:rFonts w:ascii="Times New Roman" w:hAnsi="Times New Roman"/>
          <w:lang w:val="en-AU" w:eastAsia="ko-KR"/>
        </w:rPr>
        <w:t>the</w:t>
      </w:r>
      <w:r w:rsidR="00572EC4">
        <w:rPr>
          <w:rFonts w:ascii="Times New Roman" w:hAnsi="Times New Roman" w:hint="eastAsia"/>
          <w:lang w:val="en-AU" w:eastAsia="ko-KR"/>
        </w:rPr>
        <w:t xml:space="preserve"> </w:t>
      </w:r>
      <w:r w:rsidR="005307C0" w:rsidRPr="009C2ADD">
        <w:rPr>
          <w:rFonts w:ascii="Times New Roman" w:hAnsi="Times New Roman"/>
          <w:lang w:val="en-AU"/>
        </w:rPr>
        <w:t xml:space="preserve">footnote 5 of Paragraph 18 relating to eligibility for exemption from the high seas FAD closure, and provide recommendations to the Commission as appropriate. </w:t>
      </w:r>
    </w:p>
    <w:p w14:paraId="65150D73" w14:textId="77777777" w:rsidR="005506E8" w:rsidRPr="009C2ADD" w:rsidRDefault="005506E8" w:rsidP="009C2ADD">
      <w:pPr>
        <w:autoSpaceDE w:val="0"/>
        <w:autoSpaceDN w:val="0"/>
        <w:adjustRightInd w:val="0"/>
        <w:snapToGrid w:val="0"/>
        <w:spacing w:after="0"/>
        <w:rPr>
          <w:rFonts w:ascii="Times New Roman" w:hAnsi="Times New Roman"/>
          <w:lang w:val="en-AU"/>
        </w:rPr>
      </w:pPr>
    </w:p>
    <w:p w14:paraId="3ADDCF1A" w14:textId="073A9D86"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L</w:t>
      </w:r>
      <w:r w:rsidR="00C14319">
        <w:rPr>
          <w:rFonts w:ascii="Times New Roman" w:hAnsi="Times New Roman" w:hint="eastAsia"/>
          <w:lang w:val="en-AU" w:eastAsia="ko-KR"/>
        </w:rPr>
        <w:t>.</w:t>
      </w:r>
      <w:r w:rsidRPr="009C2ADD">
        <w:rPr>
          <w:rFonts w:ascii="Times New Roman" w:hAnsi="Times New Roman"/>
          <w:lang w:val="en-AU"/>
        </w:rPr>
        <w:t xml:space="preserve"> Escalle (SPC) presented </w:t>
      </w:r>
      <w:r w:rsidRPr="0070772D">
        <w:rPr>
          <w:rFonts w:ascii="Times New Roman" w:hAnsi="Times New Roman"/>
          <w:bCs/>
          <w:lang w:val="en-AU"/>
        </w:rPr>
        <w:t>SC13-MI-WP-07</w:t>
      </w:r>
      <w:r w:rsidR="00BC1A58">
        <w:rPr>
          <w:rFonts w:ascii="Times New Roman" w:hAnsi="Times New Roman"/>
          <w:bCs/>
          <w:lang w:val="en-AU"/>
        </w:rPr>
        <w:t xml:space="preserve"> Rev.02</w:t>
      </w:r>
      <w:r w:rsidRPr="009C2ADD">
        <w:rPr>
          <w:rFonts w:ascii="Times New Roman" w:hAnsi="Times New Roman"/>
          <w:lang w:val="en-AU"/>
        </w:rPr>
        <w:t xml:space="preserve"> </w:t>
      </w:r>
      <w:r w:rsidRPr="009C2ADD">
        <w:rPr>
          <w:rFonts w:ascii="Times New Roman" w:hAnsi="Times New Roman"/>
          <w:i/>
          <w:lang w:val="en-AU"/>
        </w:rPr>
        <w:t>Report from Project 77: Development of potential measures to reduce interactions with bigeye tuna in the purse seine fishery in the western and central Pacific Ocean (‘bigeye hotspots analysis’)</w:t>
      </w:r>
      <w:r w:rsidRPr="009C2ADD">
        <w:rPr>
          <w:rFonts w:ascii="Times New Roman" w:hAnsi="Times New Roman"/>
          <w:lang w:val="en-AU"/>
        </w:rPr>
        <w:t xml:space="preserve">, which outlined the analysis performed during this project to identify the influence of some vessel and FAD characteristics and environmental variables on bigeye tuna catch by the purse seine fishery. Vessel size, net depth and length and FAD design (e.g. depth), as well as thermocline depth appear to influence bigeye catch, but researchers could not statistically separate the effects of key areas and vessel/FAD types. Top bigeye tuna catching vessels were identified. Two main hotspots of high bigeye interactions (bigeye catch and bigeye CPUE hotspot) were also identified, which could be considered for spatial management. SC was invited to note the final report of </w:t>
      </w:r>
      <w:r w:rsidR="00572EC4">
        <w:rPr>
          <w:rFonts w:ascii="Times New Roman" w:hAnsi="Times New Roman" w:hint="eastAsia"/>
          <w:lang w:val="en-AU" w:eastAsia="ko-KR"/>
        </w:rPr>
        <w:t>P</w:t>
      </w:r>
      <w:r w:rsidRPr="009C2ADD">
        <w:rPr>
          <w:rFonts w:ascii="Times New Roman" w:hAnsi="Times New Roman"/>
          <w:lang w:val="en-AU"/>
        </w:rPr>
        <w:t xml:space="preserve">roject 77 would be delivered in October 2017. </w:t>
      </w:r>
    </w:p>
    <w:p w14:paraId="0AABCE68"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6A5EEC4A" w14:textId="75493649"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highly appreciated the effort of the </w:t>
      </w:r>
      <w:r w:rsidR="00444E27" w:rsidRPr="009C2ADD">
        <w:rPr>
          <w:rFonts w:ascii="Times New Roman" w:hAnsi="Times New Roman"/>
          <w:lang w:val="en-AU"/>
        </w:rPr>
        <w:t>SPC;</w:t>
      </w:r>
      <w:r w:rsidRPr="009C2ADD">
        <w:rPr>
          <w:rFonts w:ascii="Times New Roman" w:hAnsi="Times New Roman"/>
          <w:lang w:val="en-AU"/>
        </w:rPr>
        <w:t xml:space="preserve"> it was a timely provision of information of this forum given the consideration of the tropical tuna measure, of the FAD management issues. China asked if SPC could identify in which countries</w:t>
      </w:r>
      <w:r w:rsidR="00E83347">
        <w:rPr>
          <w:rFonts w:ascii="Times New Roman" w:hAnsi="Times New Roman"/>
          <w:lang w:val="en-AU"/>
        </w:rPr>
        <w:t>’</w:t>
      </w:r>
      <w:r w:rsidRPr="009C2ADD">
        <w:rPr>
          <w:rFonts w:ascii="Times New Roman" w:hAnsi="Times New Roman"/>
          <w:lang w:val="en-AU"/>
        </w:rPr>
        <w:t xml:space="preserve"> jurisdictions the hotpots occurred or identify the percentage of which hotpots fell within EEZs, as there might be an additional burden for those </w:t>
      </w:r>
      <w:r w:rsidR="00E83347">
        <w:rPr>
          <w:rFonts w:ascii="Times New Roman" w:hAnsi="Times New Roman"/>
          <w:lang w:val="en-AU"/>
        </w:rPr>
        <w:t>S</w:t>
      </w:r>
      <w:r w:rsidRPr="009C2ADD">
        <w:rPr>
          <w:rFonts w:ascii="Times New Roman" w:hAnsi="Times New Roman"/>
          <w:lang w:val="en-AU"/>
        </w:rPr>
        <w:t xml:space="preserve">tates in terms of implementing any proposed conservation measures. SPC noted that it was possible to produce this information by October.  </w:t>
      </w:r>
    </w:p>
    <w:p w14:paraId="10704130"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569BB689" w14:textId="14B4886E" w:rsidR="005307C0" w:rsidRPr="009C2ADD" w:rsidRDefault="00732AD4"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Style w:val="bumpedfont15"/>
          <w:rFonts w:ascii="Times New Roman" w:hAnsi="Times New Roman"/>
        </w:rPr>
        <w:t>The Philippines requested clarification on the result </w:t>
      </w:r>
      <w:r w:rsidR="00572EC4">
        <w:rPr>
          <w:rStyle w:val="bumpedfont15"/>
          <w:rFonts w:ascii="Times New Roman" w:hAnsi="Times New Roman"/>
        </w:rPr>
        <w:t xml:space="preserve">presented. </w:t>
      </w:r>
      <w:r w:rsidR="00C612B7">
        <w:rPr>
          <w:rStyle w:val="bumpedfont15"/>
          <w:rFonts w:ascii="Times New Roman" w:hAnsi="Times New Roman" w:hint="eastAsia"/>
          <w:lang w:eastAsia="ko-KR"/>
        </w:rPr>
        <w:t>T</w:t>
      </w:r>
      <w:r w:rsidR="00572EC4">
        <w:rPr>
          <w:rStyle w:val="bumpedfont15"/>
          <w:rFonts w:ascii="Times New Roman" w:hAnsi="Times New Roman"/>
        </w:rPr>
        <w:t>hey noted that the</w:t>
      </w:r>
      <w:r w:rsidR="00572EC4" w:rsidRPr="009C2ADD" w:rsidDel="00572EC4">
        <w:rPr>
          <w:rStyle w:val="bumpedfont15"/>
          <w:rFonts w:ascii="Times New Roman" w:hAnsi="Times New Roman"/>
        </w:rPr>
        <w:t xml:space="preserve"> </w:t>
      </w:r>
      <w:r w:rsidRPr="009C2ADD">
        <w:rPr>
          <w:rStyle w:val="bumpedfont15"/>
          <w:rFonts w:ascii="Times New Roman" w:hAnsi="Times New Roman"/>
        </w:rPr>
        <w:t xml:space="preserve">cluster analysis indicated increasing bigeye catch with increasing vessel size but no clear pattern </w:t>
      </w:r>
      <w:r w:rsidR="00167321">
        <w:rPr>
          <w:rStyle w:val="bumpedfont15"/>
          <w:rFonts w:ascii="Times New Roman" w:hAnsi="Times New Roman" w:hint="eastAsia"/>
          <w:lang w:eastAsia="ko-KR"/>
        </w:rPr>
        <w:t>with increasing</w:t>
      </w:r>
      <w:r w:rsidR="00167321" w:rsidRPr="009C2ADD">
        <w:rPr>
          <w:rStyle w:val="bumpedfont15"/>
          <w:rFonts w:ascii="Times New Roman" w:hAnsi="Times New Roman"/>
        </w:rPr>
        <w:t xml:space="preserve"> </w:t>
      </w:r>
      <w:r w:rsidRPr="009C2ADD">
        <w:rPr>
          <w:rStyle w:val="bumpedfont15"/>
          <w:rFonts w:ascii="Times New Roman" w:hAnsi="Times New Roman"/>
        </w:rPr>
        <w:t>depth and length of net.  However, in the statistical model, results showed </w:t>
      </w:r>
      <w:r w:rsidR="00167321">
        <w:rPr>
          <w:rStyle w:val="bumpedfont15"/>
          <w:rFonts w:ascii="Times New Roman" w:hAnsi="Times New Roman" w:hint="eastAsia"/>
          <w:lang w:eastAsia="ko-KR"/>
        </w:rPr>
        <w:t xml:space="preserve">that </w:t>
      </w:r>
      <w:r w:rsidR="005506E8" w:rsidRPr="009C2ADD">
        <w:rPr>
          <w:rStyle w:val="bumpedfont15"/>
          <w:rFonts w:ascii="Times New Roman" w:hAnsi="Times New Roman"/>
        </w:rPr>
        <w:t xml:space="preserve">bigeye catch increased with </w:t>
      </w:r>
      <w:r w:rsidRPr="009C2ADD">
        <w:rPr>
          <w:rStyle w:val="bumpedfont15"/>
          <w:rFonts w:ascii="Times New Roman" w:hAnsi="Times New Roman"/>
        </w:rPr>
        <w:t xml:space="preserve">increased vessel length, </w:t>
      </w:r>
      <w:r w:rsidR="00167321">
        <w:rPr>
          <w:rStyle w:val="bumpedfont15"/>
          <w:rFonts w:ascii="Times New Roman" w:hAnsi="Times New Roman" w:hint="eastAsia"/>
          <w:lang w:eastAsia="ko-KR"/>
        </w:rPr>
        <w:t xml:space="preserve">but also </w:t>
      </w:r>
      <w:r w:rsidRPr="009C2ADD">
        <w:rPr>
          <w:rStyle w:val="bumpedfont15"/>
          <w:rFonts w:ascii="Times New Roman" w:hAnsi="Times New Roman"/>
        </w:rPr>
        <w:t xml:space="preserve">depth and length of net. </w:t>
      </w:r>
      <w:r w:rsidR="00167321">
        <w:rPr>
          <w:rStyle w:val="bumpedfont15"/>
          <w:rFonts w:ascii="Times New Roman" w:hAnsi="Times New Roman"/>
        </w:rPr>
        <w:t xml:space="preserve">So they wonder, what could explain that difference. In addition the </w:t>
      </w:r>
      <w:r w:rsidRPr="009C2ADD">
        <w:rPr>
          <w:rStyle w:val="bumpedfont15"/>
          <w:rFonts w:ascii="Times New Roman" w:hAnsi="Times New Roman"/>
        </w:rPr>
        <w:t>Philippines informed </w:t>
      </w:r>
      <w:r w:rsidR="00C612B7">
        <w:rPr>
          <w:rStyle w:val="bumpedfont15"/>
          <w:rFonts w:ascii="Times New Roman" w:hAnsi="Times New Roman" w:hint="eastAsia"/>
          <w:lang w:eastAsia="ko-KR"/>
        </w:rPr>
        <w:t xml:space="preserve">the SC </w:t>
      </w:r>
      <w:r w:rsidRPr="009C2ADD">
        <w:rPr>
          <w:rStyle w:val="bumpedfont15"/>
          <w:rFonts w:ascii="Times New Roman" w:hAnsi="Times New Roman"/>
        </w:rPr>
        <w:t xml:space="preserve">of their study on the effects of net depth on the catch of bigeye </w:t>
      </w:r>
      <w:r w:rsidR="00C612B7">
        <w:rPr>
          <w:rStyle w:val="bumpedfont15"/>
          <w:rFonts w:ascii="Times New Roman" w:hAnsi="Times New Roman" w:hint="eastAsia"/>
          <w:lang w:eastAsia="ko-KR"/>
        </w:rPr>
        <w:t>(</w:t>
      </w:r>
      <w:r w:rsidRPr="009C2ADD">
        <w:rPr>
          <w:rStyle w:val="bumpedfont15"/>
          <w:rFonts w:ascii="Times New Roman" w:hAnsi="Times New Roman"/>
        </w:rPr>
        <w:t>submitted as </w:t>
      </w:r>
      <w:r w:rsidR="00C612B7">
        <w:rPr>
          <w:rStyle w:val="bumpedfont15"/>
          <w:rFonts w:ascii="Times New Roman" w:hAnsi="Times New Roman" w:hint="eastAsia"/>
          <w:lang w:eastAsia="ko-KR"/>
        </w:rPr>
        <w:t>SC13-</w:t>
      </w:r>
      <w:r w:rsidRPr="009C2ADD">
        <w:rPr>
          <w:rStyle w:val="bumpedfont15"/>
          <w:rFonts w:ascii="Times New Roman" w:hAnsi="Times New Roman"/>
        </w:rPr>
        <w:t>EB-IP-04</w:t>
      </w:r>
      <w:r w:rsidR="00C612B7">
        <w:rPr>
          <w:rStyle w:val="bumpedfont15"/>
          <w:rFonts w:ascii="Times New Roman" w:hAnsi="Times New Roman" w:hint="eastAsia"/>
          <w:lang w:eastAsia="ko-KR"/>
        </w:rPr>
        <w:t>)</w:t>
      </w:r>
      <w:r w:rsidRPr="009C2ADD">
        <w:rPr>
          <w:rStyle w:val="bumpedfont15"/>
          <w:rFonts w:ascii="Times New Roman" w:hAnsi="Times New Roman"/>
        </w:rPr>
        <w:t> which showed significantly higher</w:t>
      </w:r>
      <w:r w:rsidR="00BD08C6">
        <w:rPr>
          <w:rStyle w:val="bumpedfont15"/>
          <w:rFonts w:ascii="Times New Roman" w:hAnsi="Times New Roman"/>
        </w:rPr>
        <w:t xml:space="preserve"> </w:t>
      </w:r>
      <w:r w:rsidRPr="009C2ADD">
        <w:rPr>
          <w:rStyle w:val="bumpedfont15"/>
          <w:rFonts w:ascii="Times New Roman" w:hAnsi="Times New Roman"/>
        </w:rPr>
        <w:t>bigeye catch in deeper nets when compared to shallow nets.</w:t>
      </w:r>
      <w:r w:rsidR="00BD08C6">
        <w:rPr>
          <w:rStyle w:val="bumpedfont15"/>
          <w:rFonts w:ascii="Times New Roman" w:hAnsi="Times New Roman" w:hint="eastAsia"/>
          <w:lang w:eastAsia="ko-KR"/>
        </w:rPr>
        <w:t xml:space="preserve"> </w:t>
      </w:r>
      <w:r w:rsidR="00BE51E0" w:rsidRPr="009C2ADD">
        <w:rPr>
          <w:rFonts w:ascii="Times New Roman" w:hAnsi="Times New Roman"/>
          <w:lang w:val="en-AU"/>
        </w:rPr>
        <w:t xml:space="preserve">L. Escalle noted </w:t>
      </w:r>
      <w:r w:rsidR="00167321">
        <w:rPr>
          <w:rFonts w:ascii="Times New Roman" w:hAnsi="Times New Roman" w:hint="eastAsia"/>
          <w:lang w:val="en-AU" w:eastAsia="ko-KR"/>
        </w:rPr>
        <w:t xml:space="preserve">that </w:t>
      </w:r>
      <w:r w:rsidR="00BE51E0" w:rsidRPr="009C2ADD">
        <w:rPr>
          <w:rFonts w:ascii="Times New Roman" w:hAnsi="Times New Roman"/>
          <w:lang w:val="en-AU"/>
        </w:rPr>
        <w:t xml:space="preserve">the main difference </w:t>
      </w:r>
      <w:r w:rsidR="00167321">
        <w:rPr>
          <w:rFonts w:ascii="Times New Roman" w:hAnsi="Times New Roman"/>
          <w:lang w:val="en-AU"/>
        </w:rPr>
        <w:t xml:space="preserve">between both analyses </w:t>
      </w:r>
      <w:r w:rsidR="00BE51E0" w:rsidRPr="009C2ADD">
        <w:rPr>
          <w:rFonts w:ascii="Times New Roman" w:hAnsi="Times New Roman"/>
          <w:lang w:val="en-AU"/>
        </w:rPr>
        <w:t xml:space="preserve">was </w:t>
      </w:r>
      <w:r w:rsidR="00167321">
        <w:rPr>
          <w:rFonts w:ascii="Times New Roman" w:hAnsi="Times New Roman"/>
          <w:lang w:val="en-AU"/>
        </w:rPr>
        <w:t xml:space="preserve">that in </w:t>
      </w:r>
      <w:r w:rsidR="00BE51E0" w:rsidRPr="009C2ADD">
        <w:rPr>
          <w:rFonts w:ascii="Times New Roman" w:hAnsi="Times New Roman"/>
          <w:lang w:val="en-AU"/>
        </w:rPr>
        <w:t xml:space="preserve">the clustering analysis, </w:t>
      </w:r>
      <w:r w:rsidR="00167321">
        <w:rPr>
          <w:rFonts w:ascii="Times New Roman" w:hAnsi="Times New Roman"/>
          <w:lang w:val="en-AU"/>
        </w:rPr>
        <w:t xml:space="preserve">a </w:t>
      </w:r>
      <w:r w:rsidR="00167321" w:rsidRPr="009C2ADD">
        <w:rPr>
          <w:rFonts w:ascii="Times New Roman" w:hAnsi="Times New Roman"/>
          <w:lang w:val="en-AU"/>
        </w:rPr>
        <w:t xml:space="preserve">vessel </w:t>
      </w:r>
      <w:r w:rsidR="00167321">
        <w:rPr>
          <w:rFonts w:ascii="Times New Roman" w:hAnsi="Times New Roman"/>
          <w:lang w:val="en-AU"/>
        </w:rPr>
        <w:t xml:space="preserve">could perform sets in various clusters, therefore potentially not showing some patterns. </w:t>
      </w:r>
      <w:r w:rsidR="00410899">
        <w:rPr>
          <w:rFonts w:ascii="Times New Roman" w:hAnsi="Times New Roman" w:hint="eastAsia"/>
          <w:lang w:val="en-AU" w:eastAsia="ko-KR"/>
        </w:rPr>
        <w:t xml:space="preserve"> W</w:t>
      </w:r>
      <w:r w:rsidR="00BE51E0" w:rsidRPr="009C2ADD">
        <w:rPr>
          <w:rFonts w:ascii="Times New Roman" w:hAnsi="Times New Roman"/>
          <w:lang w:val="en-AU"/>
        </w:rPr>
        <w:t xml:space="preserve">hile the GAM directly highlight the characteristics </w:t>
      </w:r>
      <w:r w:rsidR="00410899">
        <w:rPr>
          <w:rFonts w:ascii="Times New Roman" w:hAnsi="Times New Roman"/>
          <w:lang w:val="en-AU"/>
        </w:rPr>
        <w:t xml:space="preserve">(e.g. vessel size, net length, depth) </w:t>
      </w:r>
      <w:r w:rsidR="00BE51E0" w:rsidRPr="009C2ADD">
        <w:rPr>
          <w:rFonts w:ascii="Times New Roman" w:hAnsi="Times New Roman"/>
          <w:lang w:val="en-AU"/>
        </w:rPr>
        <w:t>leading to higher bigeye catches at the set level</w:t>
      </w:r>
      <w:r w:rsidR="00410899">
        <w:rPr>
          <w:rFonts w:ascii="Times New Roman" w:hAnsi="Times New Roman"/>
          <w:lang w:val="en-AU"/>
        </w:rPr>
        <w:t xml:space="preserve"> (independently of the cluster)</w:t>
      </w:r>
      <w:r w:rsidR="00BE51E0" w:rsidRPr="009C2ADD">
        <w:rPr>
          <w:rFonts w:ascii="Times New Roman" w:hAnsi="Times New Roman"/>
          <w:lang w:val="en-AU"/>
        </w:rPr>
        <w:t>.</w:t>
      </w:r>
      <w:r w:rsidR="005307C0" w:rsidRPr="009C2ADD">
        <w:rPr>
          <w:rFonts w:ascii="Times New Roman" w:hAnsi="Times New Roman"/>
          <w:lang w:val="en-AU"/>
        </w:rPr>
        <w:t xml:space="preserve"> </w:t>
      </w:r>
    </w:p>
    <w:p w14:paraId="2CD4BA82"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EB695F0" w14:textId="3712055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Indonesia thanked the presenter for the very informative and useful information, and posed similar questions to the Philippines. They were especially interested in clarifying how the researchers classified large purse-seine vessels. L. Escalle clarified that these vessels we</w:t>
      </w:r>
      <w:r w:rsidR="00410899">
        <w:rPr>
          <w:rFonts w:ascii="Times New Roman" w:hAnsi="Times New Roman" w:hint="eastAsia"/>
          <w:lang w:val="en-AU" w:eastAsia="ko-KR"/>
        </w:rPr>
        <w:t>re</w:t>
      </w:r>
      <w:r w:rsidRPr="009C2ADD">
        <w:rPr>
          <w:rFonts w:ascii="Times New Roman" w:hAnsi="Times New Roman"/>
          <w:lang w:val="en-AU"/>
        </w:rPr>
        <w:t xml:space="preserve"> categorised by simply dividing all purse-seine vessels available between </w:t>
      </w:r>
      <w:r w:rsidR="00410899">
        <w:rPr>
          <w:rFonts w:ascii="Times New Roman" w:hAnsi="Times New Roman"/>
          <w:lang w:val="en-AU"/>
        </w:rPr>
        <w:t xml:space="preserve">in size categories, between </w:t>
      </w:r>
      <w:r w:rsidRPr="009C2ADD">
        <w:rPr>
          <w:rFonts w:ascii="Times New Roman" w:hAnsi="Times New Roman"/>
          <w:lang w:val="en-AU"/>
        </w:rPr>
        <w:t xml:space="preserve">55 and 117 meters – the larger vessels </w:t>
      </w:r>
      <w:r w:rsidR="00410899">
        <w:rPr>
          <w:rFonts w:ascii="Times New Roman" w:hAnsi="Times New Roman"/>
          <w:lang w:val="en-AU"/>
        </w:rPr>
        <w:t xml:space="preserve">therefore corresponded to </w:t>
      </w:r>
      <w:r w:rsidRPr="009C2ADD">
        <w:rPr>
          <w:rFonts w:ascii="Times New Roman" w:hAnsi="Times New Roman"/>
          <w:lang w:val="en-AU"/>
        </w:rPr>
        <w:t xml:space="preserve">the very large ones available in the data set, the top 5 large vessels.  </w:t>
      </w:r>
    </w:p>
    <w:p w14:paraId="5A787641"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DA2EECE" w14:textId="496461C1"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Tuvalu on behalf of FFA </w:t>
      </w:r>
      <w:r w:rsidR="00D5432C">
        <w:rPr>
          <w:rFonts w:ascii="Times New Roman" w:hAnsi="Times New Roman"/>
          <w:lang w:val="en-AU"/>
        </w:rPr>
        <w:t>member</w:t>
      </w:r>
      <w:r w:rsidRPr="009C2ADD">
        <w:rPr>
          <w:rFonts w:ascii="Times New Roman" w:hAnsi="Times New Roman"/>
          <w:lang w:val="en-AU"/>
        </w:rPr>
        <w:t xml:space="preserve">s thanked SPC for the paper, as it provided a useful analysis of contributing factors to purse seine associated catches and CPUE of bigeye across the region. The paper usefully highlighted the vessel and FAD attributes that could potentially be used in the development of measures to manage bigeye catches. In the same vein, they noted the gaps and large amount of additional data needed to determine with certainty the vessel characteristics, FAD design and use, technological capacity and area effects on the distribution of bigeye catch in the tropical fishery. Because of this, using the analysis for any discussion on potential management measures is premature. It was further noted the linkages with agenda item 5.2.2 on FAD management and that any future work would be more appropriately focused on FAD management. </w:t>
      </w:r>
    </w:p>
    <w:p w14:paraId="52EAA136"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5EB02DC6" w14:textId="2B06FFF5"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thanked SPC for a very important piece of work with significance to the WCPFC</w:t>
      </w:r>
      <w:r w:rsidR="00BD08C6">
        <w:rPr>
          <w:rFonts w:ascii="Times New Roman" w:hAnsi="Times New Roman"/>
          <w:lang w:val="en-AU" w:eastAsia="ko-KR"/>
        </w:rPr>
        <w:t>’</w:t>
      </w:r>
      <w:r w:rsidRPr="009C2ADD">
        <w:rPr>
          <w:rFonts w:ascii="Times New Roman" w:hAnsi="Times New Roman"/>
          <w:lang w:val="en-AU"/>
        </w:rPr>
        <w:t xml:space="preserve">s discussions on the interim tropical tuna measures. Japan sought confirmation on whether the final product would be provided in October, as it would be an important piece of information for the upcoming Honolulu meeting. SPC clarified the work and paper would be available for whichever way </w:t>
      </w:r>
      <w:r w:rsidR="00D5432C">
        <w:rPr>
          <w:rFonts w:ascii="Times New Roman" w:hAnsi="Times New Roman"/>
          <w:lang w:val="en-AU"/>
        </w:rPr>
        <w:t>member</w:t>
      </w:r>
      <w:r w:rsidRPr="009C2ADD">
        <w:rPr>
          <w:rFonts w:ascii="Times New Roman" w:hAnsi="Times New Roman"/>
          <w:lang w:val="en-AU"/>
        </w:rPr>
        <w:t xml:space="preserve">s wanted to consider it. </w:t>
      </w:r>
    </w:p>
    <w:p w14:paraId="005027C6"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7D8F613" w14:textId="4F6EA2E6" w:rsidR="005307C0" w:rsidRPr="009C2ADD" w:rsidRDefault="009210AF"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iCs/>
        </w:rPr>
        <w:t xml:space="preserve">Regarding the data source, based on visual estimates of the observers, </w:t>
      </w:r>
      <w:r w:rsidR="007E066D">
        <w:rPr>
          <w:rFonts w:ascii="Times New Roman" w:hAnsi="Times New Roman" w:hint="eastAsia"/>
          <w:iCs/>
          <w:lang w:eastAsia="ko-KR"/>
        </w:rPr>
        <w:t>EU</w:t>
      </w:r>
      <w:r w:rsidRPr="009C2ADD">
        <w:rPr>
          <w:rFonts w:ascii="Times New Roman" w:hAnsi="Times New Roman"/>
          <w:iCs/>
        </w:rPr>
        <w:t xml:space="preserve"> asked if the final document could see how these figures compared with the best estimates available</w:t>
      </w:r>
      <w:r w:rsidR="005D465C">
        <w:rPr>
          <w:rFonts w:ascii="Times New Roman" w:hAnsi="Times New Roman" w:hint="eastAsia"/>
          <w:iCs/>
          <w:lang w:eastAsia="ko-KR"/>
        </w:rPr>
        <w:t>, such as</w:t>
      </w:r>
      <w:r w:rsidRPr="009C2ADD">
        <w:rPr>
          <w:rFonts w:ascii="Times New Roman" w:hAnsi="Times New Roman"/>
          <w:iCs/>
        </w:rPr>
        <w:t xml:space="preserve"> the ones used in the stock assessment. The figure on the catch distribution contrast</w:t>
      </w:r>
      <w:r w:rsidR="00BF56B8">
        <w:rPr>
          <w:rFonts w:ascii="Times New Roman" w:hAnsi="Times New Roman" w:hint="eastAsia"/>
          <w:iCs/>
          <w:lang w:eastAsia="ko-KR"/>
        </w:rPr>
        <w:t>s</w:t>
      </w:r>
      <w:r w:rsidRPr="009C2ADD">
        <w:rPr>
          <w:rFonts w:ascii="Times New Roman" w:hAnsi="Times New Roman"/>
          <w:iCs/>
        </w:rPr>
        <w:t xml:space="preserve"> with the figures presented at SC6 </w:t>
      </w:r>
      <w:r w:rsidR="00BF56B8">
        <w:rPr>
          <w:rFonts w:ascii="Times New Roman" w:hAnsi="Times New Roman" w:hint="eastAsia"/>
          <w:iCs/>
          <w:lang w:eastAsia="ko-KR"/>
        </w:rPr>
        <w:t>i</w:t>
      </w:r>
      <w:r w:rsidRPr="009C2ADD">
        <w:rPr>
          <w:rFonts w:ascii="Times New Roman" w:hAnsi="Times New Roman"/>
          <w:iCs/>
        </w:rPr>
        <w:t>n a previous document on the catch and CPUE distribution of bigeye, based on best estimates for the period 2000-2009. It showed the core catch took place much more to the west. Has there been a significant shift of the catch to the east or could there be a spatial bias in the visual estimates of the observers?</w:t>
      </w:r>
      <w:r w:rsidR="00BF7ED2" w:rsidRPr="009C2ADD">
        <w:rPr>
          <w:rFonts w:ascii="Times New Roman" w:hAnsi="Times New Roman"/>
          <w:iCs/>
        </w:rPr>
        <w:t xml:space="preserve"> </w:t>
      </w:r>
      <w:r w:rsidR="00BE51E0" w:rsidRPr="009C2ADD">
        <w:rPr>
          <w:rFonts w:ascii="Times New Roman" w:hAnsi="Times New Roman"/>
          <w:lang w:val="en-AU"/>
        </w:rPr>
        <w:t>L. Escalle confirmed that there has been a shift in effort and catch to the east, potentially due to the strong El Ni</w:t>
      </w:r>
      <w:r w:rsidR="00BF56B8">
        <w:rPr>
          <w:rFonts w:ascii="Times New Roman" w:hAnsi="Times New Roman"/>
          <w:lang w:val="en-AU"/>
        </w:rPr>
        <w:t>ñ</w:t>
      </w:r>
      <w:r w:rsidR="00BE51E0" w:rsidRPr="009C2ADD">
        <w:rPr>
          <w:rFonts w:ascii="Times New Roman" w:hAnsi="Times New Roman"/>
          <w:lang w:val="en-AU"/>
        </w:rPr>
        <w:t>o event included in the period considered. She also agreed to add the figures regarding bigeye catch and CPUE hotspots using the best estimates data in the final report.</w:t>
      </w:r>
    </w:p>
    <w:p w14:paraId="485D2911"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4964F505" w14:textId="6AB29465"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question from Indonesia, the presenter clarified </w:t>
      </w:r>
      <w:r w:rsidR="00BF56B8">
        <w:rPr>
          <w:rFonts w:ascii="Times New Roman" w:hAnsi="Times New Roman" w:hint="eastAsia"/>
          <w:lang w:val="en-AU" w:eastAsia="ko-KR"/>
        </w:rPr>
        <w:t xml:space="preserve">that </w:t>
      </w:r>
      <w:r w:rsidRPr="009C2ADD">
        <w:rPr>
          <w:rFonts w:ascii="Times New Roman" w:hAnsi="Times New Roman"/>
          <w:lang w:val="en-AU"/>
        </w:rPr>
        <w:t xml:space="preserve">there was a mistake in the colour shading </w:t>
      </w:r>
      <w:r w:rsidR="00BE51E0" w:rsidRPr="009C2ADD">
        <w:rPr>
          <w:rFonts w:ascii="Times New Roman" w:hAnsi="Times New Roman"/>
          <w:lang w:val="en-AU" w:eastAsia="en-AU"/>
        </w:rPr>
        <w:t>for vessel #17 in 2014. In addition she confirmed that in</w:t>
      </w:r>
      <w:r w:rsidR="00BE51E0" w:rsidRPr="009C2ADD">
        <w:rPr>
          <w:rFonts w:ascii="Times New Roman" w:hAnsi="Times New Roman"/>
          <w:lang w:val="en-AU"/>
        </w:rPr>
        <w:t xml:space="preserve"> 2015</w:t>
      </w:r>
      <w:r w:rsidR="00BF56B8">
        <w:rPr>
          <w:rFonts w:ascii="Times New Roman" w:hAnsi="Times New Roman" w:hint="eastAsia"/>
          <w:lang w:val="en-AU" w:eastAsia="ko-KR"/>
        </w:rPr>
        <w:t xml:space="preserve"> and</w:t>
      </w:r>
      <w:r w:rsidR="00BE51E0" w:rsidRPr="009C2ADD">
        <w:rPr>
          <w:rFonts w:ascii="Times New Roman" w:hAnsi="Times New Roman"/>
          <w:lang w:val="en-AU"/>
        </w:rPr>
        <w:t xml:space="preserve"> 2016 no vessels appeared to have a catch of bigeye over 500 </w:t>
      </w:r>
      <w:r w:rsidR="00140621">
        <w:rPr>
          <w:rFonts w:ascii="Times New Roman" w:hAnsi="Times New Roman" w:hint="eastAsia"/>
          <w:lang w:val="en-AU" w:eastAsia="ko-KR"/>
        </w:rPr>
        <w:t>mt</w:t>
      </w:r>
      <w:r w:rsidR="00140621" w:rsidRPr="009C2ADD">
        <w:rPr>
          <w:rFonts w:ascii="Times New Roman" w:hAnsi="Times New Roman"/>
          <w:lang w:val="en-AU"/>
        </w:rPr>
        <w:t xml:space="preserve"> </w:t>
      </w:r>
      <w:r w:rsidR="00BE51E0" w:rsidRPr="009C2ADD">
        <w:rPr>
          <w:rFonts w:ascii="Times New Roman" w:hAnsi="Times New Roman"/>
          <w:lang w:val="en-AU"/>
        </w:rPr>
        <w:t>(observer data). Those with no catch were either not operating in WCPO fisheries or were not catching bigeye.</w:t>
      </w:r>
    </w:p>
    <w:p w14:paraId="68700768"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41188A8C" w14:textId="5FF3E10C"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Nauru on behalf of PNA </w:t>
      </w:r>
      <w:r w:rsidR="00D5432C">
        <w:rPr>
          <w:rFonts w:ascii="Times New Roman" w:hAnsi="Times New Roman"/>
          <w:lang w:val="en-AU"/>
        </w:rPr>
        <w:t>member</w:t>
      </w:r>
      <w:r w:rsidRPr="009C2ADD">
        <w:rPr>
          <w:rFonts w:ascii="Times New Roman" w:hAnsi="Times New Roman"/>
          <w:lang w:val="en-AU"/>
        </w:rPr>
        <w:t xml:space="preserve">s, thanked SPC for the work and the EU for funding for this project.  PNA found the work on vessel characteristics and overall spatial patterns of fishing in relation to bigeye very useful.  The work on bigeye hotspots had been interesting but had limited application in the WCPO because of the likely adverse effects of time/area closures related to bigeye hotspots on some SIDS. </w:t>
      </w:r>
    </w:p>
    <w:p w14:paraId="1F4966F0"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6587EC82" w14:textId="77777777" w:rsidR="005307C0" w:rsidRPr="009C2ADD" w:rsidRDefault="00FD57ED"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Convener summarised by noting that discussions on FADs were </w:t>
      </w:r>
      <w:r w:rsidR="005307C0" w:rsidRPr="009C2ADD">
        <w:rPr>
          <w:rFonts w:ascii="Times New Roman" w:hAnsi="Times New Roman"/>
          <w:lang w:val="en-AU"/>
        </w:rPr>
        <w:t>spread over three themes</w:t>
      </w:r>
      <w:r w:rsidRPr="009C2ADD">
        <w:rPr>
          <w:rFonts w:ascii="Times New Roman" w:hAnsi="Times New Roman"/>
          <w:lang w:val="en-AU"/>
        </w:rPr>
        <w:t xml:space="preserve"> at this meeting which highlighted</w:t>
      </w:r>
      <w:r w:rsidR="005307C0" w:rsidRPr="009C2ADD">
        <w:rPr>
          <w:rFonts w:ascii="Times New Roman" w:hAnsi="Times New Roman"/>
          <w:lang w:val="en-AU"/>
        </w:rPr>
        <w:t xml:space="preserve"> the importance of this issue for the work of this </w:t>
      </w:r>
      <w:r w:rsidRPr="009C2ADD">
        <w:rPr>
          <w:rFonts w:ascii="Times New Roman" w:hAnsi="Times New Roman"/>
          <w:lang w:val="en-AU"/>
        </w:rPr>
        <w:t xml:space="preserve">forum. </w:t>
      </w:r>
    </w:p>
    <w:p w14:paraId="140CD4BF" w14:textId="77777777" w:rsidR="005506E8" w:rsidRPr="009C2ADD" w:rsidRDefault="005506E8" w:rsidP="009C2ADD">
      <w:pPr>
        <w:pStyle w:val="ListParagraph"/>
        <w:adjustRightInd w:val="0"/>
        <w:snapToGrid w:val="0"/>
        <w:contextualSpacing w:val="0"/>
        <w:rPr>
          <w:rFonts w:ascii="Times New Roman" w:hAnsi="Times New Roman"/>
          <w:lang w:val="en-AU"/>
        </w:rPr>
      </w:pPr>
    </w:p>
    <w:p w14:paraId="2A89144A" w14:textId="6800147A" w:rsidR="005307C0" w:rsidRPr="009C2ADD" w:rsidRDefault="005307C0"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reviewed the draft final report from Project 77: Development of potential measures to reduce interactions with bigeye tuna in the purse seine fishery in the western and central Pacific Ocean (‘bigeye hotspots analysis’) (SC13-MI-WP-07</w:t>
      </w:r>
      <w:r w:rsidR="00BC1A58">
        <w:rPr>
          <w:rFonts w:ascii="Times New Roman" w:hAnsi="Times New Roman"/>
          <w:b/>
          <w:lang w:val="en-AU"/>
        </w:rPr>
        <w:t xml:space="preserve"> Rev.02</w:t>
      </w:r>
      <w:r w:rsidRPr="009C2ADD">
        <w:rPr>
          <w:rFonts w:ascii="Times New Roman" w:hAnsi="Times New Roman"/>
          <w:b/>
          <w:lang w:val="en-AU"/>
        </w:rPr>
        <w:t>) funded by the EU. The aims of this study were i) to identify factors linked to high purse seine bigeye catch; ii) to identify top bigeye tuna catching purse seiners; and iii) to examine spatial management considerations. As highlighted in previous studies it is clear that many factors influence bigeye catch by the purse seine fishery, which therefore makes it challenging to gauge the effect of each factor separately. SC13 noted several factors influencing bigeye catches, such as vessel size and thermocline depth, and that top vessel lists were different between areas, likely linked to the fact that many fleets mostly operate in one of the three areas analysed during a specific year. SC13 also noted the presence of two types of ‘bigeye hotspot’ areas: i) an area of high overall bigeye tuna catch, with small bigeye catch per set but high effort on associated sets; and ii) an area of high bigeye CPUE, but with lower average catches. SC13 made a number of suggestions to clarify aspects of the report (e.g. enumerating the proportion of the identified hot-spots within each national jurisdiction, providing similar estimates based on those used in the stock assessment to check for potential biases in the observers’ visual estimations, noting the concerns expressed by some CCMs regarding potential difficulties of applying time/area closures in areas of national jurisdiction) and these will be incorporated into the final report to be provided to the WCPFC Secretariat, and subsequently to be made generally available</w:t>
      </w:r>
      <w:r w:rsidR="00ED0741">
        <w:rPr>
          <w:rStyle w:val="FootnoteReference"/>
          <w:rFonts w:ascii="Times New Roman" w:hAnsi="Times New Roman"/>
          <w:b/>
          <w:lang w:val="en-AU"/>
        </w:rPr>
        <w:footnoteReference w:id="6"/>
      </w:r>
      <w:r w:rsidRPr="009C2ADD">
        <w:rPr>
          <w:rFonts w:ascii="Times New Roman" w:hAnsi="Times New Roman"/>
          <w:b/>
          <w:lang w:val="en-AU"/>
        </w:rPr>
        <w:t>. SC13 also noted the need for improved information on FAD designs, deployments and type of buoy use within the WCPO, together with the importance of detailed information on the characteristics of vessels fishing in the WCPO, to improve future analyses. SC13 recommends that the upcoming Intersessional Meeting to progress the Draft Bridging CCM on Tropical Tuna and both TCC13 and WCPFC14 takes note, among other elements, of the preliminary results contained in this report when framing the ‘bridging’ CMM to replace CMM-2016-01 and that mechanisms be considered to help facilitate further analyses as indicated above.</w:t>
      </w:r>
    </w:p>
    <w:p w14:paraId="67DC2549" w14:textId="77777777" w:rsidR="002C205C" w:rsidRPr="009C2ADD" w:rsidRDefault="002C205C" w:rsidP="009C2ADD">
      <w:pPr>
        <w:pStyle w:val="ListParagraph"/>
        <w:adjustRightInd w:val="0"/>
        <w:snapToGrid w:val="0"/>
        <w:contextualSpacing w:val="0"/>
        <w:rPr>
          <w:rFonts w:ascii="Times New Roman" w:eastAsia="바탕" w:hAnsi="Times New Roman"/>
          <w:lang w:eastAsia="ko-KR"/>
        </w:rPr>
      </w:pPr>
    </w:p>
    <w:p w14:paraId="038F4986" w14:textId="77777777" w:rsidR="002C205C" w:rsidRPr="009C2ADD" w:rsidRDefault="002C205C" w:rsidP="009C2ADD">
      <w:pPr>
        <w:adjustRightInd w:val="0"/>
        <w:snapToGrid w:val="0"/>
        <w:spacing w:after="0"/>
        <w:ind w:firstLine="720"/>
        <w:rPr>
          <w:rFonts w:ascii="Times New Roman" w:eastAsia="바탕" w:hAnsi="Times New Roman"/>
          <w:lang w:eastAsia="ko-KR"/>
        </w:rPr>
      </w:pPr>
    </w:p>
    <w:p w14:paraId="2B0451A7" w14:textId="77777777" w:rsidR="006922EE" w:rsidRPr="009C2ADD" w:rsidRDefault="00753C42" w:rsidP="009C2ADD">
      <w:pPr>
        <w:pStyle w:val="Heading1"/>
        <w:adjustRightInd w:val="0"/>
        <w:snapToGrid w:val="0"/>
        <w:rPr>
          <w:rFonts w:ascii="Times New Roman" w:hAnsi="Times New Roman"/>
          <w:sz w:val="22"/>
          <w:szCs w:val="22"/>
        </w:rPr>
      </w:pPr>
      <w:bookmarkStart w:id="130" w:name="_Toc491850307"/>
      <w:bookmarkStart w:id="131" w:name="_Toc491851828"/>
      <w:r w:rsidRPr="009C2ADD">
        <w:rPr>
          <w:rFonts w:ascii="Times New Roman" w:hAnsi="Times New Roman"/>
          <w:sz w:val="22"/>
          <w:szCs w:val="22"/>
        </w:rPr>
        <w:t xml:space="preserve">AGENDA ITEM </w:t>
      </w:r>
      <w:r w:rsidR="006922EE" w:rsidRPr="009C2ADD">
        <w:rPr>
          <w:rFonts w:ascii="Times New Roman" w:hAnsi="Times New Roman"/>
          <w:sz w:val="22"/>
          <w:szCs w:val="22"/>
        </w:rPr>
        <w:t>6 – Ecosystem and Bycatch Theme</w:t>
      </w:r>
      <w:bookmarkEnd w:id="130"/>
      <w:bookmarkEnd w:id="131"/>
    </w:p>
    <w:p w14:paraId="5FBD4171" w14:textId="77777777" w:rsidR="006922EE" w:rsidRPr="009C2ADD" w:rsidRDefault="006922EE" w:rsidP="009C2ADD">
      <w:pPr>
        <w:adjustRightInd w:val="0"/>
        <w:snapToGrid w:val="0"/>
        <w:spacing w:after="0"/>
        <w:rPr>
          <w:rFonts w:ascii="Times New Roman" w:hAnsi="Times New Roman"/>
        </w:rPr>
      </w:pPr>
    </w:p>
    <w:p w14:paraId="7A847AB7" w14:textId="77777777" w:rsidR="006922EE" w:rsidRPr="009C2ADD" w:rsidRDefault="006922EE" w:rsidP="009C2ADD">
      <w:pPr>
        <w:adjustRightInd w:val="0"/>
        <w:snapToGrid w:val="0"/>
        <w:spacing w:after="0"/>
        <w:rPr>
          <w:rFonts w:ascii="Times New Roman" w:hAnsi="Times New Roman"/>
          <w:b/>
        </w:rPr>
      </w:pPr>
    </w:p>
    <w:p w14:paraId="4764C98C" w14:textId="322D8532" w:rsidR="006922EE" w:rsidRPr="009C2ADD" w:rsidRDefault="006922EE" w:rsidP="009C2ADD">
      <w:pPr>
        <w:pStyle w:val="Heading2"/>
        <w:adjustRightInd w:val="0"/>
        <w:snapToGrid w:val="0"/>
        <w:rPr>
          <w:color w:val="auto"/>
          <w:szCs w:val="22"/>
          <w:lang w:val="en-AU"/>
        </w:rPr>
      </w:pPr>
      <w:bookmarkStart w:id="132" w:name="_Toc491851829"/>
      <w:r w:rsidRPr="009C2ADD">
        <w:rPr>
          <w:color w:val="auto"/>
          <w:szCs w:val="22"/>
          <w:lang w:val="en-AU"/>
        </w:rPr>
        <w:t xml:space="preserve">6.1 </w:t>
      </w:r>
      <w:r w:rsidR="002219DC" w:rsidRPr="009C2ADD">
        <w:rPr>
          <w:color w:val="auto"/>
          <w:szCs w:val="22"/>
          <w:lang w:val="en-AU"/>
        </w:rPr>
        <w:tab/>
      </w:r>
      <w:r w:rsidRPr="009C2ADD">
        <w:rPr>
          <w:color w:val="auto"/>
          <w:szCs w:val="22"/>
          <w:lang w:val="en-AU"/>
        </w:rPr>
        <w:t>Ecosystem effects of fishing</w:t>
      </w:r>
      <w:bookmarkEnd w:id="132"/>
      <w:r w:rsidRPr="009C2ADD">
        <w:rPr>
          <w:color w:val="auto"/>
          <w:szCs w:val="22"/>
          <w:lang w:val="en-AU"/>
        </w:rPr>
        <w:t xml:space="preserve">  </w:t>
      </w:r>
    </w:p>
    <w:p w14:paraId="348008BE" w14:textId="77777777" w:rsidR="003A411E" w:rsidRPr="009C2ADD" w:rsidRDefault="003A411E" w:rsidP="009C2ADD">
      <w:pPr>
        <w:adjustRightInd w:val="0"/>
        <w:snapToGrid w:val="0"/>
        <w:spacing w:after="0"/>
        <w:rPr>
          <w:rFonts w:ascii="Times New Roman" w:hAnsi="Times New Roman"/>
          <w:b/>
        </w:rPr>
      </w:pPr>
    </w:p>
    <w:p w14:paraId="6A28716C" w14:textId="175B8A49" w:rsidR="006922EE" w:rsidRPr="009C2ADD" w:rsidRDefault="003A411E"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6.1.1 </w:t>
      </w:r>
      <w:r w:rsidR="002219DC" w:rsidRPr="009C2ADD">
        <w:rPr>
          <w:rFonts w:ascii="Times New Roman" w:hAnsi="Times New Roman" w:cs="Times New Roman"/>
        </w:rPr>
        <w:tab/>
      </w:r>
      <w:r w:rsidR="006922EE" w:rsidRPr="009C2ADD">
        <w:rPr>
          <w:rFonts w:ascii="Times New Roman" w:hAnsi="Times New Roman" w:cs="Times New Roman"/>
        </w:rPr>
        <w:t xml:space="preserve">SEAPODYM </w:t>
      </w:r>
    </w:p>
    <w:p w14:paraId="2C941A6C" w14:textId="77777777" w:rsidR="006922EE" w:rsidRPr="009C2ADD" w:rsidRDefault="006922EE" w:rsidP="009C2ADD">
      <w:pPr>
        <w:adjustRightInd w:val="0"/>
        <w:snapToGrid w:val="0"/>
        <w:spacing w:after="0"/>
        <w:ind w:left="720"/>
        <w:rPr>
          <w:rFonts w:ascii="Times New Roman" w:hAnsi="Times New Roman"/>
          <w:b/>
        </w:rPr>
      </w:pPr>
    </w:p>
    <w:p w14:paraId="48C66C89" w14:textId="4BD23642"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Under this agenda item, SC13 considered updates to the SEAPODYM modelling framework; reviewed recent model runs; and provided comments and/or recommendations on SEAPODYM, including the process and methodology of the modelling framework.</w:t>
      </w:r>
    </w:p>
    <w:p w14:paraId="2DD4D20F"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7F3EB2A9" w14:textId="5A7853DF" w:rsidR="001B7A1E" w:rsidRPr="009C2ADD" w:rsidRDefault="006922EE" w:rsidP="009C2ADD">
      <w:pPr>
        <w:numPr>
          <w:ilvl w:val="0"/>
          <w:numId w:val="1"/>
        </w:numPr>
        <w:autoSpaceDE w:val="0"/>
        <w:autoSpaceDN w:val="0"/>
        <w:adjustRightInd w:val="0"/>
        <w:snapToGrid w:val="0"/>
        <w:spacing w:after="0"/>
        <w:ind w:left="0" w:firstLine="0"/>
        <w:rPr>
          <w:rFonts w:ascii="Times New Roman" w:hAnsi="Times New Roman"/>
        </w:rPr>
      </w:pPr>
      <w:r w:rsidRPr="009C2ADD">
        <w:rPr>
          <w:rFonts w:ascii="Times New Roman" w:hAnsi="Times New Roman"/>
          <w:lang w:val="en-AU"/>
        </w:rPr>
        <w:t>P</w:t>
      </w:r>
      <w:r w:rsidR="006233F1">
        <w:rPr>
          <w:rFonts w:ascii="Times New Roman" w:hAnsi="Times New Roman" w:hint="eastAsia"/>
          <w:lang w:val="en-AU" w:eastAsia="ko-KR"/>
        </w:rPr>
        <w:t>.</w:t>
      </w:r>
      <w:r w:rsidRPr="009C2ADD">
        <w:rPr>
          <w:rFonts w:ascii="Times New Roman" w:hAnsi="Times New Roman"/>
          <w:lang w:val="en-AU"/>
        </w:rPr>
        <w:t xml:space="preserve"> Lehodey presented </w:t>
      </w:r>
      <w:r w:rsidR="00327BEB" w:rsidRPr="0070772D">
        <w:rPr>
          <w:rFonts w:ascii="Times New Roman" w:hAnsi="Times New Roman"/>
          <w:bCs/>
          <w:lang w:val="en-AU"/>
        </w:rPr>
        <w:t>SC13-</w:t>
      </w:r>
      <w:r w:rsidRPr="0070772D">
        <w:rPr>
          <w:rFonts w:ascii="Times New Roman" w:hAnsi="Times New Roman"/>
          <w:bCs/>
          <w:lang w:val="en-AU"/>
        </w:rPr>
        <w:t>EB-WP-01</w:t>
      </w:r>
      <w:r w:rsidRPr="009C2ADD">
        <w:rPr>
          <w:rFonts w:ascii="Times New Roman" w:hAnsi="Times New Roman"/>
          <w:lang w:val="en-AU"/>
        </w:rPr>
        <w:t xml:space="preserve"> </w:t>
      </w:r>
      <w:r w:rsidRPr="009C2ADD">
        <w:rPr>
          <w:rFonts w:ascii="Times New Roman" w:hAnsi="Times New Roman"/>
          <w:i/>
          <w:lang w:val="en-AU"/>
        </w:rPr>
        <w:t>Modelling the impact of climate change including ocean acidification on Pacific yellowfin tuna</w:t>
      </w:r>
      <w:r w:rsidR="001B7A1E" w:rsidRPr="009C2ADD">
        <w:rPr>
          <w:rFonts w:ascii="Times New Roman" w:hAnsi="Times New Roman"/>
          <w:lang w:val="en-AU"/>
        </w:rPr>
        <w:t xml:space="preserve">. </w:t>
      </w:r>
      <w:r w:rsidR="001B7A1E" w:rsidRPr="009C2ADD">
        <w:rPr>
          <w:rFonts w:ascii="Times New Roman" w:hAnsi="Times New Roman"/>
        </w:rPr>
        <w:t xml:space="preserve">The effects of ocean acidification and climate change on the ocean pelagic ecosystem, especially tuna resources, were poorly known. This research presented an update of the previous yellowfin tuna SEAPODYM model (the last reference SEAPODYM model for Pacific yellowfin tuna was presented in 2015). Critically for managers this paper presented novel projections of potential impacts arising from a range of ocean warming scenarios, and the likely compounding effects of concurrent ocean acidification. </w:t>
      </w:r>
    </w:p>
    <w:p w14:paraId="769ADD7C" w14:textId="77777777" w:rsidR="002219DC" w:rsidRPr="009C2ADD" w:rsidRDefault="002219DC" w:rsidP="009C2ADD">
      <w:pPr>
        <w:pStyle w:val="ListParagraph"/>
        <w:adjustRightInd w:val="0"/>
        <w:snapToGrid w:val="0"/>
        <w:contextualSpacing w:val="0"/>
        <w:rPr>
          <w:rFonts w:ascii="Times New Roman" w:hAnsi="Times New Roman"/>
        </w:rPr>
      </w:pPr>
    </w:p>
    <w:p w14:paraId="2358F701" w14:textId="04E3FECD" w:rsidR="001B7A1E" w:rsidRPr="009C2ADD" w:rsidRDefault="001B7A1E" w:rsidP="009C2ADD">
      <w:pPr>
        <w:numPr>
          <w:ilvl w:val="0"/>
          <w:numId w:val="1"/>
        </w:numPr>
        <w:autoSpaceDE w:val="0"/>
        <w:autoSpaceDN w:val="0"/>
        <w:adjustRightInd w:val="0"/>
        <w:snapToGrid w:val="0"/>
        <w:spacing w:after="0"/>
        <w:ind w:left="0" w:firstLine="0"/>
        <w:rPr>
          <w:rFonts w:ascii="Times New Roman" w:hAnsi="Times New Roman"/>
        </w:rPr>
      </w:pPr>
      <w:r w:rsidRPr="009C2ADD">
        <w:rPr>
          <w:rFonts w:ascii="Times New Roman" w:hAnsi="Times New Roman"/>
        </w:rPr>
        <w:t xml:space="preserve">The predicted impact of climate change on this yellowfin tuna population is mainly driven by the change in the spawning habitat (temperature and productivity) and subsequent larval recruitment with a decrease in the WCPO and increase in the EPO. The additional impact of ocean acidification is minor. There is no discernible impact when considering the low sensitivity scenario, very small effects (&gt;5%) by the end of the century in the eastern equatorial </w:t>
      </w:r>
      <w:r w:rsidR="00DF480F" w:rsidRPr="009C2ADD">
        <w:rPr>
          <w:rFonts w:ascii="Times New Roman" w:hAnsi="Times New Roman"/>
        </w:rPr>
        <w:t>Pacific Ocean</w:t>
      </w:r>
      <w:r w:rsidRPr="009C2ADD">
        <w:rPr>
          <w:rFonts w:ascii="Times New Roman" w:hAnsi="Times New Roman"/>
        </w:rPr>
        <w:t xml:space="preserve"> with the intermediate scenario S1 and a stronger negative impact reaching locally -10% in 2050 and -15% in 2100 with the high sensitivity scenario. The temporal trends in larval biomass predicted by all simulations are relatively stable in the WCPO until 2050 and start to decrease in the second half of the century, while the range of model responses widens after the 2060s. </w:t>
      </w:r>
    </w:p>
    <w:p w14:paraId="793AFF5D" w14:textId="77777777" w:rsidR="002219DC" w:rsidRDefault="002219DC" w:rsidP="009C2ADD">
      <w:pPr>
        <w:pStyle w:val="ListParagraph"/>
        <w:adjustRightInd w:val="0"/>
        <w:snapToGrid w:val="0"/>
        <w:contextualSpacing w:val="0"/>
        <w:rPr>
          <w:rFonts w:ascii="Times New Roman" w:hAnsi="Times New Roman"/>
        </w:rPr>
      </w:pPr>
    </w:p>
    <w:p w14:paraId="143F8265" w14:textId="5B66A354" w:rsidR="00A71A59" w:rsidRPr="0070772D" w:rsidRDefault="00A71A59" w:rsidP="009C2ADD">
      <w:pPr>
        <w:pStyle w:val="ListParagraph"/>
        <w:adjustRightInd w:val="0"/>
        <w:snapToGrid w:val="0"/>
        <w:contextualSpacing w:val="0"/>
        <w:rPr>
          <w:rFonts w:ascii="Times New Roman" w:hAnsi="Times New Roman"/>
          <w:b/>
        </w:rPr>
      </w:pPr>
      <w:r w:rsidRPr="0070772D">
        <w:rPr>
          <w:rFonts w:ascii="Times New Roman" w:hAnsi="Times New Roman"/>
          <w:b/>
        </w:rPr>
        <w:t>Discussion</w:t>
      </w:r>
    </w:p>
    <w:p w14:paraId="637A06E0" w14:textId="77777777" w:rsidR="00A71A59" w:rsidRPr="009C2ADD" w:rsidRDefault="00A71A59" w:rsidP="009C2ADD">
      <w:pPr>
        <w:pStyle w:val="ListParagraph"/>
        <w:adjustRightInd w:val="0"/>
        <w:snapToGrid w:val="0"/>
        <w:contextualSpacing w:val="0"/>
        <w:rPr>
          <w:rFonts w:ascii="Times New Roman" w:hAnsi="Times New Roman"/>
        </w:rPr>
      </w:pPr>
    </w:p>
    <w:p w14:paraId="2708B3B6" w14:textId="5536804E"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 thanked the researchers for this useful study, which was a good example of using biological information. While there are significant uncertainties regarding what researchers know about ocean acidification, such as the adaptation potential of fish overtime which may mean the impact is lessened, the study also did not test</w:t>
      </w:r>
      <w:r w:rsidR="00475543" w:rsidRPr="009C2ADD">
        <w:rPr>
          <w:rFonts w:ascii="Times New Roman" w:hAnsi="Times New Roman"/>
          <w:lang w:val="en-AU"/>
        </w:rPr>
        <w:t xml:space="preserve"> </w:t>
      </w:r>
      <w:r w:rsidR="002E7242" w:rsidRPr="009C2ADD">
        <w:rPr>
          <w:rFonts w:ascii="Times New Roman" w:hAnsi="Times New Roman"/>
          <w:lang w:val="en-AU" w:eastAsia="ko-KR"/>
        </w:rPr>
        <w:t xml:space="preserve">any </w:t>
      </w:r>
      <w:r w:rsidRPr="009C2ADD">
        <w:rPr>
          <w:rFonts w:ascii="Times New Roman" w:hAnsi="Times New Roman"/>
          <w:lang w:val="en-AU"/>
        </w:rPr>
        <w:t>interact</w:t>
      </w:r>
      <w:r w:rsidR="00475543" w:rsidRPr="009C2ADD">
        <w:rPr>
          <w:rFonts w:ascii="Times New Roman" w:hAnsi="Times New Roman"/>
          <w:lang w:val="en-AU"/>
        </w:rPr>
        <w:t>ion</w:t>
      </w:r>
      <w:r w:rsidRPr="009C2ADD">
        <w:rPr>
          <w:rFonts w:ascii="Times New Roman" w:hAnsi="Times New Roman"/>
          <w:lang w:val="en-AU"/>
        </w:rPr>
        <w:t xml:space="preserve"> between </w:t>
      </w:r>
      <w:r w:rsidR="002E7242" w:rsidRPr="009C2ADD">
        <w:rPr>
          <w:rFonts w:ascii="Times New Roman" w:hAnsi="Times New Roman"/>
          <w:lang w:val="en-AU" w:eastAsia="ko-KR"/>
        </w:rPr>
        <w:t xml:space="preserve">temperature of the </w:t>
      </w:r>
      <w:r w:rsidRPr="009C2ADD">
        <w:rPr>
          <w:rFonts w:ascii="Times New Roman" w:hAnsi="Times New Roman"/>
          <w:lang w:val="en-AU"/>
        </w:rPr>
        <w:t>ocean and acidification</w:t>
      </w:r>
      <w:r w:rsidR="002E7242" w:rsidRPr="009C2ADD">
        <w:rPr>
          <w:rFonts w:ascii="Times New Roman" w:hAnsi="Times New Roman"/>
          <w:lang w:val="en-AU" w:eastAsia="ko-KR"/>
        </w:rPr>
        <w:t xml:space="preserve">. If temperature stresses larvae, then potentially </w:t>
      </w:r>
      <w:r w:rsidR="002B3E72">
        <w:rPr>
          <w:rFonts w:ascii="Times New Roman" w:hAnsi="Times New Roman"/>
          <w:lang w:val="en-AU" w:eastAsia="ko-KR"/>
        </w:rPr>
        <w:t>they</w:t>
      </w:r>
      <w:r w:rsidR="002B3E72" w:rsidRPr="009C2ADD">
        <w:rPr>
          <w:rFonts w:ascii="Times New Roman" w:hAnsi="Times New Roman"/>
          <w:lang w:val="en-AU" w:eastAsia="ko-KR"/>
        </w:rPr>
        <w:t xml:space="preserve"> </w:t>
      </w:r>
      <w:r w:rsidR="002E7242" w:rsidRPr="009C2ADD">
        <w:rPr>
          <w:rFonts w:ascii="Times New Roman" w:hAnsi="Times New Roman"/>
          <w:lang w:val="en-AU" w:eastAsia="ko-KR"/>
        </w:rPr>
        <w:t>become more sensitive to ocean acidification.</w:t>
      </w:r>
    </w:p>
    <w:p w14:paraId="1BA14792"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13E31880" w14:textId="26E51890"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Solomon Islands on behalf of FFA members thanked the authors of the paper, as SEAPODYM was increasingly useful in improving their understanding of the interactions between fishing and climate change at a fine spatial scale. They asked three questions about some of the modelling results, to help </w:t>
      </w:r>
      <w:r w:rsidR="00A71A59">
        <w:rPr>
          <w:rFonts w:ascii="Times New Roman" w:hAnsi="Times New Roman"/>
          <w:lang w:val="en-AU"/>
        </w:rPr>
        <w:t>their</w:t>
      </w:r>
      <w:r w:rsidR="00A71A59" w:rsidRPr="009C2ADD">
        <w:rPr>
          <w:rFonts w:ascii="Times New Roman" w:hAnsi="Times New Roman"/>
          <w:lang w:val="en-AU"/>
        </w:rPr>
        <w:t xml:space="preserve"> </w:t>
      </w:r>
      <w:r w:rsidRPr="009C2ADD">
        <w:rPr>
          <w:rFonts w:ascii="Times New Roman" w:hAnsi="Times New Roman"/>
          <w:lang w:val="en-AU"/>
        </w:rPr>
        <w:t>understanding:</w:t>
      </w:r>
    </w:p>
    <w:p w14:paraId="0A2F8FA4" w14:textId="3DEC1930" w:rsidR="006922EE" w:rsidRPr="009C2ADD" w:rsidRDefault="006922EE" w:rsidP="00B22C8E">
      <w:pPr>
        <w:pStyle w:val="ListParagraph"/>
        <w:numPr>
          <w:ilvl w:val="2"/>
          <w:numId w:val="53"/>
        </w:numPr>
        <w:adjustRightInd w:val="0"/>
        <w:snapToGrid w:val="0"/>
        <w:ind w:left="1080" w:hanging="360"/>
        <w:contextualSpacing w:val="0"/>
        <w:rPr>
          <w:rFonts w:ascii="Times New Roman" w:hAnsi="Times New Roman"/>
        </w:rPr>
      </w:pPr>
      <w:r w:rsidRPr="009C2ADD">
        <w:rPr>
          <w:rFonts w:ascii="Times New Roman" w:hAnsi="Times New Roman"/>
        </w:rPr>
        <w:t xml:space="preserve">The SEAPODYM results suggested that climate change and acidification had relatively weak impacts on yellowfin tuna populations. In response to the question how confident were the authors in this prediction, and was it likely that these impacts would be relatively weak on skipjack as </w:t>
      </w:r>
      <w:proofErr w:type="gramStart"/>
      <w:r w:rsidRPr="009C2ADD">
        <w:rPr>
          <w:rFonts w:ascii="Times New Roman" w:hAnsi="Times New Roman"/>
        </w:rPr>
        <w:t>well,</w:t>
      </w:r>
      <w:proofErr w:type="gramEnd"/>
      <w:r w:rsidRPr="009C2ADD">
        <w:rPr>
          <w:rFonts w:ascii="Times New Roman" w:hAnsi="Times New Roman"/>
        </w:rPr>
        <w:t xml:space="preserve"> P. Lehodey noted that the ocean data was well known and had greater impacts at higher latitudes, so it was not surprising to see minor impact in tropical areas to date. Modelling against the IPCCs 8.5 scenario, maximum impact was expected in 2200-2300. Regarding ocean acidification, at this stage the research was considered robust.</w:t>
      </w:r>
    </w:p>
    <w:p w14:paraId="5DA62F56" w14:textId="2C69A972" w:rsidR="006922EE" w:rsidRPr="009C2ADD" w:rsidRDefault="006922EE" w:rsidP="00B22C8E">
      <w:pPr>
        <w:pStyle w:val="ListParagraph"/>
        <w:numPr>
          <w:ilvl w:val="2"/>
          <w:numId w:val="53"/>
        </w:numPr>
        <w:adjustRightInd w:val="0"/>
        <w:snapToGrid w:val="0"/>
        <w:ind w:left="1080" w:hanging="360"/>
        <w:contextualSpacing w:val="0"/>
        <w:rPr>
          <w:rFonts w:ascii="Times New Roman" w:hAnsi="Times New Roman"/>
        </w:rPr>
      </w:pPr>
      <w:r w:rsidRPr="009C2ADD">
        <w:rPr>
          <w:rFonts w:ascii="Times New Roman" w:hAnsi="Times New Roman"/>
        </w:rPr>
        <w:t xml:space="preserve">The paper suggested fishing alone provided the main impact on the yellowfin spawning biomass in the equatorial eastern and western Pacific. The presenter explained this was not happening in the equatorial central Pacific because fishing impact was largely driven by the fishing distribution. </w:t>
      </w:r>
    </w:p>
    <w:p w14:paraId="4B72EF40" w14:textId="258F2E37" w:rsidR="006922EE" w:rsidRPr="009C2ADD" w:rsidRDefault="006922EE" w:rsidP="00B22C8E">
      <w:pPr>
        <w:pStyle w:val="ListParagraph"/>
        <w:numPr>
          <w:ilvl w:val="2"/>
          <w:numId w:val="53"/>
        </w:numPr>
        <w:adjustRightInd w:val="0"/>
        <w:snapToGrid w:val="0"/>
        <w:ind w:left="1080" w:hanging="360"/>
        <w:contextualSpacing w:val="0"/>
        <w:rPr>
          <w:rFonts w:ascii="Times New Roman" w:hAnsi="Times New Roman"/>
        </w:rPr>
      </w:pPr>
      <w:r w:rsidRPr="009C2ADD">
        <w:rPr>
          <w:rFonts w:ascii="Times New Roman" w:hAnsi="Times New Roman"/>
        </w:rPr>
        <w:t>They further noted the impact due to fishing was mainly driven by the change in spawning habitat (temperature and productivity) and larval recruitment – with a decrease in the WCPO and increase in the EPO. In response to the query – was it likely that the recent recruitment pulses seen in the latest Multifan- CL assessments of skipjack, bigeye and yellowfin can be explained by the environmental effects suggested by S</w:t>
      </w:r>
      <w:r w:rsidR="00A71A59">
        <w:rPr>
          <w:rFonts w:ascii="Times New Roman" w:hAnsi="Times New Roman"/>
        </w:rPr>
        <w:t>EAPODYM</w:t>
      </w:r>
      <w:r w:rsidRPr="009C2ADD">
        <w:rPr>
          <w:rFonts w:ascii="Times New Roman" w:hAnsi="Times New Roman"/>
        </w:rPr>
        <w:t xml:space="preserve">, P. Lehodey clarified that climate variability had strongly impacted the recruitment of yellowfin and skipjack, and natural variability was different from the long term climate change prediction. </w:t>
      </w:r>
    </w:p>
    <w:p w14:paraId="5978D468" w14:textId="77777777" w:rsidR="002219DC" w:rsidRPr="009C2ADD" w:rsidRDefault="002219DC" w:rsidP="009C2ADD">
      <w:pPr>
        <w:pStyle w:val="ListParagraph"/>
        <w:adjustRightInd w:val="0"/>
        <w:snapToGrid w:val="0"/>
        <w:ind w:left="1080" w:firstLine="0"/>
        <w:contextualSpacing w:val="0"/>
        <w:rPr>
          <w:rFonts w:ascii="Times New Roman" w:hAnsi="Times New Roman"/>
        </w:rPr>
      </w:pPr>
    </w:p>
    <w:p w14:paraId="13515181" w14:textId="4EE6522F"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thanked the presenter and asked several technical questions.  Regarding whether there were any close validations to check the quality assurance of the project to have confidence in the mode (quantitatively or qualitatively), it was noted that this was something the researchers regularly undertook, by running the model outside of the specified time (both in the past and in the modern period). Another type of validation used was testing the model in another ocean to see if that would return reasonable results. The validation results were considered to be good as researchers were able to achieve the same statistical feedback as the catch data. Regarding validation of the model, the researchers did not use any biomass estimates in model, they used their own approach to get their own biomass estimate. Regarding advice on how to incorporate information from this study into the stock assessments, P. Lehodey noted it was still an exploratory study, but it could be used to test different fishing scenarios to see how the status of the stock could be developed and maintained at a sustainable level, taking into account both climate change and fishing impacts. </w:t>
      </w:r>
    </w:p>
    <w:p w14:paraId="0B7985E8"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5B4D085C" w14:textId="3C614972" w:rsidR="006922EE" w:rsidRPr="009C2ADD" w:rsidRDefault="000A632A"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EU</w:t>
      </w:r>
      <w:r w:rsidR="006922EE" w:rsidRPr="009C2ADD">
        <w:rPr>
          <w:rFonts w:ascii="Times New Roman" w:hAnsi="Times New Roman"/>
          <w:lang w:val="en-AU"/>
        </w:rPr>
        <w:t xml:space="preserve"> noted </w:t>
      </w:r>
      <w:r>
        <w:rPr>
          <w:rFonts w:ascii="Times New Roman" w:hAnsi="Times New Roman"/>
          <w:lang w:val="en-AU"/>
        </w:rPr>
        <w:t xml:space="preserve">that both </w:t>
      </w:r>
      <w:r w:rsidR="006922EE" w:rsidRPr="009C2ADD">
        <w:rPr>
          <w:rFonts w:ascii="Times New Roman" w:hAnsi="Times New Roman"/>
          <w:lang w:val="en-AU"/>
        </w:rPr>
        <w:t>potential effects of tuna population growth and c</w:t>
      </w:r>
      <w:r w:rsidR="00B32BF2" w:rsidRPr="009C2ADD">
        <w:rPr>
          <w:rFonts w:ascii="Times New Roman" w:hAnsi="Times New Roman"/>
          <w:lang w:val="en-AU"/>
        </w:rPr>
        <w:t xml:space="preserve">hanges in the </w:t>
      </w:r>
      <w:r w:rsidR="006922EE" w:rsidRPr="009C2ADD">
        <w:rPr>
          <w:rFonts w:ascii="Times New Roman" w:hAnsi="Times New Roman"/>
          <w:lang w:val="en-AU"/>
        </w:rPr>
        <w:t xml:space="preserve">plankton were extremely difficult factors to forecast the collective impact of, and asked the presenter if this would have more impact than what had been presented at this meeting. In response, the presenter noted the </w:t>
      </w:r>
      <w:r w:rsidR="00444E27" w:rsidRPr="009C2ADD">
        <w:rPr>
          <w:rFonts w:ascii="Times New Roman" w:hAnsi="Times New Roman"/>
          <w:lang w:val="en-AU"/>
        </w:rPr>
        <w:t>effects of ocean acidification on the marine environment were</w:t>
      </w:r>
      <w:r w:rsidR="006922EE" w:rsidRPr="009C2ADD">
        <w:rPr>
          <w:rFonts w:ascii="Times New Roman" w:hAnsi="Times New Roman"/>
          <w:lang w:val="en-AU"/>
        </w:rPr>
        <w:t xml:space="preserve"> a relatively new area of research, but there was a consensus the main impact could be on larvae. </w:t>
      </w:r>
    </w:p>
    <w:p w14:paraId="7C4AA508"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35469C58" w14:textId="152B3F49"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asked if the models also took into account predicted changes in oxygen levels. P. Lehodey noted that yes it formed the basis of the model, alongside temperature, currents, productivity, oxygen concentration and the </w:t>
      </w:r>
      <w:r w:rsidR="006B3081">
        <w:rPr>
          <w:rFonts w:ascii="Times New Roman" w:hAnsi="Times New Roman" w:hint="eastAsia"/>
          <w:lang w:val="en-AU" w:eastAsia="ko-KR"/>
        </w:rPr>
        <w:t>p</w:t>
      </w:r>
      <w:r w:rsidRPr="009C2ADD">
        <w:rPr>
          <w:rFonts w:ascii="Times New Roman" w:hAnsi="Times New Roman"/>
          <w:lang w:val="en-AU"/>
        </w:rPr>
        <w:t xml:space="preserve">H for yellowfin. </w:t>
      </w:r>
    </w:p>
    <w:p w14:paraId="58ADF28A"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70E8BD86" w14:textId="179B3718" w:rsidR="006922EE"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PNG</w:t>
      </w:r>
      <w:r w:rsidR="006922EE" w:rsidRPr="009C2ADD">
        <w:rPr>
          <w:rFonts w:ascii="Times New Roman" w:hAnsi="Times New Roman"/>
          <w:lang w:val="en-AU"/>
        </w:rPr>
        <w:t xml:space="preserve"> stated that as predicted by all simulations, the yellowfin larval biomass in the WCPO was likely to be stable until 2050, but was predicted to decrease in the second half of the century. </w:t>
      </w:r>
      <w:r w:rsidR="00CE6039">
        <w:rPr>
          <w:rFonts w:ascii="Times New Roman" w:hAnsi="Times New Roman"/>
          <w:lang w:val="en-AU"/>
        </w:rPr>
        <w:t>I</w:t>
      </w:r>
      <w:r w:rsidR="006922EE" w:rsidRPr="009C2ADD">
        <w:rPr>
          <w:rFonts w:ascii="Times New Roman" w:hAnsi="Times New Roman"/>
          <w:lang w:val="en-AU"/>
        </w:rPr>
        <w:t>n 2015 the most obvious change relative to the first decade of the century was a large increase of unfished biomass in the ETPO and a moderate decrease in the WTPO. P. Lehodey explained the main drivers of the changes in the model were from changes in larval recruitment and</w:t>
      </w:r>
      <w:r w:rsidR="00444E27">
        <w:rPr>
          <w:rFonts w:ascii="Times New Roman" w:hAnsi="Times New Roman"/>
          <w:lang w:val="en-AU"/>
        </w:rPr>
        <w:t xml:space="preserve"> </w:t>
      </w:r>
      <w:r w:rsidR="006922EE" w:rsidRPr="009C2ADD">
        <w:rPr>
          <w:rFonts w:ascii="Times New Roman" w:hAnsi="Times New Roman"/>
          <w:lang w:val="en-AU"/>
        </w:rPr>
        <w:t xml:space="preserve">temperature increases and this could change with the new generation of IPCC climate models. </w:t>
      </w:r>
    </w:p>
    <w:p w14:paraId="0E02A877"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BBBAA8D" w14:textId="06FA413C" w:rsidR="006922EE"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RMI</w:t>
      </w:r>
      <w:r w:rsidR="006922EE" w:rsidRPr="009C2ADD">
        <w:rPr>
          <w:rFonts w:ascii="Times New Roman" w:hAnsi="Times New Roman"/>
          <w:lang w:val="en-AU"/>
        </w:rPr>
        <w:t xml:space="preserve"> on behalf of PNA </w:t>
      </w:r>
      <w:r w:rsidR="00D5432C">
        <w:rPr>
          <w:rFonts w:ascii="Times New Roman" w:hAnsi="Times New Roman"/>
          <w:lang w:val="en-AU"/>
        </w:rPr>
        <w:t>member</w:t>
      </w:r>
      <w:r w:rsidR="006922EE" w:rsidRPr="009C2ADD">
        <w:rPr>
          <w:rFonts w:ascii="Times New Roman" w:hAnsi="Times New Roman"/>
          <w:lang w:val="en-AU"/>
        </w:rPr>
        <w:t>s asked if SEAPODYM could help in providing information on the bigeye biomass outside 10</w:t>
      </w:r>
      <w:r w:rsidR="006B3081">
        <w:rPr>
          <w:rFonts w:ascii="Times New Roman" w:hAnsi="Times New Roman"/>
          <w:lang w:val="en-AU"/>
        </w:rPr>
        <w:t>ᴼ</w:t>
      </w:r>
      <w:r w:rsidR="006922EE" w:rsidRPr="009C2ADD">
        <w:rPr>
          <w:rFonts w:ascii="Times New Roman" w:hAnsi="Times New Roman"/>
          <w:lang w:val="en-AU"/>
        </w:rPr>
        <w:t>N and 10</w:t>
      </w:r>
      <w:r w:rsidR="006B3081">
        <w:rPr>
          <w:rFonts w:ascii="Times New Roman" w:hAnsi="Times New Roman"/>
          <w:lang w:val="en-AU"/>
        </w:rPr>
        <w:t>ᴼ</w:t>
      </w:r>
      <w:r w:rsidR="006922EE" w:rsidRPr="009C2ADD">
        <w:rPr>
          <w:rFonts w:ascii="Times New Roman" w:hAnsi="Times New Roman"/>
          <w:lang w:val="en-AU"/>
        </w:rPr>
        <w:t>S where there were difficulties with MULTIFAN because there was not so much fishing of bigeye in those areas. P. Lehodey noted that the SEAPODYM model was driven by environmental data, which could predict fish in all habitats even if there was no data from fishing. There would be no evidence to test its accuracy, since there would be no observation or catch data, but new observations could be taken to validate the distribution of the model.</w:t>
      </w:r>
    </w:p>
    <w:p w14:paraId="4ACCAA17"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598ABA37" w14:textId="16ECAC00"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request for any suggestions for P. Lehodey’s modelling, Australia suggested </w:t>
      </w:r>
      <w:r w:rsidR="00585986">
        <w:rPr>
          <w:rFonts w:ascii="Times New Roman" w:hAnsi="Times New Roman" w:hint="eastAsia"/>
          <w:lang w:val="en-AU" w:eastAsia="ko-KR"/>
        </w:rPr>
        <w:t xml:space="preserve">that </w:t>
      </w:r>
      <w:r w:rsidRPr="009C2ADD">
        <w:rPr>
          <w:rFonts w:ascii="Times New Roman" w:hAnsi="Times New Roman"/>
          <w:lang w:val="en-AU"/>
        </w:rPr>
        <w:t xml:space="preserve">candidate harvest control rules could be used in the projection of </w:t>
      </w:r>
      <w:r w:rsidR="00585986">
        <w:rPr>
          <w:rFonts w:ascii="Times New Roman" w:hAnsi="Times New Roman"/>
          <w:lang w:val="en-AU"/>
        </w:rPr>
        <w:t>future</w:t>
      </w:r>
      <w:r w:rsidR="00585986" w:rsidRPr="009C2ADD">
        <w:rPr>
          <w:rFonts w:ascii="Times New Roman" w:hAnsi="Times New Roman"/>
          <w:lang w:val="en-AU"/>
        </w:rPr>
        <w:t xml:space="preserve"> </w:t>
      </w:r>
      <w:r w:rsidR="00585986">
        <w:rPr>
          <w:rFonts w:ascii="Times New Roman" w:hAnsi="Times New Roman"/>
          <w:lang w:val="en-AU"/>
        </w:rPr>
        <w:t xml:space="preserve">catch </w:t>
      </w:r>
      <w:r w:rsidR="00585986" w:rsidRPr="009C2ADD">
        <w:rPr>
          <w:rFonts w:ascii="Times New Roman" w:hAnsi="Times New Roman"/>
          <w:lang w:val="en-AU"/>
        </w:rPr>
        <w:t>or effort</w:t>
      </w:r>
      <w:r w:rsidR="00585986">
        <w:rPr>
          <w:rFonts w:ascii="Times New Roman" w:hAnsi="Times New Roman"/>
          <w:lang w:val="en-AU"/>
        </w:rPr>
        <w:t xml:space="preserve"> </w:t>
      </w:r>
      <w:proofErr w:type="gramStart"/>
      <w:r w:rsidR="00585986">
        <w:rPr>
          <w:rFonts w:ascii="Times New Roman" w:hAnsi="Times New Roman"/>
          <w:lang w:val="en-AU"/>
        </w:rPr>
        <w:t>levels</w:t>
      </w:r>
      <w:r w:rsidR="00585986" w:rsidRPr="009C2ADD">
        <w:rPr>
          <w:rFonts w:ascii="Times New Roman" w:hAnsi="Times New Roman"/>
          <w:lang w:val="en-AU"/>
        </w:rPr>
        <w:t>,</w:t>
      </w:r>
      <w:proofErr w:type="gramEnd"/>
      <w:r w:rsidR="00585986" w:rsidRPr="009C2ADD">
        <w:rPr>
          <w:rFonts w:ascii="Times New Roman" w:hAnsi="Times New Roman"/>
          <w:lang w:val="en-AU"/>
        </w:rPr>
        <w:t xml:space="preserve"> </w:t>
      </w:r>
      <w:r w:rsidR="00585986">
        <w:rPr>
          <w:rFonts w:ascii="Times New Roman" w:hAnsi="Times New Roman"/>
          <w:lang w:val="en-AU"/>
        </w:rPr>
        <w:t>however</w:t>
      </w:r>
      <w:r w:rsidR="00585986">
        <w:rPr>
          <w:rFonts w:ascii="Times New Roman" w:hAnsi="Times New Roman" w:hint="eastAsia"/>
          <w:lang w:val="en-AU" w:eastAsia="ko-KR"/>
        </w:rPr>
        <w:t>,</w:t>
      </w:r>
      <w:r w:rsidR="00585986">
        <w:rPr>
          <w:rFonts w:ascii="Times New Roman" w:hAnsi="Times New Roman"/>
          <w:lang w:val="en-AU"/>
        </w:rPr>
        <w:t xml:space="preserve"> these </w:t>
      </w:r>
      <w:r w:rsidRPr="009C2ADD">
        <w:rPr>
          <w:rFonts w:ascii="Times New Roman" w:hAnsi="Times New Roman"/>
          <w:lang w:val="en-AU"/>
        </w:rPr>
        <w:t xml:space="preserve">were still a year or two away from being available. </w:t>
      </w:r>
    </w:p>
    <w:p w14:paraId="3A16A566" w14:textId="77777777" w:rsidR="006922EE" w:rsidRPr="009C2ADD" w:rsidRDefault="006922EE" w:rsidP="009C2ADD">
      <w:pPr>
        <w:adjustRightInd w:val="0"/>
        <w:snapToGrid w:val="0"/>
        <w:spacing w:after="0"/>
        <w:rPr>
          <w:rFonts w:ascii="Times New Roman" w:hAnsi="Times New Roman"/>
          <w:b/>
        </w:rPr>
      </w:pPr>
    </w:p>
    <w:p w14:paraId="11D41698" w14:textId="28A61550" w:rsidR="006922EE" w:rsidRPr="009C2ADD" w:rsidRDefault="003A411E"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6.1.2 </w:t>
      </w:r>
      <w:r w:rsidR="002219DC" w:rsidRPr="009C2ADD">
        <w:rPr>
          <w:rFonts w:ascii="Times New Roman" w:hAnsi="Times New Roman" w:cs="Times New Roman"/>
        </w:rPr>
        <w:tab/>
      </w:r>
      <w:r w:rsidR="006A1B24" w:rsidRPr="009C2ADD">
        <w:rPr>
          <w:rFonts w:ascii="Times New Roman" w:hAnsi="Times New Roman" w:cs="Times New Roman"/>
        </w:rPr>
        <w:t>Ecosystem indicators</w:t>
      </w:r>
    </w:p>
    <w:p w14:paraId="10738536" w14:textId="77777777" w:rsidR="006922EE" w:rsidRPr="009C2ADD" w:rsidRDefault="006922EE" w:rsidP="009C2ADD">
      <w:pPr>
        <w:adjustRightInd w:val="0"/>
        <w:snapToGrid w:val="0"/>
        <w:spacing w:after="0"/>
        <w:ind w:left="720"/>
        <w:rPr>
          <w:rFonts w:ascii="Times New Roman" w:hAnsi="Times New Roman"/>
          <w:b/>
        </w:rPr>
      </w:pPr>
    </w:p>
    <w:p w14:paraId="3ACA20BD" w14:textId="03A357DC" w:rsidR="006922EE" w:rsidRPr="009C2ADD" w:rsidRDefault="00512EB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eastAsia="ko-KR"/>
        </w:rPr>
        <w:t>No discussion was made on this agenda item</w:t>
      </w:r>
      <w:r w:rsidR="006922EE" w:rsidRPr="009C2ADD">
        <w:rPr>
          <w:rFonts w:ascii="Times New Roman" w:hAnsi="Times New Roman"/>
          <w:lang w:val="en-AU"/>
        </w:rPr>
        <w:t>.</w:t>
      </w:r>
    </w:p>
    <w:p w14:paraId="7756CE5F" w14:textId="77777777" w:rsidR="006922EE" w:rsidRPr="009C2ADD" w:rsidRDefault="006922EE" w:rsidP="009C2ADD">
      <w:pPr>
        <w:adjustRightInd w:val="0"/>
        <w:snapToGrid w:val="0"/>
        <w:spacing w:after="0"/>
        <w:ind w:left="720"/>
        <w:rPr>
          <w:rFonts w:ascii="Times New Roman" w:hAnsi="Times New Roman"/>
          <w:b/>
        </w:rPr>
      </w:pPr>
    </w:p>
    <w:p w14:paraId="5837F8F0" w14:textId="068C798E" w:rsidR="006922EE" w:rsidRPr="009C2ADD" w:rsidRDefault="003A411E"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6.1.3 </w:t>
      </w:r>
      <w:r w:rsidR="002219DC" w:rsidRPr="009C2ADD">
        <w:rPr>
          <w:rFonts w:ascii="Times New Roman" w:hAnsi="Times New Roman" w:cs="Times New Roman"/>
        </w:rPr>
        <w:tab/>
      </w:r>
      <w:r w:rsidR="006922EE" w:rsidRPr="009C2ADD">
        <w:rPr>
          <w:rFonts w:ascii="Times New Roman" w:hAnsi="Times New Roman" w:cs="Times New Roman"/>
        </w:rPr>
        <w:t xml:space="preserve">FAD impacts </w:t>
      </w:r>
    </w:p>
    <w:p w14:paraId="7655F4B6" w14:textId="77777777" w:rsidR="006922EE" w:rsidRPr="009C2ADD" w:rsidRDefault="006922EE" w:rsidP="009C2ADD">
      <w:pPr>
        <w:adjustRightInd w:val="0"/>
        <w:snapToGrid w:val="0"/>
        <w:spacing w:after="0"/>
        <w:ind w:left="567"/>
        <w:rPr>
          <w:rFonts w:ascii="Times New Roman" w:hAnsi="Times New Roman"/>
        </w:rPr>
      </w:pPr>
    </w:p>
    <w:p w14:paraId="5A99EF0A" w14:textId="23AFD688" w:rsidR="006922EE" w:rsidRPr="009C2ADD" w:rsidRDefault="00512EBB" w:rsidP="009C2ADD">
      <w:pPr>
        <w:adjustRightInd w:val="0"/>
        <w:snapToGrid w:val="0"/>
        <w:spacing w:after="0"/>
        <w:rPr>
          <w:rFonts w:ascii="Times New Roman" w:hAnsi="Times New Roman"/>
          <w:b/>
        </w:rPr>
      </w:pPr>
      <w:r w:rsidRPr="009C2ADD">
        <w:rPr>
          <w:rFonts w:ascii="Times New Roman" w:hAnsi="Times New Roman"/>
          <w:b/>
          <w:lang w:eastAsia="ko-KR"/>
        </w:rPr>
        <w:t xml:space="preserve">6.1.3.1 </w:t>
      </w:r>
      <w:r w:rsidRPr="009C2ADD">
        <w:rPr>
          <w:rFonts w:ascii="Times New Roman" w:hAnsi="Times New Roman"/>
          <w:b/>
          <w:lang w:eastAsia="ko-KR"/>
        </w:rPr>
        <w:tab/>
      </w:r>
      <w:r w:rsidR="006922EE" w:rsidRPr="009C2ADD">
        <w:rPr>
          <w:rFonts w:ascii="Times New Roman" w:hAnsi="Times New Roman"/>
          <w:b/>
        </w:rPr>
        <w:t xml:space="preserve">Case studies on FADs </w:t>
      </w:r>
    </w:p>
    <w:p w14:paraId="5E743576" w14:textId="77777777" w:rsidR="006922EE" w:rsidRPr="009C2ADD" w:rsidRDefault="006922EE" w:rsidP="009C2ADD">
      <w:pPr>
        <w:adjustRightInd w:val="0"/>
        <w:snapToGrid w:val="0"/>
        <w:spacing w:after="0"/>
        <w:ind w:left="567"/>
        <w:rPr>
          <w:rFonts w:ascii="Times New Roman" w:hAnsi="Times New Roman"/>
        </w:rPr>
      </w:pPr>
    </w:p>
    <w:p w14:paraId="00296FC3" w14:textId="3AC80B22"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G</w:t>
      </w:r>
      <w:r w:rsidR="00B05BEE">
        <w:rPr>
          <w:rFonts w:ascii="Times New Roman" w:hAnsi="Times New Roman" w:hint="eastAsia"/>
          <w:lang w:val="en-AU" w:eastAsia="ko-KR"/>
        </w:rPr>
        <w:t>.</w:t>
      </w:r>
      <w:r w:rsidRPr="009C2ADD">
        <w:rPr>
          <w:rFonts w:ascii="Times New Roman" w:hAnsi="Times New Roman"/>
          <w:lang w:val="en-AU"/>
        </w:rPr>
        <w:t xml:space="preserve"> Pilling presented </w:t>
      </w:r>
      <w:r w:rsidR="0003733E" w:rsidRPr="0070772D">
        <w:rPr>
          <w:rFonts w:ascii="Times New Roman" w:hAnsi="Times New Roman"/>
          <w:bCs/>
          <w:lang w:val="en-AU"/>
        </w:rPr>
        <w:t>SC13-</w:t>
      </w:r>
      <w:r w:rsidRPr="0070772D">
        <w:rPr>
          <w:rFonts w:ascii="Times New Roman" w:hAnsi="Times New Roman"/>
          <w:bCs/>
          <w:lang w:val="en-AU"/>
        </w:rPr>
        <w:t>EB-WP-02</w:t>
      </w:r>
      <w:r w:rsidRPr="009C2ADD">
        <w:rPr>
          <w:rFonts w:ascii="Times New Roman" w:hAnsi="Times New Roman"/>
          <w:lang w:val="en-AU"/>
        </w:rPr>
        <w:t xml:space="preserve"> </w:t>
      </w:r>
      <w:r w:rsidRPr="009C2ADD">
        <w:rPr>
          <w:rFonts w:ascii="Times New Roman" w:hAnsi="Times New Roman"/>
          <w:i/>
          <w:lang w:val="en-AU"/>
        </w:rPr>
        <w:t>Review of research into drifting FAD designs to reduce bycatch entanglement and bigeye / yellowfin interactions</w:t>
      </w:r>
      <w:r w:rsidRPr="009C2ADD">
        <w:rPr>
          <w:rFonts w:ascii="Times New Roman" w:hAnsi="Times New Roman"/>
          <w:lang w:val="en-AU"/>
        </w:rPr>
        <w:t xml:space="preserve">, as requested by the FAD research plan adopted by WCPFC13. Unintended mortality of sharks and turtles can occur through entanglement in dFAD sub-surface and surface structure netting. Events observed during WCPO purse seine fishing are likely underestimates, particularly for sub-surface entanglements where mortalities will only be identified in the rare event that a dFAD is lifted from the water and the individual has not become detached post-mortem. Trials of ‘non-entangling’ or ‘reduced entanglement risk’ dFAD designs have occurred in other tropical oceans, with no significant impact on the target tuna catch seen, and best practice guidelines developed. Trials have not been undertaken within the WCPO, but the effectiveness of designs across other oceans suggests similar performance can be expected, suggesting they could be adopted within the WCPFC to reduce impacts. Subsequent monitoring of target species catch rates and interaction rates should occur to ensure no unanticipated </w:t>
      </w:r>
      <w:proofErr w:type="gramStart"/>
      <w:r w:rsidRPr="009C2ADD">
        <w:rPr>
          <w:rFonts w:ascii="Times New Roman" w:hAnsi="Times New Roman"/>
          <w:lang w:val="en-AU"/>
        </w:rPr>
        <w:t>effects,</w:t>
      </w:r>
      <w:proofErr w:type="gramEnd"/>
      <w:r w:rsidRPr="009C2ADD">
        <w:rPr>
          <w:rFonts w:ascii="Times New Roman" w:hAnsi="Times New Roman"/>
          <w:lang w:val="en-AU"/>
        </w:rPr>
        <w:t xml:space="preserve"> and implications for smaller domestic PICT fleets should be considered. By comparison, evaluation of dFAD designs for reducing juvenile bigeye and yellowfin catch rates is in its early stages. Given the potential impact of oceanographic influences on bigeye catches in the WCPO, inferring the performance of candidate designs from trials in other oceans may be limited, and hence this may be a focus for at-sea trials in the WCPO. Adoption of biodegradable dFAD designs would reduce marine debris and the impact of beaching events. However, the efficacy of alternative bio-degradable designs has not been confirmed, although trials of submerged structure material provide some information. To mitigate the risk on habitat of beaching in vulnerable areas (e.g. on coral reefs), dFAD retrieval programmes may be needed.</w:t>
      </w:r>
    </w:p>
    <w:p w14:paraId="561FE7BE" w14:textId="77777777" w:rsidR="002219DC" w:rsidRDefault="002219DC" w:rsidP="009C2ADD">
      <w:pPr>
        <w:autoSpaceDE w:val="0"/>
        <w:autoSpaceDN w:val="0"/>
        <w:adjustRightInd w:val="0"/>
        <w:snapToGrid w:val="0"/>
        <w:spacing w:after="0"/>
        <w:rPr>
          <w:rFonts w:ascii="Times New Roman" w:hAnsi="Times New Roman"/>
          <w:lang w:val="en-AU"/>
        </w:rPr>
      </w:pPr>
    </w:p>
    <w:p w14:paraId="3CA62DC0" w14:textId="7CB384A3" w:rsidR="00CE6039" w:rsidRPr="0070772D" w:rsidRDefault="00CE6039" w:rsidP="009C2ADD">
      <w:pPr>
        <w:autoSpaceDE w:val="0"/>
        <w:autoSpaceDN w:val="0"/>
        <w:adjustRightInd w:val="0"/>
        <w:snapToGrid w:val="0"/>
        <w:spacing w:after="0"/>
        <w:rPr>
          <w:rFonts w:ascii="Times New Roman" w:hAnsi="Times New Roman"/>
          <w:b/>
          <w:lang w:val="en-AU"/>
        </w:rPr>
      </w:pPr>
      <w:r w:rsidRPr="0070772D">
        <w:rPr>
          <w:rFonts w:ascii="Times New Roman" w:hAnsi="Times New Roman"/>
          <w:b/>
          <w:lang w:val="en-AU"/>
        </w:rPr>
        <w:t>Discuss</w:t>
      </w:r>
      <w:r>
        <w:rPr>
          <w:rFonts w:ascii="Times New Roman" w:hAnsi="Times New Roman"/>
          <w:b/>
          <w:lang w:val="en-AU"/>
        </w:rPr>
        <w:t>i</w:t>
      </w:r>
      <w:r w:rsidRPr="0070772D">
        <w:rPr>
          <w:rFonts w:ascii="Times New Roman" w:hAnsi="Times New Roman"/>
          <w:b/>
          <w:lang w:val="en-AU"/>
        </w:rPr>
        <w:t>on</w:t>
      </w:r>
    </w:p>
    <w:p w14:paraId="4E35F8BD" w14:textId="77777777" w:rsidR="00CE6039" w:rsidRPr="009C2ADD" w:rsidRDefault="00CE6039" w:rsidP="009C2ADD">
      <w:pPr>
        <w:autoSpaceDE w:val="0"/>
        <w:autoSpaceDN w:val="0"/>
        <w:adjustRightInd w:val="0"/>
        <w:snapToGrid w:val="0"/>
        <w:spacing w:after="0"/>
        <w:rPr>
          <w:rFonts w:ascii="Times New Roman" w:hAnsi="Times New Roman"/>
          <w:lang w:val="en-AU"/>
        </w:rPr>
      </w:pPr>
    </w:p>
    <w:p w14:paraId="50B13A4B" w14:textId="4E557766"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thanked SPC and ISSF for the important and interesting research, but noted that the Committee should not lose focus on the </w:t>
      </w:r>
      <w:r w:rsidR="00CE6039">
        <w:rPr>
          <w:rFonts w:ascii="Times New Roman" w:hAnsi="Times New Roman"/>
          <w:lang w:val="en-AU"/>
        </w:rPr>
        <w:t>b</w:t>
      </w:r>
      <w:r w:rsidRPr="009C2ADD">
        <w:rPr>
          <w:rFonts w:ascii="Times New Roman" w:hAnsi="Times New Roman"/>
          <w:lang w:val="en-AU"/>
        </w:rPr>
        <w:t xml:space="preserve">ycatch which is high in the purse-seine fishery and was ecologically the most important issue while most of this research had focused on non-biodegradable FADs and entanglement. </w:t>
      </w:r>
      <w:r w:rsidR="00CE6039">
        <w:rPr>
          <w:rFonts w:ascii="Times New Roman" w:hAnsi="Times New Roman"/>
          <w:lang w:val="en-AU"/>
        </w:rPr>
        <w:t>Japan noted that r</w:t>
      </w:r>
      <w:r w:rsidRPr="009C2ADD">
        <w:rPr>
          <w:rFonts w:ascii="Times New Roman" w:hAnsi="Times New Roman"/>
          <w:lang w:val="en-AU"/>
        </w:rPr>
        <w:t xml:space="preserve">egarding the recommendations in the paper, SC13 should note that FADs have the highest bycatch. G. Pilling noted that in the Indian Ocean the level of entanglement assessment in FADs was greater than the level of bycatch in their fishery, and it was not yet clear if this was also true for the WCPO fishery. The ISSF further noted that the reliability of observer data on entanglement underwater was very different to the data available from those entangled and brought on board, as the body was not always lifted out of the water. It was considered highly unlikely that observers could </w:t>
      </w:r>
      <w:r w:rsidR="00CE6039">
        <w:rPr>
          <w:rFonts w:ascii="Times New Roman" w:hAnsi="Times New Roman"/>
          <w:lang w:val="en-AU"/>
        </w:rPr>
        <w:t xml:space="preserve">therefore </w:t>
      </w:r>
      <w:r w:rsidRPr="009C2ADD">
        <w:rPr>
          <w:rFonts w:ascii="Times New Roman" w:hAnsi="Times New Roman"/>
          <w:lang w:val="en-AU"/>
        </w:rPr>
        <w:t xml:space="preserve">see </w:t>
      </w:r>
      <w:r w:rsidR="00456B61">
        <w:rPr>
          <w:rFonts w:ascii="Times New Roman" w:hAnsi="Times New Roman"/>
          <w:lang w:val="en-AU"/>
        </w:rPr>
        <w:t xml:space="preserve">all </w:t>
      </w:r>
      <w:r w:rsidRPr="009C2ADD">
        <w:rPr>
          <w:rFonts w:ascii="Times New Roman" w:hAnsi="Times New Roman"/>
          <w:lang w:val="en-AU"/>
        </w:rPr>
        <w:t>entangled sharks</w:t>
      </w:r>
      <w:r w:rsidR="00456B61">
        <w:rPr>
          <w:rFonts w:ascii="Times New Roman" w:hAnsi="Times New Roman"/>
          <w:lang w:val="en-AU"/>
        </w:rPr>
        <w:t>, and</w:t>
      </w:r>
      <w:r w:rsidRPr="009C2ADD">
        <w:rPr>
          <w:rFonts w:ascii="Times New Roman" w:hAnsi="Times New Roman"/>
          <w:lang w:val="en-AU"/>
        </w:rPr>
        <w:t xml:space="preserve"> therefore the reported numbers were hugely underestimated.</w:t>
      </w:r>
    </w:p>
    <w:p w14:paraId="248BEF93"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3A1640C4" w14:textId="3FD258A6"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Chinese Taipei noted this was very important research, but as there was limited research in WCPO, they asked if researchers had any ideas on how to prioritise the recommendations and research programmes. G. Pilling noted that question was dependent on whether the SC thought the data available from other</w:t>
      </w:r>
      <w:r w:rsidR="00387CAD" w:rsidRPr="009C2ADD">
        <w:rPr>
          <w:rFonts w:ascii="Times New Roman" w:hAnsi="Times New Roman"/>
          <w:lang w:val="en-AU"/>
        </w:rPr>
        <w:t xml:space="preserve"> RFMOs</w:t>
      </w:r>
      <w:r w:rsidRPr="009C2ADD">
        <w:rPr>
          <w:rFonts w:ascii="Times New Roman" w:hAnsi="Times New Roman"/>
          <w:lang w:val="en-AU"/>
        </w:rPr>
        <w:t xml:space="preserve"> was suitable for setting measures on entanglement etc, which might lessen the need to conduct research specific to WCPO.   </w:t>
      </w:r>
    </w:p>
    <w:p w14:paraId="744059CD"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2BF6830"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Korea noted it had tested the use of a non-entanglement FADs in the Indian Ocean, and the successful test meant they would change the types of FADs its fleets used in the Pacific Ocean too.  </w:t>
      </w:r>
    </w:p>
    <w:p w14:paraId="224F28BE"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40CA9C5" w14:textId="35FF35D3"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In response to a question from China, G. Pilling clarified that mesh sizes of about 7</w:t>
      </w:r>
      <w:r w:rsidR="006B3081">
        <w:rPr>
          <w:rFonts w:ascii="Times New Roman" w:hAnsi="Times New Roman" w:hint="eastAsia"/>
          <w:lang w:val="en-AU" w:eastAsia="ko-KR"/>
        </w:rPr>
        <w:t>c</w:t>
      </w:r>
      <w:r w:rsidRPr="009C2ADD">
        <w:rPr>
          <w:rFonts w:ascii="Times New Roman" w:hAnsi="Times New Roman"/>
          <w:lang w:val="en-AU"/>
        </w:rPr>
        <w:t>m or larger increased the risk of entanglement of the FAD</w:t>
      </w:r>
      <w:r w:rsidR="00B658D7">
        <w:rPr>
          <w:rFonts w:ascii="Times New Roman" w:hAnsi="Times New Roman"/>
          <w:lang w:val="en-AU"/>
        </w:rPr>
        <w:t>, and</w:t>
      </w:r>
      <w:r w:rsidRPr="009C2ADD">
        <w:rPr>
          <w:rFonts w:ascii="Times New Roman" w:hAnsi="Times New Roman"/>
          <w:lang w:val="en-AU"/>
        </w:rPr>
        <w:t xml:space="preserve"> therefore the recommendation was to have a mesh size </w:t>
      </w:r>
      <w:r w:rsidR="006B3081">
        <w:rPr>
          <w:rFonts w:ascii="Times New Roman" w:hAnsi="Times New Roman"/>
          <w:lang w:val="en-AU"/>
        </w:rPr>
        <w:t xml:space="preserve">smaller than this size </w:t>
      </w:r>
      <w:r w:rsidRPr="009C2ADD">
        <w:rPr>
          <w:rFonts w:ascii="Times New Roman" w:hAnsi="Times New Roman"/>
          <w:lang w:val="en-AU"/>
        </w:rPr>
        <w:t>to reduce entanglement. China’s use of mesh size of 9</w:t>
      </w:r>
      <w:r w:rsidR="006B3081">
        <w:rPr>
          <w:rFonts w:ascii="Times New Roman" w:hAnsi="Times New Roman" w:hint="eastAsia"/>
          <w:lang w:val="en-AU" w:eastAsia="ko-KR"/>
        </w:rPr>
        <w:t>c</w:t>
      </w:r>
      <w:r w:rsidRPr="009C2ADD">
        <w:rPr>
          <w:rFonts w:ascii="Times New Roman" w:hAnsi="Times New Roman"/>
          <w:lang w:val="en-AU"/>
        </w:rPr>
        <w:t xml:space="preserve">m was considered </w:t>
      </w:r>
      <w:r w:rsidR="006B3081">
        <w:rPr>
          <w:rFonts w:ascii="Times New Roman" w:hAnsi="Times New Roman" w:hint="eastAsia"/>
          <w:lang w:val="en-AU" w:eastAsia="ko-KR"/>
        </w:rPr>
        <w:t xml:space="preserve">to be </w:t>
      </w:r>
      <w:r w:rsidRPr="009C2ADD">
        <w:rPr>
          <w:rFonts w:ascii="Times New Roman" w:hAnsi="Times New Roman"/>
          <w:lang w:val="en-AU"/>
        </w:rPr>
        <w:t xml:space="preserve">in the </w:t>
      </w:r>
      <w:r w:rsidR="00B658D7">
        <w:rPr>
          <w:rFonts w:ascii="Times New Roman" w:hAnsi="Times New Roman"/>
          <w:lang w:val="en-AU"/>
        </w:rPr>
        <w:t>at</w:t>
      </w:r>
      <w:r w:rsidR="006B3081">
        <w:rPr>
          <w:rFonts w:ascii="Times New Roman" w:hAnsi="Times New Roman" w:hint="eastAsia"/>
          <w:lang w:val="en-AU" w:eastAsia="ko-KR"/>
        </w:rPr>
        <w:t>-</w:t>
      </w:r>
      <w:r w:rsidRPr="009C2ADD">
        <w:rPr>
          <w:rFonts w:ascii="Times New Roman" w:hAnsi="Times New Roman"/>
          <w:lang w:val="en-AU"/>
        </w:rPr>
        <w:t>risk size range.</w:t>
      </w:r>
    </w:p>
    <w:p w14:paraId="4E3D04D1"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74D9A41C" w14:textId="77777777" w:rsidR="00990C4B" w:rsidRPr="009C2ADD" w:rsidRDefault="00990C4B"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Based on the results and recommendations of SC13-EB-WP-02, which reviewed the scientific information on drifting FAD designs that have a high risk of entangling sharks, turtles and other species, such as designs that use open net panels with (stretched) mesh sizes of 7cm or greater, SC13 requests that the Commission notes:</w:t>
      </w:r>
    </w:p>
    <w:p w14:paraId="5C79CA2F" w14:textId="77777777" w:rsidR="00990C4B" w:rsidRPr="009C2ADD" w:rsidRDefault="00990C4B" w:rsidP="009C2ADD">
      <w:pPr>
        <w:pStyle w:val="WCPFC"/>
        <w:numPr>
          <w:ilvl w:val="0"/>
          <w:numId w:val="15"/>
        </w:numPr>
        <w:adjustRightInd w:val="0"/>
        <w:spacing w:after="0"/>
        <w:ind w:left="1080" w:hanging="357"/>
        <w:rPr>
          <w:b/>
        </w:rPr>
      </w:pPr>
      <w:r w:rsidRPr="009C2ADD">
        <w:rPr>
          <w:b/>
        </w:rPr>
        <w:t xml:space="preserve">That bycatch was more frequently observed on sets on drifting FADs, anchored FADs and logs than for sets on unassociated schools, and schools associated with whales and whale sharks. However, species-specific bycatch rates do not always follow this pattern; and </w:t>
      </w:r>
    </w:p>
    <w:p w14:paraId="474E6017" w14:textId="58FF5770" w:rsidR="00990C4B" w:rsidRPr="009C2ADD" w:rsidRDefault="00990C4B" w:rsidP="009C2ADD">
      <w:pPr>
        <w:pStyle w:val="WCPFC"/>
        <w:numPr>
          <w:ilvl w:val="0"/>
          <w:numId w:val="15"/>
        </w:numPr>
        <w:adjustRightInd w:val="0"/>
        <w:spacing w:after="0"/>
        <w:ind w:left="1080" w:hanging="357"/>
        <w:rPr>
          <w:b/>
        </w:rPr>
      </w:pPr>
      <w:r w:rsidRPr="009C2ADD">
        <w:rPr>
          <w:b/>
        </w:rPr>
        <w:t xml:space="preserve">The available scientific information </w:t>
      </w:r>
      <w:r w:rsidR="002219DC" w:rsidRPr="009C2ADD">
        <w:rPr>
          <w:b/>
        </w:rPr>
        <w:t>on non-entangling dFAD designs.</w:t>
      </w:r>
    </w:p>
    <w:p w14:paraId="15EEB3EC" w14:textId="77777777" w:rsidR="002219DC" w:rsidRPr="009C2ADD" w:rsidRDefault="002219DC" w:rsidP="009C2ADD">
      <w:pPr>
        <w:pStyle w:val="WCPFC"/>
        <w:numPr>
          <w:ilvl w:val="0"/>
          <w:numId w:val="0"/>
        </w:numPr>
        <w:adjustRightInd w:val="0"/>
        <w:spacing w:after="0"/>
        <w:ind w:left="1080"/>
        <w:rPr>
          <w:b/>
        </w:rPr>
      </w:pPr>
    </w:p>
    <w:p w14:paraId="24C9253A" w14:textId="1AC0C28F" w:rsidR="006922EE" w:rsidRPr="009C2ADD" w:rsidRDefault="00FE0426"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C.</w:t>
      </w:r>
      <w:r w:rsidR="006922EE" w:rsidRPr="009C2ADD">
        <w:rPr>
          <w:rFonts w:ascii="Times New Roman" w:hAnsi="Times New Roman"/>
          <w:lang w:val="en-AU"/>
        </w:rPr>
        <w:t xml:space="preserve"> Lee from Korea presented </w:t>
      </w:r>
      <w:r w:rsidR="0035770D" w:rsidRPr="006044E9">
        <w:rPr>
          <w:rFonts w:ascii="Times New Roman" w:hAnsi="Times New Roman"/>
          <w:bCs/>
          <w:lang w:val="en-AU"/>
        </w:rPr>
        <w:t>SC13-</w:t>
      </w:r>
      <w:r w:rsidR="006922EE" w:rsidRPr="006044E9">
        <w:rPr>
          <w:rFonts w:ascii="Times New Roman" w:hAnsi="Times New Roman"/>
          <w:bCs/>
          <w:lang w:val="en-AU"/>
        </w:rPr>
        <w:t>EB-WP-03</w:t>
      </w:r>
      <w:r w:rsidR="006922EE" w:rsidRPr="009C2ADD">
        <w:rPr>
          <w:rFonts w:ascii="Times New Roman" w:hAnsi="Times New Roman"/>
          <w:lang w:val="en-AU"/>
        </w:rPr>
        <w:t xml:space="preserve">, </w:t>
      </w:r>
      <w:r w:rsidR="006922EE" w:rsidRPr="009C2ADD">
        <w:rPr>
          <w:rFonts w:ascii="Times New Roman" w:hAnsi="Times New Roman"/>
          <w:i/>
          <w:lang w:val="en-AU"/>
        </w:rPr>
        <w:t>Projection of shooting trajectory of purse-seine fishery, which proposed two purse seine shooting methods according to the speed of the target fish school</w:t>
      </w:r>
      <w:r w:rsidR="006922EE" w:rsidRPr="009C2ADD">
        <w:rPr>
          <w:rFonts w:ascii="Times New Roman" w:hAnsi="Times New Roman"/>
          <w:lang w:val="en-AU"/>
        </w:rPr>
        <w:t xml:space="preserve">. The shooting methods could be applied to both unassociated and associated fish schools. Shooting trajectories were presented according to specific scenarios, with example calculations shown. In addition, a shooting method based on the sinking depth of the leadline was presented, which relies on determining the sinking depth of the leadline with elapsed time through numerical calculations or experiments. </w:t>
      </w:r>
    </w:p>
    <w:p w14:paraId="56CA4A30" w14:textId="77777777" w:rsidR="002219DC" w:rsidRDefault="002219DC" w:rsidP="009C2ADD">
      <w:pPr>
        <w:autoSpaceDE w:val="0"/>
        <w:autoSpaceDN w:val="0"/>
        <w:adjustRightInd w:val="0"/>
        <w:snapToGrid w:val="0"/>
        <w:spacing w:after="0"/>
        <w:rPr>
          <w:rFonts w:ascii="Times New Roman" w:hAnsi="Times New Roman"/>
          <w:lang w:val="en-AU"/>
        </w:rPr>
      </w:pPr>
    </w:p>
    <w:p w14:paraId="7A713446" w14:textId="71AF5387" w:rsidR="00FE0426" w:rsidRPr="0070772D" w:rsidRDefault="00FE0426" w:rsidP="009C2ADD">
      <w:pPr>
        <w:autoSpaceDE w:val="0"/>
        <w:autoSpaceDN w:val="0"/>
        <w:adjustRightInd w:val="0"/>
        <w:snapToGrid w:val="0"/>
        <w:spacing w:after="0"/>
        <w:rPr>
          <w:rFonts w:ascii="Times New Roman" w:hAnsi="Times New Roman"/>
          <w:b/>
          <w:lang w:val="en-AU"/>
        </w:rPr>
      </w:pPr>
      <w:r w:rsidRPr="0070772D">
        <w:rPr>
          <w:rFonts w:ascii="Times New Roman" w:hAnsi="Times New Roman"/>
          <w:b/>
          <w:lang w:val="en-AU"/>
        </w:rPr>
        <w:t>Discussion</w:t>
      </w:r>
    </w:p>
    <w:p w14:paraId="63EF62D4" w14:textId="77777777" w:rsidR="00FE0426" w:rsidRPr="009C2ADD" w:rsidRDefault="00FE0426" w:rsidP="009C2ADD">
      <w:pPr>
        <w:autoSpaceDE w:val="0"/>
        <w:autoSpaceDN w:val="0"/>
        <w:adjustRightInd w:val="0"/>
        <w:snapToGrid w:val="0"/>
        <w:spacing w:after="0"/>
        <w:rPr>
          <w:rFonts w:ascii="Times New Roman" w:hAnsi="Times New Roman"/>
          <w:lang w:val="en-AU"/>
        </w:rPr>
      </w:pPr>
    </w:p>
    <w:p w14:paraId="53A5F7DD" w14:textId="6FF4B8CB"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a question from the United States on how much interaction the researchers had with </w:t>
      </w:r>
      <w:r w:rsidR="00B658D7">
        <w:rPr>
          <w:rFonts w:ascii="Times New Roman" w:hAnsi="Times New Roman"/>
          <w:lang w:val="en-AU"/>
        </w:rPr>
        <w:t xml:space="preserve">the </w:t>
      </w:r>
      <w:r w:rsidRPr="009C2ADD">
        <w:rPr>
          <w:rFonts w:ascii="Times New Roman" w:hAnsi="Times New Roman"/>
          <w:lang w:val="en-AU"/>
        </w:rPr>
        <w:t xml:space="preserve">fishing industry and were they interested in this information, </w:t>
      </w:r>
      <w:r w:rsidR="0050437C">
        <w:rPr>
          <w:rFonts w:ascii="Times New Roman" w:hAnsi="Times New Roman" w:hint="eastAsia"/>
          <w:lang w:val="en-AU" w:eastAsia="ko-KR"/>
        </w:rPr>
        <w:t>C.</w:t>
      </w:r>
      <w:r w:rsidR="0050437C" w:rsidRPr="009C2ADD">
        <w:rPr>
          <w:rFonts w:ascii="Times New Roman" w:hAnsi="Times New Roman"/>
          <w:lang w:val="en-AU"/>
        </w:rPr>
        <w:t xml:space="preserve"> </w:t>
      </w:r>
      <w:r w:rsidRPr="009C2ADD">
        <w:rPr>
          <w:rFonts w:ascii="Times New Roman" w:hAnsi="Times New Roman"/>
          <w:lang w:val="en-AU"/>
        </w:rPr>
        <w:t xml:space="preserve">Lee noted the education tool was in the early developmental stage and the simulator and shooting circle was not yet used in the field.  </w:t>
      </w:r>
    </w:p>
    <w:p w14:paraId="21406E65"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122B24D" w14:textId="1A624394" w:rsidR="00953E0B"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w:t>
      </w:r>
      <w:r w:rsidR="00FE0426">
        <w:rPr>
          <w:rFonts w:ascii="Times New Roman" w:hAnsi="Times New Roman"/>
          <w:lang w:val="en-AU"/>
        </w:rPr>
        <w:t>.</w:t>
      </w:r>
      <w:r w:rsidRPr="009C2ADD">
        <w:rPr>
          <w:rFonts w:ascii="Times New Roman" w:hAnsi="Times New Roman"/>
          <w:lang w:val="en-AU"/>
        </w:rPr>
        <w:t xml:space="preserve"> Santiago</w:t>
      </w:r>
      <w:r w:rsidR="00284A4C" w:rsidRPr="009C2ADD">
        <w:rPr>
          <w:rFonts w:ascii="Times New Roman" w:hAnsi="Times New Roman"/>
          <w:lang w:val="en-AU"/>
        </w:rPr>
        <w:t xml:space="preserve"> (EU) </w:t>
      </w:r>
      <w:r w:rsidRPr="009C2ADD">
        <w:rPr>
          <w:rFonts w:ascii="Times New Roman" w:hAnsi="Times New Roman"/>
          <w:lang w:val="en-AU"/>
        </w:rPr>
        <w:t xml:space="preserve">presented </w:t>
      </w:r>
      <w:r w:rsidR="0035770D" w:rsidRPr="0070772D">
        <w:rPr>
          <w:rFonts w:ascii="Times New Roman" w:hAnsi="Times New Roman"/>
          <w:bCs/>
          <w:lang w:val="en-AU"/>
        </w:rPr>
        <w:t>SC13-</w:t>
      </w:r>
      <w:r w:rsidRPr="0070772D">
        <w:rPr>
          <w:rFonts w:ascii="Times New Roman" w:hAnsi="Times New Roman"/>
          <w:bCs/>
          <w:lang w:val="en-AU"/>
        </w:rPr>
        <w:t>EB-WP-04</w:t>
      </w:r>
      <w:r w:rsidRPr="009C2ADD">
        <w:rPr>
          <w:rFonts w:ascii="Times New Roman" w:hAnsi="Times New Roman"/>
          <w:lang w:val="en-AU"/>
        </w:rPr>
        <w:t xml:space="preserve"> </w:t>
      </w:r>
      <w:r w:rsidRPr="009C2ADD">
        <w:rPr>
          <w:rFonts w:ascii="Times New Roman" w:hAnsi="Times New Roman"/>
          <w:i/>
          <w:lang w:val="en-AU"/>
        </w:rPr>
        <w:t>Initiatives to reduce tropical tuna FAD fishery ecological impacts: from traditional to non-entangling and biodegradable FADs</w:t>
      </w:r>
      <w:r w:rsidR="006603F8" w:rsidRPr="009C2ADD">
        <w:rPr>
          <w:rFonts w:ascii="Times New Roman" w:hAnsi="Times New Roman"/>
          <w:lang w:val="en-AU"/>
        </w:rPr>
        <w:t>. T</w:t>
      </w:r>
      <w:r w:rsidR="00953E0B" w:rsidRPr="009C2ADD">
        <w:rPr>
          <w:rFonts w:ascii="Times New Roman" w:hAnsi="Times New Roman"/>
          <w:lang w:val="en-AU"/>
        </w:rPr>
        <w:t xml:space="preserve">wo ecological impacts historically </w:t>
      </w:r>
      <w:r w:rsidR="006603F8" w:rsidRPr="009C2ADD">
        <w:rPr>
          <w:rFonts w:ascii="Times New Roman" w:hAnsi="Times New Roman"/>
          <w:lang w:val="en-AU"/>
        </w:rPr>
        <w:t>linked with traditional FADs were</w:t>
      </w:r>
      <w:r w:rsidR="00953E0B" w:rsidRPr="009C2ADD">
        <w:rPr>
          <w:rFonts w:ascii="Times New Roman" w:hAnsi="Times New Roman"/>
          <w:lang w:val="en-AU"/>
        </w:rPr>
        <w:t xml:space="preserve"> ghost fishing of sensitive species and marine pollution. Both issues </w:t>
      </w:r>
      <w:r w:rsidR="006603F8" w:rsidRPr="009C2ADD">
        <w:rPr>
          <w:rFonts w:ascii="Times New Roman" w:hAnsi="Times New Roman"/>
          <w:lang w:val="en-AU"/>
        </w:rPr>
        <w:t xml:space="preserve">were </w:t>
      </w:r>
      <w:r w:rsidR="00953E0B" w:rsidRPr="009C2ADD">
        <w:rPr>
          <w:rFonts w:ascii="Times New Roman" w:hAnsi="Times New Roman"/>
          <w:lang w:val="en-AU"/>
        </w:rPr>
        <w:t>directly relate</w:t>
      </w:r>
      <w:r w:rsidR="006603F8" w:rsidRPr="009C2ADD">
        <w:rPr>
          <w:rFonts w:ascii="Times New Roman" w:hAnsi="Times New Roman"/>
          <w:lang w:val="en-AU"/>
        </w:rPr>
        <w:t>d</w:t>
      </w:r>
      <w:r w:rsidR="00953E0B" w:rsidRPr="009C2ADD">
        <w:rPr>
          <w:rFonts w:ascii="Times New Roman" w:hAnsi="Times New Roman"/>
          <w:lang w:val="en-AU"/>
        </w:rPr>
        <w:t xml:space="preserve"> to FAD design and construction materials, in which in general wide mesh size nylon netting is the principal component. Modifying FAD designs to avoid open large mesh and using non-sy</w:t>
      </w:r>
      <w:r w:rsidR="006603F8" w:rsidRPr="009C2ADD">
        <w:rPr>
          <w:rFonts w:ascii="Times New Roman" w:hAnsi="Times New Roman"/>
          <w:lang w:val="en-AU"/>
        </w:rPr>
        <w:t>nthetic degradable materials could help solve</w:t>
      </w:r>
      <w:r w:rsidR="00953E0B" w:rsidRPr="009C2ADD">
        <w:rPr>
          <w:rFonts w:ascii="Times New Roman" w:hAnsi="Times New Roman"/>
          <w:lang w:val="en-AU"/>
        </w:rPr>
        <w:t xml:space="preserve"> these problems. In the early 2010’s the Spanish purse seine fleet began to replace entangling FADs by non-e</w:t>
      </w:r>
      <w:r w:rsidR="006603F8" w:rsidRPr="009C2ADD">
        <w:rPr>
          <w:rFonts w:ascii="Times New Roman" w:hAnsi="Times New Roman"/>
          <w:lang w:val="en-AU"/>
        </w:rPr>
        <w:t>ntangling FADs. This process</w:t>
      </w:r>
      <w:r w:rsidR="00953E0B" w:rsidRPr="009C2ADD">
        <w:rPr>
          <w:rFonts w:ascii="Times New Roman" w:hAnsi="Times New Roman"/>
          <w:lang w:val="en-AU"/>
        </w:rPr>
        <w:t xml:space="preserve"> occurred within the frame of the Code of Good Practices, a self-imposed voluntary agreement to adopt best available sustainable fishing practices by the Spanish fleet covering over 65 super-seiners operating in the Indian, Atlantic, Western and Central Pacific and Easter</w:t>
      </w:r>
      <w:r w:rsidR="006603F8" w:rsidRPr="009C2ADD">
        <w:rPr>
          <w:rFonts w:ascii="Times New Roman" w:hAnsi="Times New Roman"/>
          <w:lang w:val="en-AU"/>
        </w:rPr>
        <w:t>n Pacific Oceans. Compliance had</w:t>
      </w:r>
      <w:r w:rsidR="00953E0B" w:rsidRPr="009C2ADD">
        <w:rPr>
          <w:rFonts w:ascii="Times New Roman" w:hAnsi="Times New Roman"/>
          <w:lang w:val="en-AU"/>
        </w:rPr>
        <w:t xml:space="preserve"> been monitored since late 2014 by interviews first and by observers and data revised by an independent scientific body, AZTI. In the first two years of the program, over 600 f</w:t>
      </w:r>
      <w:r w:rsidR="006603F8" w:rsidRPr="009C2ADD">
        <w:rPr>
          <w:rFonts w:ascii="Times New Roman" w:hAnsi="Times New Roman"/>
          <w:lang w:val="en-AU"/>
        </w:rPr>
        <w:t>ishing trips and 37879 FADs were</w:t>
      </w:r>
      <w:r w:rsidR="00953E0B" w:rsidRPr="009C2ADD">
        <w:rPr>
          <w:rFonts w:ascii="Times New Roman" w:hAnsi="Times New Roman"/>
          <w:lang w:val="en-AU"/>
        </w:rPr>
        <w:t xml:space="preserve"> examined showi</w:t>
      </w:r>
      <w:r w:rsidR="006603F8" w:rsidRPr="009C2ADD">
        <w:rPr>
          <w:rFonts w:ascii="Times New Roman" w:hAnsi="Times New Roman"/>
          <w:lang w:val="en-AU"/>
        </w:rPr>
        <w:t>ng that the majority of FADs were</w:t>
      </w:r>
      <w:r w:rsidR="00953E0B" w:rsidRPr="009C2ADD">
        <w:rPr>
          <w:rFonts w:ascii="Times New Roman" w:hAnsi="Times New Roman"/>
          <w:lang w:val="en-AU"/>
        </w:rPr>
        <w:t xml:space="preserve"> completely non-entangling (NEFADs). This document also </w:t>
      </w:r>
      <w:r w:rsidR="006603F8" w:rsidRPr="009C2ADD">
        <w:rPr>
          <w:rFonts w:ascii="Times New Roman" w:hAnsi="Times New Roman"/>
          <w:lang w:val="en-AU"/>
        </w:rPr>
        <w:t>provided an update</w:t>
      </w:r>
      <w:r w:rsidR="00953E0B" w:rsidRPr="009C2ADD">
        <w:rPr>
          <w:rFonts w:ascii="Times New Roman" w:hAnsi="Times New Roman"/>
          <w:lang w:val="en-AU"/>
        </w:rPr>
        <w:t xml:space="preserve"> on the use of NEFADs by other fleets across the world. T</w:t>
      </w:r>
      <w:r w:rsidR="006603F8" w:rsidRPr="009C2ADD">
        <w:rPr>
          <w:rFonts w:ascii="Times New Roman" w:hAnsi="Times New Roman"/>
          <w:lang w:val="en-AU"/>
        </w:rPr>
        <w:t>he next step wa</w:t>
      </w:r>
      <w:r w:rsidR="00953E0B" w:rsidRPr="009C2ADD">
        <w:rPr>
          <w:rFonts w:ascii="Times New Roman" w:hAnsi="Times New Roman"/>
          <w:lang w:val="en-AU"/>
        </w:rPr>
        <w:t>s to find suitable biodegradable FAD materials to prevent marine pollution caused by lost FADs. For this purpose, the EU</w:t>
      </w:r>
      <w:r w:rsidR="006603F8" w:rsidRPr="009C2ADD">
        <w:rPr>
          <w:rFonts w:ascii="Times New Roman" w:hAnsi="Times New Roman"/>
          <w:lang w:val="en-AU"/>
        </w:rPr>
        <w:t xml:space="preserve"> funded BIOFAD project soon would</w:t>
      </w:r>
      <w:r w:rsidR="00953E0B" w:rsidRPr="009C2ADD">
        <w:rPr>
          <w:rFonts w:ascii="Times New Roman" w:hAnsi="Times New Roman"/>
          <w:lang w:val="en-AU"/>
        </w:rPr>
        <w:t xml:space="preserve"> embark in an Indian Ocean trial where 1000 biodegradable FADs will be deployed and monitored over the next two-years by the Spanish and French fleet.</w:t>
      </w:r>
    </w:p>
    <w:p w14:paraId="3FD7D981" w14:textId="77777777" w:rsidR="002219DC" w:rsidRDefault="002219DC" w:rsidP="009C2ADD">
      <w:pPr>
        <w:autoSpaceDE w:val="0"/>
        <w:autoSpaceDN w:val="0"/>
        <w:adjustRightInd w:val="0"/>
        <w:snapToGrid w:val="0"/>
        <w:spacing w:after="0"/>
        <w:rPr>
          <w:rFonts w:ascii="Times New Roman" w:hAnsi="Times New Roman"/>
          <w:lang w:val="en-AU"/>
        </w:rPr>
      </w:pPr>
    </w:p>
    <w:p w14:paraId="26A9F757" w14:textId="6739B8CC" w:rsidR="00FE0426" w:rsidRPr="0070772D" w:rsidRDefault="00FE0426" w:rsidP="009C2ADD">
      <w:pPr>
        <w:autoSpaceDE w:val="0"/>
        <w:autoSpaceDN w:val="0"/>
        <w:adjustRightInd w:val="0"/>
        <w:snapToGrid w:val="0"/>
        <w:spacing w:after="0"/>
        <w:rPr>
          <w:rFonts w:ascii="Times New Roman" w:hAnsi="Times New Roman"/>
          <w:b/>
          <w:lang w:val="en-AU"/>
        </w:rPr>
      </w:pPr>
      <w:r w:rsidRPr="0070772D">
        <w:rPr>
          <w:rFonts w:ascii="Times New Roman" w:hAnsi="Times New Roman"/>
          <w:b/>
          <w:lang w:val="en-AU"/>
        </w:rPr>
        <w:t>Discussion</w:t>
      </w:r>
    </w:p>
    <w:p w14:paraId="6182851E" w14:textId="77777777" w:rsidR="00FE0426" w:rsidRPr="009C2ADD" w:rsidRDefault="00FE0426" w:rsidP="009C2ADD">
      <w:pPr>
        <w:autoSpaceDE w:val="0"/>
        <w:autoSpaceDN w:val="0"/>
        <w:adjustRightInd w:val="0"/>
        <w:snapToGrid w:val="0"/>
        <w:spacing w:after="0"/>
        <w:rPr>
          <w:rFonts w:ascii="Times New Roman" w:hAnsi="Times New Roman"/>
          <w:lang w:val="en-AU"/>
        </w:rPr>
      </w:pPr>
    </w:p>
    <w:p w14:paraId="4B1F05B8" w14:textId="46C73399"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thanked the presenter for the paper, but noted a small point of clarification </w:t>
      </w:r>
      <w:r w:rsidR="00F13801">
        <w:rPr>
          <w:rFonts w:ascii="Times New Roman" w:hAnsi="Times New Roman" w:hint="eastAsia"/>
          <w:lang w:val="en-AU" w:eastAsia="ko-KR"/>
        </w:rPr>
        <w:t xml:space="preserve">in his presentation </w:t>
      </w:r>
      <w:r w:rsidRPr="009C2ADD">
        <w:rPr>
          <w:rFonts w:ascii="Times New Roman" w:hAnsi="Times New Roman"/>
          <w:lang w:val="en-AU"/>
        </w:rPr>
        <w:t xml:space="preserve">regarding the number of fishing vessels in the table on large scale </w:t>
      </w:r>
      <w:r w:rsidR="00F13801">
        <w:rPr>
          <w:rFonts w:ascii="Times New Roman" w:hAnsi="Times New Roman" w:hint="eastAsia"/>
          <w:lang w:val="en-AU" w:eastAsia="ko-KR"/>
        </w:rPr>
        <w:t>tuna purse seiner</w:t>
      </w:r>
      <w:r w:rsidR="00F13801" w:rsidRPr="009C2ADD">
        <w:rPr>
          <w:rFonts w:ascii="Times New Roman" w:hAnsi="Times New Roman"/>
          <w:lang w:val="en-AU"/>
        </w:rPr>
        <w:t xml:space="preserve"> </w:t>
      </w:r>
      <w:r w:rsidRPr="009C2ADD">
        <w:rPr>
          <w:rFonts w:ascii="Times New Roman" w:hAnsi="Times New Roman"/>
          <w:lang w:val="en-AU"/>
        </w:rPr>
        <w:t xml:space="preserve">- No.54 should actually be 34. In response to a further question on whether non-entangling FADs were in commercial production, the presenter stated that materials had been delivered, but commercial production had yet to begin. </w:t>
      </w:r>
    </w:p>
    <w:p w14:paraId="200A3A2D"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02B4435" w14:textId="5C5355C4"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Birdlife International noted their appreciation for a very good presentation and work done to reduce impact of FADs. In response to their query on whether there were there any plans to look at other big issue of juvenile bigeye catch issue given the </w:t>
      </w:r>
      <w:r w:rsidR="000A632A">
        <w:rPr>
          <w:rFonts w:ascii="Times New Roman" w:hAnsi="Times New Roman"/>
          <w:lang w:val="en-AU"/>
        </w:rPr>
        <w:t xml:space="preserve">relatively </w:t>
      </w:r>
      <w:r w:rsidRPr="009C2ADD">
        <w:rPr>
          <w:rFonts w:ascii="Times New Roman" w:hAnsi="Times New Roman"/>
          <w:lang w:val="en-AU"/>
        </w:rPr>
        <w:t xml:space="preserve">high bycatch rate </w:t>
      </w:r>
      <w:r w:rsidR="000A632A">
        <w:rPr>
          <w:rFonts w:ascii="Times New Roman" w:hAnsi="Times New Roman" w:hint="eastAsia"/>
          <w:lang w:val="en-AU" w:eastAsia="ko-KR"/>
        </w:rPr>
        <w:t>including</w:t>
      </w:r>
      <w:r w:rsidR="000A632A" w:rsidRPr="009C2ADD">
        <w:rPr>
          <w:rFonts w:ascii="Times New Roman" w:hAnsi="Times New Roman"/>
          <w:lang w:val="en-AU"/>
        </w:rPr>
        <w:t xml:space="preserve"> </w:t>
      </w:r>
      <w:r w:rsidRPr="009C2ADD">
        <w:rPr>
          <w:rFonts w:ascii="Times New Roman" w:hAnsi="Times New Roman"/>
          <w:lang w:val="en-AU"/>
        </w:rPr>
        <w:t xml:space="preserve">from the EU fleet, the presenter confirmed that there were other projects currently running funded by ISSF and there was other planned research regarding other aspects of FAD impacts and the recovery of FADs. The EU further reminded the Committee that the EU had allocated almost one million Euro of funding for this issue and it was waiting on the WCPFC to decide what kind of research should be undertaken to spend this funding before it was lost. </w:t>
      </w:r>
    </w:p>
    <w:p w14:paraId="16E448FF" w14:textId="77777777" w:rsidR="006922EE" w:rsidRPr="009C2ADD" w:rsidRDefault="006922EE" w:rsidP="009C2ADD">
      <w:pPr>
        <w:adjustRightInd w:val="0"/>
        <w:snapToGrid w:val="0"/>
        <w:spacing w:after="0"/>
        <w:ind w:left="567"/>
        <w:rPr>
          <w:rFonts w:ascii="Times New Roman" w:hAnsi="Times New Roman"/>
        </w:rPr>
      </w:pPr>
    </w:p>
    <w:p w14:paraId="4ED12AC4" w14:textId="79681228" w:rsidR="006922EE" w:rsidRPr="009C2ADD" w:rsidRDefault="00512EBB" w:rsidP="009C2ADD">
      <w:pPr>
        <w:adjustRightInd w:val="0"/>
        <w:snapToGrid w:val="0"/>
        <w:spacing w:after="0"/>
        <w:rPr>
          <w:rFonts w:ascii="Times New Roman" w:hAnsi="Times New Roman"/>
          <w:b/>
        </w:rPr>
      </w:pPr>
      <w:r w:rsidRPr="009C2ADD">
        <w:rPr>
          <w:rFonts w:ascii="Times New Roman" w:hAnsi="Times New Roman"/>
          <w:b/>
          <w:lang w:eastAsia="ko-KR"/>
        </w:rPr>
        <w:t xml:space="preserve">6.1.3.2 </w:t>
      </w:r>
      <w:r w:rsidRPr="009C2ADD">
        <w:rPr>
          <w:rFonts w:ascii="Times New Roman" w:hAnsi="Times New Roman"/>
          <w:b/>
          <w:lang w:eastAsia="ko-KR"/>
        </w:rPr>
        <w:tab/>
      </w:r>
      <w:r w:rsidR="006922EE" w:rsidRPr="009C2ADD">
        <w:rPr>
          <w:rFonts w:ascii="Times New Roman" w:hAnsi="Times New Roman"/>
          <w:b/>
        </w:rPr>
        <w:t>FAD research plan</w:t>
      </w:r>
    </w:p>
    <w:p w14:paraId="43669488" w14:textId="77777777" w:rsidR="002219DC" w:rsidRPr="009C2ADD" w:rsidRDefault="002219DC" w:rsidP="009C2ADD">
      <w:pPr>
        <w:adjustRightInd w:val="0"/>
        <w:snapToGrid w:val="0"/>
        <w:spacing w:after="0"/>
        <w:rPr>
          <w:rFonts w:ascii="Times New Roman" w:hAnsi="Times New Roman"/>
          <w:b/>
        </w:rPr>
      </w:pPr>
    </w:p>
    <w:p w14:paraId="49627807"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As recommended by the FADMgmtOptions-IWG, SC13 will review the proposed priority researches in the revised draft FAD research plan proposal (Paragraph 71 and Attachment D, FADMgmtOptions-IWG02 Report), especially related to Implementation of FAD trials within the WCPO.</w:t>
      </w:r>
    </w:p>
    <w:p w14:paraId="288D83F1"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61A373E4" w14:textId="73F9D654"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G</w:t>
      </w:r>
      <w:r w:rsidR="006233F1">
        <w:rPr>
          <w:rFonts w:ascii="Times New Roman" w:hAnsi="Times New Roman" w:hint="eastAsia"/>
          <w:lang w:val="en-AU" w:eastAsia="ko-KR"/>
        </w:rPr>
        <w:t>.</w:t>
      </w:r>
      <w:r w:rsidRPr="009C2ADD">
        <w:rPr>
          <w:rFonts w:ascii="Times New Roman" w:hAnsi="Times New Roman"/>
          <w:lang w:val="en-AU"/>
        </w:rPr>
        <w:t xml:space="preserve"> Pilling (SPC) presented </w:t>
      </w:r>
      <w:r w:rsidR="00CD4AB8" w:rsidRPr="0070772D">
        <w:rPr>
          <w:rFonts w:ascii="Times New Roman" w:hAnsi="Times New Roman"/>
          <w:bCs/>
          <w:lang w:val="en-AU"/>
        </w:rPr>
        <w:t>SC13-</w:t>
      </w:r>
      <w:r w:rsidRPr="0070772D">
        <w:rPr>
          <w:rFonts w:ascii="Times New Roman" w:hAnsi="Times New Roman"/>
          <w:bCs/>
          <w:lang w:val="en-AU"/>
        </w:rPr>
        <w:t>EB-WP-05</w:t>
      </w:r>
      <w:r w:rsidRPr="009C2ADD">
        <w:rPr>
          <w:rFonts w:ascii="Times New Roman" w:hAnsi="Times New Roman"/>
          <w:lang w:val="en-AU"/>
        </w:rPr>
        <w:t xml:space="preserve"> </w:t>
      </w:r>
      <w:r w:rsidRPr="009C2ADD">
        <w:rPr>
          <w:rFonts w:ascii="Times New Roman" w:hAnsi="Times New Roman"/>
          <w:i/>
          <w:lang w:val="en-AU"/>
        </w:rPr>
        <w:t>SPC Project proposals related to purse seine FAD use within the WCPO</w:t>
      </w:r>
      <w:r w:rsidRPr="009C2ADD">
        <w:rPr>
          <w:rFonts w:ascii="Times New Roman" w:hAnsi="Times New Roman"/>
          <w:lang w:val="en-AU"/>
        </w:rPr>
        <w:t>, as requested by the WCPFC FAD Intersessional Working Group, as requested by the FAD research plan adopted by WCPFC13. The four research topics were titled by the IWG as: FAD designs to reduce unwanted interactions with Species of Special Interest (SSIs; sharks, turtles); FAD designs to reduce unwanted catches of juvenile bigeye and yellowfin tuna; Acoustic FAD analyses; and Fleet behaviour. The paper provided a draft project proposal for each research topic, for discussion. Where feasible, indicative costs for the work were included, noting that those involving sea trials and associated activities will require more detailed costings if the projects were to be taken forward. At-sea trials were expensive, and required the collaboration and support of industry to be effective. Collaborative funding between WCPFC/CCMs, NGOs and in-kind support by industry should be considered.</w:t>
      </w:r>
    </w:p>
    <w:p w14:paraId="49941B5A"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56A1D961"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advised the Committee to remain mindful of the need to not only decide but prioritise, and those four projects would need to be prioritised against the whole SC budget.  </w:t>
      </w:r>
    </w:p>
    <w:p w14:paraId="1E7B0CC6"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1A1D3921" w14:textId="6C66026F"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PNA </w:t>
      </w:r>
      <w:r w:rsidR="00D5432C">
        <w:rPr>
          <w:rFonts w:ascii="Times New Roman" w:hAnsi="Times New Roman"/>
          <w:lang w:val="en-AU"/>
        </w:rPr>
        <w:t>member</w:t>
      </w:r>
      <w:r w:rsidRPr="009C2ADD">
        <w:rPr>
          <w:rFonts w:ascii="Times New Roman" w:hAnsi="Times New Roman"/>
          <w:lang w:val="en-AU"/>
        </w:rPr>
        <w:t xml:space="preserve">s expressed appreciation for the work of the FAD Working Group, and advised that they supported in principle the proposed research plan set out in Attachment D of the Working Group Report. PNA asked whether there was still a need for </w:t>
      </w:r>
      <w:r w:rsidR="00E70688">
        <w:rPr>
          <w:rFonts w:ascii="Times New Roman" w:hAnsi="Times New Roman" w:hint="eastAsia"/>
          <w:lang w:val="en-AU" w:eastAsia="ko-KR"/>
        </w:rPr>
        <w:t>the</w:t>
      </w:r>
      <w:r w:rsidR="00E70688" w:rsidRPr="009C2ADD">
        <w:rPr>
          <w:rFonts w:ascii="Times New Roman" w:hAnsi="Times New Roman"/>
          <w:lang w:val="en-AU"/>
        </w:rPr>
        <w:t xml:space="preserve"> </w:t>
      </w:r>
      <w:r w:rsidRPr="009C2ADD">
        <w:rPr>
          <w:rFonts w:ascii="Times New Roman" w:hAnsi="Times New Roman"/>
          <w:lang w:val="en-AU"/>
        </w:rPr>
        <w:t>research</w:t>
      </w:r>
      <w:r w:rsidR="00E70688" w:rsidRPr="00E70688">
        <w:rPr>
          <w:rFonts w:ascii="Times New Roman" w:hAnsi="Times New Roman"/>
          <w:lang w:val="en-AU"/>
        </w:rPr>
        <w:t xml:space="preserve"> </w:t>
      </w:r>
      <w:r w:rsidR="00E70688">
        <w:rPr>
          <w:rFonts w:ascii="Times New Roman" w:hAnsi="Times New Roman"/>
          <w:lang w:val="en-AU"/>
        </w:rPr>
        <w:t>proposed on FAD design to mitigate non-target species bycatch</w:t>
      </w:r>
      <w:r w:rsidRPr="009C2ADD">
        <w:rPr>
          <w:rFonts w:ascii="Times New Roman" w:hAnsi="Times New Roman"/>
          <w:lang w:val="en-AU"/>
        </w:rPr>
        <w:t>, noting that some working papers suggested that there was no clear reason for any differences in approaching this issue in the WCPO to other oceans, and that substantial work had been undertaken on this issue in other oceans.</w:t>
      </w:r>
    </w:p>
    <w:p w14:paraId="7DA05B9F"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6E256720" w14:textId="77777777" w:rsidR="00990C4B"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Palau thanked SPC for the presentation and informative paper. </w:t>
      </w:r>
    </w:p>
    <w:p w14:paraId="5B9E9C98"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BF2230C" w14:textId="579215F3" w:rsidR="006922EE" w:rsidRPr="009C2ADD" w:rsidRDefault="00990C4B"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b/>
          <w:lang w:val="en-AU"/>
        </w:rPr>
        <w:t xml:space="preserve">With SC13-EB-WP-05, consider potential research activities on and at-sea trials of designs for reducing small </w:t>
      </w:r>
      <w:r w:rsidR="001F6690">
        <w:rPr>
          <w:rFonts w:ascii="Times New Roman" w:hAnsi="Times New Roman" w:hint="eastAsia"/>
          <w:b/>
          <w:lang w:val="en-AU" w:eastAsia="ko-KR"/>
        </w:rPr>
        <w:t>bigeye/yellowfin</w:t>
      </w:r>
      <w:r w:rsidRPr="009C2ADD">
        <w:rPr>
          <w:rFonts w:ascii="Times New Roman" w:hAnsi="Times New Roman"/>
          <w:b/>
          <w:lang w:val="en-AU"/>
        </w:rPr>
        <w:t xml:space="preserve"> </w:t>
      </w:r>
      <w:r w:rsidR="003225B9">
        <w:rPr>
          <w:rFonts w:ascii="Times New Roman" w:hAnsi="Times New Roman"/>
          <w:b/>
          <w:lang w:val="en-AU"/>
        </w:rPr>
        <w:t xml:space="preserve">tuna </w:t>
      </w:r>
      <w:r w:rsidRPr="009C2ADD">
        <w:rPr>
          <w:rFonts w:ascii="Times New Roman" w:hAnsi="Times New Roman"/>
          <w:b/>
          <w:lang w:val="en-AU"/>
        </w:rPr>
        <w:t xml:space="preserve">catch rates and trials of non-entangling and biodegradable design options in the WCPO to fill key knowledge gaps provided in the report of SC13 ISG-2 on FAD data fields and FAD research plans (Attachment </w:t>
      </w:r>
      <w:r w:rsidR="00387CAD" w:rsidRPr="009C2ADD">
        <w:rPr>
          <w:rFonts w:ascii="Times New Roman" w:hAnsi="Times New Roman"/>
          <w:b/>
          <w:lang w:val="en-AU"/>
        </w:rPr>
        <w:t>E</w:t>
      </w:r>
      <w:r w:rsidR="00787DAC" w:rsidRPr="009C2ADD">
        <w:rPr>
          <w:rFonts w:ascii="Times New Roman" w:hAnsi="Times New Roman"/>
          <w:b/>
          <w:lang w:val="en-AU"/>
        </w:rPr>
        <w:t>)</w:t>
      </w:r>
      <w:r w:rsidRPr="009C2ADD">
        <w:rPr>
          <w:rFonts w:ascii="Times New Roman" w:hAnsi="Times New Roman"/>
          <w:b/>
          <w:lang w:val="en-AU"/>
        </w:rPr>
        <w:t>.</w:t>
      </w:r>
    </w:p>
    <w:p w14:paraId="3066C9EC"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33756E9" w14:textId="64B625B6" w:rsidR="006922EE" w:rsidRPr="009C2ADD" w:rsidRDefault="006922EE" w:rsidP="009C2ADD">
      <w:pPr>
        <w:pStyle w:val="WCPFC"/>
        <w:adjustRightInd w:val="0"/>
        <w:spacing w:after="0"/>
        <w:ind w:left="0" w:firstLine="0"/>
        <w:rPr>
          <w:b/>
        </w:rPr>
      </w:pPr>
      <w:r w:rsidRPr="009C2ADD">
        <w:rPr>
          <w:b/>
        </w:rPr>
        <w:t>SC13 adopted the report of ISG-2 on the FAD data fields and FA</w:t>
      </w:r>
      <w:r w:rsidR="00D02750" w:rsidRPr="009C2ADD">
        <w:rPr>
          <w:b/>
        </w:rPr>
        <w:t xml:space="preserve">D Research Plan (Attachment </w:t>
      </w:r>
      <w:r w:rsidR="00387CAD" w:rsidRPr="009C2ADD">
        <w:rPr>
          <w:b/>
        </w:rPr>
        <w:t>E</w:t>
      </w:r>
      <w:r w:rsidR="002219DC" w:rsidRPr="009C2ADD">
        <w:rPr>
          <w:b/>
        </w:rPr>
        <w:t>).</w:t>
      </w:r>
    </w:p>
    <w:p w14:paraId="7D0DCA0F" w14:textId="77777777" w:rsidR="006F4F50" w:rsidRPr="009C2ADD" w:rsidRDefault="006F4F50" w:rsidP="009C2ADD">
      <w:pPr>
        <w:pStyle w:val="WCPFC"/>
        <w:numPr>
          <w:ilvl w:val="0"/>
          <w:numId w:val="0"/>
        </w:numPr>
        <w:adjustRightInd w:val="0"/>
        <w:spacing w:after="0"/>
        <w:rPr>
          <w:b/>
        </w:rPr>
      </w:pPr>
    </w:p>
    <w:p w14:paraId="150DA21B" w14:textId="3AD1B3E0" w:rsidR="006922EE" w:rsidRPr="009C2ADD" w:rsidRDefault="006922EE" w:rsidP="009C2ADD">
      <w:pPr>
        <w:pStyle w:val="Heading2"/>
        <w:adjustRightInd w:val="0"/>
        <w:snapToGrid w:val="0"/>
        <w:rPr>
          <w:color w:val="auto"/>
          <w:szCs w:val="22"/>
          <w:lang w:val="en-AU"/>
        </w:rPr>
      </w:pPr>
      <w:bookmarkStart w:id="133" w:name="_Toc491851830"/>
      <w:r w:rsidRPr="009C2ADD">
        <w:rPr>
          <w:color w:val="auto"/>
          <w:szCs w:val="22"/>
          <w:lang w:val="en-AU"/>
        </w:rPr>
        <w:t xml:space="preserve">6.2 </w:t>
      </w:r>
      <w:r w:rsidR="002219DC" w:rsidRPr="009C2ADD">
        <w:rPr>
          <w:color w:val="auto"/>
          <w:szCs w:val="22"/>
          <w:lang w:val="en-AU"/>
        </w:rPr>
        <w:tab/>
      </w:r>
      <w:r w:rsidRPr="009C2ADD">
        <w:rPr>
          <w:color w:val="auto"/>
          <w:szCs w:val="22"/>
          <w:lang w:val="en-AU"/>
        </w:rPr>
        <w:t>Sharks</w:t>
      </w:r>
      <w:bookmarkEnd w:id="133"/>
    </w:p>
    <w:p w14:paraId="417DA52B" w14:textId="77777777" w:rsidR="003A411E" w:rsidRPr="009C2ADD" w:rsidRDefault="003A411E" w:rsidP="009C2ADD">
      <w:pPr>
        <w:adjustRightInd w:val="0"/>
        <w:snapToGrid w:val="0"/>
        <w:spacing w:after="0"/>
        <w:rPr>
          <w:rFonts w:ascii="Times New Roman" w:hAnsi="Times New Roman"/>
          <w:b/>
        </w:rPr>
      </w:pPr>
    </w:p>
    <w:p w14:paraId="4710AB91" w14:textId="19EE5C6A" w:rsidR="006922EE" w:rsidRPr="009C2ADD" w:rsidRDefault="003A411E"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6.2.1 </w:t>
      </w:r>
      <w:r w:rsidR="002219DC" w:rsidRPr="009C2ADD">
        <w:rPr>
          <w:rFonts w:ascii="Times New Roman" w:hAnsi="Times New Roman" w:cs="Times New Roman"/>
        </w:rPr>
        <w:tab/>
      </w:r>
      <w:r w:rsidR="006922EE" w:rsidRPr="009C2ADD">
        <w:rPr>
          <w:rFonts w:ascii="Times New Roman" w:hAnsi="Times New Roman" w:cs="Times New Roman"/>
        </w:rPr>
        <w:t>Review of conservation and management measures for sharks</w:t>
      </w:r>
    </w:p>
    <w:p w14:paraId="64975F9B" w14:textId="77777777" w:rsidR="003A411E" w:rsidRPr="009C2ADD" w:rsidRDefault="003A411E" w:rsidP="009C2ADD">
      <w:pPr>
        <w:adjustRightInd w:val="0"/>
        <w:snapToGrid w:val="0"/>
        <w:spacing w:after="0"/>
        <w:rPr>
          <w:rFonts w:ascii="Times New Roman" w:hAnsi="Times New Roman"/>
        </w:rPr>
      </w:pPr>
    </w:p>
    <w:p w14:paraId="6592B7A2" w14:textId="54750469"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In relation to Paragraphs 4, 8, and 13 of CMM 2010-07 with reference to data provision, fin to carcass ratios, and the need for a revised or new CMM, SC13 notes that no new information was submitted to SC13 to review the ratio of fin weight to shark carcass weight. Since the adoption of this CMM, SC was unable to confirm the validity of using a 5% fin to carcass ratio and forwards this concern to TCC, noting that an evaluation of the 5% ratio is not currently possible due to insufficient or inconclusive information for all but one of the major fleets implementing these ratios (SC12, para </w:t>
      </w:r>
      <w:r w:rsidR="00341D2D">
        <w:rPr>
          <w:rFonts w:ascii="Times New Roman" w:hAnsi="Times New Roman" w:hint="eastAsia"/>
          <w:b/>
          <w:lang w:val="en-AU" w:eastAsia="ko-KR"/>
        </w:rPr>
        <w:t>714</w:t>
      </w:r>
      <w:r w:rsidRPr="009C2ADD">
        <w:rPr>
          <w:rFonts w:ascii="Times New Roman" w:hAnsi="Times New Roman"/>
          <w:b/>
          <w:lang w:val="en-AU"/>
        </w:rPr>
        <w:t>).</w:t>
      </w:r>
    </w:p>
    <w:p w14:paraId="685BFF49" w14:textId="77777777" w:rsidR="002219DC" w:rsidRPr="009C2ADD" w:rsidRDefault="002219DC" w:rsidP="009C2ADD">
      <w:pPr>
        <w:autoSpaceDE w:val="0"/>
        <w:autoSpaceDN w:val="0"/>
        <w:adjustRightInd w:val="0"/>
        <w:snapToGrid w:val="0"/>
        <w:spacing w:after="0"/>
        <w:rPr>
          <w:rFonts w:ascii="Times New Roman" w:hAnsi="Times New Roman"/>
          <w:b/>
          <w:lang w:val="en-AU"/>
        </w:rPr>
      </w:pPr>
    </w:p>
    <w:p w14:paraId="489BB983" w14:textId="77777777" w:rsidR="006922EE" w:rsidRPr="009C2ADD" w:rsidRDefault="006922EE" w:rsidP="009C2ADD">
      <w:pPr>
        <w:pStyle w:val="WCPFC"/>
        <w:adjustRightInd w:val="0"/>
        <w:spacing w:after="0"/>
        <w:rPr>
          <w:b/>
        </w:rPr>
      </w:pPr>
      <w:r w:rsidRPr="009C2ADD">
        <w:rPr>
          <w:b/>
        </w:rPr>
        <w:t>SC13 recommends that:</w:t>
      </w:r>
    </w:p>
    <w:p w14:paraId="497B1855" w14:textId="77777777" w:rsidR="006922EE" w:rsidRPr="009C2ADD" w:rsidRDefault="006922EE" w:rsidP="00B22C8E">
      <w:pPr>
        <w:pStyle w:val="ListParagraph"/>
        <w:numPr>
          <w:ilvl w:val="0"/>
          <w:numId w:val="54"/>
        </w:numPr>
        <w:adjustRightInd w:val="0"/>
        <w:snapToGrid w:val="0"/>
        <w:ind w:left="1080"/>
        <w:contextualSpacing w:val="0"/>
        <w:rPr>
          <w:rFonts w:ascii="Times New Roman" w:hAnsi="Times New Roman"/>
          <w:b/>
        </w:rPr>
      </w:pPr>
      <w:r w:rsidRPr="009C2ADD">
        <w:rPr>
          <w:rFonts w:ascii="Times New Roman" w:hAnsi="Times New Roman"/>
          <w:b/>
        </w:rPr>
        <w:t>TCC13 and WCPFC14 note that no new information was submitted to SC13 to review the ratio of fin weight to shark carcass weight.</w:t>
      </w:r>
    </w:p>
    <w:p w14:paraId="37B17610" w14:textId="77777777" w:rsidR="006922EE" w:rsidRPr="009C2ADD" w:rsidRDefault="006922EE" w:rsidP="00B22C8E">
      <w:pPr>
        <w:pStyle w:val="ListParagraph"/>
        <w:numPr>
          <w:ilvl w:val="0"/>
          <w:numId w:val="54"/>
        </w:numPr>
        <w:adjustRightInd w:val="0"/>
        <w:snapToGrid w:val="0"/>
        <w:ind w:left="1080"/>
        <w:contextualSpacing w:val="0"/>
        <w:rPr>
          <w:rFonts w:ascii="Times New Roman" w:hAnsi="Times New Roman"/>
          <w:b/>
        </w:rPr>
      </w:pPr>
      <w:r w:rsidRPr="009C2ADD">
        <w:rPr>
          <w:rFonts w:ascii="Times New Roman" w:hAnsi="Times New Roman"/>
          <w:b/>
        </w:rPr>
        <w:t>TCC13 and WCPFC14 elaborate a mechanism for generating the data necessary to review the fins to carcass ratio if such a ratio is to be used as a tool for promoting the full utilization of sharks in the WCPFC.</w:t>
      </w:r>
    </w:p>
    <w:p w14:paraId="7C8E8726" w14:textId="492DA2F7" w:rsidR="00512EBB" w:rsidRPr="009C2ADD" w:rsidRDefault="00512EBB" w:rsidP="009C2ADD">
      <w:pPr>
        <w:pStyle w:val="Heading3"/>
        <w:adjustRightInd w:val="0"/>
        <w:snapToGrid w:val="0"/>
        <w:spacing w:before="0"/>
        <w:rPr>
          <w:rFonts w:ascii="Times New Roman" w:hAnsi="Times New Roman" w:cs="Times New Roman"/>
          <w:lang w:eastAsia="ko-KR"/>
        </w:rPr>
      </w:pPr>
    </w:p>
    <w:p w14:paraId="379E6952" w14:textId="5C05FD6C" w:rsidR="006922EE" w:rsidRPr="009C2ADD" w:rsidRDefault="0088144A"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6.2.2 </w:t>
      </w:r>
      <w:r w:rsidR="002219DC" w:rsidRPr="009C2ADD">
        <w:rPr>
          <w:rFonts w:ascii="Times New Roman" w:hAnsi="Times New Roman" w:cs="Times New Roman"/>
        </w:rPr>
        <w:tab/>
      </w:r>
      <w:r w:rsidRPr="009C2ADD">
        <w:rPr>
          <w:rFonts w:ascii="Times New Roman" w:hAnsi="Times New Roman" w:cs="Times New Roman"/>
        </w:rPr>
        <w:t>Development of a comprehensive shark and ray measure</w:t>
      </w:r>
    </w:p>
    <w:p w14:paraId="008EFFF1" w14:textId="77777777" w:rsidR="0088144A" w:rsidRPr="009C2ADD" w:rsidRDefault="0088144A" w:rsidP="009C2ADD">
      <w:pPr>
        <w:adjustRightInd w:val="0"/>
        <w:snapToGrid w:val="0"/>
        <w:spacing w:after="0"/>
        <w:rPr>
          <w:rFonts w:ascii="Times New Roman" w:hAnsi="Times New Roman"/>
        </w:rPr>
      </w:pPr>
    </w:p>
    <w:p w14:paraId="6CD8045A" w14:textId="44295CB9" w:rsidR="002219DC"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B21443">
        <w:rPr>
          <w:rFonts w:ascii="Times New Roman" w:hAnsi="Times New Roman"/>
          <w:lang w:val="en-AU"/>
        </w:rPr>
        <w:t>.</w:t>
      </w:r>
      <w:r w:rsidRPr="009C2ADD">
        <w:rPr>
          <w:rFonts w:ascii="Times New Roman" w:hAnsi="Times New Roman"/>
          <w:lang w:val="en-AU"/>
        </w:rPr>
        <w:t xml:space="preserve"> Clarke presented </w:t>
      </w:r>
      <w:r w:rsidR="00737863" w:rsidRPr="0070772D">
        <w:rPr>
          <w:rFonts w:ascii="Times New Roman" w:hAnsi="Times New Roman"/>
          <w:bCs/>
          <w:lang w:val="en-AU"/>
        </w:rPr>
        <w:t>SC13-</w:t>
      </w:r>
      <w:r w:rsidRPr="0070772D">
        <w:rPr>
          <w:rFonts w:ascii="Times New Roman" w:hAnsi="Times New Roman"/>
          <w:bCs/>
          <w:lang w:val="en-AU"/>
        </w:rPr>
        <w:t>EB-WP-06</w:t>
      </w:r>
      <w:r w:rsidRPr="009C2ADD">
        <w:rPr>
          <w:rFonts w:ascii="Times New Roman" w:hAnsi="Times New Roman"/>
          <w:lang w:val="en-AU"/>
        </w:rPr>
        <w:t xml:space="preserve"> </w:t>
      </w:r>
      <w:r w:rsidRPr="009C2ADD">
        <w:rPr>
          <w:rFonts w:ascii="Times New Roman" w:hAnsi="Times New Roman"/>
          <w:i/>
          <w:lang w:val="en-AU"/>
        </w:rPr>
        <w:t>Development of a comprehensive shark conservation and management measure for the WCPFC</w:t>
      </w:r>
      <w:r w:rsidRPr="009C2ADD">
        <w:rPr>
          <w:rFonts w:ascii="Times New Roman" w:hAnsi="Times New Roman"/>
          <w:lang w:val="en-AU"/>
        </w:rPr>
        <w:t>, which responded to WCPFC13’s tasking of the Scientific Committee and the Technical and Compliance Committee, with the support of the Secretariat, to work towards the development of a comprehensive approach to shark and ray conservation and management for adoption at WCPFC15.  To assist with consideration of the range of issues involved, a summary of the WCPFC’s progress with regard to utilization and finning, no-retention, safe release, mitigation, management plans, assessment, limit reference points and data reporting requirements was provided. Recognizing that recent discussions of shark-related issues had been contentious, a “bottom-up” approach based on “nationally-determined contributions</w:t>
      </w:r>
      <w:r w:rsidR="00B658D7">
        <w:rPr>
          <w:rFonts w:ascii="Times New Roman" w:hAnsi="Times New Roman"/>
          <w:lang w:val="en-AU"/>
        </w:rPr>
        <w:t xml:space="preserve"> (NDC’s)</w:t>
      </w:r>
      <w:r w:rsidRPr="009C2ADD">
        <w:rPr>
          <w:rFonts w:ascii="Times New Roman" w:hAnsi="Times New Roman"/>
          <w:lang w:val="en-AU"/>
        </w:rPr>
        <w:t xml:space="preserve">” was proposed. This type of approach would allow for basic points of agreement to be articulated and widely embraced, and for specific national actions to be counted as contributions toward the collective goal.  SC13 was invited to consider whether this or another approach should be followed in responding to WCPFC13’s tasking and to recommend a process under which work can progress. </w:t>
      </w:r>
    </w:p>
    <w:p w14:paraId="533B4A6D" w14:textId="362BF505" w:rsidR="006922EE" w:rsidRPr="009C2ADD" w:rsidRDefault="006922EE" w:rsidP="009C2ADD">
      <w:pPr>
        <w:autoSpaceDE w:val="0"/>
        <w:autoSpaceDN w:val="0"/>
        <w:adjustRightInd w:val="0"/>
        <w:snapToGrid w:val="0"/>
        <w:spacing w:after="0"/>
        <w:rPr>
          <w:rFonts w:ascii="Times New Roman" w:hAnsi="Times New Roman"/>
          <w:lang w:val="en-AU"/>
        </w:rPr>
      </w:pPr>
      <w:r w:rsidRPr="009C2ADD">
        <w:rPr>
          <w:rFonts w:ascii="Times New Roman" w:hAnsi="Times New Roman"/>
          <w:lang w:val="en-AU"/>
        </w:rPr>
        <w:t xml:space="preserve"> </w:t>
      </w:r>
    </w:p>
    <w:p w14:paraId="24A3170F" w14:textId="5774D57C" w:rsidR="006922EE"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thanked Secretariat for this paper, </w:t>
      </w:r>
      <w:r w:rsidR="00B658D7">
        <w:rPr>
          <w:rFonts w:ascii="Times New Roman" w:hAnsi="Times New Roman"/>
          <w:lang w:val="en-AU"/>
        </w:rPr>
        <w:t xml:space="preserve">and </w:t>
      </w:r>
      <w:r w:rsidRPr="009C2ADD">
        <w:rPr>
          <w:rFonts w:ascii="Times New Roman" w:hAnsi="Times New Roman"/>
          <w:lang w:val="en-AU"/>
        </w:rPr>
        <w:t>as noted in the presentation the task</w:t>
      </w:r>
      <w:r w:rsidR="00B21443">
        <w:rPr>
          <w:rFonts w:ascii="Times New Roman" w:hAnsi="Times New Roman"/>
          <w:lang w:val="en-AU"/>
        </w:rPr>
        <w:t>ing</w:t>
      </w:r>
      <w:r w:rsidRPr="009C2ADD">
        <w:rPr>
          <w:rFonts w:ascii="Times New Roman" w:hAnsi="Times New Roman"/>
          <w:lang w:val="en-AU"/>
        </w:rPr>
        <w:t xml:space="preserve"> was vague and broad. Acknowledging the innovative ideas in the paper, Japan was of the view that this discussion would be more suitable at the Commission as it was the body that should be taking a decision on a comprehensive framework. The United States agreed with Japan, there was only a small science component to this discussion and the managers in the Commission should deal with this issue initially. </w:t>
      </w:r>
    </w:p>
    <w:p w14:paraId="75D055CF" w14:textId="77777777" w:rsidR="00B21443" w:rsidRDefault="00B21443" w:rsidP="0070772D">
      <w:pPr>
        <w:pStyle w:val="ListParagraph"/>
        <w:rPr>
          <w:rFonts w:ascii="Times New Roman" w:hAnsi="Times New Roman"/>
          <w:lang w:val="en-AU"/>
        </w:rPr>
      </w:pPr>
    </w:p>
    <w:p w14:paraId="1FB85DAA"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the EU reiterated that the Scientific Committee was tasked by the Commission to develop a comprehensive framework for sharks and rays, so it was appropriate for SC13 to consider key elements and propose a way forward for the Commission. This was a very good starting point and SC13 should elaborate as much as it could. Ultimately the decision to adopt a new model (as outlined in Section 3 of the paper) was the role of the Commission, so SC13 should facilitate further discussion at WCPFC14.    </w:t>
      </w:r>
    </w:p>
    <w:p w14:paraId="4F63921D"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7EEDF39C" w14:textId="01D70B43"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Palau on behalf of FFA members thanked the WCPFC Secretariat for their paper on the proposal for a comprehensive shark and ray measure. It highlighted the challenges experienced by many members when dealing with duplication and complex reporting requirements across the five current measures. They noted that the original intent was to simplify existing measures by compiling shark management and mitigation measures into one CMM, but the Secretariat's paper went beyond this approach and proposed that members develop new objectives and a new framework for how sharks are managed. FFA </w:t>
      </w:r>
      <w:r w:rsidR="00D5432C">
        <w:rPr>
          <w:rFonts w:ascii="Times New Roman" w:hAnsi="Times New Roman"/>
          <w:lang w:val="en-AU"/>
        </w:rPr>
        <w:t>member</w:t>
      </w:r>
      <w:r w:rsidRPr="009C2ADD">
        <w:rPr>
          <w:rFonts w:ascii="Times New Roman" w:hAnsi="Times New Roman"/>
          <w:lang w:val="en-AU"/>
        </w:rPr>
        <w:t xml:space="preserve">s welcomed new ideas on how the Commission could establish a simpler and more effective shark management framework, but felt this was a longer-term goal that needed further consideration. However, in the short term they supported improvements as proposed in the recommendations, specifically, combining all existing shark measures into one CMM; and simplifying reporting requirements for sharks by including them in scientific data provided to the Commission. </w:t>
      </w:r>
    </w:p>
    <w:p w14:paraId="4433DB3F"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9A79200" w14:textId="371CBEE4"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supported comments from Palau. Australia were still considering this concept noting that it was a potential compromise from their preferred position of across-the-board stronger measures. Regarding the “Paris type” approach, from a scientific viewpoint it would be important to ensure that the set of common goals could be meaningfully assessed and reported on at the national level. Even more critical would be a transparent accounting method for taking the national actions and assessing progress across the WCPO. For example, it seemed likely that at least some of the goals would be framed around </w:t>
      </w:r>
      <w:r w:rsidR="00B658D7">
        <w:rPr>
          <w:rFonts w:ascii="Times New Roman" w:hAnsi="Times New Roman"/>
          <w:lang w:val="en-AU"/>
        </w:rPr>
        <w:t xml:space="preserve">the fishing mortality </w:t>
      </w:r>
      <w:r w:rsidRPr="009C2ADD">
        <w:rPr>
          <w:rFonts w:ascii="Times New Roman" w:hAnsi="Times New Roman"/>
          <w:lang w:val="en-AU"/>
        </w:rPr>
        <w:t xml:space="preserve">(an obvious common currency). However, there would need to be a process to quantify nationally determined contributions to overall F reduction and then sum across the WCPFC members—there were very substantial technical challenges with this. The measure would also need to be assessable from a compliance monitoring perspective. There would also need to be some clear guidance on the nature and structure of ‘nationally determined contributions’ so there was a process that clearly showed the gains made over and above the minimum baseline management so the process did not simply legitimise zero gain NDC’s. </w:t>
      </w:r>
    </w:p>
    <w:p w14:paraId="146EC9C5"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7C98B3E2" w14:textId="3268794C"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China was of the view that there should be further discussion </w:t>
      </w:r>
      <w:r w:rsidR="00B21443">
        <w:rPr>
          <w:rFonts w:ascii="Times New Roman" w:hAnsi="Times New Roman"/>
          <w:lang w:val="en-AU"/>
        </w:rPr>
        <w:t>at the Commission level</w:t>
      </w:r>
      <w:r w:rsidRPr="009C2ADD">
        <w:rPr>
          <w:rFonts w:ascii="Times New Roman" w:hAnsi="Times New Roman"/>
          <w:lang w:val="en-AU"/>
        </w:rPr>
        <w:t xml:space="preserve"> regarding development of a comprehensive CMM on sharks and there should be some research conducted on survival rates of released sharks. The SC should be focused on the survival data of the released shark. </w:t>
      </w:r>
    </w:p>
    <w:p w14:paraId="0ACBB735"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4CF9713B" w14:textId="77777777" w:rsidR="00B21443" w:rsidRPr="0070772D" w:rsidRDefault="00B21443" w:rsidP="009C2ADD">
      <w:pPr>
        <w:numPr>
          <w:ilvl w:val="0"/>
          <w:numId w:val="1"/>
        </w:numPr>
        <w:autoSpaceDE w:val="0"/>
        <w:autoSpaceDN w:val="0"/>
        <w:adjustRightInd w:val="0"/>
        <w:snapToGrid w:val="0"/>
        <w:spacing w:after="0"/>
        <w:ind w:left="0" w:firstLine="0"/>
        <w:rPr>
          <w:rFonts w:ascii="Times New Roman" w:hAnsi="Times New Roman"/>
          <w:b/>
          <w:lang w:val="en-AU"/>
        </w:rPr>
      </w:pPr>
      <w:r>
        <w:rPr>
          <w:rFonts w:ascii="Times New Roman" w:hAnsi="Times New Roman"/>
          <w:lang w:val="en-AU"/>
        </w:rPr>
        <w:t>Discussion continued in an informal small group (ISG-6) facilitated by the EU.</w:t>
      </w:r>
    </w:p>
    <w:p w14:paraId="13E6B9B0" w14:textId="77777777" w:rsidR="00B21443" w:rsidRPr="0070772D" w:rsidRDefault="00B21443" w:rsidP="0070772D">
      <w:pPr>
        <w:autoSpaceDE w:val="0"/>
        <w:autoSpaceDN w:val="0"/>
        <w:adjustRightInd w:val="0"/>
        <w:snapToGrid w:val="0"/>
        <w:spacing w:after="0"/>
        <w:rPr>
          <w:rFonts w:ascii="Times New Roman" w:hAnsi="Times New Roman"/>
          <w:b/>
          <w:lang w:val="en-AU"/>
        </w:rPr>
      </w:pPr>
    </w:p>
    <w:p w14:paraId="0939D38D" w14:textId="1879CE29"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adopted the report of ISG-6 on the comprehensive shark CMM (Attachment G).    </w:t>
      </w:r>
    </w:p>
    <w:p w14:paraId="762D0397" w14:textId="76D1AB47" w:rsidR="00512EBB" w:rsidRPr="009C2ADD" w:rsidRDefault="00512EBB" w:rsidP="009C2ADD">
      <w:pPr>
        <w:pStyle w:val="Heading3"/>
        <w:adjustRightInd w:val="0"/>
        <w:snapToGrid w:val="0"/>
        <w:spacing w:before="0"/>
        <w:rPr>
          <w:rFonts w:ascii="Times New Roman" w:hAnsi="Times New Roman" w:cs="Times New Roman"/>
          <w:lang w:eastAsia="ko-KR"/>
        </w:rPr>
      </w:pPr>
    </w:p>
    <w:p w14:paraId="06EDB682" w14:textId="4440110B" w:rsidR="003A411E" w:rsidRPr="009C2ADD" w:rsidRDefault="0088144A"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6.2.3 </w:t>
      </w:r>
      <w:r w:rsidR="002219DC" w:rsidRPr="009C2ADD">
        <w:rPr>
          <w:rFonts w:ascii="Times New Roman" w:hAnsi="Times New Roman" w:cs="Times New Roman"/>
        </w:rPr>
        <w:tab/>
      </w:r>
      <w:r w:rsidRPr="009C2ADD">
        <w:rPr>
          <w:rFonts w:ascii="Times New Roman" w:hAnsi="Times New Roman" w:cs="Times New Roman"/>
        </w:rPr>
        <w:t>Safe release guidelines</w:t>
      </w:r>
    </w:p>
    <w:p w14:paraId="6356D4F8" w14:textId="77777777" w:rsidR="0088144A" w:rsidRPr="009C2ADD" w:rsidRDefault="0088144A" w:rsidP="009C2ADD">
      <w:pPr>
        <w:adjustRightInd w:val="0"/>
        <w:snapToGrid w:val="0"/>
        <w:spacing w:after="0"/>
        <w:rPr>
          <w:rFonts w:ascii="Times New Roman" w:hAnsi="Times New Roman"/>
        </w:rPr>
      </w:pPr>
    </w:p>
    <w:p w14:paraId="35A439DA" w14:textId="040E3AB7" w:rsidR="006F041A" w:rsidRPr="009C2ADD" w:rsidRDefault="006F041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w:t>
      </w:r>
      <w:r w:rsidR="001C35A2">
        <w:rPr>
          <w:rFonts w:ascii="Times New Roman" w:hAnsi="Times New Roman"/>
          <w:lang w:val="en-AU"/>
        </w:rPr>
        <w:t xml:space="preserve">was tasked by </w:t>
      </w:r>
      <w:r w:rsidR="001C35A2" w:rsidRPr="009C2ADD">
        <w:rPr>
          <w:rFonts w:ascii="Times New Roman" w:hAnsi="Times New Roman"/>
          <w:lang w:val="en-AU"/>
        </w:rPr>
        <w:t>WCPFC1</w:t>
      </w:r>
      <w:r w:rsidR="001C35A2">
        <w:rPr>
          <w:rFonts w:ascii="Times New Roman" w:hAnsi="Times New Roman"/>
          <w:lang w:val="en-AU"/>
        </w:rPr>
        <w:t>3</w:t>
      </w:r>
      <w:r w:rsidR="001C35A2" w:rsidRPr="009C2ADD">
        <w:rPr>
          <w:rFonts w:ascii="Times New Roman" w:hAnsi="Times New Roman"/>
          <w:lang w:val="en-AU"/>
        </w:rPr>
        <w:t xml:space="preserve"> </w:t>
      </w:r>
      <w:r w:rsidR="001C35A2">
        <w:rPr>
          <w:rFonts w:ascii="Times New Roman" w:hAnsi="Times New Roman"/>
          <w:lang w:val="en-AU"/>
        </w:rPr>
        <w:t xml:space="preserve">with reviewing safe release guidelines for manta and mobula ray </w:t>
      </w:r>
      <w:r w:rsidR="001C35A2" w:rsidRPr="009C2ADD">
        <w:rPr>
          <w:rFonts w:ascii="Times New Roman" w:hAnsi="Times New Roman"/>
          <w:lang w:val="en-AU"/>
        </w:rPr>
        <w:t>(WCPFC13 Summary Report para 550).</w:t>
      </w:r>
      <w:r w:rsidR="001C35A2">
        <w:rPr>
          <w:rFonts w:ascii="Times New Roman" w:hAnsi="Times New Roman"/>
          <w:lang w:val="en-AU"/>
        </w:rPr>
        <w:t xml:space="preserve">  </w:t>
      </w:r>
      <w:r w:rsidR="001C35A2" w:rsidRPr="009C2ADD">
        <w:rPr>
          <w:rFonts w:ascii="Times New Roman" w:hAnsi="Times New Roman"/>
          <w:lang w:val="en-AU"/>
        </w:rPr>
        <w:t>M</w:t>
      </w:r>
      <w:r w:rsidR="001C35A2">
        <w:rPr>
          <w:rFonts w:ascii="Times New Roman" w:hAnsi="Times New Roman"/>
          <w:lang w:val="en-AU"/>
        </w:rPr>
        <w:t>.</w:t>
      </w:r>
      <w:r w:rsidR="001C35A2" w:rsidRPr="009C2ADD">
        <w:rPr>
          <w:rFonts w:ascii="Times New Roman" w:hAnsi="Times New Roman"/>
          <w:lang w:val="en-AU"/>
        </w:rPr>
        <w:t xml:space="preserve"> Hutchinson presented </w:t>
      </w:r>
      <w:r w:rsidR="001C35A2" w:rsidRPr="0070772D">
        <w:rPr>
          <w:rFonts w:ascii="Times New Roman" w:hAnsi="Times New Roman"/>
          <w:bCs/>
          <w:lang w:val="en-AU"/>
        </w:rPr>
        <w:t>SC13-EB-IP-08</w:t>
      </w:r>
      <w:r w:rsidR="001C35A2" w:rsidRPr="009C2ADD">
        <w:rPr>
          <w:rFonts w:ascii="Times New Roman" w:hAnsi="Times New Roman"/>
          <w:lang w:val="en-AU"/>
        </w:rPr>
        <w:t xml:space="preserve"> </w:t>
      </w:r>
      <w:r w:rsidR="001C35A2" w:rsidRPr="009C2ADD">
        <w:rPr>
          <w:rFonts w:ascii="Times New Roman" w:hAnsi="Times New Roman"/>
          <w:i/>
          <w:lang w:val="en-AU"/>
        </w:rPr>
        <w:t>Developing best handling practice guidelines for the safe release of mantas and mobulids captured in commercial fisheries</w:t>
      </w:r>
      <w:r w:rsidR="001C35A2" w:rsidRPr="009C2ADD">
        <w:rPr>
          <w:rFonts w:ascii="Times New Roman" w:hAnsi="Times New Roman"/>
          <w:lang w:val="en-AU"/>
        </w:rPr>
        <w:t xml:space="preserve">, which served as a framework for discussions at SC13 to develop safe release guidelines for these key ray and shark species, as </w:t>
      </w:r>
      <w:r w:rsidR="001C35A2">
        <w:rPr>
          <w:rFonts w:ascii="Times New Roman" w:hAnsi="Times New Roman"/>
          <w:lang w:val="en-AU"/>
        </w:rPr>
        <w:t>was tasked</w:t>
      </w:r>
      <w:r w:rsidR="001C35A2" w:rsidRPr="009C2ADD">
        <w:rPr>
          <w:rFonts w:ascii="Times New Roman" w:hAnsi="Times New Roman"/>
          <w:lang w:val="en-AU"/>
        </w:rPr>
        <w:t xml:space="preserve"> by WCPFC13</w:t>
      </w:r>
      <w:r w:rsidR="001C35A2">
        <w:rPr>
          <w:rFonts w:ascii="Times New Roman" w:hAnsi="Times New Roman"/>
          <w:lang w:val="en-AU"/>
        </w:rPr>
        <w:t>.</w:t>
      </w:r>
    </w:p>
    <w:p w14:paraId="68DAB3F3"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784C2354" w14:textId="6D0237D7" w:rsidR="006F041A" w:rsidRPr="009C2ADD" w:rsidRDefault="006F041A" w:rsidP="0070772D">
      <w:pPr>
        <w:autoSpaceDE w:val="0"/>
        <w:autoSpaceDN w:val="0"/>
        <w:adjustRightInd w:val="0"/>
        <w:snapToGrid w:val="0"/>
        <w:spacing w:after="0"/>
        <w:rPr>
          <w:rFonts w:ascii="Times New Roman" w:hAnsi="Times New Roman"/>
          <w:lang w:val="en-AU"/>
        </w:rPr>
      </w:pPr>
      <w:r w:rsidRPr="009C2ADD">
        <w:rPr>
          <w:rFonts w:ascii="Times New Roman" w:hAnsi="Times New Roman"/>
          <w:lang w:val="en-AU"/>
        </w:rPr>
        <w:t xml:space="preserve">  </w:t>
      </w:r>
    </w:p>
    <w:p w14:paraId="28EB8A83" w14:textId="30BEEE05" w:rsidR="002219DC" w:rsidRPr="0070772D" w:rsidRDefault="00EB1676" w:rsidP="009C2ADD">
      <w:pPr>
        <w:pStyle w:val="ListParagraph"/>
        <w:adjustRightInd w:val="0"/>
        <w:snapToGrid w:val="0"/>
        <w:contextualSpacing w:val="0"/>
        <w:rPr>
          <w:rFonts w:ascii="Times New Roman" w:hAnsi="Times New Roman"/>
          <w:b/>
          <w:lang w:val="en-AU" w:eastAsia="ko-KR"/>
        </w:rPr>
      </w:pPr>
      <w:r w:rsidRPr="0070772D">
        <w:rPr>
          <w:rFonts w:ascii="Times New Roman" w:hAnsi="Times New Roman"/>
          <w:b/>
          <w:lang w:val="en-AU" w:eastAsia="ko-KR"/>
        </w:rPr>
        <w:t>Discussion</w:t>
      </w:r>
    </w:p>
    <w:p w14:paraId="00935F62" w14:textId="77777777" w:rsidR="00EB1676" w:rsidRPr="009C2ADD" w:rsidRDefault="00EB1676" w:rsidP="009C2ADD">
      <w:pPr>
        <w:pStyle w:val="ListParagraph"/>
        <w:adjustRightInd w:val="0"/>
        <w:snapToGrid w:val="0"/>
        <w:contextualSpacing w:val="0"/>
        <w:rPr>
          <w:rFonts w:ascii="Times New Roman" w:hAnsi="Times New Roman"/>
          <w:lang w:val="en-AU" w:eastAsia="ko-KR"/>
        </w:rPr>
      </w:pPr>
    </w:p>
    <w:p w14:paraId="1BF44421" w14:textId="634276D6" w:rsidR="006F041A" w:rsidRPr="009C2ADD" w:rsidRDefault="002104A8"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Noting </w:t>
      </w:r>
      <w:r w:rsidR="006579BC" w:rsidRPr="009C2ADD">
        <w:rPr>
          <w:rFonts w:ascii="Times New Roman" w:hAnsi="Times New Roman"/>
          <w:lang w:val="en-AU"/>
        </w:rPr>
        <w:t>the lack of progress on previous work on safe release guidelines for shark species at SC11 (</w:t>
      </w:r>
      <w:r w:rsidR="00444E27">
        <w:rPr>
          <w:rFonts w:ascii="Times New Roman" w:hAnsi="Times New Roman"/>
          <w:lang w:val="en-AU"/>
        </w:rPr>
        <w:t>Attach</w:t>
      </w:r>
      <w:r w:rsidRPr="009C2ADD">
        <w:rPr>
          <w:rFonts w:ascii="Times New Roman" w:hAnsi="Times New Roman"/>
          <w:lang w:val="en-AU"/>
        </w:rPr>
        <w:t>me</w:t>
      </w:r>
      <w:r w:rsidR="006579BC" w:rsidRPr="009C2ADD">
        <w:rPr>
          <w:rFonts w:ascii="Times New Roman" w:hAnsi="Times New Roman"/>
          <w:lang w:val="en-AU"/>
        </w:rPr>
        <w:t>nt G</w:t>
      </w:r>
      <w:r w:rsidRPr="009C2ADD">
        <w:rPr>
          <w:rFonts w:ascii="Times New Roman" w:hAnsi="Times New Roman"/>
          <w:lang w:val="en-AU"/>
        </w:rPr>
        <w:t xml:space="preserve"> SC11</w:t>
      </w:r>
      <w:r w:rsidR="006579BC" w:rsidRPr="009C2ADD">
        <w:rPr>
          <w:rFonts w:ascii="Times New Roman" w:hAnsi="Times New Roman"/>
          <w:lang w:val="en-AU"/>
        </w:rPr>
        <w:t xml:space="preserve"> Summary Report)</w:t>
      </w:r>
      <w:r w:rsidRPr="009C2ADD">
        <w:rPr>
          <w:rFonts w:ascii="Times New Roman" w:hAnsi="Times New Roman"/>
          <w:lang w:val="en-AU"/>
        </w:rPr>
        <w:t xml:space="preserve">, </w:t>
      </w:r>
      <w:r w:rsidR="001C35A2">
        <w:rPr>
          <w:rFonts w:ascii="Times New Roman" w:hAnsi="Times New Roman"/>
          <w:lang w:val="en-AU"/>
        </w:rPr>
        <w:t>CCMs made a number of</w:t>
      </w:r>
      <w:r w:rsidR="001C35A2" w:rsidRPr="009C2ADD">
        <w:rPr>
          <w:rFonts w:ascii="Times New Roman" w:hAnsi="Times New Roman"/>
          <w:lang w:val="en-AU"/>
        </w:rPr>
        <w:t xml:space="preserve"> </w:t>
      </w:r>
      <w:r w:rsidRPr="009C2ADD">
        <w:rPr>
          <w:rFonts w:ascii="Times New Roman" w:hAnsi="Times New Roman"/>
          <w:lang w:val="en-AU"/>
        </w:rPr>
        <w:t xml:space="preserve">general </w:t>
      </w:r>
      <w:r w:rsidR="006F041A" w:rsidRPr="009C2ADD">
        <w:rPr>
          <w:rFonts w:ascii="Times New Roman" w:hAnsi="Times New Roman"/>
          <w:lang w:val="en-AU"/>
        </w:rPr>
        <w:t xml:space="preserve">comments relating to the scope </w:t>
      </w:r>
      <w:r w:rsidR="006579BC" w:rsidRPr="009C2ADD">
        <w:rPr>
          <w:rFonts w:ascii="Times New Roman" w:hAnsi="Times New Roman"/>
          <w:lang w:val="en-AU"/>
        </w:rPr>
        <w:t>of ISG</w:t>
      </w:r>
      <w:r w:rsidR="001C35A2">
        <w:rPr>
          <w:rFonts w:ascii="Times New Roman" w:hAnsi="Times New Roman"/>
          <w:lang w:val="en-AU"/>
        </w:rPr>
        <w:t>-</w:t>
      </w:r>
      <w:r w:rsidR="006579BC" w:rsidRPr="009C2ADD">
        <w:rPr>
          <w:rFonts w:ascii="Times New Roman" w:hAnsi="Times New Roman"/>
          <w:lang w:val="en-AU"/>
        </w:rPr>
        <w:t>5</w:t>
      </w:r>
      <w:r w:rsidRPr="009C2ADD">
        <w:rPr>
          <w:rFonts w:ascii="Times New Roman" w:hAnsi="Times New Roman"/>
          <w:lang w:val="en-AU"/>
        </w:rPr>
        <w:t xml:space="preserve"> and whether that group should also discuss</w:t>
      </w:r>
      <w:r w:rsidR="006F041A" w:rsidRPr="009C2ADD">
        <w:rPr>
          <w:rFonts w:ascii="Times New Roman" w:hAnsi="Times New Roman"/>
          <w:lang w:val="en-AU"/>
        </w:rPr>
        <w:t xml:space="preserve"> safe release guidelines for species other than mantas and mobulids. Objections were raised by some CCMs to including sharks in the guidelines as well. The Chair was clear that the remit from the Commission for</w:t>
      </w:r>
      <w:r w:rsidRPr="009C2ADD">
        <w:rPr>
          <w:rFonts w:ascii="Times New Roman" w:hAnsi="Times New Roman"/>
          <w:lang w:val="en-AU"/>
        </w:rPr>
        <w:t xml:space="preserve"> this agenda item </w:t>
      </w:r>
      <w:r w:rsidR="006F041A" w:rsidRPr="009C2ADD">
        <w:rPr>
          <w:rFonts w:ascii="Times New Roman" w:hAnsi="Times New Roman"/>
          <w:lang w:val="en-AU"/>
        </w:rPr>
        <w:t>was limited to mantas and mobulids, but could be expanded to include other rays as well</w:t>
      </w:r>
      <w:r w:rsidRPr="009C2ADD">
        <w:rPr>
          <w:rFonts w:ascii="Times New Roman" w:hAnsi="Times New Roman"/>
          <w:lang w:val="en-AU"/>
        </w:rPr>
        <w:t xml:space="preserve">. </w:t>
      </w:r>
      <w:r w:rsidR="006579BC" w:rsidRPr="009C2ADD">
        <w:rPr>
          <w:rFonts w:ascii="Times New Roman" w:hAnsi="Times New Roman"/>
          <w:lang w:val="en-AU"/>
        </w:rPr>
        <w:t xml:space="preserve">Members opted to keep the discussion focused on mantas and mobulids. </w:t>
      </w:r>
    </w:p>
    <w:p w14:paraId="41D56F77"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4E66E26" w14:textId="59C3B88D" w:rsidR="006F041A" w:rsidRPr="009C2ADD" w:rsidRDefault="006F041A"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PNA </w:t>
      </w:r>
      <w:r w:rsidR="00D5432C">
        <w:rPr>
          <w:rFonts w:ascii="Times New Roman" w:hAnsi="Times New Roman"/>
          <w:lang w:val="en-AU"/>
        </w:rPr>
        <w:t>member</w:t>
      </w:r>
      <w:r w:rsidRPr="009C2ADD">
        <w:rPr>
          <w:rFonts w:ascii="Times New Roman" w:hAnsi="Times New Roman"/>
          <w:lang w:val="en-AU"/>
        </w:rPr>
        <w:t>s supported the guidelines</w:t>
      </w:r>
      <w:r w:rsidR="0066270D" w:rsidRPr="0066270D">
        <w:rPr>
          <w:rFonts w:ascii="Times New Roman" w:hAnsi="Times New Roman"/>
          <w:lang w:val="en-AU"/>
        </w:rPr>
        <w:t xml:space="preserve"> </w:t>
      </w:r>
      <w:r w:rsidR="0066270D">
        <w:rPr>
          <w:rFonts w:ascii="Times New Roman" w:hAnsi="Times New Roman"/>
          <w:lang w:val="en-AU"/>
        </w:rPr>
        <w:t>proposed by ISG-5</w:t>
      </w:r>
      <w:r w:rsidRPr="009C2ADD">
        <w:rPr>
          <w:rFonts w:ascii="Times New Roman" w:hAnsi="Times New Roman"/>
          <w:lang w:val="en-AU"/>
        </w:rPr>
        <w:t xml:space="preserve"> in principle, but noted that the details in the text needed more consideration because some elements of the guidelines for the purse seine fishery seemed to apply to the longline fishery and not the purse seine fishery.</w:t>
      </w:r>
    </w:p>
    <w:p w14:paraId="157D17D2"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171C5836"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adopted the report of ISG-5 on the safe release guidelines for manta and mobulid rays (Attachment H).</w:t>
      </w:r>
    </w:p>
    <w:p w14:paraId="6C454DCD" w14:textId="77777777" w:rsidR="002219DC" w:rsidRPr="009C2ADD" w:rsidRDefault="002219DC" w:rsidP="009C2ADD">
      <w:pPr>
        <w:pStyle w:val="ListParagraph"/>
        <w:adjustRightInd w:val="0"/>
        <w:snapToGrid w:val="0"/>
        <w:contextualSpacing w:val="0"/>
        <w:rPr>
          <w:rFonts w:ascii="Times New Roman" w:hAnsi="Times New Roman"/>
          <w:b/>
          <w:highlight w:val="yellow"/>
          <w:lang w:val="en-AU"/>
        </w:rPr>
      </w:pPr>
    </w:p>
    <w:p w14:paraId="3570D022"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SC13 recommends TCC13 and WCPFC14 note that SC has not yet adopted guidelines for safe release for silky and oceanic whitetip sharks.</w:t>
      </w:r>
      <w:r w:rsidR="000F4E37" w:rsidRPr="009C2ADD">
        <w:rPr>
          <w:rFonts w:ascii="Times New Roman" w:hAnsi="Times New Roman"/>
          <w:b/>
          <w:lang w:val="en-AU"/>
        </w:rPr>
        <w:t xml:space="preserve"> </w:t>
      </w:r>
    </w:p>
    <w:p w14:paraId="0227638C" w14:textId="64A4C2EB" w:rsidR="00512EBB" w:rsidRPr="009C2ADD" w:rsidRDefault="00512EBB" w:rsidP="009C2ADD">
      <w:pPr>
        <w:pStyle w:val="Heading3"/>
        <w:adjustRightInd w:val="0"/>
        <w:snapToGrid w:val="0"/>
        <w:spacing w:before="0"/>
        <w:rPr>
          <w:rFonts w:ascii="Times New Roman" w:hAnsi="Times New Roman" w:cs="Times New Roman"/>
          <w:lang w:val="en-AU" w:eastAsia="ko-KR"/>
        </w:rPr>
      </w:pPr>
    </w:p>
    <w:p w14:paraId="59EAFFA0" w14:textId="39C6AA55" w:rsidR="003A411E" w:rsidRPr="009C2ADD" w:rsidRDefault="0088144A" w:rsidP="009C2ADD">
      <w:pPr>
        <w:pStyle w:val="Heading3"/>
        <w:adjustRightInd w:val="0"/>
        <w:snapToGrid w:val="0"/>
        <w:spacing w:before="0"/>
        <w:rPr>
          <w:rFonts w:ascii="Times New Roman" w:hAnsi="Times New Roman" w:cs="Times New Roman"/>
        </w:rPr>
      </w:pPr>
      <w:r w:rsidRPr="009C2ADD">
        <w:rPr>
          <w:rFonts w:ascii="Times New Roman" w:hAnsi="Times New Roman" w:cs="Times New Roman"/>
        </w:rPr>
        <w:t xml:space="preserve">6.2.4 </w:t>
      </w:r>
      <w:r w:rsidR="002219DC" w:rsidRPr="009C2ADD">
        <w:rPr>
          <w:rFonts w:ascii="Times New Roman" w:hAnsi="Times New Roman" w:cs="Times New Roman"/>
        </w:rPr>
        <w:tab/>
      </w:r>
      <w:r w:rsidRPr="009C2ADD">
        <w:rPr>
          <w:rFonts w:ascii="Times New Roman" w:hAnsi="Times New Roman" w:cs="Times New Roman"/>
        </w:rPr>
        <w:t>Shark research plan</w:t>
      </w:r>
    </w:p>
    <w:p w14:paraId="2837506B" w14:textId="77777777" w:rsidR="0088144A" w:rsidRPr="009C2ADD" w:rsidRDefault="0088144A" w:rsidP="009C2ADD">
      <w:pPr>
        <w:adjustRightInd w:val="0"/>
        <w:snapToGrid w:val="0"/>
        <w:spacing w:after="0"/>
        <w:rPr>
          <w:rFonts w:ascii="Times New Roman" w:hAnsi="Times New Roman"/>
        </w:rPr>
      </w:pPr>
    </w:p>
    <w:p w14:paraId="24724E5A" w14:textId="4599C28D"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Under this agenda item, SC13 reviewed the progress of the Shark Research Plan and updated the information as needed. The Convener reminded delegates that WCPFC13 agreed that </w:t>
      </w:r>
      <w:r w:rsidR="0066270D">
        <w:rPr>
          <w:rFonts w:ascii="Times New Roman" w:hAnsi="Times New Roman"/>
          <w:lang w:val="en-AU"/>
        </w:rPr>
        <w:t>m</w:t>
      </w:r>
      <w:r w:rsidRPr="009C2ADD">
        <w:rPr>
          <w:rFonts w:ascii="Times New Roman" w:hAnsi="Times New Roman"/>
          <w:lang w:val="en-AU"/>
        </w:rPr>
        <w:t xml:space="preserve">anta and </w:t>
      </w:r>
      <w:r w:rsidR="0066270D">
        <w:rPr>
          <w:rFonts w:ascii="Times New Roman" w:hAnsi="Times New Roman"/>
          <w:lang w:val="en-AU"/>
        </w:rPr>
        <w:t>m</w:t>
      </w:r>
      <w:r w:rsidRPr="009C2ADD">
        <w:rPr>
          <w:rFonts w:ascii="Times New Roman" w:hAnsi="Times New Roman"/>
          <w:lang w:val="en-AU"/>
        </w:rPr>
        <w:t xml:space="preserve">obula rays shall be considered WCPFC key shark species for assessment and thus listed under the Shark Research Plan, noting that data gaps may preclude a traditional stock assessment approach. </w:t>
      </w:r>
    </w:p>
    <w:p w14:paraId="15815845"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50349F7F" w14:textId="13CB45FD"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Joel Rice presented </w:t>
      </w:r>
      <w:r w:rsidR="00431A42" w:rsidRPr="0070772D">
        <w:rPr>
          <w:rFonts w:ascii="Times New Roman" w:hAnsi="Times New Roman"/>
          <w:bCs/>
          <w:lang w:val="en-AU"/>
        </w:rPr>
        <w:t>SC13-</w:t>
      </w:r>
      <w:r w:rsidRPr="0070772D">
        <w:rPr>
          <w:rFonts w:ascii="Times New Roman" w:hAnsi="Times New Roman"/>
          <w:bCs/>
          <w:lang w:val="en-AU"/>
        </w:rPr>
        <w:t>EB-WP-07</w:t>
      </w:r>
      <w:r w:rsidRPr="009C2ADD">
        <w:rPr>
          <w:rFonts w:ascii="Times New Roman" w:hAnsi="Times New Roman"/>
          <w:lang w:val="en-AU"/>
        </w:rPr>
        <w:t xml:space="preserve">, </w:t>
      </w:r>
      <w:r w:rsidRPr="009C2ADD">
        <w:rPr>
          <w:rFonts w:ascii="Times New Roman" w:hAnsi="Times New Roman"/>
          <w:i/>
          <w:lang w:val="en-AU"/>
        </w:rPr>
        <w:t>SPC Review of shark data and modelling framework to support stock assessments (Project 78)</w:t>
      </w:r>
      <w:r w:rsidRPr="009C2ADD">
        <w:rPr>
          <w:rFonts w:ascii="Times New Roman" w:hAnsi="Times New Roman"/>
          <w:lang w:val="en-AU"/>
        </w:rPr>
        <w:t xml:space="preserve">, which presented an analysis of data for sharks caught in longline and purse seine fisheries in the Western and Central Pacific Ocean (WCPO) held by The Pacific Community – Oceanic Fisheries Programme (SPC-OFP). It represented an interim report from Project 78 to SC13, and concentrated on detailing the results to date on key sections of the project </w:t>
      </w:r>
      <w:r w:rsidR="00444E27">
        <w:rPr>
          <w:rFonts w:ascii="Times New Roman" w:hAnsi="Times New Roman"/>
          <w:lang w:val="en-AU"/>
        </w:rPr>
        <w:t>terms of reference</w:t>
      </w:r>
      <w:r w:rsidRPr="009C2ADD">
        <w:rPr>
          <w:rFonts w:ascii="Times New Roman" w:hAnsi="Times New Roman"/>
          <w:lang w:val="en-AU"/>
        </w:rPr>
        <w:t xml:space="preserve">. Feedback for steps to be incorporated within the final report to WCPFC Secretariat due 31 December 2017 was requested. The presenter noted that overall the quality, with respect the key shark species, of logbook data and observer data submitted to SPC had been improving over time but that observer data coverage (by sets) was not 100% in the purse seine fishery nor did it reach the 5% coverage (by hooks observed/hooks fished) level in the longline fishery. In </w:t>
      </w:r>
      <w:r w:rsidR="00387CAD" w:rsidRPr="009C2ADD">
        <w:rPr>
          <w:rFonts w:ascii="Times New Roman" w:hAnsi="Times New Roman"/>
          <w:lang w:val="en-AU"/>
        </w:rPr>
        <w:t>general,</w:t>
      </w:r>
      <w:r w:rsidRPr="009C2ADD">
        <w:rPr>
          <w:rFonts w:ascii="Times New Roman" w:hAnsi="Times New Roman"/>
          <w:lang w:val="en-AU"/>
        </w:rPr>
        <w:t xml:space="preserve"> the data could support analytical (or indicator) assessments for the more commonly caught species, but would require significant extrapolation to assess the less common species. The author also noted that reporting of logsheet data by fleet was highly variable, with many fleets reporting significantly less than 100%.  It was difficult to identify whether logsheet data was provided for all key species given than non-reporting may be a result of a zero catch event (i.e. whale sharks in the longline fishery) or a lack of reporting. The largest gap in the currently held data was within the longline </w:t>
      </w:r>
      <w:r w:rsidR="00444E27" w:rsidRPr="009C2ADD">
        <w:rPr>
          <w:rFonts w:ascii="Times New Roman" w:hAnsi="Times New Roman"/>
          <w:lang w:val="en-AU"/>
        </w:rPr>
        <w:t>datasets;</w:t>
      </w:r>
      <w:r w:rsidRPr="009C2ADD">
        <w:rPr>
          <w:rFonts w:ascii="Times New Roman" w:hAnsi="Times New Roman"/>
          <w:lang w:val="en-AU"/>
        </w:rPr>
        <w:t xml:space="preserve"> the observer data covers a fraction of the overall effort, was biased towards those fleets which have strong observer programs and was also spatially concentrated within the EEZs with little coverage on the high seas.</w:t>
      </w:r>
    </w:p>
    <w:p w14:paraId="1E241D4B" w14:textId="77777777" w:rsidR="002219DC" w:rsidRDefault="002219DC" w:rsidP="009C2ADD">
      <w:pPr>
        <w:autoSpaceDE w:val="0"/>
        <w:autoSpaceDN w:val="0"/>
        <w:adjustRightInd w:val="0"/>
        <w:snapToGrid w:val="0"/>
        <w:spacing w:after="0"/>
        <w:rPr>
          <w:rFonts w:ascii="Times New Roman" w:hAnsi="Times New Roman"/>
          <w:lang w:val="en-AU" w:eastAsia="ko-KR"/>
        </w:rPr>
      </w:pPr>
    </w:p>
    <w:p w14:paraId="32782A6B" w14:textId="4BBA2CFA" w:rsidR="008A0468" w:rsidRPr="0070772D" w:rsidRDefault="00444E27" w:rsidP="009C2ADD">
      <w:pPr>
        <w:autoSpaceDE w:val="0"/>
        <w:autoSpaceDN w:val="0"/>
        <w:adjustRightInd w:val="0"/>
        <w:snapToGrid w:val="0"/>
        <w:spacing w:after="0"/>
        <w:rPr>
          <w:rFonts w:ascii="Times New Roman" w:hAnsi="Times New Roman"/>
          <w:b/>
          <w:lang w:val="en-AU" w:eastAsia="ko-KR"/>
        </w:rPr>
      </w:pPr>
      <w:r>
        <w:rPr>
          <w:rFonts w:ascii="Times New Roman" w:hAnsi="Times New Roman"/>
          <w:b/>
          <w:lang w:val="en-AU" w:eastAsia="ko-KR"/>
        </w:rPr>
        <w:t>Dis</w:t>
      </w:r>
      <w:r w:rsidR="008A0468" w:rsidRPr="0070772D">
        <w:rPr>
          <w:rFonts w:ascii="Times New Roman" w:hAnsi="Times New Roman"/>
          <w:b/>
          <w:lang w:val="en-AU" w:eastAsia="ko-KR"/>
        </w:rPr>
        <w:t>cussion</w:t>
      </w:r>
    </w:p>
    <w:p w14:paraId="5076CEE6" w14:textId="77777777" w:rsidR="008A0468" w:rsidRPr="009C2ADD" w:rsidRDefault="008A0468" w:rsidP="009C2ADD">
      <w:pPr>
        <w:autoSpaceDE w:val="0"/>
        <w:autoSpaceDN w:val="0"/>
        <w:adjustRightInd w:val="0"/>
        <w:snapToGrid w:val="0"/>
        <w:spacing w:after="0"/>
        <w:rPr>
          <w:rFonts w:ascii="Times New Roman" w:hAnsi="Times New Roman"/>
          <w:lang w:val="en-AU" w:eastAsia="ko-KR"/>
        </w:rPr>
      </w:pPr>
    </w:p>
    <w:p w14:paraId="0DD7ABF3" w14:textId="1CF68E9C"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Samoa on behalf of FFA </w:t>
      </w:r>
      <w:r w:rsidR="00D5432C">
        <w:rPr>
          <w:rFonts w:ascii="Times New Roman" w:hAnsi="Times New Roman"/>
          <w:lang w:val="en-AU"/>
        </w:rPr>
        <w:t>member</w:t>
      </w:r>
      <w:r w:rsidRPr="009C2ADD">
        <w:rPr>
          <w:rFonts w:ascii="Times New Roman" w:hAnsi="Times New Roman"/>
          <w:lang w:val="en-AU"/>
        </w:rPr>
        <w:t xml:space="preserve">s thanked the SPC for providing an analysis of observer and logbook data pertaining to key shark species in the WCPO. There are four main CMMs that deal with shark management in the WCPFC. WCPFC13 requested that SC13 and TCC13, with support from the Secretariat, work towards the development of a comprehensive approach to shark and ray conservation and management with a view to adopting a new CMM at WCPFC15. As part of these efforts, a comprehensive review of the data available to the WCPFC to undertake assessments of the stock and implementation of the CMMs was undertaken in 2017. Analysis has shown that generally, there had been an increase in logsheet reporting to species level for sharks, while the increase may be in part attributable to the implementation of CMM 2010-07, species specific reporting also increased in the 2000’s relative to the 1990s. The impact of the retention bans (CMM 2011-04 and 2013-08) had seen an absence of reporting in the purse seine fishery for the years 2014 and 2015, despite observed catch rates that were similar to the years 2012-2013. Reporting of silky sharks and oceanic whitetip sharks in the longline fishery occurred in 2014 and 2015 at a similar rate to 2013, indicating that the CMM was not adopted over the entire fleet. CMM 2014-05 entered into force on July 1st 2015 so there was not enough data to quantify the effect of the bycatch mitigation effect of that CMM. As CMMs specifying non-retention for oceanic white tip and silky shark continued to be implemented, getting observer data, particularly from longline fisheries was considered crucial for evaluating the effects of these CMMs. The report also highlighted that observer data availability was not yet 100% in the purse seine fishery, perhaps partly because of lags in observer logbook data entry, and data did not reach the required minimum 5% coverage level in the longline fishery. FFA </w:t>
      </w:r>
      <w:r w:rsidR="00D5432C">
        <w:rPr>
          <w:rFonts w:ascii="Times New Roman" w:hAnsi="Times New Roman"/>
          <w:lang w:val="en-AU"/>
        </w:rPr>
        <w:t>member</w:t>
      </w:r>
      <w:r w:rsidRPr="009C2ADD">
        <w:rPr>
          <w:rFonts w:ascii="Times New Roman" w:hAnsi="Times New Roman"/>
          <w:lang w:val="en-AU"/>
        </w:rPr>
        <w:t xml:space="preserve">s reiterated their view that electronic monitoring approaches be implemented to assist and augment observer coverage for fisheries targeting sharks or where sharks comprise a significant proportion of their catch. </w:t>
      </w:r>
    </w:p>
    <w:p w14:paraId="6A8491FF"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3CC4ED80" w14:textId="77777777" w:rsidR="00AB7E0C" w:rsidRDefault="00AB7E0C"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 xml:space="preserve">S. Clarke (Secretariat) noted that similar shark data reviews have been conducted in the past and asked J. Rice what he considered to be the most important new insights he had gained from this study.  J. Rice replied that increasing observer coverage in the longline fishery is the highest priority issue. </w:t>
      </w:r>
    </w:p>
    <w:p w14:paraId="2313BD53" w14:textId="77777777" w:rsidR="00AB7E0C" w:rsidRDefault="00AB7E0C" w:rsidP="0070772D">
      <w:pPr>
        <w:pStyle w:val="ListParagraph"/>
        <w:rPr>
          <w:rFonts w:ascii="Times New Roman" w:hAnsi="Times New Roman"/>
        </w:rPr>
      </w:pPr>
    </w:p>
    <w:p w14:paraId="25EC3077" w14:textId="69D81E6A" w:rsidR="00C469D9" w:rsidRPr="009C2ADD" w:rsidRDefault="00C469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rPr>
        <w:t xml:space="preserve">Several CCMs </w:t>
      </w:r>
      <w:r w:rsidR="00CC04F0" w:rsidRPr="009C2ADD">
        <w:rPr>
          <w:rFonts w:ascii="Times New Roman" w:hAnsi="Times New Roman"/>
        </w:rPr>
        <w:t xml:space="preserve">thanked the presenter for the overall updated approach and its intended use for management planning and analysis, but </w:t>
      </w:r>
      <w:r w:rsidRPr="009C2ADD">
        <w:rPr>
          <w:rFonts w:ascii="Times New Roman" w:hAnsi="Times New Roman"/>
        </w:rPr>
        <w:t>noted inaccuracies in th</w:t>
      </w:r>
      <w:r w:rsidR="00CC04F0" w:rsidRPr="009C2ADD">
        <w:rPr>
          <w:rFonts w:ascii="Times New Roman" w:hAnsi="Times New Roman"/>
        </w:rPr>
        <w:t>e data contained in the paper</w:t>
      </w:r>
      <w:r w:rsidRPr="009C2ADD">
        <w:rPr>
          <w:rFonts w:ascii="Times New Roman" w:hAnsi="Times New Roman"/>
        </w:rPr>
        <w:t xml:space="preserve"> and asked</w:t>
      </w:r>
      <w:r w:rsidR="00CC04F0" w:rsidRPr="009C2ADD">
        <w:rPr>
          <w:rFonts w:ascii="Times New Roman" w:hAnsi="Times New Roman"/>
        </w:rPr>
        <w:t xml:space="preserve"> it</w:t>
      </w:r>
      <w:r w:rsidRPr="009C2ADD">
        <w:rPr>
          <w:rFonts w:ascii="Times New Roman" w:hAnsi="Times New Roman"/>
        </w:rPr>
        <w:t xml:space="preserve"> be withdrawn so figures could be correctly amended. </w:t>
      </w:r>
      <w:r w:rsidR="00CC04F0" w:rsidRPr="009C2ADD">
        <w:rPr>
          <w:rFonts w:ascii="Times New Roman" w:hAnsi="Times New Roman"/>
        </w:rPr>
        <w:t>The paper was wit</w:t>
      </w:r>
      <w:r w:rsidR="00F7162F" w:rsidRPr="009C2ADD">
        <w:rPr>
          <w:rFonts w:ascii="Times New Roman" w:hAnsi="Times New Roman"/>
        </w:rPr>
        <w:t>h</w:t>
      </w:r>
      <w:r w:rsidR="00CC04F0" w:rsidRPr="009C2ADD">
        <w:rPr>
          <w:rFonts w:ascii="Times New Roman" w:hAnsi="Times New Roman"/>
        </w:rPr>
        <w:t>drawn</w:t>
      </w:r>
      <w:r w:rsidR="00387CAD" w:rsidRPr="009C2ADD">
        <w:rPr>
          <w:rFonts w:ascii="Times New Roman" w:hAnsi="Times New Roman"/>
        </w:rPr>
        <w:t xml:space="preserve"> and a revised draft will be provided in due course, followed thereafter by the final report.</w:t>
      </w:r>
    </w:p>
    <w:p w14:paraId="44DAB8B4"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710C1EFE" w14:textId="5ADA6A2D"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Steve Brouwer </w:t>
      </w:r>
      <w:r w:rsidR="00284A4C" w:rsidRPr="009C2ADD">
        <w:rPr>
          <w:rFonts w:ascii="Times New Roman" w:hAnsi="Times New Roman"/>
          <w:lang w:val="en-AU"/>
        </w:rPr>
        <w:t>(</w:t>
      </w:r>
      <w:r w:rsidR="00387CAD" w:rsidRPr="009C2ADD">
        <w:rPr>
          <w:rFonts w:ascii="Times New Roman" w:hAnsi="Times New Roman"/>
          <w:lang w:val="en-AU"/>
        </w:rPr>
        <w:t>SPC</w:t>
      </w:r>
      <w:r w:rsidR="00787DAC" w:rsidRPr="009C2ADD">
        <w:rPr>
          <w:rFonts w:ascii="Times New Roman" w:hAnsi="Times New Roman"/>
          <w:lang w:val="en-AU"/>
        </w:rPr>
        <w:t>-OFP</w:t>
      </w:r>
      <w:r w:rsidR="00284A4C" w:rsidRPr="009C2ADD">
        <w:rPr>
          <w:rFonts w:ascii="Times New Roman" w:hAnsi="Times New Roman"/>
          <w:lang w:val="en-AU"/>
        </w:rPr>
        <w:t xml:space="preserve">) </w:t>
      </w:r>
      <w:r w:rsidRPr="009C2ADD">
        <w:rPr>
          <w:rFonts w:ascii="Times New Roman" w:hAnsi="Times New Roman"/>
          <w:lang w:val="en-AU"/>
        </w:rPr>
        <w:t xml:space="preserve">presented </w:t>
      </w:r>
      <w:r w:rsidR="0088417D" w:rsidRPr="0070772D">
        <w:rPr>
          <w:rFonts w:ascii="Times New Roman" w:hAnsi="Times New Roman"/>
          <w:bCs/>
          <w:lang w:val="en-AU"/>
        </w:rPr>
        <w:t>SC13-</w:t>
      </w:r>
      <w:r w:rsidRPr="0070772D">
        <w:rPr>
          <w:rFonts w:ascii="Times New Roman" w:hAnsi="Times New Roman"/>
          <w:bCs/>
          <w:lang w:val="en-AU"/>
        </w:rPr>
        <w:t>EB-IP-09</w:t>
      </w:r>
      <w:r w:rsidRPr="009C2ADD">
        <w:rPr>
          <w:rFonts w:ascii="Times New Roman" w:hAnsi="Times New Roman"/>
          <w:lang w:val="en-AU"/>
        </w:rPr>
        <w:t xml:space="preserve"> </w:t>
      </w:r>
      <w:r w:rsidRPr="009C2ADD">
        <w:rPr>
          <w:rFonts w:ascii="Times New Roman" w:hAnsi="Times New Roman"/>
          <w:i/>
          <w:lang w:val="en-AU"/>
        </w:rPr>
        <w:t>SPC Progress on the WPCFC stock assessments and shark research plan (summary table),</w:t>
      </w:r>
      <w:r w:rsidRPr="009C2ADD">
        <w:rPr>
          <w:rFonts w:ascii="Times New Roman" w:hAnsi="Times New Roman"/>
          <w:lang w:val="en-AU"/>
        </w:rPr>
        <w:t xml:space="preserve"> which provided an update and outlined previou</w:t>
      </w:r>
      <w:r w:rsidR="0011700C">
        <w:rPr>
          <w:rFonts w:ascii="Times New Roman" w:hAnsi="Times New Roman" w:hint="eastAsia"/>
          <w:lang w:val="en-AU" w:eastAsia="ko-KR"/>
        </w:rPr>
        <w:t>s</w:t>
      </w:r>
      <w:r w:rsidRPr="009C2ADD">
        <w:rPr>
          <w:rFonts w:ascii="Times New Roman" w:hAnsi="Times New Roman"/>
          <w:lang w:val="en-AU"/>
        </w:rPr>
        <w:t xml:space="preserve">ly agreed work and potential new work for 2018. SC13 was invited to review those projects and the stock assessment schedule, which included the shark research plan; recommend any changes to project list; </w:t>
      </w:r>
      <w:r w:rsidR="00AB7E0C">
        <w:rPr>
          <w:rFonts w:ascii="Times New Roman" w:hAnsi="Times New Roman"/>
          <w:lang w:val="en-AU"/>
        </w:rPr>
        <w:t xml:space="preserve">and </w:t>
      </w:r>
      <w:r w:rsidRPr="009C2ADD">
        <w:rPr>
          <w:rFonts w:ascii="Times New Roman" w:hAnsi="Times New Roman"/>
          <w:lang w:val="en-AU"/>
        </w:rPr>
        <w:t>provid</w:t>
      </w:r>
      <w:r w:rsidR="00AB7E0C">
        <w:rPr>
          <w:rFonts w:ascii="Times New Roman" w:hAnsi="Times New Roman"/>
          <w:lang w:val="en-AU"/>
        </w:rPr>
        <w:t>e</w:t>
      </w:r>
      <w:r w:rsidRPr="009C2ADD">
        <w:rPr>
          <w:rFonts w:ascii="Times New Roman" w:hAnsi="Times New Roman"/>
          <w:lang w:val="en-AU"/>
        </w:rPr>
        <w:t xml:space="preserve"> indicative budgets for each project. </w:t>
      </w:r>
    </w:p>
    <w:p w14:paraId="32A89129"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B35A740" w14:textId="082825BB" w:rsidR="00B658D7" w:rsidRDefault="006922EE" w:rsidP="00B658D7">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Niue on behalf of FFA </w:t>
      </w:r>
      <w:r w:rsidR="00D5432C">
        <w:rPr>
          <w:rFonts w:ascii="Times New Roman" w:hAnsi="Times New Roman"/>
          <w:lang w:val="en-AU"/>
        </w:rPr>
        <w:t>member</w:t>
      </w:r>
      <w:r w:rsidRPr="009C2ADD">
        <w:rPr>
          <w:rFonts w:ascii="Times New Roman" w:hAnsi="Times New Roman"/>
          <w:lang w:val="en-AU"/>
        </w:rPr>
        <w:t xml:space="preserve">s, expressed their appreciation for all the work that had been done on sharks. This work was important in supporting WCPFC’s ongoing responsibility to manage these species and deserved the support of all CCMs. However, they noted that the list of shark research projects was rather lengthy and it was unclear which were WCPFC funded projects and which were externally funded. It was asked for this to be more clearly differentiated in future updates and work plans, including whether a particular project was intended to support </w:t>
      </w:r>
      <w:r w:rsidR="00B658D7">
        <w:rPr>
          <w:rFonts w:ascii="Times New Roman" w:hAnsi="Times New Roman"/>
          <w:lang w:val="en-AU"/>
        </w:rPr>
        <w:t>a specific scheduled assessment</w:t>
      </w:r>
      <w:r w:rsidR="00AB7E0C">
        <w:rPr>
          <w:rFonts w:ascii="Times New Roman" w:hAnsi="Times New Roman"/>
          <w:lang w:val="en-AU"/>
        </w:rPr>
        <w:t>.</w:t>
      </w:r>
    </w:p>
    <w:p w14:paraId="663C3651" w14:textId="77777777" w:rsidR="00AB7E0C" w:rsidRDefault="00AB7E0C" w:rsidP="0070772D">
      <w:pPr>
        <w:autoSpaceDE w:val="0"/>
        <w:autoSpaceDN w:val="0"/>
        <w:adjustRightInd w:val="0"/>
        <w:snapToGrid w:val="0"/>
        <w:spacing w:after="0"/>
        <w:rPr>
          <w:rFonts w:ascii="Times New Roman" w:hAnsi="Times New Roman"/>
          <w:lang w:val="en-AU"/>
        </w:rPr>
      </w:pPr>
    </w:p>
    <w:p w14:paraId="2570D231" w14:textId="65BF82FE" w:rsidR="006922EE" w:rsidRPr="00B658D7" w:rsidRDefault="006922EE" w:rsidP="009C2ADD">
      <w:pPr>
        <w:numPr>
          <w:ilvl w:val="0"/>
          <w:numId w:val="1"/>
        </w:numPr>
        <w:autoSpaceDE w:val="0"/>
        <w:autoSpaceDN w:val="0"/>
        <w:adjustRightInd w:val="0"/>
        <w:snapToGrid w:val="0"/>
        <w:spacing w:after="0"/>
        <w:ind w:left="0" w:firstLine="0"/>
        <w:rPr>
          <w:rFonts w:ascii="Times New Roman" w:hAnsi="Times New Roman"/>
          <w:b/>
          <w:lang w:val="en-AU"/>
        </w:rPr>
      </w:pPr>
      <w:r w:rsidRPr="00B658D7">
        <w:rPr>
          <w:rFonts w:ascii="Times New Roman" w:hAnsi="Times New Roman"/>
          <w:b/>
          <w:lang w:val="en-AU"/>
        </w:rPr>
        <w:t xml:space="preserve">SC13 adopted the report of ISG-04 on the Shark Research Plan and future work plan (Attachment </w:t>
      </w:r>
      <w:r w:rsidR="00387CAD" w:rsidRPr="00B658D7">
        <w:rPr>
          <w:rFonts w:ascii="Times New Roman" w:hAnsi="Times New Roman"/>
          <w:b/>
          <w:lang w:val="en-AU"/>
        </w:rPr>
        <w:t>I</w:t>
      </w:r>
      <w:r w:rsidRPr="00B658D7">
        <w:rPr>
          <w:rFonts w:ascii="Times New Roman" w:hAnsi="Times New Roman"/>
          <w:b/>
          <w:lang w:val="en-AU"/>
        </w:rPr>
        <w:t>).</w:t>
      </w:r>
    </w:p>
    <w:p w14:paraId="07D598DB"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67419C01" w14:textId="2855BD90" w:rsidR="006922EE" w:rsidRPr="009C2ADD" w:rsidRDefault="0028464D" w:rsidP="009C2ADD">
      <w:pPr>
        <w:pStyle w:val="Heading2"/>
        <w:adjustRightInd w:val="0"/>
        <w:snapToGrid w:val="0"/>
        <w:rPr>
          <w:rFonts w:eastAsiaTheme="minorEastAsia"/>
          <w:color w:val="auto"/>
          <w:szCs w:val="22"/>
          <w:lang w:val="en-AU" w:eastAsia="ko-KR"/>
        </w:rPr>
      </w:pPr>
      <w:bookmarkStart w:id="134" w:name="_Toc491851831"/>
      <w:r w:rsidRPr="009C2ADD">
        <w:rPr>
          <w:color w:val="auto"/>
          <w:szCs w:val="22"/>
          <w:lang w:val="en-AU"/>
        </w:rPr>
        <w:t xml:space="preserve">6.3 </w:t>
      </w:r>
      <w:r w:rsidR="002219DC" w:rsidRPr="009C2ADD">
        <w:rPr>
          <w:color w:val="auto"/>
          <w:szCs w:val="22"/>
          <w:lang w:val="en-AU"/>
        </w:rPr>
        <w:tab/>
      </w:r>
      <w:r w:rsidR="006922EE" w:rsidRPr="009C2ADD">
        <w:rPr>
          <w:color w:val="auto"/>
          <w:szCs w:val="22"/>
          <w:lang w:val="en-AU"/>
        </w:rPr>
        <w:t>Seabirds</w:t>
      </w:r>
      <w:bookmarkEnd w:id="134"/>
      <w:r w:rsidR="006922EE" w:rsidRPr="009C2ADD">
        <w:rPr>
          <w:color w:val="auto"/>
          <w:szCs w:val="22"/>
          <w:lang w:val="en-AU"/>
        </w:rPr>
        <w:t xml:space="preserve"> </w:t>
      </w:r>
    </w:p>
    <w:p w14:paraId="1522A8F7" w14:textId="77777777" w:rsidR="00512EBB" w:rsidRPr="009C2ADD" w:rsidRDefault="00512EBB" w:rsidP="009C2ADD">
      <w:pPr>
        <w:adjustRightInd w:val="0"/>
        <w:snapToGrid w:val="0"/>
        <w:spacing w:after="0"/>
        <w:rPr>
          <w:rFonts w:ascii="Times New Roman" w:hAnsi="Times New Roman"/>
          <w:lang w:val="en-AU" w:eastAsia="ko-KR"/>
        </w:rPr>
      </w:pPr>
    </w:p>
    <w:p w14:paraId="5B0AD111"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As requested by CMM 2015-03, SC13 will review the progress of Project 68 (Estimation of seabird mortality across the WCPO Convention Area) and provide comments/recommendations as needed.</w:t>
      </w:r>
    </w:p>
    <w:p w14:paraId="490358EF" w14:textId="77777777" w:rsidR="006922EE" w:rsidRPr="009C2ADD" w:rsidRDefault="006922EE" w:rsidP="009C2ADD">
      <w:pPr>
        <w:adjustRightInd w:val="0"/>
        <w:snapToGrid w:val="0"/>
        <w:spacing w:after="0"/>
        <w:ind w:left="850"/>
        <w:rPr>
          <w:rFonts w:ascii="Times New Roman" w:hAnsi="Times New Roman"/>
          <w:i/>
        </w:rPr>
      </w:pPr>
      <w:r w:rsidRPr="009C2ADD">
        <w:rPr>
          <w:rFonts w:ascii="Times New Roman" w:hAnsi="Times New Roman"/>
          <w:i/>
        </w:rPr>
        <w:t>(CMM 2015-03)</w:t>
      </w:r>
      <w:r w:rsidR="00532870" w:rsidRPr="009C2ADD">
        <w:rPr>
          <w:rFonts w:ascii="Times New Roman" w:hAnsi="Times New Roman"/>
          <w:i/>
        </w:rPr>
        <w:t xml:space="preserve"> </w:t>
      </w:r>
      <w:r w:rsidRPr="009C2ADD">
        <w:rPr>
          <w:rFonts w:ascii="Times New Roman" w:hAnsi="Times New Roman"/>
          <w:i/>
        </w:rPr>
        <w:t>9.</w:t>
      </w:r>
      <w:r w:rsidRPr="009C2ADD">
        <w:rPr>
          <w:rFonts w:ascii="Times New Roman" w:hAnsi="Times New Roman"/>
          <w:i/>
        </w:rPr>
        <w:tab/>
        <w:t>CCMs shall annually provide to the Commission, in Part 1 of their annual reports, all available information on interactions with seabirds reported or collected by observers, including mitigation used, observed and reported species specific seabird bycatch rates and numbers, to enable the Scientific Committee to estimate seabird mortality in all fisheries to which the Convention applies. (</w:t>
      </w:r>
      <w:proofErr w:type="gramStart"/>
      <w:r w:rsidRPr="009C2ADD">
        <w:rPr>
          <w:rFonts w:ascii="Times New Roman" w:hAnsi="Times New Roman"/>
          <w:i/>
        </w:rPr>
        <w:t>see</w:t>
      </w:r>
      <w:proofErr w:type="gramEnd"/>
      <w:r w:rsidRPr="009C2ADD">
        <w:rPr>
          <w:rFonts w:ascii="Times New Roman" w:hAnsi="Times New Roman"/>
          <w:i/>
        </w:rPr>
        <w:t xml:space="preserve"> Annex 2 for Part 1 reporting template guideline). Alternatively, statistically rigorous estimates of species-specific seabird interaction rates (for longline, interactions per 1,000 hooks) and total numbers should be reported.</w:t>
      </w:r>
    </w:p>
    <w:p w14:paraId="7C55F308" w14:textId="77777777" w:rsidR="002219DC" w:rsidRPr="009C2ADD" w:rsidRDefault="002219DC" w:rsidP="009C2ADD">
      <w:pPr>
        <w:adjustRightInd w:val="0"/>
        <w:snapToGrid w:val="0"/>
        <w:spacing w:after="0"/>
        <w:ind w:left="850"/>
        <w:rPr>
          <w:rFonts w:ascii="Times New Roman" w:hAnsi="Times New Roman"/>
          <w:i/>
        </w:rPr>
      </w:pPr>
    </w:p>
    <w:p w14:paraId="2077A7E9"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may also review any other updated information on seabird interactions with longline fisheries in the Convention Area in relation to the application of CMM 2015-03 (CMM for mitigating impacts of fishing on seabirds). </w:t>
      </w:r>
    </w:p>
    <w:p w14:paraId="0859832E"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29715C61" w14:textId="28D23FBA"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w:t>
      </w:r>
      <w:r w:rsidR="008A0468">
        <w:rPr>
          <w:rFonts w:ascii="Times New Roman" w:hAnsi="Times New Roman" w:hint="eastAsia"/>
          <w:lang w:val="en-AU" w:eastAsia="ko-KR"/>
        </w:rPr>
        <w:t>.</w:t>
      </w:r>
      <w:r w:rsidRPr="009C2ADD">
        <w:rPr>
          <w:rFonts w:ascii="Times New Roman" w:hAnsi="Times New Roman"/>
          <w:lang w:val="en-AU"/>
        </w:rPr>
        <w:t xml:space="preserve"> Hore (NZ) presented </w:t>
      </w:r>
      <w:r w:rsidRPr="0070772D">
        <w:rPr>
          <w:rFonts w:ascii="Times New Roman" w:hAnsi="Times New Roman"/>
          <w:bCs/>
          <w:lang w:val="en-AU"/>
        </w:rPr>
        <w:t>SC13-EB-WP-08</w:t>
      </w:r>
      <w:r w:rsidRPr="009C2ADD">
        <w:rPr>
          <w:rFonts w:ascii="Times New Roman" w:hAnsi="Times New Roman"/>
          <w:lang w:val="en-AU"/>
        </w:rPr>
        <w:t xml:space="preserve"> </w:t>
      </w:r>
      <w:r w:rsidRPr="009C2ADD">
        <w:rPr>
          <w:rFonts w:ascii="Times New Roman" w:hAnsi="Times New Roman"/>
          <w:i/>
          <w:lang w:val="en-AU"/>
        </w:rPr>
        <w:t>Tori line designs and specifications for small pelagic longline vessels</w:t>
      </w:r>
      <w:r w:rsidRPr="009C2ADD">
        <w:rPr>
          <w:rFonts w:ascii="Times New Roman" w:hAnsi="Times New Roman"/>
          <w:lang w:val="en-AU"/>
        </w:rPr>
        <w:t xml:space="preserve">. Tori lines were one of the most thoroughly tested seabird bycatch reduction measures available, and have been proven effective in reducing seabird bycatch in both trawl and longline fisheries. However, most of the work to date has been carried out on vessels over 20 m in length. This presentation and report described further work producing tori line designs suitable for use under normal commercial fishing conditions in the New Zealand pelagic longline fleet, comprising small vessels 12 - 25m in length. The project also sought to address any concerns raised by fishers. In particular, designs were developed that addressed safety concerns, minimised tangling, and allowed deployment at night and in poor weather conditions. Advice was provided on how to optimise each of these elements for deployment on small vessels. </w:t>
      </w:r>
    </w:p>
    <w:p w14:paraId="396825A1"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7CF1BAB2" w14:textId="77777777" w:rsidR="008C775C" w:rsidRPr="009C2ADD" w:rsidRDefault="008C775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From this study, SC13 was asked to:</w:t>
      </w:r>
    </w:p>
    <w:p w14:paraId="6094271D" w14:textId="77777777" w:rsidR="008C775C" w:rsidRPr="009C2ADD" w:rsidRDefault="008C775C" w:rsidP="009C2ADD">
      <w:pPr>
        <w:pStyle w:val="WCPFC"/>
        <w:numPr>
          <w:ilvl w:val="0"/>
          <w:numId w:val="19"/>
        </w:numPr>
        <w:adjustRightInd w:val="0"/>
        <w:spacing w:after="0"/>
        <w:ind w:left="1080"/>
        <w:rPr>
          <w:lang w:val="en-AU" w:eastAsia="en-US"/>
        </w:rPr>
      </w:pPr>
      <w:r w:rsidRPr="009C2ADD">
        <w:rPr>
          <w:lang w:val="en-AU" w:eastAsia="en-US"/>
        </w:rPr>
        <w:t xml:space="preserve"> recognise that 75 m of aerial extent of tori lines can be achieved with long streamers for all vessel size classes &gt;12 m in length, in broad alignment with ACAP best practice minimum standards for pelagic vessels &lt;35 m in length and CMM 2015-03 Annex 1, 1b) (specifications for tori line use south of 30° S).</w:t>
      </w:r>
    </w:p>
    <w:p w14:paraId="2EAD6578" w14:textId="43165096" w:rsidR="008C775C" w:rsidRPr="009C2ADD" w:rsidRDefault="008C775C" w:rsidP="009C2ADD">
      <w:pPr>
        <w:pStyle w:val="WCPFC"/>
        <w:numPr>
          <w:ilvl w:val="0"/>
          <w:numId w:val="18"/>
        </w:numPr>
        <w:adjustRightInd w:val="0"/>
        <w:spacing w:after="0"/>
        <w:ind w:left="1080"/>
        <w:rPr>
          <w:lang w:val="en-AU" w:eastAsia="en-US"/>
        </w:rPr>
      </w:pPr>
      <w:r w:rsidRPr="009C2ADD">
        <w:rPr>
          <w:lang w:val="en-AU" w:eastAsia="en-US"/>
        </w:rPr>
        <w:t xml:space="preserve">note that for the smallest of pelagic longline vessels, approx. 20 m in length or smaller, modification to the streamer configurations currently specified in ACAP best practice advice, and in CMM 2015-03 Annex 1 (parts 1 and 2), may be required to allow for operational achievement of 75 m of aerial extent. In particular, long streamers at 5 m </w:t>
      </w:r>
      <w:r w:rsidR="00444E27" w:rsidRPr="009C2ADD">
        <w:rPr>
          <w:lang w:val="en-AU" w:eastAsia="en-US"/>
        </w:rPr>
        <w:t>intervals reaching the water level over the length of 75 m of aerial extent are</w:t>
      </w:r>
      <w:r w:rsidRPr="009C2ADD">
        <w:rPr>
          <w:lang w:val="en-AU" w:eastAsia="en-US"/>
        </w:rPr>
        <w:t xml:space="preserve"> feasible, but may require no streamers at 5 and 10 m and a shorter streamer at 15 m to avoid tangling with gear and weighing down the line.</w:t>
      </w:r>
    </w:p>
    <w:p w14:paraId="4D1A6F94" w14:textId="77777777" w:rsidR="008C775C" w:rsidRPr="009C2ADD" w:rsidRDefault="008C775C" w:rsidP="009C2ADD">
      <w:pPr>
        <w:pStyle w:val="WCPFC"/>
        <w:numPr>
          <w:ilvl w:val="0"/>
          <w:numId w:val="17"/>
        </w:numPr>
        <w:adjustRightInd w:val="0"/>
        <w:spacing w:after="0"/>
        <w:ind w:left="1080"/>
        <w:rPr>
          <w:lang w:val="en-AU" w:eastAsia="en-US"/>
        </w:rPr>
      </w:pPr>
      <w:r w:rsidRPr="009C2ADD">
        <w:rPr>
          <w:lang w:val="en-AU" w:eastAsia="en-US"/>
        </w:rPr>
        <w:t>recognise that sufficient drag to achieve 75 m of aerial extent can be created in numerous ways to best suit the vessel’s operations and minimise tangling with gear, which includes long lengths of monofilament, shorter lengths of braided ropes, or other configurations or devices designed to generate drag.</w:t>
      </w:r>
    </w:p>
    <w:p w14:paraId="6B7866AE" w14:textId="77777777" w:rsidR="002219DC" w:rsidRPr="009C2ADD" w:rsidRDefault="002219DC" w:rsidP="009C2ADD">
      <w:pPr>
        <w:pStyle w:val="WCPFC"/>
        <w:numPr>
          <w:ilvl w:val="0"/>
          <w:numId w:val="0"/>
        </w:numPr>
        <w:adjustRightInd w:val="0"/>
        <w:spacing w:after="0"/>
        <w:ind w:left="1080"/>
        <w:rPr>
          <w:lang w:val="en-AU" w:eastAsia="en-US"/>
        </w:rPr>
      </w:pPr>
    </w:p>
    <w:p w14:paraId="0A376972" w14:textId="24E37DC4"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presenter also drew attention to </w:t>
      </w:r>
      <w:r w:rsidRPr="0070772D">
        <w:rPr>
          <w:rFonts w:ascii="Times New Roman" w:hAnsi="Times New Roman"/>
          <w:bCs/>
          <w:lang w:val="en-AU"/>
        </w:rPr>
        <w:t xml:space="preserve">SC13-EB-IP-11 </w:t>
      </w:r>
      <w:r w:rsidR="00C14319">
        <w:rPr>
          <w:rFonts w:ascii="Times New Roman" w:hAnsi="Times New Roman" w:hint="eastAsia"/>
          <w:bCs/>
          <w:lang w:val="en-AU" w:eastAsia="ko-KR"/>
        </w:rPr>
        <w:t>(</w:t>
      </w:r>
      <w:r w:rsidRPr="0070772D">
        <w:rPr>
          <w:rFonts w:ascii="Times New Roman" w:hAnsi="Times New Roman"/>
          <w:bCs/>
          <w:lang w:val="en-AU"/>
        </w:rPr>
        <w:t>Rev 1</w:t>
      </w:r>
      <w:r w:rsidR="00C14319">
        <w:rPr>
          <w:rFonts w:ascii="Times New Roman" w:hAnsi="Times New Roman" w:hint="eastAsia"/>
          <w:bCs/>
          <w:lang w:val="en-AU" w:eastAsia="ko-KR"/>
        </w:rPr>
        <w:t>)</w:t>
      </w:r>
      <w:r w:rsidRPr="009C2ADD">
        <w:rPr>
          <w:rFonts w:ascii="Times New Roman" w:hAnsi="Times New Roman"/>
          <w:lang w:val="en-AU"/>
        </w:rPr>
        <w:t xml:space="preserve"> </w:t>
      </w:r>
      <w:r w:rsidRPr="009C2ADD">
        <w:rPr>
          <w:rFonts w:ascii="Times New Roman" w:hAnsi="Times New Roman"/>
          <w:i/>
          <w:lang w:val="en-AU"/>
        </w:rPr>
        <w:t>Conservation concern for antipodean albatross</w:t>
      </w:r>
      <w:r w:rsidRPr="009C2ADD">
        <w:rPr>
          <w:rFonts w:ascii="Times New Roman" w:hAnsi="Times New Roman"/>
          <w:lang w:val="en-AU"/>
        </w:rPr>
        <w:t xml:space="preserve">, which highlighted the expansion of the foraging range of </w:t>
      </w:r>
      <w:proofErr w:type="gramStart"/>
      <w:r w:rsidRPr="009C2ADD">
        <w:rPr>
          <w:rFonts w:ascii="Times New Roman" w:hAnsi="Times New Roman"/>
          <w:lang w:val="en-AU"/>
        </w:rPr>
        <w:t>Antipodean</w:t>
      </w:r>
      <w:proofErr w:type="gramEnd"/>
      <w:r w:rsidRPr="009C2ADD">
        <w:rPr>
          <w:rFonts w:ascii="Times New Roman" w:hAnsi="Times New Roman"/>
          <w:lang w:val="en-AU"/>
        </w:rPr>
        <w:t xml:space="preserve"> wandering albatross further north and east into the WCPFC area and highlighted the importance of actions to minimise bycatch in WCPFC fisheries </w:t>
      </w:r>
      <w:r w:rsidR="00387CAD" w:rsidRPr="009C2ADD">
        <w:rPr>
          <w:rFonts w:ascii="Times New Roman" w:hAnsi="Times New Roman"/>
          <w:lang w:val="en-AU"/>
        </w:rPr>
        <w:t>to</w:t>
      </w:r>
      <w:r w:rsidRPr="009C2ADD">
        <w:rPr>
          <w:rFonts w:ascii="Times New Roman" w:hAnsi="Times New Roman"/>
          <w:lang w:val="en-AU"/>
        </w:rPr>
        <w:t xml:space="preserve"> address this conservation concern. Further understanding the causes of and solutions to the high female mortality was urgently required as the high and sustained rate of decline has put this species into New Zealand’s “Nationally Critical” conservation status category.</w:t>
      </w:r>
    </w:p>
    <w:p w14:paraId="05080F36" w14:textId="77777777" w:rsidR="002219DC" w:rsidRDefault="002219DC" w:rsidP="009C2ADD">
      <w:pPr>
        <w:autoSpaceDE w:val="0"/>
        <w:autoSpaceDN w:val="0"/>
        <w:adjustRightInd w:val="0"/>
        <w:snapToGrid w:val="0"/>
        <w:spacing w:after="0"/>
        <w:rPr>
          <w:rFonts w:ascii="Times New Roman" w:hAnsi="Times New Roman"/>
          <w:lang w:val="en-AU" w:eastAsia="ko-KR"/>
        </w:rPr>
      </w:pPr>
    </w:p>
    <w:p w14:paraId="7E75F045" w14:textId="1632B5E1" w:rsidR="008A0468" w:rsidRPr="0070772D" w:rsidRDefault="008A0468"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060558F7" w14:textId="77777777" w:rsidR="008A0468" w:rsidRPr="009C2ADD" w:rsidRDefault="008A0468" w:rsidP="009C2ADD">
      <w:pPr>
        <w:autoSpaceDE w:val="0"/>
        <w:autoSpaceDN w:val="0"/>
        <w:adjustRightInd w:val="0"/>
        <w:snapToGrid w:val="0"/>
        <w:spacing w:after="0"/>
        <w:rPr>
          <w:rFonts w:ascii="Times New Roman" w:hAnsi="Times New Roman"/>
          <w:lang w:val="en-AU" w:eastAsia="ko-KR"/>
        </w:rPr>
      </w:pPr>
    </w:p>
    <w:p w14:paraId="0AD4E461" w14:textId="77EDF979"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sought to clarify that the information provided in the presentation was intended to be used to for a future review and improvement of the design of tori lines for use on longliners in the sea area that CMM2015-03 applied to, south of 30</w:t>
      </w:r>
      <w:r w:rsidR="00AB7E0C">
        <w:rPr>
          <w:rFonts w:ascii="Times New Roman" w:hAnsi="Times New Roman"/>
          <w:lang w:val="en-AU"/>
        </w:rPr>
        <w:t xml:space="preserve">ᴼS </w:t>
      </w:r>
      <w:r w:rsidRPr="009C2ADD">
        <w:rPr>
          <w:rFonts w:ascii="Times New Roman" w:hAnsi="Times New Roman"/>
          <w:lang w:val="en-AU"/>
        </w:rPr>
        <w:t>and not the northern hemisphere. It was confirmed the focus of this work was for the area south of 30</w:t>
      </w:r>
      <w:r w:rsidR="002219DC" w:rsidRPr="009C2ADD">
        <w:rPr>
          <w:rFonts w:ascii="Times New Roman" w:hAnsi="Times New Roman"/>
          <w:lang w:val="en-AU"/>
        </w:rPr>
        <w:t>ºS</w:t>
      </w:r>
      <w:r w:rsidRPr="009C2ADD">
        <w:rPr>
          <w:rFonts w:ascii="Times New Roman" w:hAnsi="Times New Roman"/>
          <w:lang w:val="en-AU"/>
        </w:rPr>
        <w:t xml:space="preserve">. </w:t>
      </w:r>
    </w:p>
    <w:p w14:paraId="1D2187AC"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44A05ED" w14:textId="743C3D5F"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Australia on behalf of FFA members, thanked the authors for the new research findings which was useful in determining the effectiveness of current seabird mitigation measures. Australia found this research of especially great value from the perspective in its own fisheries. FFA </w:t>
      </w:r>
      <w:r w:rsidR="00D5432C">
        <w:rPr>
          <w:rFonts w:ascii="Times New Roman" w:hAnsi="Times New Roman"/>
          <w:lang w:val="en-AU"/>
        </w:rPr>
        <w:t>member</w:t>
      </w:r>
      <w:r w:rsidRPr="009C2ADD">
        <w:rPr>
          <w:rFonts w:ascii="Times New Roman" w:hAnsi="Times New Roman"/>
          <w:lang w:val="en-AU"/>
        </w:rPr>
        <w:t xml:space="preserve">s were concerned with the high risks posed by surface longline fisheries to particularly vulnerable seabirds, particularly on black petrels and several albatross species. They noted the apparent increase in seabird captures and interactions by vessels under several flags despite the introduction of new mitigation measures in 2014. They were also concerned with the low or complete lack of observer coverage as reported in Part 1 </w:t>
      </w:r>
      <w:proofErr w:type="gramStart"/>
      <w:r w:rsidRPr="009C2ADD">
        <w:rPr>
          <w:rFonts w:ascii="Times New Roman" w:hAnsi="Times New Roman"/>
          <w:lang w:val="en-AU"/>
        </w:rPr>
        <w:t>reports</w:t>
      </w:r>
      <w:proofErr w:type="gramEnd"/>
      <w:r w:rsidRPr="009C2ADD">
        <w:rPr>
          <w:rFonts w:ascii="Times New Roman" w:hAnsi="Times New Roman"/>
          <w:lang w:val="en-AU"/>
        </w:rPr>
        <w:t xml:space="preserve"> for some CCMs active in areas south of 30°S. This was a big issue because it affects or underestimates levels of seabird mortality in regions south of 30°S. FFA </w:t>
      </w:r>
      <w:r w:rsidR="00D5432C">
        <w:rPr>
          <w:rFonts w:ascii="Times New Roman" w:hAnsi="Times New Roman"/>
          <w:lang w:val="en-AU"/>
        </w:rPr>
        <w:t>member</w:t>
      </w:r>
      <w:r w:rsidRPr="009C2ADD">
        <w:rPr>
          <w:rFonts w:ascii="Times New Roman" w:hAnsi="Times New Roman"/>
          <w:lang w:val="en-AU"/>
        </w:rPr>
        <w:t>s therefore sought support of the rest of SC in bringing attention of the Commission to the fact that the current seabird CMM 2015-03 was not effective in managing seabird interactions and mortality in waters south of 30</w:t>
      </w:r>
      <w:r w:rsidR="00AB7E0C">
        <w:rPr>
          <w:rFonts w:ascii="Times New Roman" w:hAnsi="Times New Roman"/>
          <w:lang w:val="en-AU"/>
        </w:rPr>
        <w:t>ᴼS</w:t>
      </w:r>
      <w:r w:rsidRPr="009C2ADD">
        <w:rPr>
          <w:rFonts w:ascii="Times New Roman" w:hAnsi="Times New Roman"/>
          <w:lang w:val="en-AU"/>
        </w:rPr>
        <w:t xml:space="preserve">. FFA members supported the implementation of the new </w:t>
      </w:r>
      <w:r w:rsidR="00AB7E0C">
        <w:rPr>
          <w:rFonts w:ascii="Times New Roman" w:hAnsi="Times New Roman"/>
          <w:lang w:val="en-AU"/>
        </w:rPr>
        <w:t>P</w:t>
      </w:r>
      <w:r w:rsidRPr="009C2ADD">
        <w:rPr>
          <w:rFonts w:ascii="Times New Roman" w:hAnsi="Times New Roman"/>
          <w:lang w:val="en-AU"/>
        </w:rPr>
        <w:t xml:space="preserve">roject 68 that will commence later in the year and looked forward to studying the full report at SC14 next year.  </w:t>
      </w:r>
    </w:p>
    <w:p w14:paraId="54220278"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46D220C6" w14:textId="44AC5588" w:rsidR="006922EE" w:rsidRPr="009C2ADD" w:rsidRDefault="00A1768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Fiji on behalf of FFA </w:t>
      </w:r>
      <w:r w:rsidR="00D5432C">
        <w:rPr>
          <w:rFonts w:ascii="Times New Roman" w:hAnsi="Times New Roman"/>
          <w:lang w:val="en-AU"/>
        </w:rPr>
        <w:t>member</w:t>
      </w:r>
      <w:r w:rsidRPr="009C2ADD">
        <w:rPr>
          <w:rFonts w:ascii="Times New Roman" w:hAnsi="Times New Roman"/>
          <w:lang w:val="en-AU"/>
        </w:rPr>
        <w:t>s</w:t>
      </w:r>
      <w:r w:rsidR="006922EE" w:rsidRPr="009C2ADD">
        <w:rPr>
          <w:rFonts w:ascii="Times New Roman" w:hAnsi="Times New Roman"/>
          <w:lang w:val="en-AU"/>
        </w:rPr>
        <w:t xml:space="preserve"> commented that following the Part 1 reports and related seabird papers, it was also not immediately clear to them, whether CCMs fishing on the high seas area south of 30 degrees south were complying with the current obligations and what mitigations measures they had elected to use, due to the low or absent observer coverage in this area. They asked </w:t>
      </w:r>
      <w:r w:rsidR="00D5432C">
        <w:rPr>
          <w:rFonts w:ascii="Times New Roman" w:hAnsi="Times New Roman"/>
          <w:lang w:val="en-AU"/>
        </w:rPr>
        <w:t>member</w:t>
      </w:r>
      <w:r w:rsidR="006922EE" w:rsidRPr="009C2ADD">
        <w:rPr>
          <w:rFonts w:ascii="Times New Roman" w:hAnsi="Times New Roman"/>
          <w:lang w:val="en-AU"/>
        </w:rPr>
        <w:t>s that had reported seabird bycatch south of 30</w:t>
      </w:r>
      <w:r w:rsidR="00A878F2">
        <w:rPr>
          <w:rFonts w:ascii="Times New Roman" w:hAnsi="Times New Roman"/>
          <w:lang w:val="en-AU"/>
        </w:rPr>
        <w:t>ᴼS</w:t>
      </w:r>
      <w:r w:rsidR="006922EE" w:rsidRPr="009C2ADD">
        <w:rPr>
          <w:rFonts w:ascii="Times New Roman" w:hAnsi="Times New Roman"/>
          <w:lang w:val="en-AU"/>
        </w:rPr>
        <w:t xml:space="preserve"> advise the SC on what mitigation measures they have elected to use. </w:t>
      </w:r>
    </w:p>
    <w:p w14:paraId="2FF45451"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689669F9" w14:textId="633D11FA"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b/>
          <w:lang w:val="en-AU"/>
        </w:rPr>
        <w:t xml:space="preserve">SC13 noted from a number of CCM Part 1 Reports </w:t>
      </w:r>
      <w:proofErr w:type="gramStart"/>
      <w:r w:rsidRPr="009C2ADD">
        <w:rPr>
          <w:rFonts w:ascii="Times New Roman" w:hAnsi="Times New Roman"/>
          <w:b/>
          <w:lang w:val="en-AU"/>
        </w:rPr>
        <w:t>that high bycatch rates</w:t>
      </w:r>
      <w:proofErr w:type="gramEnd"/>
      <w:r w:rsidRPr="009C2ADD">
        <w:rPr>
          <w:rFonts w:ascii="Times New Roman" w:hAnsi="Times New Roman"/>
          <w:b/>
          <w:lang w:val="en-AU"/>
        </w:rPr>
        <w:t xml:space="preserve"> of seabirds, and in particular albatross, continue to be reported by some CCMs fishing in waters south of </w:t>
      </w:r>
      <w:r w:rsidR="002219DC" w:rsidRPr="009C2ADD">
        <w:rPr>
          <w:rFonts w:ascii="Times New Roman" w:hAnsi="Times New Roman"/>
          <w:b/>
          <w:lang w:val="en-AU"/>
        </w:rPr>
        <w:t>30ºS. Therefore, SC13, t</w:t>
      </w:r>
      <w:r w:rsidRPr="009C2ADD">
        <w:rPr>
          <w:rFonts w:ascii="Times New Roman" w:hAnsi="Times New Roman"/>
          <w:b/>
          <w:lang w:val="en-AU"/>
        </w:rPr>
        <w:t>aking note that SPC is about to initiate a project to assess seabird interactions with WCPFC fisheries and will report the results to SC14, recommends that TCC and the Commission review both observer coverage rates (used to estimate total seabird interactions) and the application of mitigation by fleets operating in this area, to inform what further action, if any, may be required by the Commission to address this issue</w:t>
      </w:r>
      <w:r w:rsidRPr="009C2ADD">
        <w:rPr>
          <w:rFonts w:ascii="Times New Roman" w:hAnsi="Times New Roman"/>
          <w:lang w:val="en-AU"/>
        </w:rPr>
        <w:t>.</w:t>
      </w:r>
    </w:p>
    <w:p w14:paraId="6D6C6FF6" w14:textId="77777777" w:rsidR="006922EE" w:rsidRPr="009C2ADD" w:rsidRDefault="006922EE" w:rsidP="009C2ADD">
      <w:pPr>
        <w:adjustRightInd w:val="0"/>
        <w:snapToGrid w:val="0"/>
        <w:spacing w:after="0"/>
        <w:ind w:left="360"/>
        <w:rPr>
          <w:rFonts w:ascii="Times New Roman" w:hAnsi="Times New Roman"/>
          <w:b/>
        </w:rPr>
      </w:pPr>
    </w:p>
    <w:p w14:paraId="2C0A4407" w14:textId="38E79A82" w:rsidR="006922EE" w:rsidRPr="009C2ADD" w:rsidRDefault="006922EE" w:rsidP="009C2ADD">
      <w:pPr>
        <w:pStyle w:val="Heading2"/>
        <w:adjustRightInd w:val="0"/>
        <w:snapToGrid w:val="0"/>
        <w:rPr>
          <w:rFonts w:eastAsiaTheme="minorEastAsia"/>
          <w:color w:val="auto"/>
          <w:szCs w:val="22"/>
          <w:lang w:val="en-AU" w:eastAsia="ko-KR"/>
        </w:rPr>
      </w:pPr>
      <w:bookmarkStart w:id="135" w:name="_Toc491851832"/>
      <w:r w:rsidRPr="009C2ADD">
        <w:rPr>
          <w:color w:val="auto"/>
          <w:szCs w:val="22"/>
          <w:lang w:val="en-AU"/>
        </w:rPr>
        <w:t xml:space="preserve">6.4 </w:t>
      </w:r>
      <w:r w:rsidR="002219DC" w:rsidRPr="009C2ADD">
        <w:rPr>
          <w:color w:val="auto"/>
          <w:szCs w:val="22"/>
          <w:lang w:val="en-AU"/>
        </w:rPr>
        <w:tab/>
      </w:r>
      <w:r w:rsidRPr="009C2ADD">
        <w:rPr>
          <w:color w:val="auto"/>
          <w:szCs w:val="22"/>
          <w:lang w:val="en-AU"/>
        </w:rPr>
        <w:t>Sea Turtles</w:t>
      </w:r>
      <w:bookmarkEnd w:id="135"/>
      <w:r w:rsidRPr="009C2ADD">
        <w:rPr>
          <w:color w:val="auto"/>
          <w:szCs w:val="22"/>
          <w:lang w:val="en-AU"/>
        </w:rPr>
        <w:t xml:space="preserve"> </w:t>
      </w:r>
    </w:p>
    <w:p w14:paraId="6DB8DA07" w14:textId="77777777" w:rsidR="00512EBB" w:rsidRPr="009C2ADD" w:rsidRDefault="00512EBB" w:rsidP="009C2ADD">
      <w:pPr>
        <w:adjustRightInd w:val="0"/>
        <w:snapToGrid w:val="0"/>
        <w:spacing w:after="0"/>
        <w:rPr>
          <w:rFonts w:ascii="Times New Roman" w:hAnsi="Times New Roman"/>
          <w:lang w:val="en-AU" w:eastAsia="ko-KR"/>
        </w:rPr>
      </w:pPr>
    </w:p>
    <w:p w14:paraId="20E0804F" w14:textId="225A0FCF"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A878F2">
        <w:rPr>
          <w:rFonts w:ascii="Times New Roman" w:hAnsi="Times New Roman"/>
          <w:lang w:val="en-AU"/>
        </w:rPr>
        <w:t>.</w:t>
      </w:r>
      <w:r w:rsidRPr="009C2ADD">
        <w:rPr>
          <w:rFonts w:ascii="Times New Roman" w:hAnsi="Times New Roman"/>
          <w:lang w:val="en-AU"/>
        </w:rPr>
        <w:t xml:space="preserve"> Clarke</w:t>
      </w:r>
      <w:r w:rsidR="00A3053E" w:rsidRPr="009C2ADD">
        <w:rPr>
          <w:rFonts w:ascii="Times New Roman" w:hAnsi="Times New Roman"/>
          <w:lang w:val="en-AU"/>
        </w:rPr>
        <w:t xml:space="preserve"> (Secretariat)</w:t>
      </w:r>
      <w:r w:rsidRPr="009C2ADD">
        <w:rPr>
          <w:rFonts w:ascii="Times New Roman" w:hAnsi="Times New Roman"/>
          <w:lang w:val="en-AU"/>
        </w:rPr>
        <w:t xml:space="preserve"> presented </w:t>
      </w:r>
      <w:r w:rsidR="00A461C8" w:rsidRPr="0070772D">
        <w:rPr>
          <w:rFonts w:ascii="Times New Roman" w:hAnsi="Times New Roman"/>
          <w:bCs/>
          <w:lang w:val="en-AU"/>
        </w:rPr>
        <w:t>SC13-</w:t>
      </w:r>
      <w:r w:rsidRPr="0070772D">
        <w:rPr>
          <w:rFonts w:ascii="Times New Roman" w:hAnsi="Times New Roman"/>
          <w:bCs/>
          <w:lang w:val="en-AU"/>
        </w:rPr>
        <w:t>EB-WP-10</w:t>
      </w:r>
      <w:r w:rsidRPr="009C2ADD">
        <w:rPr>
          <w:rFonts w:ascii="Times New Roman" w:hAnsi="Times New Roman"/>
          <w:lang w:val="en-AU"/>
        </w:rPr>
        <w:t xml:space="preserve"> </w:t>
      </w:r>
      <w:r w:rsidRPr="009C2ADD">
        <w:rPr>
          <w:rFonts w:ascii="Times New Roman" w:hAnsi="Times New Roman"/>
          <w:i/>
          <w:lang w:val="en-AU"/>
        </w:rPr>
        <w:t>ABNJ Joint Analysis of Sea Turtle Mitigation Effectiveness – Final Report</w:t>
      </w:r>
      <w:r w:rsidR="00181D34" w:rsidRPr="009C2ADD">
        <w:rPr>
          <w:rFonts w:ascii="Times New Roman" w:hAnsi="Times New Roman"/>
          <w:lang w:val="en-AU"/>
        </w:rPr>
        <w:t xml:space="preserve">. </w:t>
      </w:r>
      <w:r w:rsidR="00181D34" w:rsidRPr="009C2ADD">
        <w:rPr>
          <w:rFonts w:ascii="Times New Roman" w:hAnsi="Times New Roman"/>
        </w:rPr>
        <w:t>To suppor</w:t>
      </w:r>
      <w:r w:rsidR="00724D7B" w:rsidRPr="009C2ADD">
        <w:rPr>
          <w:rFonts w:ascii="Times New Roman" w:hAnsi="Times New Roman"/>
        </w:rPr>
        <w:t>t the WCPFCs</w:t>
      </w:r>
      <w:r w:rsidR="00181D34" w:rsidRPr="009C2ADD">
        <w:rPr>
          <w:rFonts w:ascii="Times New Roman" w:hAnsi="Times New Roman"/>
        </w:rPr>
        <w:t xml:space="preserve"> ongoing sea turtle conservation and management, the Common Oceans (ABNJ) Tuna Project provided funding for an analysis of the effectiveness of sea turtle mitigation in 2016. The analysis was conducted jointly by the Pacific Community (SPC) and WCPFC members (CCMs) from 13 countries as well as IGOs and NGOs in the form of two four-day workshops. The workshops were focused on estimating current interactions and mortalities in Pacific longline fisheries and examining how these estimates could be reduced through improved mitigation. The primary outputs were an evaluation of the effectiveness of various packages of mitigation measures</w:t>
      </w:r>
      <w:r w:rsidR="00724D7B" w:rsidRPr="009C2ADD">
        <w:rPr>
          <w:rFonts w:ascii="Times New Roman" w:hAnsi="Times New Roman"/>
        </w:rPr>
        <w:t xml:space="preserve">. One of the ancillary findings of the workshops is that currently under the WCPFC’s sea turtle conservation and management measure (CMM 2008-03) less than 1% of Western and Central Pacific Ocean (WCPO) longline effort is subject to mitigation, even though approximately 20% of the WCPO longline effort consists of shallow sets. </w:t>
      </w:r>
    </w:p>
    <w:p w14:paraId="281F3C47" w14:textId="77777777" w:rsidR="002219DC" w:rsidRDefault="002219DC" w:rsidP="009C2ADD">
      <w:pPr>
        <w:autoSpaceDE w:val="0"/>
        <w:autoSpaceDN w:val="0"/>
        <w:adjustRightInd w:val="0"/>
        <w:snapToGrid w:val="0"/>
        <w:spacing w:after="0"/>
        <w:rPr>
          <w:rFonts w:ascii="Times New Roman" w:hAnsi="Times New Roman"/>
          <w:lang w:val="en-AU" w:eastAsia="ko-KR"/>
        </w:rPr>
      </w:pPr>
    </w:p>
    <w:p w14:paraId="2A46A5BA" w14:textId="769287BD" w:rsidR="004F5261" w:rsidRPr="0070772D" w:rsidRDefault="004F5261"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73509C8B" w14:textId="77777777" w:rsidR="004F5261" w:rsidRPr="009C2ADD" w:rsidRDefault="004F5261" w:rsidP="009C2ADD">
      <w:pPr>
        <w:autoSpaceDE w:val="0"/>
        <w:autoSpaceDN w:val="0"/>
        <w:adjustRightInd w:val="0"/>
        <w:snapToGrid w:val="0"/>
        <w:spacing w:after="0"/>
        <w:rPr>
          <w:rFonts w:ascii="Times New Roman" w:hAnsi="Times New Roman"/>
          <w:lang w:val="en-AU" w:eastAsia="ko-KR"/>
        </w:rPr>
      </w:pPr>
    </w:p>
    <w:p w14:paraId="5FA72047"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Japan thanked the presenter and the ABNJ, and appreciated the comprehensive study of shallow set and deep set of longliners. The results had the potential to be guidelines to apply to sea turtle bycatch mitigation techniques, and as a next step the total composition of bycatch number by populations by species could be estimated. </w:t>
      </w:r>
    </w:p>
    <w:p w14:paraId="40EE55F7"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298E2BDF" w14:textId="0071FF40"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Cook Islands on behalf of FFA members, expressed their appreciation for support from </w:t>
      </w:r>
      <w:r w:rsidR="004F5261">
        <w:rPr>
          <w:rFonts w:ascii="Times New Roman" w:hAnsi="Times New Roman"/>
          <w:lang w:val="en-AU"/>
        </w:rPr>
        <w:t xml:space="preserve">the Common Oceans </w:t>
      </w:r>
      <w:r w:rsidR="004F5261">
        <w:rPr>
          <w:rFonts w:ascii="Times New Roman" w:hAnsi="Times New Roman" w:hint="eastAsia"/>
          <w:lang w:val="en-AU" w:eastAsia="ko-KR"/>
        </w:rPr>
        <w:t>(</w:t>
      </w:r>
      <w:r w:rsidRPr="009C2ADD">
        <w:rPr>
          <w:rFonts w:ascii="Times New Roman" w:hAnsi="Times New Roman"/>
          <w:lang w:val="en-AU"/>
        </w:rPr>
        <w:t>ABNJ</w:t>
      </w:r>
      <w:r w:rsidR="004F5261">
        <w:rPr>
          <w:rFonts w:ascii="Times New Roman" w:hAnsi="Times New Roman" w:hint="eastAsia"/>
          <w:lang w:val="en-AU" w:eastAsia="ko-KR"/>
        </w:rPr>
        <w:t>)</w:t>
      </w:r>
      <w:r w:rsidRPr="009C2ADD">
        <w:rPr>
          <w:rFonts w:ascii="Times New Roman" w:hAnsi="Times New Roman"/>
          <w:lang w:val="en-AU"/>
        </w:rPr>
        <w:t xml:space="preserve"> Tuna Project for the two Honolulu workshops and for those who took part in the two very productive meetings. They noted that lack of new research and data had been a constraint on the SC’s ability to provide science-based advice on mitigation measures for sea turtles and they welcomed the outputs and contribution of those workshops along with information contained in SC13-EB-IP-01 </w:t>
      </w:r>
      <w:r w:rsidRPr="0070772D">
        <w:rPr>
          <w:rFonts w:ascii="Times New Roman" w:hAnsi="Times New Roman"/>
          <w:i/>
          <w:lang w:val="en-AU"/>
        </w:rPr>
        <w:t>Review of effects of pelagic longline hook and bait type on sea turtle catch rate, anatomical hooking position and at-vessel mortality rate</w:t>
      </w:r>
      <w:r w:rsidRPr="009C2ADD">
        <w:rPr>
          <w:rFonts w:ascii="Times New Roman" w:hAnsi="Times New Roman"/>
          <w:lang w:val="en-AU"/>
        </w:rPr>
        <w:t xml:space="preserve">, which explored how differences in longline hook shape and bait-type affected turtle mortality rates. FFA </w:t>
      </w:r>
      <w:r w:rsidR="00D5432C">
        <w:rPr>
          <w:rFonts w:ascii="Times New Roman" w:hAnsi="Times New Roman"/>
          <w:lang w:val="en-AU"/>
        </w:rPr>
        <w:t>member</w:t>
      </w:r>
      <w:r w:rsidRPr="009C2ADD">
        <w:rPr>
          <w:rFonts w:ascii="Times New Roman" w:hAnsi="Times New Roman"/>
          <w:lang w:val="en-AU"/>
        </w:rPr>
        <w:t xml:space="preserve">s supported the recommendations for further work, particularly in standardising the data collection protocols and the integration of such efforts with any ongoing development of observer e-reporting tools. They especially welcomed further work on: </w:t>
      </w:r>
    </w:p>
    <w:p w14:paraId="4E35C8F3" w14:textId="156CE8D8" w:rsidR="006922EE" w:rsidRPr="009C2ADD" w:rsidRDefault="006922EE" w:rsidP="00B22C8E">
      <w:pPr>
        <w:pStyle w:val="ListParagraph"/>
        <w:numPr>
          <w:ilvl w:val="1"/>
          <w:numId w:val="55"/>
        </w:numPr>
        <w:adjustRightInd w:val="0"/>
        <w:snapToGrid w:val="0"/>
        <w:ind w:left="1080"/>
        <w:contextualSpacing w:val="0"/>
        <w:rPr>
          <w:rFonts w:ascii="Times New Roman" w:hAnsi="Times New Roman"/>
        </w:rPr>
      </w:pPr>
      <w:r w:rsidRPr="009C2ADD">
        <w:rPr>
          <w:rFonts w:ascii="Times New Roman" w:hAnsi="Times New Roman"/>
        </w:rPr>
        <w:t>Assessing the financial and economic impacts of implementing any sea turtle mitigation measures in non-swordfish fisheries to demonstrate that mitigation methods are viable; and</w:t>
      </w:r>
    </w:p>
    <w:p w14:paraId="2443E64B" w14:textId="4BD13D7A" w:rsidR="006922EE" w:rsidRPr="009C2ADD" w:rsidRDefault="006922EE" w:rsidP="00B22C8E">
      <w:pPr>
        <w:pStyle w:val="ListParagraph"/>
        <w:numPr>
          <w:ilvl w:val="1"/>
          <w:numId w:val="55"/>
        </w:numPr>
        <w:autoSpaceDE w:val="0"/>
        <w:autoSpaceDN w:val="0"/>
        <w:adjustRightInd w:val="0"/>
        <w:snapToGrid w:val="0"/>
        <w:ind w:left="1080"/>
        <w:contextualSpacing w:val="0"/>
        <w:rPr>
          <w:rFonts w:ascii="Times New Roman" w:hAnsi="Times New Roman"/>
        </w:rPr>
      </w:pPr>
      <w:r w:rsidRPr="009C2ADD">
        <w:rPr>
          <w:rFonts w:ascii="Times New Roman" w:hAnsi="Times New Roman"/>
        </w:rPr>
        <w:t xml:space="preserve">Expanding the spatial scope of large circle hook tests to demonstrate that they will not result in significant target catch reductions. </w:t>
      </w:r>
    </w:p>
    <w:p w14:paraId="5927FE25" w14:textId="77777777" w:rsidR="002219DC" w:rsidRPr="009C2ADD" w:rsidRDefault="002219DC" w:rsidP="009C2ADD">
      <w:pPr>
        <w:pStyle w:val="ListParagraph"/>
        <w:autoSpaceDE w:val="0"/>
        <w:autoSpaceDN w:val="0"/>
        <w:adjustRightInd w:val="0"/>
        <w:snapToGrid w:val="0"/>
        <w:ind w:left="1080" w:firstLine="0"/>
        <w:contextualSpacing w:val="0"/>
        <w:rPr>
          <w:rFonts w:ascii="Times New Roman" w:hAnsi="Times New Roman"/>
        </w:rPr>
      </w:pPr>
    </w:p>
    <w:p w14:paraId="5BE68611" w14:textId="6D9E450E"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 Clarke (Secretariat) noted that this research confirmed that mitigation measures such as circle hooks and other mitigation techniques can work, and that there are positive examples of that</w:t>
      </w:r>
      <w:r w:rsidR="004F5261">
        <w:rPr>
          <w:rFonts w:ascii="Times New Roman" w:hAnsi="Times New Roman" w:hint="eastAsia"/>
          <w:lang w:val="en-AU" w:eastAsia="ko-KR"/>
        </w:rPr>
        <w:t xml:space="preserve">, </w:t>
      </w:r>
      <w:r w:rsidR="004F5261">
        <w:rPr>
          <w:rFonts w:ascii="Times New Roman" w:hAnsi="Times New Roman"/>
          <w:lang w:val="en-AU"/>
        </w:rPr>
        <w:t>including economic viability,</w:t>
      </w:r>
      <w:r w:rsidRPr="009C2ADD">
        <w:rPr>
          <w:rFonts w:ascii="Times New Roman" w:hAnsi="Times New Roman"/>
          <w:lang w:val="en-AU"/>
        </w:rPr>
        <w:t xml:space="preserve"> within the WCPO fishery. </w:t>
      </w:r>
    </w:p>
    <w:p w14:paraId="6E4DB9AA" w14:textId="77777777" w:rsidR="002219DC" w:rsidRPr="009C2ADD" w:rsidRDefault="002219DC" w:rsidP="009C2ADD">
      <w:pPr>
        <w:autoSpaceDE w:val="0"/>
        <w:autoSpaceDN w:val="0"/>
        <w:adjustRightInd w:val="0"/>
        <w:snapToGrid w:val="0"/>
        <w:spacing w:after="0"/>
        <w:rPr>
          <w:rFonts w:ascii="Times New Roman" w:hAnsi="Times New Roman"/>
          <w:lang w:val="en-AU"/>
        </w:rPr>
      </w:pPr>
    </w:p>
    <w:p w14:paraId="35B20FB5" w14:textId="0D64600B"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EU expressed appreciation for the role of the </w:t>
      </w:r>
      <w:r w:rsidR="00BB077D">
        <w:rPr>
          <w:rFonts w:ascii="Times New Roman" w:hAnsi="Times New Roman" w:hint="eastAsia"/>
          <w:lang w:val="en-AU" w:eastAsia="ko-KR"/>
        </w:rPr>
        <w:t>C</w:t>
      </w:r>
      <w:r w:rsidRPr="009C2ADD">
        <w:rPr>
          <w:rFonts w:ascii="Times New Roman" w:hAnsi="Times New Roman"/>
          <w:lang w:val="en-AU"/>
        </w:rPr>
        <w:t xml:space="preserve">ommon </w:t>
      </w:r>
      <w:r w:rsidR="00BB077D">
        <w:rPr>
          <w:rFonts w:ascii="Times New Roman" w:hAnsi="Times New Roman" w:hint="eastAsia"/>
          <w:lang w:val="en-AU" w:eastAsia="ko-KR"/>
        </w:rPr>
        <w:t>O</w:t>
      </w:r>
      <w:r w:rsidRPr="009C2ADD">
        <w:rPr>
          <w:rFonts w:ascii="Times New Roman" w:hAnsi="Times New Roman"/>
          <w:lang w:val="en-AU"/>
        </w:rPr>
        <w:t xml:space="preserve">ceans </w:t>
      </w:r>
      <w:r w:rsidR="00BB077D">
        <w:rPr>
          <w:rFonts w:ascii="Times New Roman" w:hAnsi="Times New Roman" w:hint="eastAsia"/>
          <w:lang w:val="en-AU" w:eastAsia="ko-KR"/>
        </w:rPr>
        <w:t>Tuna P</w:t>
      </w:r>
      <w:r w:rsidRPr="009C2ADD">
        <w:rPr>
          <w:rFonts w:ascii="Times New Roman" w:hAnsi="Times New Roman"/>
          <w:lang w:val="en-AU"/>
        </w:rPr>
        <w:t>roject, and the role of this Commission in mitigating bycatch species. The EU asked if researchers considered exploring trade-offs on the methods used on the non-</w:t>
      </w:r>
      <w:r w:rsidR="00B658D7">
        <w:rPr>
          <w:rFonts w:ascii="Times New Roman" w:hAnsi="Times New Roman"/>
          <w:lang w:val="en-AU"/>
        </w:rPr>
        <w:t>target</w:t>
      </w:r>
      <w:r w:rsidR="00B658D7" w:rsidRPr="009C2ADD">
        <w:rPr>
          <w:rFonts w:ascii="Times New Roman" w:hAnsi="Times New Roman"/>
          <w:lang w:val="en-AU"/>
        </w:rPr>
        <w:t xml:space="preserve"> </w:t>
      </w:r>
      <w:r w:rsidRPr="009C2ADD">
        <w:rPr>
          <w:rFonts w:ascii="Times New Roman" w:hAnsi="Times New Roman"/>
          <w:lang w:val="en-AU"/>
        </w:rPr>
        <w:t xml:space="preserve">species, for example could these mitigation measures actually increase the bycatch of sharks or other species, or </w:t>
      </w:r>
      <w:r w:rsidR="002D58FD">
        <w:rPr>
          <w:rFonts w:ascii="Times New Roman" w:hAnsi="Times New Roman" w:hint="eastAsia"/>
          <w:lang w:val="en-AU" w:eastAsia="ko-KR"/>
        </w:rPr>
        <w:t xml:space="preserve">affect the </w:t>
      </w:r>
      <w:r w:rsidRPr="009C2ADD">
        <w:rPr>
          <w:rFonts w:ascii="Times New Roman" w:hAnsi="Times New Roman"/>
          <w:lang w:val="en-AU"/>
        </w:rPr>
        <w:t xml:space="preserve">catch </w:t>
      </w:r>
      <w:r w:rsidR="002D58FD">
        <w:rPr>
          <w:rFonts w:ascii="Times New Roman" w:hAnsi="Times New Roman" w:hint="eastAsia"/>
          <w:lang w:val="en-AU" w:eastAsia="ko-KR"/>
        </w:rPr>
        <w:t xml:space="preserve">of </w:t>
      </w:r>
      <w:r w:rsidRPr="009C2ADD">
        <w:rPr>
          <w:rFonts w:ascii="Times New Roman" w:hAnsi="Times New Roman"/>
          <w:lang w:val="en-AU"/>
        </w:rPr>
        <w:t>other target species such as swordfish. They further enquired if there was a plan to compare the impact of other fishing gears on the bycatch, such as gillnets etc</w:t>
      </w:r>
      <w:r w:rsidR="00444E27">
        <w:rPr>
          <w:rFonts w:ascii="Times New Roman" w:hAnsi="Times New Roman"/>
          <w:lang w:val="en-AU"/>
        </w:rPr>
        <w:t>.</w:t>
      </w:r>
      <w:r w:rsidRPr="009C2ADD">
        <w:rPr>
          <w:rFonts w:ascii="Times New Roman" w:hAnsi="Times New Roman"/>
          <w:lang w:val="en-AU"/>
        </w:rPr>
        <w:t xml:space="preserve">, to see what the relative importance of addressing bycatch could be. S. Clarke noted those issues were important but there may not be the data available to support a robust analysis of those issues, though this could be kept in mind for ambitious future research when better data was available.  </w:t>
      </w:r>
    </w:p>
    <w:p w14:paraId="2FCB9B6A"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0B116687" w14:textId="0CBBE1DC"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Chinese Taipei thought this research was very important. It noted that the mitigation in the table was calculated directly from observer </w:t>
      </w:r>
      <w:proofErr w:type="gramStart"/>
      <w:r w:rsidRPr="009C2ADD">
        <w:rPr>
          <w:rFonts w:ascii="Times New Roman" w:hAnsi="Times New Roman"/>
          <w:lang w:val="en-AU"/>
        </w:rPr>
        <w:t>data,</w:t>
      </w:r>
      <w:proofErr w:type="gramEnd"/>
      <w:r w:rsidRPr="009C2ADD">
        <w:rPr>
          <w:rFonts w:ascii="Times New Roman" w:hAnsi="Times New Roman"/>
          <w:lang w:val="en-AU"/>
        </w:rPr>
        <w:t xml:space="preserve"> and that because </w:t>
      </w:r>
      <w:r w:rsidR="0011700C">
        <w:rPr>
          <w:rFonts w:ascii="Times New Roman" w:hAnsi="Times New Roman" w:hint="eastAsia"/>
          <w:lang w:val="en-AU" w:eastAsia="ko-KR"/>
        </w:rPr>
        <w:t>s</w:t>
      </w:r>
      <w:r w:rsidRPr="009C2ADD">
        <w:rPr>
          <w:rFonts w:ascii="Times New Roman" w:hAnsi="Times New Roman"/>
          <w:lang w:val="en-AU"/>
        </w:rPr>
        <w:t xml:space="preserve">ea turtles had a specific season and sea route, which may not have linked in with the hotspots of observer data. S. Clarke noted that the use of observer data may have meant some hotspots of turtles were missed, but the research did attempt to account for this. </w:t>
      </w:r>
    </w:p>
    <w:p w14:paraId="3348A354"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3596FF5E" w14:textId="77777777"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United States acknowledged the extensive quantitative skills used for the success of the workshop. The US was contemplating tabling a CMM on sea turtles at the upcoming Commission meeting in December, and noted it should be able to share more information at the upcoming TCC meeting. </w:t>
      </w:r>
    </w:p>
    <w:p w14:paraId="388B5FEF"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7CCF8712" w14:textId="56AA37BC"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 response to </w:t>
      </w:r>
      <w:r w:rsidR="00387CAD" w:rsidRPr="009C2ADD">
        <w:rPr>
          <w:rFonts w:ascii="Times New Roman" w:hAnsi="Times New Roman"/>
          <w:lang w:val="en-AU"/>
        </w:rPr>
        <w:t>several</w:t>
      </w:r>
      <w:r w:rsidRPr="009C2ADD">
        <w:rPr>
          <w:rFonts w:ascii="Times New Roman" w:hAnsi="Times New Roman"/>
          <w:lang w:val="en-AU"/>
        </w:rPr>
        <w:t xml:space="preserve"> questions regarding the status of the recommendations to come out of the Workshop and those reflected in the paper presented to this meeting, S. Clarke clarified that the </w:t>
      </w:r>
      <w:r w:rsidR="00BB077D">
        <w:rPr>
          <w:rFonts w:ascii="Times New Roman" w:hAnsi="Times New Roman"/>
          <w:lang w:val="en-AU"/>
        </w:rPr>
        <w:t>findings</w:t>
      </w:r>
      <w:r w:rsidR="00BB077D" w:rsidRPr="009C2ADD">
        <w:rPr>
          <w:rFonts w:ascii="Times New Roman" w:hAnsi="Times New Roman"/>
          <w:lang w:val="en-AU"/>
        </w:rPr>
        <w:t xml:space="preserve"> </w:t>
      </w:r>
      <w:r w:rsidRPr="009C2ADD">
        <w:rPr>
          <w:rFonts w:ascii="Times New Roman" w:hAnsi="Times New Roman"/>
          <w:lang w:val="en-AU"/>
        </w:rPr>
        <w:t xml:space="preserve">of the Workshop had </w:t>
      </w:r>
      <w:r w:rsidR="00BB077D">
        <w:rPr>
          <w:rFonts w:ascii="Times New Roman" w:hAnsi="Times New Roman"/>
          <w:lang w:val="en-AU"/>
        </w:rPr>
        <w:t xml:space="preserve">been condensed, but not changed, so they could be more easily considered by SC13.  Regarding the recommendations for changes in observer data collection, she noted that revisions to the ROP minimum data standards and fields, which are similar to some of the recommendations from the workshop </w:t>
      </w:r>
      <w:r w:rsidRPr="009C2ADD">
        <w:rPr>
          <w:rFonts w:ascii="Times New Roman" w:hAnsi="Times New Roman"/>
          <w:lang w:val="en-AU"/>
        </w:rPr>
        <w:t xml:space="preserve">not been adopted at previous sessions of the Commission so they had not been tabled for further consideration at this meeting, though this did not prevent the SC from discussing </w:t>
      </w:r>
      <w:r w:rsidR="00BB077D" w:rsidRPr="009C2ADD">
        <w:rPr>
          <w:rFonts w:ascii="Times New Roman" w:hAnsi="Times New Roman"/>
          <w:lang w:val="en-AU"/>
        </w:rPr>
        <w:t>th</w:t>
      </w:r>
      <w:r w:rsidR="00BB077D">
        <w:rPr>
          <w:rFonts w:ascii="Times New Roman" w:hAnsi="Times New Roman"/>
          <w:lang w:val="en-AU"/>
        </w:rPr>
        <w:t>em if they wished</w:t>
      </w:r>
      <w:r w:rsidRPr="009C2ADD">
        <w:rPr>
          <w:rFonts w:ascii="Times New Roman" w:hAnsi="Times New Roman"/>
          <w:lang w:val="en-AU"/>
        </w:rPr>
        <w:t xml:space="preserve">. </w:t>
      </w:r>
    </w:p>
    <w:p w14:paraId="5F1C95E3"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407DBA25" w14:textId="45E653FD"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China and Japan were of the view that the SC should note the Workshop</w:t>
      </w:r>
      <w:r w:rsidR="00BB077D">
        <w:rPr>
          <w:rFonts w:ascii="Times New Roman" w:hAnsi="Times New Roman"/>
          <w:lang w:val="en-AU" w:eastAsia="ko-KR"/>
        </w:rPr>
        <w:t>’</w:t>
      </w:r>
      <w:r w:rsidRPr="009C2ADD">
        <w:rPr>
          <w:rFonts w:ascii="Times New Roman" w:hAnsi="Times New Roman"/>
          <w:lang w:val="en-AU"/>
        </w:rPr>
        <w:t xml:space="preserve">s recommendations, but that it was premature to endorse them for adoption at the Commission. </w:t>
      </w:r>
    </w:p>
    <w:p w14:paraId="6556A48C" w14:textId="77777777" w:rsidR="002219DC" w:rsidRPr="009C2ADD" w:rsidRDefault="002219DC" w:rsidP="009C2ADD">
      <w:pPr>
        <w:pStyle w:val="ListParagraph"/>
        <w:adjustRightInd w:val="0"/>
        <w:snapToGrid w:val="0"/>
        <w:contextualSpacing w:val="0"/>
        <w:rPr>
          <w:rFonts w:ascii="Times New Roman" w:hAnsi="Times New Roman"/>
          <w:lang w:val="en-AU"/>
        </w:rPr>
      </w:pPr>
    </w:p>
    <w:p w14:paraId="325AF9FB" w14:textId="4E4B96D4"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Birdlife International, WWF, Pew, Greenpeace, and Sustainable Fisheries Partnership supported the valuable research that </w:t>
      </w:r>
      <w:r w:rsidR="00BB077D">
        <w:rPr>
          <w:rFonts w:ascii="Times New Roman" w:hAnsi="Times New Roman" w:hint="eastAsia"/>
          <w:lang w:val="en-AU" w:eastAsia="ko-KR"/>
        </w:rPr>
        <w:t>S.</w:t>
      </w:r>
      <w:r w:rsidR="00BB077D" w:rsidRPr="009C2ADD">
        <w:rPr>
          <w:rFonts w:ascii="Times New Roman" w:hAnsi="Times New Roman"/>
          <w:lang w:val="en-AU"/>
        </w:rPr>
        <w:t xml:space="preserve"> </w:t>
      </w:r>
      <w:r w:rsidRPr="009C2ADD">
        <w:rPr>
          <w:rFonts w:ascii="Times New Roman" w:hAnsi="Times New Roman"/>
          <w:lang w:val="en-AU"/>
        </w:rPr>
        <w:t>Clark</w:t>
      </w:r>
      <w:r w:rsidR="00BB077D">
        <w:rPr>
          <w:rFonts w:ascii="Times New Roman" w:hAnsi="Times New Roman" w:hint="eastAsia"/>
          <w:lang w:val="en-AU" w:eastAsia="ko-KR"/>
        </w:rPr>
        <w:t>e</w:t>
      </w:r>
      <w:r w:rsidRPr="009C2ADD">
        <w:rPr>
          <w:rFonts w:ascii="Times New Roman" w:hAnsi="Times New Roman"/>
          <w:lang w:val="en-AU"/>
        </w:rPr>
        <w:t xml:space="preserve"> and the ABNJ </w:t>
      </w:r>
      <w:r w:rsidR="00BB077D">
        <w:rPr>
          <w:rFonts w:ascii="Times New Roman" w:hAnsi="Times New Roman" w:hint="eastAsia"/>
          <w:lang w:val="en-AU" w:eastAsia="ko-KR"/>
        </w:rPr>
        <w:t>Tuna P</w:t>
      </w:r>
      <w:r w:rsidRPr="009C2ADD">
        <w:rPr>
          <w:rFonts w:ascii="Times New Roman" w:hAnsi="Times New Roman"/>
          <w:lang w:val="en-AU"/>
        </w:rPr>
        <w:t>roject had developed. The work represented the best available scientific information for mitigating the fisheries impacts on sea turtles. Moreover, it reinforced a prior assessment that CMM 2008-03 for the Conservation and Management of Sea Turtles had been ineffective. They were of the view that there existed a strong basis for revising CMM 2008-03 to: (1) ensure more suitable requirements for the determination of optimal bycatch mitigation packages (i.e. circle hooks and/or other measures, such as whole finfish bait) for individual fisheries; (2) reduce the ambiguity in language; and (3) improve the definition of the desired outcomes of the CMM based on the evidence that was just presented. They recommended the SC forward the research and recommendations to the TCC and Commission to take action to review, revise, and improve the current application of CMM 2008-03. They also strongly supported the USA's effort to develop a new CMM.</w:t>
      </w:r>
    </w:p>
    <w:p w14:paraId="6734D22C" w14:textId="77777777" w:rsidR="006922EE" w:rsidRPr="009C2ADD" w:rsidRDefault="006922EE" w:rsidP="009C2ADD">
      <w:pPr>
        <w:adjustRightInd w:val="0"/>
        <w:snapToGrid w:val="0"/>
        <w:spacing w:after="0"/>
        <w:ind w:left="567"/>
        <w:rPr>
          <w:rFonts w:ascii="Times New Roman" w:hAnsi="Times New Roman"/>
        </w:rPr>
      </w:pPr>
    </w:p>
    <w:p w14:paraId="0A37974F" w14:textId="568C511B" w:rsidR="006922EE" w:rsidRPr="009C2ADD" w:rsidRDefault="002979F4" w:rsidP="009C2ADD">
      <w:pPr>
        <w:numPr>
          <w:ilvl w:val="0"/>
          <w:numId w:val="1"/>
        </w:numPr>
        <w:autoSpaceDE w:val="0"/>
        <w:autoSpaceDN w:val="0"/>
        <w:adjustRightInd w:val="0"/>
        <w:snapToGrid w:val="0"/>
        <w:spacing w:after="0"/>
        <w:ind w:left="0" w:firstLine="0"/>
        <w:rPr>
          <w:rFonts w:ascii="Times New Roman" w:hAnsi="Times New Roman"/>
          <w:b/>
          <w:lang w:val="en-AU"/>
        </w:rPr>
      </w:pPr>
      <w:r w:rsidRPr="009C2ADD">
        <w:rPr>
          <w:rFonts w:ascii="Times New Roman" w:hAnsi="Times New Roman"/>
          <w:b/>
          <w:lang w:val="en-AU"/>
        </w:rPr>
        <w:t xml:space="preserve">SC13 recommends that </w:t>
      </w:r>
      <w:r w:rsidR="006922EE" w:rsidRPr="009C2ADD">
        <w:rPr>
          <w:rFonts w:ascii="Times New Roman" w:hAnsi="Times New Roman"/>
          <w:b/>
          <w:lang w:val="en-AU"/>
        </w:rPr>
        <w:t xml:space="preserve">TCC and </w:t>
      </w:r>
      <w:r w:rsidRPr="009C2ADD">
        <w:rPr>
          <w:rFonts w:ascii="Times New Roman" w:hAnsi="Times New Roman"/>
          <w:b/>
          <w:lang w:val="en-AU"/>
        </w:rPr>
        <w:t xml:space="preserve">the </w:t>
      </w:r>
      <w:r w:rsidR="006922EE" w:rsidRPr="009C2ADD">
        <w:rPr>
          <w:rFonts w:ascii="Times New Roman" w:hAnsi="Times New Roman"/>
          <w:b/>
          <w:lang w:val="en-AU"/>
        </w:rPr>
        <w:t xml:space="preserve">Commission note the following findings of the Workshop when discussing sea turtle mitigation in the WCPF Convention Area:  </w:t>
      </w:r>
    </w:p>
    <w:p w14:paraId="527D2B4B"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The WCPFC does not hold sufficient information to quantify the severity of the threat posed by longline fisheries to sea turtle populations;</w:t>
      </w:r>
    </w:p>
    <w:p w14:paraId="26F2B3D7"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The effect of large circle hooks (size 16/0 or larger) in reducing interactions is generally greater than the effect of fish bait;</w:t>
      </w:r>
    </w:p>
    <w:p w14:paraId="47E9FF8B"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 of fish bait in reducing both interactions and mortality is generally similar to that of removal of the first hook position closest to each float; </w:t>
      </w:r>
    </w:p>
    <w:p w14:paraId="76FD596D"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 of large circle hooks (size 16/0 or larger) in reducing both interactions and mortality is generally similar to that of removal of the first two hook positions closest to each float; </w:t>
      </w:r>
    </w:p>
    <w:p w14:paraId="705C93F2"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While approximately 20% of the WCPO longline effort is in shallow sets, analysis suggests that &lt;1% of WCPO longline effort is currently subject to mitigation;  </w:t>
      </w:r>
    </w:p>
    <w:p w14:paraId="2AA493BE"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Noting that the workshop separated shallow and deep sets at 10 hooks per basket, it found that</w:t>
      </w:r>
      <w:r w:rsidRPr="009C2ADD">
        <w:rPr>
          <w:rFonts w:ascii="Times New Roman" w:eastAsia="Times New Roman" w:hAnsi="Times New Roman"/>
          <w:b/>
          <w:strike/>
          <w:lang w:val="en-US"/>
        </w:rPr>
        <w:t xml:space="preserve"> </w:t>
      </w:r>
      <w:r w:rsidRPr="009C2ADD">
        <w:rPr>
          <w:rFonts w:ascii="Times New Roman" w:eastAsia="Times New Roman" w:hAnsi="Times New Roman"/>
          <w:b/>
          <w:lang w:val="en-US"/>
        </w:rPr>
        <w:t>although interaction rates are higher in shallow-set longlines, introducing mitigation to deep-set longlines would deliver greater reductions in total interactions as compared to shallow-set longlines due to the four-times greater effort in deep-set longline fisheries;</w:t>
      </w:r>
    </w:p>
    <w:p w14:paraId="06C49800" w14:textId="77777777" w:rsidR="006922EE" w:rsidRPr="009C2ADD" w:rsidRDefault="006922EE" w:rsidP="00001F31">
      <w:pPr>
        <w:numPr>
          <w:ilvl w:val="0"/>
          <w:numId w:val="184"/>
        </w:numPr>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Similarly, introducing mitigation to deep-set longlines would deliver greater reductions in at-vessel mortality as compared to shallow-set mitigation because sea turtles have a higher probability of asphyxiation in deep sets; </w:t>
      </w:r>
    </w:p>
    <w:p w14:paraId="3F07DF6A"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The effects of these and other combinations of mitigation measures are quantified and discussed in the final workshop report “Joint Analysis of Sea Turtle Mitigation Effectiveness” which can serve as a reference for the Commission’s further consideration of CMM 2008-03. </w:t>
      </w:r>
    </w:p>
    <w:p w14:paraId="2C12ADD1" w14:textId="77777777" w:rsidR="006922EE" w:rsidRPr="009C2ADD" w:rsidRDefault="006922EE" w:rsidP="00001F31">
      <w:pPr>
        <w:numPr>
          <w:ilvl w:val="0"/>
          <w:numId w:val="184"/>
        </w:numPr>
        <w:autoSpaceDE w:val="0"/>
        <w:autoSpaceDN w:val="0"/>
        <w:adjustRightInd w:val="0"/>
        <w:snapToGrid w:val="0"/>
        <w:spacing w:after="0"/>
        <w:ind w:left="1080"/>
        <w:rPr>
          <w:rFonts w:ascii="Times New Roman" w:eastAsia="Times New Roman" w:hAnsi="Times New Roman"/>
          <w:b/>
          <w:lang w:val="en-US"/>
        </w:rPr>
      </w:pPr>
      <w:r w:rsidRPr="009C2ADD">
        <w:rPr>
          <w:rFonts w:ascii="Times New Roman" w:eastAsia="Times New Roman" w:hAnsi="Times New Roman"/>
          <w:b/>
          <w:lang w:val="en-US"/>
        </w:rPr>
        <w:t xml:space="preserve">It be determined if sufficient data exist to conduct further analyses to evaluate the impacts of various mitigation measures on fisheries operations in WCPO and on populations of sea turtle species. </w:t>
      </w:r>
    </w:p>
    <w:p w14:paraId="63A2E944" w14:textId="77777777" w:rsidR="006922EE" w:rsidRPr="009C2ADD" w:rsidRDefault="006922EE" w:rsidP="009C2ADD">
      <w:pPr>
        <w:adjustRightInd w:val="0"/>
        <w:snapToGrid w:val="0"/>
        <w:spacing w:after="0"/>
        <w:rPr>
          <w:rFonts w:ascii="Times New Roman" w:hAnsi="Times New Roman"/>
        </w:rPr>
      </w:pPr>
    </w:p>
    <w:p w14:paraId="36A230E4" w14:textId="601058DD" w:rsidR="006922EE" w:rsidRPr="009C2ADD" w:rsidRDefault="0028464D" w:rsidP="009C2ADD">
      <w:pPr>
        <w:pStyle w:val="Heading2"/>
        <w:adjustRightInd w:val="0"/>
        <w:snapToGrid w:val="0"/>
        <w:rPr>
          <w:rFonts w:eastAsiaTheme="minorEastAsia"/>
          <w:color w:val="auto"/>
          <w:szCs w:val="22"/>
          <w:lang w:val="en-AU" w:eastAsia="ko-KR"/>
        </w:rPr>
      </w:pPr>
      <w:bookmarkStart w:id="136" w:name="_Toc491851833"/>
      <w:r w:rsidRPr="009C2ADD">
        <w:rPr>
          <w:color w:val="auto"/>
          <w:szCs w:val="22"/>
          <w:lang w:val="en-AU"/>
        </w:rPr>
        <w:t xml:space="preserve">6.5 </w:t>
      </w:r>
      <w:r w:rsidR="002979F4" w:rsidRPr="009C2ADD">
        <w:rPr>
          <w:color w:val="auto"/>
          <w:szCs w:val="22"/>
          <w:lang w:val="en-AU"/>
        </w:rPr>
        <w:tab/>
      </w:r>
      <w:r w:rsidR="006922EE" w:rsidRPr="009C2ADD">
        <w:rPr>
          <w:color w:val="auto"/>
          <w:szCs w:val="22"/>
          <w:lang w:val="en-AU"/>
        </w:rPr>
        <w:t>Data exchange</w:t>
      </w:r>
      <w:bookmarkEnd w:id="136"/>
    </w:p>
    <w:p w14:paraId="569CFE74" w14:textId="77777777" w:rsidR="00945C80" w:rsidRPr="009C2ADD" w:rsidRDefault="00945C80" w:rsidP="009C2ADD">
      <w:pPr>
        <w:adjustRightInd w:val="0"/>
        <w:snapToGrid w:val="0"/>
        <w:spacing w:after="0"/>
        <w:rPr>
          <w:rFonts w:ascii="Times New Roman" w:hAnsi="Times New Roman"/>
          <w:lang w:val="en-AU" w:eastAsia="ko-KR"/>
        </w:rPr>
      </w:pPr>
    </w:p>
    <w:p w14:paraId="69470E08" w14:textId="4A9B9321"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w:t>
      </w:r>
      <w:r w:rsidR="00BB077D">
        <w:rPr>
          <w:rFonts w:ascii="Times New Roman" w:hAnsi="Times New Roman" w:hint="eastAsia"/>
          <w:lang w:val="en-AU" w:eastAsia="ko-KR"/>
        </w:rPr>
        <w:t>.</w:t>
      </w:r>
      <w:r w:rsidRPr="009C2ADD">
        <w:rPr>
          <w:rFonts w:ascii="Times New Roman" w:hAnsi="Times New Roman"/>
          <w:lang w:val="en-AU"/>
        </w:rPr>
        <w:t xml:space="preserve"> Smith (SPC) presented </w:t>
      </w:r>
      <w:r w:rsidRPr="006044E9">
        <w:rPr>
          <w:rFonts w:ascii="Times New Roman" w:hAnsi="Times New Roman"/>
          <w:bCs/>
          <w:lang w:val="en-AU"/>
        </w:rPr>
        <w:t>SC13-EB-WP-09</w:t>
      </w:r>
      <w:r w:rsidRPr="009C2ADD">
        <w:rPr>
          <w:rFonts w:ascii="Times New Roman" w:hAnsi="Times New Roman"/>
          <w:lang w:val="en-AU"/>
        </w:rPr>
        <w:t xml:space="preserve"> </w:t>
      </w:r>
      <w:proofErr w:type="gramStart"/>
      <w:r w:rsidRPr="009C2ADD">
        <w:rPr>
          <w:rFonts w:ascii="Times New Roman" w:hAnsi="Times New Roman"/>
          <w:i/>
          <w:lang w:val="en-AU"/>
        </w:rPr>
        <w:t>The</w:t>
      </w:r>
      <w:proofErr w:type="gramEnd"/>
      <w:r w:rsidRPr="009C2ADD">
        <w:rPr>
          <w:rFonts w:ascii="Times New Roman" w:hAnsi="Times New Roman"/>
          <w:i/>
          <w:lang w:val="en-AU"/>
        </w:rPr>
        <w:t xml:space="preserve"> redevelopment of the Bycatch Management Information System and future work including integrating regional bycatch data summaries</w:t>
      </w:r>
      <w:r w:rsidRPr="009C2ADD">
        <w:rPr>
          <w:rFonts w:ascii="Times New Roman" w:hAnsi="Times New Roman"/>
          <w:lang w:val="en-AU"/>
        </w:rPr>
        <w:t xml:space="preserve">. The WCPFC Bycatch Management Information System (BMIS) was recently redeveloped as a global resource with funding provided by the FAO Common Oceans (Areas </w:t>
      </w:r>
      <w:proofErr w:type="gramStart"/>
      <w:r w:rsidRPr="009C2ADD">
        <w:rPr>
          <w:rFonts w:ascii="Times New Roman" w:hAnsi="Times New Roman"/>
          <w:lang w:val="en-AU"/>
        </w:rPr>
        <w:t>Beyond</w:t>
      </w:r>
      <w:proofErr w:type="gramEnd"/>
      <w:r w:rsidRPr="009C2ADD">
        <w:rPr>
          <w:rFonts w:ascii="Times New Roman" w:hAnsi="Times New Roman"/>
          <w:lang w:val="en-AU"/>
        </w:rPr>
        <w:t xml:space="preserve"> National Jurisdiction - ABNJ) Tuna Project. The new BMIS offer</w:t>
      </w:r>
      <w:r w:rsidR="00BB077D">
        <w:rPr>
          <w:rFonts w:ascii="Times New Roman" w:hAnsi="Times New Roman" w:hint="eastAsia"/>
          <w:lang w:val="en-AU" w:eastAsia="ko-KR"/>
        </w:rPr>
        <w:t>s</w:t>
      </w:r>
      <w:r w:rsidRPr="009C2ADD">
        <w:rPr>
          <w:rFonts w:ascii="Times New Roman" w:hAnsi="Times New Roman"/>
          <w:lang w:val="en-AU"/>
        </w:rPr>
        <w:t xml:space="preserve"> a broader range of curated material, retaining an emphasis on mitigation techniques and their efficacy, while expanding management topics to issues such as progress on data harmonisation, bycatch interaction rates, population-level assessments and fisheries management performance. It included information on species identification, given its role in data quality and compliance, and on safe handling and release, which affected post-release survival rates. A logo, social media (Twitter) and a ‘Bycatch Bytes’ blog were added. A new database platform improved data entry, real-time update and flexibility for future development. Additional content would be coming online through late 2018 including databases, maps and shark tagging meta-data. The upgrade enhanced the role of the BMIS in increasing and expanding knowledge of bycatch mitigation and management among those involved in tuna and billfish fisheries, thereby supporting the adoption and implementation of science-based management measures so that bycatch could be managed comprehensively and sustainably.</w:t>
      </w:r>
    </w:p>
    <w:p w14:paraId="78585422" w14:textId="77777777" w:rsidR="002979F4" w:rsidRDefault="002979F4" w:rsidP="009C2ADD">
      <w:pPr>
        <w:autoSpaceDE w:val="0"/>
        <w:autoSpaceDN w:val="0"/>
        <w:adjustRightInd w:val="0"/>
        <w:snapToGrid w:val="0"/>
        <w:spacing w:after="0"/>
        <w:rPr>
          <w:rFonts w:ascii="Times New Roman" w:hAnsi="Times New Roman"/>
          <w:lang w:val="en-AU" w:eastAsia="ko-KR"/>
        </w:rPr>
      </w:pPr>
    </w:p>
    <w:p w14:paraId="166DFF67" w14:textId="34C02C1B" w:rsidR="005107C4" w:rsidRPr="0070772D" w:rsidRDefault="005107C4" w:rsidP="009C2ADD">
      <w:pPr>
        <w:autoSpaceDE w:val="0"/>
        <w:autoSpaceDN w:val="0"/>
        <w:adjustRightInd w:val="0"/>
        <w:snapToGrid w:val="0"/>
        <w:spacing w:after="0"/>
        <w:rPr>
          <w:rFonts w:ascii="Times New Roman" w:hAnsi="Times New Roman"/>
          <w:b/>
          <w:lang w:val="en-AU" w:eastAsia="ko-KR"/>
        </w:rPr>
      </w:pPr>
      <w:r w:rsidRPr="0070772D">
        <w:rPr>
          <w:rFonts w:ascii="Times New Roman" w:hAnsi="Times New Roman"/>
          <w:b/>
          <w:lang w:val="en-AU" w:eastAsia="ko-KR"/>
        </w:rPr>
        <w:t>Discussion</w:t>
      </w:r>
    </w:p>
    <w:p w14:paraId="14EBCA64" w14:textId="77777777" w:rsidR="005107C4" w:rsidRPr="009C2ADD" w:rsidRDefault="005107C4" w:rsidP="009C2ADD">
      <w:pPr>
        <w:autoSpaceDE w:val="0"/>
        <w:autoSpaceDN w:val="0"/>
        <w:adjustRightInd w:val="0"/>
        <w:snapToGrid w:val="0"/>
        <w:spacing w:after="0"/>
        <w:rPr>
          <w:rFonts w:ascii="Times New Roman" w:hAnsi="Times New Roman"/>
          <w:lang w:val="en-AU" w:eastAsia="ko-KR"/>
        </w:rPr>
      </w:pPr>
    </w:p>
    <w:p w14:paraId="65F23793" w14:textId="6892F640" w:rsidR="006922EE" w:rsidRPr="009C2ADD" w:rsidRDefault="006922EE"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Japan commented that SC12 discussed the bycatch data exchange protocol (BDEP), and was interested to know whether BIMIS was the same process as BDEP. N</w:t>
      </w:r>
      <w:r w:rsidR="0011700C">
        <w:rPr>
          <w:rFonts w:ascii="Times New Roman" w:hAnsi="Times New Roman" w:hint="eastAsia"/>
          <w:lang w:val="en-AU" w:eastAsia="ko-KR"/>
        </w:rPr>
        <w:t>.</w:t>
      </w:r>
      <w:r w:rsidRPr="009C2ADD">
        <w:rPr>
          <w:rFonts w:ascii="Times New Roman" w:hAnsi="Times New Roman"/>
          <w:lang w:val="en-AU"/>
        </w:rPr>
        <w:t xml:space="preserve"> Smith clarified that they were different; BDEP was a </w:t>
      </w:r>
      <w:r w:rsidR="005B3538">
        <w:rPr>
          <w:rFonts w:ascii="Times New Roman" w:hAnsi="Times New Roman"/>
          <w:lang w:val="en-AU"/>
        </w:rPr>
        <w:t xml:space="preserve">tabular </w:t>
      </w:r>
      <w:r w:rsidR="005B3538" w:rsidRPr="009C2ADD">
        <w:rPr>
          <w:rFonts w:ascii="Times New Roman" w:hAnsi="Times New Roman"/>
          <w:lang w:val="en-AU"/>
        </w:rPr>
        <w:t xml:space="preserve">summary of </w:t>
      </w:r>
      <w:r w:rsidR="005B3538">
        <w:rPr>
          <w:rFonts w:ascii="Times New Roman" w:hAnsi="Times New Roman"/>
          <w:lang w:val="en-AU"/>
        </w:rPr>
        <w:t xml:space="preserve">public domain </w:t>
      </w:r>
      <w:r w:rsidR="005B3538" w:rsidRPr="009C2ADD">
        <w:rPr>
          <w:rFonts w:ascii="Times New Roman" w:hAnsi="Times New Roman"/>
          <w:lang w:val="en-AU"/>
        </w:rPr>
        <w:t xml:space="preserve">bycatch data, while BMIS was </w:t>
      </w:r>
      <w:r w:rsidR="005B3538">
        <w:rPr>
          <w:rFonts w:ascii="Times New Roman" w:hAnsi="Times New Roman"/>
          <w:lang w:val="en-AU"/>
        </w:rPr>
        <w:t>an information system providing access to</w:t>
      </w:r>
      <w:r w:rsidR="005B3538" w:rsidRPr="009C2ADD">
        <w:rPr>
          <w:rFonts w:ascii="Times New Roman" w:hAnsi="Times New Roman"/>
          <w:lang w:val="en-AU"/>
        </w:rPr>
        <w:t xml:space="preserve"> </w:t>
      </w:r>
      <w:r w:rsidR="005B3538">
        <w:rPr>
          <w:rFonts w:ascii="Times New Roman" w:hAnsi="Times New Roman"/>
          <w:lang w:val="en-AU"/>
        </w:rPr>
        <w:t xml:space="preserve">reports and documents containing </w:t>
      </w:r>
      <w:r w:rsidRPr="009C2ADD">
        <w:rPr>
          <w:rFonts w:ascii="Times New Roman" w:hAnsi="Times New Roman"/>
          <w:lang w:val="en-AU"/>
        </w:rPr>
        <w:t xml:space="preserve">bycatch information. It specifically contained curated reference material such as journal articles and papers presented to this forum. </w:t>
      </w:r>
      <w:r w:rsidR="005B3538">
        <w:rPr>
          <w:rFonts w:ascii="Times New Roman" w:hAnsi="Times New Roman"/>
          <w:lang w:val="en-AU"/>
        </w:rPr>
        <w:t>Part of the future workplan for BMIS was to incorporate BDEP summaries.</w:t>
      </w:r>
    </w:p>
    <w:p w14:paraId="7CCE65EB"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184AE71C" w14:textId="55048E48" w:rsidR="006922EE" w:rsidRPr="009C2ADD" w:rsidRDefault="007E066D"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iCs/>
          <w:lang w:eastAsia="ko-KR"/>
        </w:rPr>
        <w:t>EU</w:t>
      </w:r>
      <w:r w:rsidR="006922EE" w:rsidRPr="009C2ADD">
        <w:rPr>
          <w:rFonts w:ascii="Times New Roman" w:hAnsi="Times New Roman"/>
          <w:lang w:val="en-AU"/>
        </w:rPr>
        <w:t xml:space="preserve">acknowledged this work and development and contribution of the ABNJ </w:t>
      </w:r>
      <w:r w:rsidR="005107C4">
        <w:rPr>
          <w:rFonts w:ascii="Times New Roman" w:hAnsi="Times New Roman" w:hint="eastAsia"/>
          <w:lang w:val="en-AU" w:eastAsia="ko-KR"/>
        </w:rPr>
        <w:t>Tuna P</w:t>
      </w:r>
      <w:r w:rsidR="006922EE" w:rsidRPr="009C2ADD">
        <w:rPr>
          <w:rFonts w:ascii="Times New Roman" w:hAnsi="Times New Roman"/>
          <w:lang w:val="en-AU"/>
        </w:rPr>
        <w:t>roject. It sought clarification on the scale of resources needed for BMIS. It was noted that approximately USD1</w:t>
      </w:r>
      <w:r w:rsidR="0011700C">
        <w:rPr>
          <w:rFonts w:ascii="Times New Roman" w:hAnsi="Times New Roman" w:hint="eastAsia"/>
          <w:lang w:val="en-AU" w:eastAsia="ko-KR"/>
        </w:rPr>
        <w:t>,</w:t>
      </w:r>
      <w:r w:rsidR="006922EE" w:rsidRPr="009C2ADD">
        <w:rPr>
          <w:rFonts w:ascii="Times New Roman" w:hAnsi="Times New Roman"/>
          <w:lang w:val="en-AU"/>
        </w:rPr>
        <w:t>500-2</w:t>
      </w:r>
      <w:r w:rsidR="0011700C">
        <w:rPr>
          <w:rFonts w:ascii="Times New Roman" w:hAnsi="Times New Roman" w:hint="eastAsia"/>
          <w:lang w:val="en-AU" w:eastAsia="ko-KR"/>
        </w:rPr>
        <w:t>,</w:t>
      </w:r>
      <w:r w:rsidR="006922EE" w:rsidRPr="009C2ADD">
        <w:rPr>
          <w:rFonts w:ascii="Times New Roman" w:hAnsi="Times New Roman"/>
          <w:lang w:val="en-AU"/>
        </w:rPr>
        <w:t xml:space="preserve">000 was required per year to hold and maintain the site, then another USD20,000 per year was needed to maintain the curation of other additional information added, which would not just be a WCPFC incurred cost if other tuna RFMOs were to be included. </w:t>
      </w:r>
    </w:p>
    <w:p w14:paraId="5ED3911C"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0C90D572" w14:textId="77777777" w:rsidR="00BE5F38" w:rsidRPr="009C2ADD" w:rsidRDefault="006922EE" w:rsidP="009C2ADD">
      <w:pPr>
        <w:pStyle w:val="WCPFC"/>
        <w:adjustRightInd w:val="0"/>
        <w:spacing w:after="0"/>
      </w:pPr>
      <w:r w:rsidRPr="009C2ADD">
        <w:t xml:space="preserve"> </w:t>
      </w:r>
      <w:r w:rsidR="00BE5F38" w:rsidRPr="009C2ADD">
        <w:rPr>
          <w:lang w:val="en-AU" w:eastAsia="en-US"/>
        </w:rPr>
        <w:t>SC13 was invited to:</w:t>
      </w:r>
    </w:p>
    <w:p w14:paraId="2B5939B4" w14:textId="2AD33A4C" w:rsidR="00BE5F38" w:rsidRPr="009C2ADD" w:rsidRDefault="00BE5F38" w:rsidP="009C2ADD">
      <w:pPr>
        <w:pStyle w:val="WCPFC"/>
        <w:numPr>
          <w:ilvl w:val="0"/>
          <w:numId w:val="16"/>
        </w:numPr>
        <w:adjustRightInd w:val="0"/>
        <w:spacing w:after="0"/>
        <w:ind w:left="1080" w:hanging="357"/>
      </w:pPr>
      <w:r w:rsidRPr="009C2ADD">
        <w:t xml:space="preserve">note BMIS </w:t>
      </w:r>
      <w:r w:rsidR="005107C4">
        <w:rPr>
          <w:rFonts w:hint="eastAsia"/>
          <w:lang w:eastAsia="ko-KR"/>
        </w:rPr>
        <w:t xml:space="preserve">was </w:t>
      </w:r>
      <w:r w:rsidRPr="009C2ADD">
        <w:t xml:space="preserve">launched with </w:t>
      </w:r>
      <w:r w:rsidR="005107C4">
        <w:rPr>
          <w:rFonts w:hint="eastAsia"/>
          <w:lang w:eastAsia="ko-KR"/>
        </w:rPr>
        <w:t xml:space="preserve">a </w:t>
      </w:r>
      <w:r w:rsidRPr="009C2ADD">
        <w:t xml:space="preserve">new interface May 2017 and portal </w:t>
      </w:r>
      <w:r w:rsidR="005107C4">
        <w:rPr>
          <w:rFonts w:hint="eastAsia"/>
          <w:lang w:eastAsia="ko-KR"/>
        </w:rPr>
        <w:t xml:space="preserve">providing access </w:t>
      </w:r>
      <w:r w:rsidRPr="009C2ADD">
        <w:t>to &gt;1000 documents</w:t>
      </w:r>
    </w:p>
    <w:p w14:paraId="19076637" w14:textId="222223C8" w:rsidR="00BE5F38" w:rsidRPr="009C2ADD" w:rsidRDefault="00BE5F38" w:rsidP="009C2ADD">
      <w:pPr>
        <w:pStyle w:val="WCPFC"/>
        <w:numPr>
          <w:ilvl w:val="0"/>
          <w:numId w:val="16"/>
        </w:numPr>
        <w:adjustRightInd w:val="0"/>
        <w:spacing w:after="0"/>
        <w:ind w:left="1080" w:hanging="357"/>
      </w:pPr>
      <w:r w:rsidRPr="009C2ADD">
        <w:t xml:space="preserve">visit </w:t>
      </w:r>
      <w:r w:rsidR="005107C4">
        <w:rPr>
          <w:rFonts w:hint="eastAsia"/>
          <w:lang w:eastAsia="ko-KR"/>
        </w:rPr>
        <w:t xml:space="preserve">the </w:t>
      </w:r>
      <w:r w:rsidRPr="009C2ADD">
        <w:t>new site at www.bmis-bycatch.org and give feedback info@bmis-bycatch.org</w:t>
      </w:r>
    </w:p>
    <w:p w14:paraId="4BE90BD2" w14:textId="77777777" w:rsidR="00BE5F38" w:rsidRPr="009C2ADD" w:rsidRDefault="00BE5F38" w:rsidP="009C2ADD">
      <w:pPr>
        <w:pStyle w:val="WCPFC"/>
        <w:numPr>
          <w:ilvl w:val="0"/>
          <w:numId w:val="16"/>
        </w:numPr>
        <w:adjustRightInd w:val="0"/>
        <w:spacing w:after="0"/>
        <w:ind w:left="1080" w:hanging="357"/>
      </w:pPr>
      <w:r w:rsidRPr="009C2ADD">
        <w:t>discuss proposed future developments for BMIS, and consider post-ABNJ resourcing of BMIS</w:t>
      </w:r>
    </w:p>
    <w:p w14:paraId="467747D6" w14:textId="77777777" w:rsidR="00BE5F38" w:rsidRPr="009C2ADD" w:rsidRDefault="00BE5F38" w:rsidP="009C2ADD">
      <w:pPr>
        <w:pStyle w:val="WCPFC"/>
        <w:numPr>
          <w:ilvl w:val="0"/>
          <w:numId w:val="16"/>
        </w:numPr>
        <w:adjustRightInd w:val="0"/>
        <w:spacing w:after="0"/>
        <w:ind w:left="1080" w:hanging="357"/>
      </w:pPr>
      <w:r w:rsidRPr="009C2ADD">
        <w:t>support posting public domain bycatch summaries on BMIS</w:t>
      </w:r>
    </w:p>
    <w:p w14:paraId="690BC0B2" w14:textId="04703CCC" w:rsidR="006922EE" w:rsidRPr="009C2ADD" w:rsidRDefault="005107C4" w:rsidP="009C2ADD">
      <w:pPr>
        <w:pStyle w:val="WCPFC"/>
        <w:numPr>
          <w:ilvl w:val="0"/>
          <w:numId w:val="16"/>
        </w:numPr>
        <w:adjustRightInd w:val="0"/>
        <w:spacing w:after="0"/>
        <w:ind w:left="1080" w:hanging="357"/>
      </w:pPr>
      <w:r>
        <w:rPr>
          <w:rFonts w:hint="eastAsia"/>
          <w:lang w:eastAsia="ko-KR"/>
        </w:rPr>
        <w:t xml:space="preserve">encourage </w:t>
      </w:r>
      <w:r w:rsidR="00BE5F38" w:rsidRPr="009C2ADD">
        <w:t>Twitter users</w:t>
      </w:r>
      <w:r>
        <w:rPr>
          <w:rFonts w:hint="eastAsia"/>
          <w:lang w:eastAsia="ko-KR"/>
        </w:rPr>
        <w:t xml:space="preserve"> to</w:t>
      </w:r>
      <w:r w:rsidR="00BE5F38" w:rsidRPr="009C2ADD">
        <w:t xml:space="preserve"> follow @bmis_bycatch on Twitter</w:t>
      </w:r>
    </w:p>
    <w:p w14:paraId="5A58DEB3" w14:textId="77777777" w:rsidR="007A3E34" w:rsidRPr="009C2ADD" w:rsidRDefault="007A3E34" w:rsidP="009C2ADD">
      <w:pPr>
        <w:adjustRightInd w:val="0"/>
        <w:snapToGrid w:val="0"/>
        <w:spacing w:after="0"/>
        <w:rPr>
          <w:rFonts w:ascii="Times New Roman" w:eastAsia="바탕" w:hAnsi="Times New Roman"/>
          <w:b/>
          <w:lang w:eastAsia="ko-KR"/>
        </w:rPr>
      </w:pPr>
    </w:p>
    <w:p w14:paraId="3F1FC01A" w14:textId="69B226B6" w:rsidR="002C205C" w:rsidRPr="009C2ADD" w:rsidRDefault="00945C80" w:rsidP="009C2ADD">
      <w:pPr>
        <w:adjustRightInd w:val="0"/>
        <w:snapToGrid w:val="0"/>
        <w:spacing w:after="0"/>
        <w:rPr>
          <w:rFonts w:ascii="Times New Roman" w:eastAsia="바탕" w:hAnsi="Times New Roman"/>
          <w:b/>
          <w:lang w:eastAsia="ko-KR"/>
        </w:rPr>
      </w:pPr>
      <w:r w:rsidRPr="009C2ADD">
        <w:rPr>
          <w:rFonts w:ascii="Times New Roman" w:eastAsia="바탕" w:hAnsi="Times New Roman"/>
          <w:b/>
          <w:lang w:eastAsia="ko-KR"/>
        </w:rPr>
        <w:t xml:space="preserve">6.6 </w:t>
      </w:r>
      <w:r w:rsidR="007A3E34" w:rsidRPr="009C2ADD">
        <w:rPr>
          <w:rFonts w:ascii="Times New Roman" w:eastAsia="바탕" w:hAnsi="Times New Roman"/>
          <w:b/>
          <w:lang w:eastAsia="ko-KR"/>
        </w:rPr>
        <w:tab/>
      </w:r>
      <w:r w:rsidRPr="009C2ADD">
        <w:rPr>
          <w:rFonts w:ascii="Times New Roman" w:eastAsia="바탕" w:hAnsi="Times New Roman"/>
          <w:b/>
          <w:lang w:eastAsia="ko-KR"/>
        </w:rPr>
        <w:t>Other issues</w:t>
      </w:r>
    </w:p>
    <w:p w14:paraId="7572D99A" w14:textId="77777777" w:rsidR="002979F4" w:rsidRPr="009C2ADD" w:rsidRDefault="002979F4" w:rsidP="009C2ADD">
      <w:pPr>
        <w:adjustRightInd w:val="0"/>
        <w:snapToGrid w:val="0"/>
        <w:spacing w:after="0"/>
        <w:rPr>
          <w:rFonts w:ascii="Times New Roman" w:eastAsia="바탕" w:hAnsi="Times New Roman"/>
          <w:lang w:eastAsia="ko-KR"/>
        </w:rPr>
      </w:pPr>
    </w:p>
    <w:p w14:paraId="6A487429" w14:textId="109553DB" w:rsidR="007A3E34" w:rsidRPr="009C2ADD" w:rsidRDefault="007A3E34" w:rsidP="009C2ADD">
      <w:pPr>
        <w:pStyle w:val="WCPFC"/>
        <w:adjustRightInd w:val="0"/>
        <w:spacing w:after="0"/>
        <w:ind w:left="0" w:firstLine="0"/>
      </w:pPr>
      <w:r w:rsidRPr="009C2ADD">
        <w:rPr>
          <w:rFonts w:eastAsia="바탕"/>
          <w:lang w:eastAsia="ko-KR"/>
        </w:rPr>
        <w:t>An information paper SC13-EB-IP-04 (</w:t>
      </w:r>
      <w:r w:rsidRPr="0070772D">
        <w:rPr>
          <w:rFonts w:eastAsia="바탕"/>
          <w:i/>
          <w:lang w:eastAsia="ko-KR"/>
        </w:rPr>
        <w:t xml:space="preserve">Effects of </w:t>
      </w:r>
      <w:r w:rsidR="002979F4" w:rsidRPr="0070772D">
        <w:rPr>
          <w:rFonts w:eastAsia="바탕"/>
          <w:i/>
          <w:lang w:eastAsia="ko-KR"/>
        </w:rPr>
        <w:t>r</w:t>
      </w:r>
      <w:r w:rsidRPr="0070772D">
        <w:rPr>
          <w:rFonts w:eastAsia="바탕"/>
          <w:i/>
          <w:lang w:eastAsia="ko-KR"/>
        </w:rPr>
        <w:t xml:space="preserve">ingnet and </w:t>
      </w:r>
      <w:r w:rsidR="002979F4" w:rsidRPr="0070772D">
        <w:rPr>
          <w:rFonts w:eastAsia="바탕"/>
          <w:i/>
          <w:lang w:eastAsia="ko-KR"/>
        </w:rPr>
        <w:t>p</w:t>
      </w:r>
      <w:r w:rsidRPr="0070772D">
        <w:rPr>
          <w:rFonts w:eastAsia="바탕"/>
          <w:i/>
          <w:lang w:eastAsia="ko-KR"/>
        </w:rPr>
        <w:t xml:space="preserve">urse </w:t>
      </w:r>
      <w:r w:rsidR="002979F4" w:rsidRPr="0070772D">
        <w:rPr>
          <w:rFonts w:eastAsia="바탕"/>
          <w:i/>
          <w:lang w:eastAsia="ko-KR"/>
        </w:rPr>
        <w:t>s</w:t>
      </w:r>
      <w:r w:rsidRPr="0070772D">
        <w:rPr>
          <w:rFonts w:eastAsia="바탕"/>
          <w:i/>
          <w:lang w:eastAsia="ko-KR"/>
        </w:rPr>
        <w:t xml:space="preserve">eine </w:t>
      </w:r>
      <w:r w:rsidR="002979F4" w:rsidRPr="0070772D">
        <w:rPr>
          <w:rFonts w:eastAsia="바탕"/>
          <w:i/>
          <w:lang w:eastAsia="ko-KR"/>
        </w:rPr>
        <w:t>n</w:t>
      </w:r>
      <w:r w:rsidRPr="0070772D">
        <w:rPr>
          <w:rFonts w:eastAsia="바탕"/>
          <w:i/>
          <w:lang w:eastAsia="ko-KR"/>
        </w:rPr>
        <w:t xml:space="preserve">et </w:t>
      </w:r>
      <w:r w:rsidR="002979F4" w:rsidRPr="0070772D">
        <w:rPr>
          <w:rFonts w:eastAsia="바탕"/>
          <w:i/>
          <w:lang w:eastAsia="ko-KR"/>
        </w:rPr>
        <w:t>d</w:t>
      </w:r>
      <w:r w:rsidRPr="0070772D">
        <w:rPr>
          <w:rFonts w:eastAsia="바탕"/>
          <w:i/>
          <w:lang w:eastAsia="ko-KR"/>
        </w:rPr>
        <w:t xml:space="preserve">epth </w:t>
      </w:r>
      <w:r w:rsidR="002979F4" w:rsidRPr="0070772D">
        <w:rPr>
          <w:rFonts w:eastAsia="바탕"/>
          <w:i/>
          <w:lang w:eastAsia="ko-KR"/>
        </w:rPr>
        <w:t>reduction on the catch of bigeye t</w:t>
      </w:r>
      <w:r w:rsidRPr="0070772D">
        <w:rPr>
          <w:rFonts w:eastAsia="바탕"/>
          <w:i/>
          <w:lang w:eastAsia="ko-KR"/>
        </w:rPr>
        <w:t>una</w:t>
      </w:r>
      <w:r w:rsidRPr="009C2ADD">
        <w:rPr>
          <w:rFonts w:eastAsia="바탕"/>
          <w:lang w:eastAsia="ko-KR"/>
        </w:rPr>
        <w:t>) was noted. No discussion was made on this agenda item.</w:t>
      </w:r>
    </w:p>
    <w:p w14:paraId="40197FE3" w14:textId="77777777" w:rsidR="00041CD9" w:rsidRPr="009C2ADD" w:rsidRDefault="00041CD9" w:rsidP="009C2ADD">
      <w:pPr>
        <w:adjustRightInd w:val="0"/>
        <w:snapToGrid w:val="0"/>
        <w:spacing w:after="0"/>
        <w:ind w:firstLine="720"/>
        <w:rPr>
          <w:rFonts w:ascii="Times New Roman" w:eastAsia="바탕" w:hAnsi="Times New Roman"/>
          <w:lang w:eastAsia="ko-KR"/>
        </w:rPr>
      </w:pPr>
    </w:p>
    <w:p w14:paraId="4BBEC2AA" w14:textId="77777777" w:rsidR="002979F4" w:rsidRPr="009C2ADD" w:rsidRDefault="002979F4" w:rsidP="009C2ADD">
      <w:pPr>
        <w:adjustRightInd w:val="0"/>
        <w:snapToGrid w:val="0"/>
        <w:spacing w:after="0"/>
        <w:ind w:firstLine="720"/>
        <w:rPr>
          <w:rFonts w:ascii="Times New Roman" w:eastAsia="바탕" w:hAnsi="Times New Roman"/>
          <w:lang w:eastAsia="ko-KR"/>
        </w:rPr>
      </w:pPr>
    </w:p>
    <w:p w14:paraId="2D4BFB29" w14:textId="77777777" w:rsidR="00041CD9" w:rsidRPr="009C2ADD" w:rsidRDefault="00041CD9" w:rsidP="009C2ADD">
      <w:pPr>
        <w:pStyle w:val="Heading1"/>
        <w:adjustRightInd w:val="0"/>
        <w:snapToGrid w:val="0"/>
        <w:rPr>
          <w:rFonts w:ascii="Times New Roman" w:hAnsi="Times New Roman"/>
          <w:sz w:val="22"/>
          <w:szCs w:val="22"/>
        </w:rPr>
      </w:pPr>
      <w:bookmarkStart w:id="137" w:name="_Toc491850308"/>
      <w:bookmarkStart w:id="138" w:name="_Toc491851834"/>
      <w:r w:rsidRPr="009C2ADD">
        <w:rPr>
          <w:rFonts w:ascii="Times New Roman" w:hAnsi="Times New Roman"/>
          <w:sz w:val="22"/>
          <w:szCs w:val="22"/>
        </w:rPr>
        <w:t>AGENDA ITEM 7 - Other Research Projects</w:t>
      </w:r>
      <w:bookmarkEnd w:id="137"/>
      <w:bookmarkEnd w:id="138"/>
    </w:p>
    <w:p w14:paraId="56EF299D" w14:textId="77777777" w:rsidR="00041CD9" w:rsidRPr="009C2ADD" w:rsidRDefault="00041CD9" w:rsidP="009C2ADD">
      <w:pPr>
        <w:adjustRightInd w:val="0"/>
        <w:snapToGrid w:val="0"/>
        <w:spacing w:after="0"/>
        <w:ind w:left="720" w:hanging="720"/>
        <w:rPr>
          <w:rFonts w:ascii="Times New Roman" w:hAnsi="Times New Roman"/>
          <w:b/>
        </w:rPr>
      </w:pPr>
    </w:p>
    <w:p w14:paraId="703EBFE2" w14:textId="77777777" w:rsidR="002979F4" w:rsidRPr="009C2ADD" w:rsidRDefault="002979F4" w:rsidP="009C2ADD">
      <w:pPr>
        <w:adjustRightInd w:val="0"/>
        <w:snapToGrid w:val="0"/>
        <w:spacing w:after="0"/>
        <w:ind w:left="720" w:hanging="720"/>
        <w:rPr>
          <w:rFonts w:ascii="Times New Roman" w:hAnsi="Times New Roman"/>
          <w:b/>
        </w:rPr>
      </w:pPr>
    </w:p>
    <w:p w14:paraId="301C3E15" w14:textId="32542FEC" w:rsidR="00041CD9" w:rsidRPr="009C2ADD" w:rsidRDefault="0028464D" w:rsidP="009C2ADD">
      <w:pPr>
        <w:pStyle w:val="Heading2"/>
        <w:adjustRightInd w:val="0"/>
        <w:snapToGrid w:val="0"/>
        <w:rPr>
          <w:rFonts w:eastAsiaTheme="minorEastAsia"/>
          <w:color w:val="auto"/>
          <w:szCs w:val="22"/>
          <w:lang w:val="en-AU" w:eastAsia="ko-KR"/>
        </w:rPr>
      </w:pPr>
      <w:bookmarkStart w:id="139" w:name="_Toc491851835"/>
      <w:r w:rsidRPr="009C2ADD">
        <w:rPr>
          <w:color w:val="auto"/>
          <w:szCs w:val="22"/>
          <w:lang w:val="en-AU"/>
        </w:rPr>
        <w:t xml:space="preserve">7.1 </w:t>
      </w:r>
      <w:r w:rsidR="002979F4" w:rsidRPr="009C2ADD">
        <w:rPr>
          <w:color w:val="auto"/>
          <w:szCs w:val="22"/>
          <w:lang w:val="en-AU"/>
        </w:rPr>
        <w:tab/>
      </w:r>
      <w:r w:rsidR="00041CD9" w:rsidRPr="009C2ADD">
        <w:rPr>
          <w:color w:val="auto"/>
          <w:szCs w:val="22"/>
          <w:lang w:val="en-AU"/>
        </w:rPr>
        <w:t>West Pacific East Asia Project</w:t>
      </w:r>
      <w:bookmarkEnd w:id="139"/>
      <w:r w:rsidR="00041CD9" w:rsidRPr="009C2ADD">
        <w:rPr>
          <w:color w:val="auto"/>
          <w:szCs w:val="22"/>
          <w:lang w:val="en-AU"/>
        </w:rPr>
        <w:t xml:space="preserve"> </w:t>
      </w:r>
    </w:p>
    <w:p w14:paraId="1E64599D" w14:textId="77777777" w:rsidR="007A3E34" w:rsidRPr="009C2ADD" w:rsidRDefault="007A3E34" w:rsidP="009C2ADD">
      <w:pPr>
        <w:adjustRightInd w:val="0"/>
        <w:snapToGrid w:val="0"/>
        <w:spacing w:after="0"/>
        <w:rPr>
          <w:rFonts w:ascii="Times New Roman" w:hAnsi="Times New Roman"/>
          <w:lang w:val="en-AU" w:eastAsia="ko-KR"/>
        </w:rPr>
      </w:pPr>
    </w:p>
    <w:p w14:paraId="4686817F" w14:textId="7118C334"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2979F4" w:rsidRPr="009C2ADD">
        <w:rPr>
          <w:rFonts w:ascii="Times New Roman" w:hAnsi="Times New Roman"/>
          <w:lang w:val="en-AU"/>
        </w:rPr>
        <w:t>.</w:t>
      </w:r>
      <w:r w:rsidRPr="009C2ADD">
        <w:rPr>
          <w:rFonts w:ascii="Times New Roman" w:hAnsi="Times New Roman"/>
          <w:lang w:val="en-AU"/>
        </w:rPr>
        <w:t xml:space="preserve"> Soh (Secretariat) presented </w:t>
      </w:r>
      <w:r w:rsidRPr="0070772D">
        <w:rPr>
          <w:rFonts w:ascii="Times New Roman" w:hAnsi="Times New Roman"/>
          <w:bCs/>
          <w:lang w:val="en-AU"/>
        </w:rPr>
        <w:t>SC13-RP-WPEA-01</w:t>
      </w:r>
      <w:r w:rsidRPr="009C2ADD">
        <w:rPr>
          <w:rFonts w:ascii="Times New Roman" w:hAnsi="Times New Roman"/>
          <w:lang w:val="en-AU"/>
        </w:rPr>
        <w:t xml:space="preserve"> </w:t>
      </w:r>
      <w:r w:rsidRPr="009C2ADD">
        <w:rPr>
          <w:rFonts w:ascii="Times New Roman" w:hAnsi="Times New Roman"/>
          <w:i/>
          <w:lang w:val="en-AU"/>
        </w:rPr>
        <w:t>Project Progress Report (WPEA)</w:t>
      </w:r>
      <w:r w:rsidRPr="009C2ADD">
        <w:rPr>
          <w:rFonts w:ascii="Times New Roman" w:hAnsi="Times New Roman"/>
          <w:lang w:val="en-AU"/>
        </w:rPr>
        <w:t xml:space="preserve"> and </w:t>
      </w:r>
      <w:r w:rsidR="007A3E34" w:rsidRPr="009C2ADD">
        <w:rPr>
          <w:rFonts w:ascii="Times New Roman" w:hAnsi="Times New Roman"/>
          <w:lang w:val="en-AU" w:eastAsia="ko-KR"/>
        </w:rPr>
        <w:t xml:space="preserve">introduced </w:t>
      </w:r>
      <w:r w:rsidR="005B744C" w:rsidRPr="0070772D">
        <w:rPr>
          <w:rFonts w:ascii="Times New Roman" w:hAnsi="Times New Roman"/>
          <w:bCs/>
          <w:lang w:val="en-AU"/>
        </w:rPr>
        <w:t>SC13-</w:t>
      </w:r>
      <w:r w:rsidRPr="0070772D">
        <w:rPr>
          <w:rFonts w:ascii="Times New Roman" w:hAnsi="Times New Roman"/>
          <w:bCs/>
          <w:lang w:val="en-AU"/>
        </w:rPr>
        <w:t>RP-WPEA-02</w:t>
      </w:r>
      <w:r w:rsidRPr="009C2ADD">
        <w:rPr>
          <w:rFonts w:ascii="Times New Roman" w:hAnsi="Times New Roman"/>
          <w:lang w:val="en-AU"/>
        </w:rPr>
        <w:t xml:space="preserve"> </w:t>
      </w:r>
      <w:r w:rsidRPr="009C2ADD">
        <w:rPr>
          <w:rFonts w:ascii="Times New Roman" w:hAnsi="Times New Roman"/>
          <w:i/>
          <w:lang w:val="en-AU"/>
        </w:rPr>
        <w:t>Midterm review report on WEA-SM Project (UNDP)</w:t>
      </w:r>
      <w:r w:rsidRPr="009C2ADD">
        <w:rPr>
          <w:rFonts w:ascii="Times New Roman" w:hAnsi="Times New Roman"/>
          <w:lang w:val="en-AU"/>
        </w:rPr>
        <w:t>.</w:t>
      </w:r>
      <w:r w:rsidR="00A47121" w:rsidRPr="009C2ADD">
        <w:rPr>
          <w:rFonts w:ascii="Times New Roman" w:hAnsi="Times New Roman"/>
          <w:lang w:val="en-AU"/>
        </w:rPr>
        <w:t xml:space="preserve"> </w:t>
      </w:r>
      <w:r w:rsidRPr="009C2ADD">
        <w:rPr>
          <w:rFonts w:ascii="Times New Roman" w:hAnsi="Times New Roman"/>
          <w:lang w:val="en-AU"/>
        </w:rPr>
        <w:t xml:space="preserve">The second GEF-funded, a 3-year UNDP project, called Sustainable Management of Highly Migratory Fish Stocks in the West Pacific and East Asian Seas, commenced on 28 October 2014, and continued during 2016-2017. The project participating countries include Indonesia, Philippines and Viet Nam. </w:t>
      </w:r>
      <w:r w:rsidR="007A3E34" w:rsidRPr="009C2ADD">
        <w:rPr>
          <w:rFonts w:ascii="Times New Roman" w:hAnsi="Times New Roman"/>
          <w:lang w:val="en-AU" w:eastAsia="ko-KR"/>
        </w:rPr>
        <w:t xml:space="preserve">Due to </w:t>
      </w:r>
      <w:r w:rsidRPr="009C2ADD">
        <w:rPr>
          <w:rFonts w:ascii="Times New Roman" w:hAnsi="Times New Roman"/>
          <w:lang w:val="en-AU"/>
        </w:rPr>
        <w:t>delays in implementing the project in Indonesia and Viet Nam</w:t>
      </w:r>
      <w:r w:rsidR="007A3E34" w:rsidRPr="009C2ADD">
        <w:rPr>
          <w:rFonts w:ascii="Times New Roman" w:hAnsi="Times New Roman"/>
          <w:lang w:val="en-AU" w:eastAsia="ko-KR"/>
        </w:rPr>
        <w:t>, t</w:t>
      </w:r>
      <w:r w:rsidR="007A3E34" w:rsidRPr="009C2ADD">
        <w:rPr>
          <w:rFonts w:ascii="Times New Roman" w:hAnsi="Times New Roman"/>
          <w:lang w:eastAsia="ko-KR"/>
        </w:rPr>
        <w:t>he fourth Project Board meeting held on 5</w:t>
      </w:r>
      <w:r w:rsidR="007A3E34" w:rsidRPr="009C2ADD">
        <w:rPr>
          <w:rFonts w:ascii="Times New Roman" w:hAnsi="Times New Roman"/>
          <w:vertAlign w:val="superscript"/>
          <w:lang w:eastAsia="ko-KR"/>
        </w:rPr>
        <w:t>th</w:t>
      </w:r>
      <w:r w:rsidR="007A3E34" w:rsidRPr="009C2ADD">
        <w:rPr>
          <w:rFonts w:ascii="Times New Roman" w:hAnsi="Times New Roman"/>
          <w:lang w:eastAsia="ko-KR"/>
        </w:rPr>
        <w:t xml:space="preserve"> of May 2017 in Yogyakarta, Indonesia, agreed to a no-cost extension of the project for 15 months (by the end of </w:t>
      </w:r>
      <w:r w:rsidR="00B14A73">
        <w:rPr>
          <w:rFonts w:ascii="Times New Roman" w:hAnsi="Times New Roman"/>
          <w:lang w:eastAsia="ko-KR"/>
        </w:rPr>
        <w:t>April</w:t>
      </w:r>
      <w:r w:rsidR="007A3E34" w:rsidRPr="009C2ADD">
        <w:rPr>
          <w:rFonts w:ascii="Times New Roman" w:hAnsi="Times New Roman"/>
          <w:lang w:eastAsia="ko-KR"/>
        </w:rPr>
        <w:t xml:space="preserve"> 2019). </w:t>
      </w:r>
    </w:p>
    <w:p w14:paraId="070D650D" w14:textId="77777777" w:rsidR="002979F4" w:rsidRPr="009C2ADD" w:rsidRDefault="002979F4" w:rsidP="009C2ADD">
      <w:pPr>
        <w:autoSpaceDE w:val="0"/>
        <w:autoSpaceDN w:val="0"/>
        <w:adjustRightInd w:val="0"/>
        <w:snapToGrid w:val="0"/>
        <w:spacing w:after="0"/>
        <w:rPr>
          <w:rFonts w:ascii="Times New Roman" w:hAnsi="Times New Roman"/>
          <w:lang w:val="en-AU"/>
        </w:rPr>
      </w:pPr>
    </w:p>
    <w:p w14:paraId="3122C51F" w14:textId="0AEEC85C"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Philippines expressed their sincere appreciation </w:t>
      </w:r>
      <w:r w:rsidR="005107C4">
        <w:rPr>
          <w:rFonts w:ascii="Times New Roman" w:hAnsi="Times New Roman" w:hint="eastAsia"/>
          <w:lang w:val="en-AU" w:eastAsia="ko-KR"/>
        </w:rPr>
        <w:t>for</w:t>
      </w:r>
      <w:r w:rsidR="005107C4" w:rsidRPr="009C2ADD">
        <w:rPr>
          <w:rFonts w:ascii="Times New Roman" w:hAnsi="Times New Roman"/>
          <w:lang w:val="en-AU"/>
        </w:rPr>
        <w:t xml:space="preserve"> </w:t>
      </w:r>
      <w:r w:rsidRPr="009C2ADD">
        <w:rPr>
          <w:rFonts w:ascii="Times New Roman" w:hAnsi="Times New Roman"/>
          <w:lang w:val="en-AU"/>
        </w:rPr>
        <w:t>the support provided by the Commission, SPC (P</w:t>
      </w:r>
      <w:r w:rsidR="0011700C">
        <w:rPr>
          <w:rFonts w:ascii="Times New Roman" w:hAnsi="Times New Roman" w:hint="eastAsia"/>
          <w:lang w:val="en-AU" w:eastAsia="ko-KR"/>
        </w:rPr>
        <w:t>.</w:t>
      </w:r>
      <w:r w:rsidRPr="009C2ADD">
        <w:rPr>
          <w:rFonts w:ascii="Times New Roman" w:hAnsi="Times New Roman"/>
          <w:lang w:val="en-AU"/>
        </w:rPr>
        <w:t xml:space="preserve"> Williams) and WCPFC Secretariat. Capacity building activities funded by this project had greatly helped Philippines to actively participate in the work of the Commission, as well as the three-country stock assessment workshop, tuna data workshops and the Scientific Committee meeting. The project has also assisted </w:t>
      </w:r>
      <w:r w:rsidR="006D30C3">
        <w:rPr>
          <w:rFonts w:ascii="Times New Roman" w:hAnsi="Times New Roman" w:hint="eastAsia"/>
          <w:lang w:val="en-AU" w:eastAsia="ko-KR"/>
        </w:rPr>
        <w:t xml:space="preserve">the </w:t>
      </w:r>
      <w:r w:rsidRPr="009C2ADD">
        <w:rPr>
          <w:rFonts w:ascii="Times New Roman" w:hAnsi="Times New Roman"/>
          <w:lang w:val="en-AU"/>
        </w:rPr>
        <w:t>Philippines to improve their observer and port sampling data collection activities. They reported that their analysis of the bigeye tuna catch across net depth class/interval had shown significantly higher bigeye catch in deeper nets compared to shallow nets. Detailed results of this study had been submitted to SC13 as SC13-EB-IP-04, and Philippines hoped that the results of this study would be considered by the SC, TCC and Commission in the future.</w:t>
      </w:r>
    </w:p>
    <w:p w14:paraId="0782C21E"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1DF103E4" w14:textId="6BF92A9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Indonesia also thanked the </w:t>
      </w:r>
      <w:r w:rsidR="0011700C">
        <w:rPr>
          <w:rFonts w:ascii="Times New Roman" w:hAnsi="Times New Roman" w:hint="eastAsia"/>
          <w:lang w:val="en-AU" w:eastAsia="ko-KR"/>
        </w:rPr>
        <w:t>p</w:t>
      </w:r>
      <w:r w:rsidRPr="009C2ADD">
        <w:rPr>
          <w:rFonts w:ascii="Times New Roman" w:hAnsi="Times New Roman"/>
          <w:lang w:val="en-AU"/>
        </w:rPr>
        <w:t xml:space="preserve">roject manager of WPEA and the Commission for its assistance and looked forward to the fruitful achievement of future plans.  They noted the project support for the continuance of their port sampling programs, the compilations of </w:t>
      </w:r>
      <w:r w:rsidR="006D30C3">
        <w:rPr>
          <w:rFonts w:ascii="Times New Roman" w:hAnsi="Times New Roman" w:hint="eastAsia"/>
          <w:lang w:val="en-AU" w:eastAsia="ko-KR"/>
        </w:rPr>
        <w:t xml:space="preserve">time </w:t>
      </w:r>
      <w:r w:rsidRPr="009C2ADD">
        <w:rPr>
          <w:rFonts w:ascii="Times New Roman" w:hAnsi="Times New Roman"/>
          <w:lang w:val="en-AU"/>
        </w:rPr>
        <w:t xml:space="preserve">series </w:t>
      </w:r>
      <w:r w:rsidR="006D30C3">
        <w:rPr>
          <w:rFonts w:ascii="Times New Roman" w:hAnsi="Times New Roman" w:hint="eastAsia"/>
          <w:lang w:val="en-AU" w:eastAsia="ko-KR"/>
        </w:rPr>
        <w:t xml:space="preserve">of </w:t>
      </w:r>
      <w:r w:rsidRPr="009C2ADD">
        <w:rPr>
          <w:rFonts w:ascii="Times New Roman" w:hAnsi="Times New Roman"/>
          <w:lang w:val="en-AU"/>
        </w:rPr>
        <w:t>annual catch</w:t>
      </w:r>
      <w:r w:rsidR="006D30C3">
        <w:rPr>
          <w:rFonts w:ascii="Times New Roman" w:hAnsi="Times New Roman" w:hint="eastAsia"/>
          <w:lang w:val="en-AU" w:eastAsia="ko-KR"/>
        </w:rPr>
        <w:t>es</w:t>
      </w:r>
      <w:r w:rsidRPr="009C2ADD">
        <w:rPr>
          <w:rFonts w:ascii="Times New Roman" w:hAnsi="Times New Roman"/>
          <w:lang w:val="en-AU"/>
        </w:rPr>
        <w:t xml:space="preserve"> by gear by species</w:t>
      </w:r>
      <w:r w:rsidR="006D30C3">
        <w:rPr>
          <w:rFonts w:ascii="Times New Roman" w:hAnsi="Times New Roman" w:hint="eastAsia"/>
          <w:lang w:val="en-AU" w:eastAsia="ko-KR"/>
        </w:rPr>
        <w:t>,</w:t>
      </w:r>
      <w:r w:rsidRPr="009C2ADD">
        <w:rPr>
          <w:rFonts w:ascii="Times New Roman" w:hAnsi="Times New Roman"/>
          <w:lang w:val="en-AU"/>
        </w:rPr>
        <w:t xml:space="preserve"> and seven year size series data.  Indonesia has also received training that has supported its progress to</w:t>
      </w:r>
      <w:r w:rsidR="006D30C3">
        <w:rPr>
          <w:rFonts w:ascii="Times New Roman" w:hAnsi="Times New Roman" w:hint="eastAsia"/>
          <w:lang w:val="en-AU" w:eastAsia="ko-KR"/>
        </w:rPr>
        <w:t>ward</w:t>
      </w:r>
      <w:r w:rsidRPr="009C2ADD">
        <w:rPr>
          <w:rFonts w:ascii="Times New Roman" w:hAnsi="Times New Roman"/>
          <w:lang w:val="en-AU"/>
        </w:rPr>
        <w:t xml:space="preserve"> becoming an authorised ROP provider.  They noted their intention to develop a harvest strategy for tuna in Indonesian archipelagic waters, in line with the National Tuna management plan, with the assistance of WCPFC, ACIAR, CSIRO Australia, MDPI (a local NGO) and other relevant experts.</w:t>
      </w:r>
    </w:p>
    <w:p w14:paraId="2BAD64E9"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422EFC33" w14:textId="3F3AB0A2"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Viet Nam thanked WCPFC secretariat and especially the Science</w:t>
      </w:r>
      <w:r w:rsidR="005B744C" w:rsidRPr="009C2ADD">
        <w:rPr>
          <w:rFonts w:ascii="Times New Roman" w:hAnsi="Times New Roman"/>
          <w:lang w:val="en-AU"/>
        </w:rPr>
        <w:t xml:space="preserve"> Manager for</w:t>
      </w:r>
      <w:r w:rsidR="00A75825" w:rsidRPr="009C2ADD">
        <w:rPr>
          <w:rFonts w:ascii="Times New Roman" w:hAnsi="Times New Roman"/>
          <w:lang w:val="en-AU"/>
        </w:rPr>
        <w:t xml:space="preserve"> their ongoing</w:t>
      </w:r>
      <w:r w:rsidRPr="009C2ADD">
        <w:rPr>
          <w:rFonts w:ascii="Times New Roman" w:hAnsi="Times New Roman"/>
          <w:lang w:val="en-AU"/>
        </w:rPr>
        <w:t xml:space="preserve"> support in implementation of the WPEA project in Viet Nam. The project has significantly contributed to an understanding of the Commission’s work and to improving tuna fisheries management in Viet Nam, particularly for tuna data collection and capacity building. Viet Nam now has data collection systems at most landing sites of tuna fisheries, and a strong collaboration among project implementation countries. </w:t>
      </w:r>
    </w:p>
    <w:p w14:paraId="78A0CBB9"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1F8DF71D" w14:textId="4996FEB5"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US noted the importance of the project in building capacity and collating data in the three countries and asked what would happen when the project is completed. </w:t>
      </w:r>
      <w:r w:rsidR="003B2E84">
        <w:rPr>
          <w:rFonts w:ascii="Times New Roman" w:hAnsi="Times New Roman" w:hint="eastAsia"/>
          <w:lang w:val="en-AU" w:eastAsia="ko-KR"/>
        </w:rPr>
        <w:t>S. Soh</w:t>
      </w:r>
      <w:r w:rsidRPr="009C2ADD">
        <w:rPr>
          <w:rFonts w:ascii="Times New Roman" w:hAnsi="Times New Roman"/>
          <w:lang w:val="en-AU"/>
        </w:rPr>
        <w:t xml:space="preserve"> reported that New Zealand had offered to fund the continuation of </w:t>
      </w:r>
      <w:r w:rsidR="003B2E84">
        <w:rPr>
          <w:rFonts w:ascii="Times New Roman" w:hAnsi="Times New Roman" w:hint="eastAsia"/>
          <w:lang w:val="en-AU" w:eastAsia="ko-KR"/>
        </w:rPr>
        <w:t xml:space="preserve">key </w:t>
      </w:r>
      <w:r w:rsidRPr="009C2ADD">
        <w:rPr>
          <w:rFonts w:ascii="Times New Roman" w:hAnsi="Times New Roman"/>
          <w:lang w:val="en-AU"/>
        </w:rPr>
        <w:t>elements of the project.</w:t>
      </w:r>
    </w:p>
    <w:p w14:paraId="61DE8F88"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244DCB0F" w14:textId="40B64703"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Palau, for PNA, thanked Philippines for the report on the effect of different net depths.  PNA would like to record that </w:t>
      </w:r>
      <w:r w:rsidR="006D30C3">
        <w:rPr>
          <w:rFonts w:ascii="Times New Roman" w:hAnsi="Times New Roman" w:hint="eastAsia"/>
          <w:lang w:val="en-AU" w:eastAsia="ko-KR"/>
        </w:rPr>
        <w:t>it</w:t>
      </w:r>
      <w:r w:rsidR="006D30C3" w:rsidRPr="009C2ADD">
        <w:rPr>
          <w:rFonts w:ascii="Times New Roman" w:hAnsi="Times New Roman"/>
          <w:lang w:val="en-AU"/>
        </w:rPr>
        <w:t xml:space="preserve"> </w:t>
      </w:r>
      <w:r w:rsidRPr="009C2ADD">
        <w:rPr>
          <w:rFonts w:ascii="Times New Roman" w:hAnsi="Times New Roman"/>
          <w:lang w:val="en-AU"/>
        </w:rPr>
        <w:t>do</w:t>
      </w:r>
      <w:r w:rsidR="006D30C3">
        <w:rPr>
          <w:rFonts w:ascii="Times New Roman" w:hAnsi="Times New Roman" w:hint="eastAsia"/>
          <w:lang w:val="en-AU" w:eastAsia="ko-KR"/>
        </w:rPr>
        <w:t>es</w:t>
      </w:r>
      <w:r w:rsidRPr="009C2ADD">
        <w:rPr>
          <w:rFonts w:ascii="Times New Roman" w:hAnsi="Times New Roman"/>
          <w:lang w:val="en-AU"/>
        </w:rPr>
        <w:t xml:space="preserve"> not consider that IP-04 establishes that the net depth limit applied by Philippines has the equivalent effect of a 3 month FAD closure in reducing bigeye catches and fishing mortality as a compatible measure to the FAD closure and we look forward to further discussion on this work.</w:t>
      </w:r>
    </w:p>
    <w:p w14:paraId="5773C8C7" w14:textId="77777777" w:rsidR="00041CD9" w:rsidRPr="009C2ADD" w:rsidRDefault="00041CD9" w:rsidP="009C2ADD">
      <w:pPr>
        <w:adjustRightInd w:val="0"/>
        <w:snapToGrid w:val="0"/>
        <w:spacing w:after="0"/>
        <w:ind w:left="720"/>
        <w:rPr>
          <w:rFonts w:ascii="Times New Roman" w:hAnsi="Times New Roman"/>
          <w:iCs/>
          <w:lang w:val="en-US"/>
        </w:rPr>
      </w:pPr>
    </w:p>
    <w:p w14:paraId="0FEA5B54" w14:textId="32354B65" w:rsidR="00041CD9" w:rsidRPr="009C2ADD" w:rsidRDefault="0028464D" w:rsidP="009C2ADD">
      <w:pPr>
        <w:pStyle w:val="Heading2"/>
        <w:adjustRightInd w:val="0"/>
        <w:snapToGrid w:val="0"/>
        <w:rPr>
          <w:rFonts w:eastAsiaTheme="minorEastAsia"/>
          <w:color w:val="auto"/>
          <w:szCs w:val="22"/>
          <w:lang w:val="en-AU" w:eastAsia="ko-KR"/>
        </w:rPr>
      </w:pPr>
      <w:bookmarkStart w:id="140" w:name="_Toc491851836"/>
      <w:bookmarkStart w:id="141" w:name="_Hlk490753223"/>
      <w:r w:rsidRPr="009C2ADD">
        <w:rPr>
          <w:color w:val="auto"/>
          <w:szCs w:val="22"/>
          <w:lang w:val="en-AU"/>
        </w:rPr>
        <w:t xml:space="preserve">7.2 </w:t>
      </w:r>
      <w:r w:rsidR="002979F4" w:rsidRPr="009C2ADD">
        <w:rPr>
          <w:color w:val="auto"/>
          <w:szCs w:val="22"/>
          <w:lang w:val="en-AU"/>
        </w:rPr>
        <w:tab/>
      </w:r>
      <w:r w:rsidR="00041CD9" w:rsidRPr="009C2ADD">
        <w:rPr>
          <w:color w:val="auto"/>
          <w:szCs w:val="22"/>
          <w:lang w:val="en-AU"/>
        </w:rPr>
        <w:t>Pacific Tuna Tagging Project</w:t>
      </w:r>
      <w:bookmarkEnd w:id="140"/>
      <w:r w:rsidR="00041CD9" w:rsidRPr="009C2ADD">
        <w:rPr>
          <w:color w:val="auto"/>
          <w:szCs w:val="22"/>
          <w:lang w:val="en-AU"/>
        </w:rPr>
        <w:t xml:space="preserve">  </w:t>
      </w:r>
      <w:bookmarkEnd w:id="141"/>
    </w:p>
    <w:p w14:paraId="79A23B73" w14:textId="77777777" w:rsidR="007A3E34" w:rsidRPr="009C2ADD" w:rsidRDefault="007A3E34" w:rsidP="009C2ADD">
      <w:pPr>
        <w:adjustRightInd w:val="0"/>
        <w:snapToGrid w:val="0"/>
        <w:spacing w:after="0"/>
        <w:rPr>
          <w:rFonts w:ascii="Times New Roman" w:hAnsi="Times New Roman"/>
          <w:lang w:val="en-AU" w:eastAsia="ko-KR"/>
        </w:rPr>
      </w:pPr>
    </w:p>
    <w:p w14:paraId="2CBE619C" w14:textId="2BCF0F1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P</w:t>
      </w:r>
      <w:r w:rsidR="00454C07">
        <w:rPr>
          <w:rFonts w:ascii="Times New Roman" w:hAnsi="Times New Roman" w:hint="eastAsia"/>
          <w:lang w:val="en-AU" w:eastAsia="ko-KR"/>
        </w:rPr>
        <w:t>.</w:t>
      </w:r>
      <w:r w:rsidRPr="009C2ADD">
        <w:rPr>
          <w:rFonts w:ascii="Times New Roman" w:hAnsi="Times New Roman"/>
          <w:lang w:val="en-AU"/>
        </w:rPr>
        <w:t xml:space="preserve"> Williams (SPC-OFP) presented </w:t>
      </w:r>
      <w:r w:rsidRPr="0070772D">
        <w:rPr>
          <w:rFonts w:ascii="Times New Roman" w:hAnsi="Times New Roman"/>
          <w:bCs/>
          <w:lang w:val="en-AU"/>
        </w:rPr>
        <w:t>SC13-RP-PTTP-02</w:t>
      </w:r>
      <w:r w:rsidRPr="009C2ADD">
        <w:rPr>
          <w:rFonts w:ascii="Times New Roman" w:hAnsi="Times New Roman"/>
          <w:lang w:val="en-AU"/>
        </w:rPr>
        <w:t xml:space="preserve"> </w:t>
      </w:r>
      <w:r w:rsidRPr="009C2ADD">
        <w:rPr>
          <w:rFonts w:ascii="Times New Roman" w:hAnsi="Times New Roman"/>
          <w:i/>
          <w:lang w:val="en-AU"/>
        </w:rPr>
        <w:t>Pacific Tuna Tagging Project Report and Workplan for 2017-2021</w:t>
      </w:r>
      <w:r w:rsidRPr="009C2ADD">
        <w:rPr>
          <w:rFonts w:ascii="Times New Roman" w:hAnsi="Times New Roman"/>
          <w:lang w:val="en-AU"/>
        </w:rPr>
        <w:t xml:space="preserve">. This report provides background on the PTTP to date, and covers the tagging activities undertaken in 2016-17 under the banner of the PTTP including research voyages, tag recoveries, tag recovery and tag seeding activities, and tagging related analyses. Issues arising in 2017 for PTTP steering committee consideration are highlighted. The PTTP work planned for 2017-2020 is outlined and an agenda for the 2017 meeting of the PTTP steering committee is provided. </w:t>
      </w:r>
    </w:p>
    <w:p w14:paraId="419A2640" w14:textId="77777777" w:rsidR="002979F4" w:rsidRPr="009C2ADD" w:rsidRDefault="002979F4" w:rsidP="009C2ADD">
      <w:pPr>
        <w:autoSpaceDE w:val="0"/>
        <w:autoSpaceDN w:val="0"/>
        <w:adjustRightInd w:val="0"/>
        <w:snapToGrid w:val="0"/>
        <w:spacing w:after="0"/>
        <w:rPr>
          <w:rFonts w:ascii="Times New Roman" w:hAnsi="Times New Roman"/>
          <w:lang w:val="en-AU"/>
        </w:rPr>
      </w:pPr>
    </w:p>
    <w:p w14:paraId="1EB36B13"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Since SC12 (SPC-OFP, 2016), PTTP activities have included two troll/handline cruises, CP12 in the Western Pacific, and a tagging trial cruise in PNG waters, continued implementation and refinement of tag recovery processes and tag seeding, data preparation for use in the post-SC additional analyses conducted on the skipjack stock assessment, and data preparation for use in the yellowfin and bigeye tuna stock assessments in 2017.   </w:t>
      </w:r>
    </w:p>
    <w:p w14:paraId="723B39B4" w14:textId="77777777" w:rsidR="002979F4" w:rsidRPr="009C2ADD" w:rsidRDefault="002979F4" w:rsidP="009C2ADD">
      <w:pPr>
        <w:pStyle w:val="ListParagraph"/>
        <w:adjustRightInd w:val="0"/>
        <w:snapToGrid w:val="0"/>
        <w:contextualSpacing w:val="0"/>
        <w:rPr>
          <w:rFonts w:ascii="Times New Roman" w:hAnsi="Times New Roman"/>
          <w:lang w:val="en-AU"/>
        </w:rPr>
      </w:pPr>
    </w:p>
    <w:p w14:paraId="641F83BA" w14:textId="124E5E20" w:rsidR="00041CD9" w:rsidRPr="009C2ADD" w:rsidRDefault="00041CD9" w:rsidP="0070772D">
      <w:pPr>
        <w:numPr>
          <w:ilvl w:val="0"/>
          <w:numId w:val="1"/>
        </w:numPr>
        <w:autoSpaceDE w:val="0"/>
        <w:autoSpaceDN w:val="0"/>
        <w:adjustRightInd w:val="0"/>
        <w:snapToGrid w:val="0"/>
        <w:spacing w:after="0"/>
        <w:ind w:left="0" w:firstLine="0"/>
        <w:jc w:val="left"/>
        <w:rPr>
          <w:rFonts w:ascii="Times New Roman" w:hAnsi="Times New Roman"/>
          <w:lang w:val="en-AU"/>
        </w:rPr>
      </w:pPr>
      <w:r w:rsidRPr="009C2ADD">
        <w:rPr>
          <w:rFonts w:ascii="Times New Roman" w:hAnsi="Times New Roman"/>
          <w:lang w:val="en-AU"/>
        </w:rPr>
        <w:t xml:space="preserve">The Pacific areas covered by the different tagging cruises implemented since 2006 are shown in Figure </w:t>
      </w:r>
      <w:r w:rsidR="002E4D1A">
        <w:rPr>
          <w:rFonts w:ascii="Times New Roman" w:hAnsi="Times New Roman"/>
          <w:lang w:val="en-AU"/>
        </w:rPr>
        <w:t>PTTP-</w:t>
      </w:r>
      <w:r w:rsidRPr="009C2ADD">
        <w:rPr>
          <w:rFonts w:ascii="Times New Roman" w:hAnsi="Times New Roman"/>
          <w:lang w:val="en-AU"/>
        </w:rPr>
        <w:t xml:space="preserve">1. Although there are noticeable gaps in coverage in the extreme east and west of the area, and in the southern latitudes, these are a direct result of the PTTP focus on the tropical tunas, and undertaking research voyages in areas and with methods with appropriate catch rates for research purposes. </w:t>
      </w:r>
    </w:p>
    <w:p w14:paraId="57C3B3EF" w14:textId="77777777" w:rsidR="002979F4" w:rsidRDefault="002979F4" w:rsidP="009C2ADD">
      <w:pPr>
        <w:pStyle w:val="ListParagraph"/>
        <w:adjustRightInd w:val="0"/>
        <w:snapToGrid w:val="0"/>
        <w:contextualSpacing w:val="0"/>
        <w:rPr>
          <w:rFonts w:ascii="Times New Roman" w:hAnsi="Times New Roman"/>
          <w:lang w:val="en-AU"/>
        </w:rPr>
      </w:pPr>
    </w:p>
    <w:p w14:paraId="637DA34D" w14:textId="102B72EA" w:rsidR="002E4D1A" w:rsidRDefault="002E4D1A" w:rsidP="0070772D">
      <w:pPr>
        <w:pStyle w:val="ListParagraph"/>
        <w:adjustRightInd w:val="0"/>
        <w:snapToGrid w:val="0"/>
        <w:contextualSpacing w:val="0"/>
        <w:jc w:val="center"/>
        <w:rPr>
          <w:rFonts w:ascii="Times New Roman" w:hAnsi="Times New Roman"/>
          <w:lang w:val="en-AU"/>
        </w:rPr>
      </w:pPr>
      <w:r>
        <w:rPr>
          <w:rFonts w:ascii="Times New Roman" w:hAnsi="Times New Roman"/>
          <w:noProof/>
          <w:lang w:val="en-US" w:eastAsia="ko-KR"/>
        </w:rPr>
        <w:drawing>
          <wp:inline distT="0" distB="0" distL="0" distR="0" wp14:anchorId="6DE4403D" wp14:editId="3C25EE34">
            <wp:extent cx="4848045" cy="285806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PTTP-1.jpg"/>
                    <pic:cNvPicPr/>
                  </pic:nvPicPr>
                  <pic:blipFill>
                    <a:blip r:embed="rId92">
                      <a:extLst>
                        <a:ext uri="{28A0092B-C50C-407E-A947-70E740481C1C}">
                          <a14:useLocalDpi xmlns:a14="http://schemas.microsoft.com/office/drawing/2010/main" val="0"/>
                        </a:ext>
                      </a:extLst>
                    </a:blip>
                    <a:stretch>
                      <a:fillRect/>
                    </a:stretch>
                  </pic:blipFill>
                  <pic:spPr>
                    <a:xfrm>
                      <a:off x="0" y="0"/>
                      <a:ext cx="4848045" cy="2858068"/>
                    </a:xfrm>
                    <a:prstGeom prst="rect">
                      <a:avLst/>
                    </a:prstGeom>
                  </pic:spPr>
                </pic:pic>
              </a:graphicData>
            </a:graphic>
          </wp:inline>
        </w:drawing>
      </w:r>
    </w:p>
    <w:p w14:paraId="16300527" w14:textId="701272FC" w:rsidR="002E4D1A" w:rsidRPr="002E4D1A" w:rsidRDefault="002E4D1A" w:rsidP="0070772D">
      <w:pPr>
        <w:pStyle w:val="ListParagraph"/>
        <w:adjustRightInd w:val="0"/>
        <w:snapToGrid w:val="0"/>
        <w:ind w:left="0" w:firstLine="0"/>
        <w:contextualSpacing w:val="0"/>
        <w:rPr>
          <w:rFonts w:ascii="Times New Roman" w:hAnsi="Times New Roman"/>
          <w:lang w:val="en-AU"/>
        </w:rPr>
      </w:pPr>
      <w:r w:rsidRPr="0070772D">
        <w:rPr>
          <w:rFonts w:ascii="Times New Roman" w:hAnsi="Times New Roman"/>
          <w:b/>
          <w:bCs/>
          <w:lang w:val="en-AU"/>
        </w:rPr>
        <w:t>Figure PTTP-1.</w:t>
      </w:r>
      <w:r w:rsidRPr="002E4D1A">
        <w:rPr>
          <w:rFonts w:ascii="Times New Roman" w:hAnsi="Times New Roman"/>
          <w:lang w:val="en-AU"/>
        </w:rPr>
        <w:t xml:space="preserve"> </w:t>
      </w:r>
      <w:r w:rsidRPr="0070772D">
        <w:rPr>
          <w:rFonts w:ascii="Times New Roman" w:hAnsi="Times New Roman"/>
        </w:rPr>
        <w:t xml:space="preserve">Tagging vessel tracks for all cruises for all PTTP research voyages to date. Legend relates to the operational areas described in Table 1 in </w:t>
      </w:r>
      <w:r w:rsidRPr="0070772D">
        <w:rPr>
          <w:rFonts w:ascii="Times New Roman" w:hAnsi="Times New Roman"/>
          <w:lang w:val="en-AU"/>
        </w:rPr>
        <w:t>SC13-RP-PTTP-02.</w:t>
      </w:r>
    </w:p>
    <w:p w14:paraId="0ED23399" w14:textId="77777777" w:rsidR="002E4D1A" w:rsidRPr="009C2ADD" w:rsidRDefault="002E4D1A" w:rsidP="009C2ADD">
      <w:pPr>
        <w:pStyle w:val="ListParagraph"/>
        <w:adjustRightInd w:val="0"/>
        <w:snapToGrid w:val="0"/>
        <w:contextualSpacing w:val="0"/>
        <w:rPr>
          <w:rFonts w:ascii="Times New Roman" w:hAnsi="Times New Roman"/>
          <w:lang w:val="en-AU"/>
        </w:rPr>
      </w:pPr>
    </w:p>
    <w:p w14:paraId="280D6FE2" w14:textId="4C363DA4"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This Pacific Tuna Tagging Programme (PTTP) report provides background on the PTTP to date, and covers the tagging activities undertaken in 2016-17 under the banner of the PTTP including research voyages, tag recoveries and tag seeding activities, and tagging related analyses. Issues arising in 2017 for PTTP steering committee consideration are highlighted. The PTTP work planned for 2017-2020 is outlined and an agenda for the 2017 meeting of the PTTP steering committee is provided. </w:t>
      </w:r>
    </w:p>
    <w:p w14:paraId="5EAD05C7"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21006AD1" w14:textId="2DEFFEBB"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On behalf of FFA </w:t>
      </w:r>
      <w:r w:rsidR="00D5432C">
        <w:rPr>
          <w:rFonts w:ascii="Times New Roman" w:hAnsi="Times New Roman"/>
          <w:lang w:val="en-AU"/>
        </w:rPr>
        <w:t>member</w:t>
      </w:r>
      <w:r w:rsidRPr="009C2ADD">
        <w:rPr>
          <w:rFonts w:ascii="Times New Roman" w:hAnsi="Times New Roman"/>
          <w:lang w:val="en-AU"/>
        </w:rPr>
        <w:t>s, PNG acknowledged the valuable data provided through Pacific Tuna Tagging Programmes, and noted that tuna tagging data were likely t</w:t>
      </w:r>
      <w:r w:rsidR="000A5432" w:rsidRPr="009C2ADD">
        <w:rPr>
          <w:rFonts w:ascii="Times New Roman" w:hAnsi="Times New Roman"/>
          <w:lang w:val="en-AU"/>
        </w:rPr>
        <w:t>o become even more important as</w:t>
      </w:r>
      <w:r w:rsidRPr="009C2ADD">
        <w:rPr>
          <w:rFonts w:ascii="Times New Roman" w:hAnsi="Times New Roman"/>
          <w:lang w:val="en-AU"/>
        </w:rPr>
        <w:t xml:space="preserve"> WCPFC begins to tackle questions of connectivity and migration between different areas. Therefore, FFA </w:t>
      </w:r>
      <w:r w:rsidR="00D5432C">
        <w:rPr>
          <w:rFonts w:ascii="Times New Roman" w:hAnsi="Times New Roman"/>
          <w:lang w:val="en-AU"/>
        </w:rPr>
        <w:t>member</w:t>
      </w:r>
      <w:r w:rsidRPr="009C2ADD">
        <w:rPr>
          <w:rFonts w:ascii="Times New Roman" w:hAnsi="Times New Roman"/>
          <w:lang w:val="en-AU"/>
        </w:rPr>
        <w:t xml:space="preserve">s supported the PTTP and the SPC-recommended workplan for 2017-2020, which was recommended to the Commission by SC12.  They urged that opportunities continue to be made available for the participation of local scientists when possible to benefit from such tagging work (from tagging fish, data processing &amp; analyses and reporting) as part of the important work of regional capacity building.  In recognizing the importance of the tagging work and increasing difficulties of securing appropriate commercial vessels from which to conduct the work, FFA </w:t>
      </w:r>
      <w:r w:rsidR="00D5432C">
        <w:rPr>
          <w:rFonts w:ascii="Times New Roman" w:hAnsi="Times New Roman"/>
          <w:lang w:val="en-AU"/>
        </w:rPr>
        <w:t>member</w:t>
      </w:r>
      <w:r w:rsidRPr="009C2ADD">
        <w:rPr>
          <w:rFonts w:ascii="Times New Roman" w:hAnsi="Times New Roman"/>
          <w:lang w:val="en-AU"/>
        </w:rPr>
        <w:t xml:space="preserve">s also supported, in principle, the proposed study to evaluate the cost of acquiring a dedicated tuna research vessel versus the continued use of charter vessels for this tagging work. </w:t>
      </w:r>
    </w:p>
    <w:p w14:paraId="5F2315ED"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280E8A67" w14:textId="56B73CC3"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bookmarkStart w:id="142" w:name="_Hlk490753143"/>
      <w:r w:rsidRPr="009C2ADD">
        <w:rPr>
          <w:rFonts w:ascii="Times New Roman" w:hAnsi="Times New Roman"/>
          <w:lang w:val="en-AU"/>
        </w:rPr>
        <w:t xml:space="preserve">Australia noted that there had been a decrease in funding for the PTTP in recent years and asked for further information on the level of tagging release numbers in recent years compared to the release numbers when funding has been higher. They also asked about whether there was a spatial design on where tag releases occurred.  </w:t>
      </w:r>
      <w:r w:rsidR="00DD5D55" w:rsidRPr="0070772D">
        <w:rPr>
          <w:rFonts w:ascii="Times New Roman" w:hAnsi="Times New Roman" w:hint="eastAsia"/>
          <w:lang w:val="en-AU" w:eastAsia="ko-KR"/>
        </w:rPr>
        <w:t>P.</w:t>
      </w:r>
      <w:r w:rsidR="00DD5D55" w:rsidRPr="0070772D">
        <w:rPr>
          <w:rFonts w:ascii="Times New Roman" w:hAnsi="Times New Roman"/>
          <w:lang w:val="en-AU"/>
        </w:rPr>
        <w:t xml:space="preserve"> </w:t>
      </w:r>
      <w:r w:rsidRPr="0070772D">
        <w:rPr>
          <w:rFonts w:ascii="Times New Roman" w:hAnsi="Times New Roman"/>
          <w:lang w:val="en-AU"/>
        </w:rPr>
        <w:t xml:space="preserve">Williams noted that since the large scale </w:t>
      </w:r>
      <w:r w:rsidR="00065AF9" w:rsidRPr="0070772D">
        <w:rPr>
          <w:rFonts w:ascii="Times New Roman" w:hAnsi="Times New Roman" w:hint="eastAsia"/>
          <w:lang w:val="en-AU" w:eastAsia="ko-KR"/>
        </w:rPr>
        <w:t>p</w:t>
      </w:r>
      <w:r w:rsidRPr="0070772D">
        <w:rPr>
          <w:rFonts w:ascii="Times New Roman" w:hAnsi="Times New Roman"/>
          <w:lang w:val="en-AU"/>
        </w:rPr>
        <w:t xml:space="preserve">ole and </w:t>
      </w:r>
      <w:r w:rsidR="00065AF9" w:rsidRPr="0070772D">
        <w:rPr>
          <w:rFonts w:ascii="Times New Roman" w:hAnsi="Times New Roman" w:hint="eastAsia"/>
          <w:lang w:val="en-AU" w:eastAsia="ko-KR"/>
        </w:rPr>
        <w:t>l</w:t>
      </w:r>
      <w:r w:rsidRPr="0070772D">
        <w:rPr>
          <w:rFonts w:ascii="Times New Roman" w:hAnsi="Times New Roman"/>
          <w:lang w:val="en-AU"/>
        </w:rPr>
        <w:t>ine taggin</w:t>
      </w:r>
      <w:r w:rsidR="000A5432" w:rsidRPr="0070772D">
        <w:rPr>
          <w:rFonts w:ascii="Times New Roman" w:hAnsi="Times New Roman"/>
          <w:lang w:val="en-AU"/>
        </w:rPr>
        <w:t>g release program that ended in</w:t>
      </w:r>
      <w:r w:rsidRPr="0070772D">
        <w:rPr>
          <w:rFonts w:ascii="Times New Roman" w:hAnsi="Times New Roman"/>
          <w:lang w:val="en-AU"/>
        </w:rPr>
        <w:t xml:space="preserve"> 2013, releases of around </w:t>
      </w:r>
      <w:r w:rsidR="00230FD9" w:rsidRPr="0070772D">
        <w:rPr>
          <w:rFonts w:ascii="Times New Roman" w:hAnsi="Times New Roman" w:hint="eastAsia"/>
          <w:lang w:val="en-AU" w:eastAsia="ko-KR"/>
        </w:rPr>
        <w:t>34,400</w:t>
      </w:r>
      <w:r w:rsidRPr="0070772D">
        <w:rPr>
          <w:rFonts w:ascii="Times New Roman" w:hAnsi="Times New Roman"/>
          <w:lang w:val="en-AU"/>
        </w:rPr>
        <w:t>, primarily via the bigeye tu</w:t>
      </w:r>
      <w:r w:rsidR="008C6AF9" w:rsidRPr="0070772D">
        <w:rPr>
          <w:rFonts w:ascii="Times New Roman" w:hAnsi="Times New Roman"/>
          <w:lang w:val="en-AU"/>
        </w:rPr>
        <w:t xml:space="preserve">na </w:t>
      </w:r>
      <w:r w:rsidR="00B46964" w:rsidRPr="0070772D">
        <w:rPr>
          <w:rFonts w:ascii="Times New Roman" w:hAnsi="Times New Roman" w:hint="eastAsia"/>
          <w:lang w:val="en-AU" w:eastAsia="ko-KR"/>
        </w:rPr>
        <w:t>longliner</w:t>
      </w:r>
      <w:r w:rsidR="00B46964" w:rsidRPr="0070772D">
        <w:rPr>
          <w:rFonts w:ascii="Times New Roman" w:hAnsi="Times New Roman"/>
          <w:lang w:val="en-AU"/>
        </w:rPr>
        <w:t xml:space="preserve"> </w:t>
      </w:r>
      <w:r w:rsidR="008C6AF9" w:rsidRPr="0070772D">
        <w:rPr>
          <w:rFonts w:ascii="Times New Roman" w:hAnsi="Times New Roman"/>
          <w:lang w:val="en-AU"/>
        </w:rPr>
        <w:t>had continued</w:t>
      </w:r>
      <w:r w:rsidR="008C6AF9" w:rsidRPr="008C7660">
        <w:rPr>
          <w:rFonts w:ascii="Times New Roman" w:hAnsi="Times New Roman"/>
          <w:lang w:val="en-AU"/>
        </w:rPr>
        <w:t>. 10</w:t>
      </w:r>
      <w:r w:rsidR="00230FD9" w:rsidRPr="0070772D">
        <w:rPr>
          <w:rFonts w:ascii="Times New Roman" w:hAnsi="Times New Roman" w:hint="eastAsia"/>
          <w:lang w:val="en-AU" w:eastAsia="ko-KR"/>
        </w:rPr>
        <w:t>,000</w:t>
      </w:r>
      <w:r w:rsidR="008C6AF9" w:rsidRPr="009C2ADD">
        <w:rPr>
          <w:rFonts w:ascii="Times New Roman" w:hAnsi="Times New Roman"/>
          <w:lang w:val="en-AU"/>
        </w:rPr>
        <w:t>-20000 tagging release</w:t>
      </w:r>
      <w:r w:rsidRPr="009C2ADD">
        <w:rPr>
          <w:rFonts w:ascii="Times New Roman" w:hAnsi="Times New Roman"/>
          <w:lang w:val="en-AU"/>
        </w:rPr>
        <w:t xml:space="preserve"> was planned for the forthcom</w:t>
      </w:r>
      <w:r w:rsidR="008C6AF9" w:rsidRPr="009C2ADD">
        <w:rPr>
          <w:rFonts w:ascii="Times New Roman" w:hAnsi="Times New Roman"/>
          <w:lang w:val="en-AU"/>
        </w:rPr>
        <w:t xml:space="preserve">ing cruise for </w:t>
      </w:r>
      <w:r w:rsidR="00230FD9">
        <w:rPr>
          <w:rFonts w:ascii="Times New Roman" w:hAnsi="Times New Roman" w:hint="eastAsia"/>
          <w:lang w:val="en-AU" w:eastAsia="ko-KR"/>
        </w:rPr>
        <w:t>p</w:t>
      </w:r>
      <w:r w:rsidR="00230FD9" w:rsidRPr="009C2ADD">
        <w:rPr>
          <w:rFonts w:ascii="Times New Roman" w:hAnsi="Times New Roman"/>
          <w:lang w:val="en-AU"/>
        </w:rPr>
        <w:t xml:space="preserve">ole </w:t>
      </w:r>
      <w:r w:rsidR="008C6AF9" w:rsidRPr="009C2ADD">
        <w:rPr>
          <w:rFonts w:ascii="Times New Roman" w:hAnsi="Times New Roman"/>
          <w:lang w:val="en-AU"/>
        </w:rPr>
        <w:t xml:space="preserve">and </w:t>
      </w:r>
      <w:r w:rsidR="00230FD9">
        <w:rPr>
          <w:rFonts w:ascii="Times New Roman" w:hAnsi="Times New Roman" w:hint="eastAsia"/>
          <w:lang w:val="en-AU" w:eastAsia="ko-KR"/>
        </w:rPr>
        <w:t>l</w:t>
      </w:r>
      <w:r w:rsidR="008C6AF9" w:rsidRPr="009C2ADD">
        <w:rPr>
          <w:rFonts w:ascii="Times New Roman" w:hAnsi="Times New Roman"/>
          <w:lang w:val="en-AU"/>
        </w:rPr>
        <w:t>ine. </w:t>
      </w:r>
      <w:r w:rsidRPr="009C2ADD">
        <w:rPr>
          <w:rFonts w:ascii="Times New Roman" w:hAnsi="Times New Roman"/>
          <w:lang w:val="en-AU"/>
        </w:rPr>
        <w:t>With re</w:t>
      </w:r>
      <w:r w:rsidR="008C6AF9" w:rsidRPr="009C2ADD">
        <w:rPr>
          <w:rFonts w:ascii="Times New Roman" w:hAnsi="Times New Roman"/>
          <w:lang w:val="en-AU"/>
        </w:rPr>
        <w:t>spect to spatial releases,</w:t>
      </w:r>
      <w:r w:rsidRPr="009C2ADD">
        <w:rPr>
          <w:rFonts w:ascii="Times New Roman" w:hAnsi="Times New Roman"/>
          <w:lang w:val="en-AU"/>
        </w:rPr>
        <w:t xml:space="preserve"> SPC said that </w:t>
      </w:r>
      <w:r w:rsidR="00D4452E">
        <w:rPr>
          <w:rFonts w:ascii="Times New Roman" w:hAnsi="Times New Roman"/>
          <w:lang w:val="en-AU"/>
        </w:rPr>
        <w:t>due</w:t>
      </w:r>
      <w:r w:rsidR="00D4452E" w:rsidRPr="009C2ADD">
        <w:rPr>
          <w:rFonts w:ascii="Times New Roman" w:hAnsi="Times New Roman"/>
          <w:lang w:val="en-AU"/>
        </w:rPr>
        <w:t xml:space="preserve"> </w:t>
      </w:r>
      <w:r w:rsidRPr="009C2ADD">
        <w:rPr>
          <w:rFonts w:ascii="Times New Roman" w:hAnsi="Times New Roman"/>
          <w:lang w:val="en-AU"/>
        </w:rPr>
        <w:t xml:space="preserve">to logistical reasons it attempted to maintain some consistency in tag release areas within funding available, but advised that there was a research project currently underway using simulation analyses which will provide some evaluation of the effectiveness of the current spatial design and guidance for improving the spatial design, if needed, in future years. </w:t>
      </w:r>
    </w:p>
    <w:p w14:paraId="5452B3F5" w14:textId="77777777" w:rsidR="00BA0E48" w:rsidRPr="009C2ADD" w:rsidRDefault="00BA0E48" w:rsidP="009C2ADD">
      <w:pPr>
        <w:pStyle w:val="ListParagraph"/>
        <w:adjustRightInd w:val="0"/>
        <w:snapToGrid w:val="0"/>
        <w:contextualSpacing w:val="0"/>
        <w:rPr>
          <w:rFonts w:ascii="Times New Roman" w:hAnsi="Times New Roman"/>
          <w:lang w:val="en-AU"/>
        </w:rPr>
      </w:pPr>
    </w:p>
    <w:bookmarkEnd w:id="142"/>
    <w:p w14:paraId="50E046EB"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Korea reported that it had willingly supported this very important project over the past years and hoped to continue some support beyond 2018. </w:t>
      </w:r>
    </w:p>
    <w:p w14:paraId="2A980921"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470D735F" w14:textId="5D86F9DE"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J</w:t>
      </w:r>
      <w:r w:rsidR="007E066D">
        <w:rPr>
          <w:rFonts w:ascii="Times New Roman" w:hAnsi="Times New Roman" w:hint="eastAsia"/>
          <w:lang w:val="en-AU" w:eastAsia="ko-KR"/>
        </w:rPr>
        <w:t>.</w:t>
      </w:r>
      <w:r w:rsidRPr="009C2ADD">
        <w:rPr>
          <w:rFonts w:ascii="Times New Roman" w:hAnsi="Times New Roman"/>
          <w:lang w:val="en-AU"/>
        </w:rPr>
        <w:t xml:space="preserve"> Hampton reported on the outcomes of the Pacific Tuna Tagging Programme (PTTP) Steering Committee meeting, held on 10 August 2017 (</w:t>
      </w:r>
      <w:r w:rsidRPr="0070772D">
        <w:rPr>
          <w:rFonts w:ascii="Times New Roman" w:hAnsi="Times New Roman"/>
          <w:bCs/>
          <w:lang w:val="en-AU"/>
        </w:rPr>
        <w:t>SC13-RP-PTTP-01</w:t>
      </w:r>
      <w:r w:rsidRPr="009C2ADD">
        <w:rPr>
          <w:rFonts w:ascii="Times New Roman" w:hAnsi="Times New Roman"/>
          <w:lang w:val="en-AU"/>
        </w:rPr>
        <w:t xml:space="preserve">).  Over the past year, the PTTP has conducted a successful tagging cruise, CP12, tagging primarily bigeye tuna in the vicinity of drifting FADs in and around the high seas pocket bordering FSM, </w:t>
      </w:r>
      <w:r w:rsidR="00B177F7">
        <w:rPr>
          <w:rFonts w:ascii="Times New Roman" w:hAnsi="Times New Roman" w:hint="eastAsia"/>
          <w:lang w:val="en-AU" w:eastAsia="ko-KR"/>
        </w:rPr>
        <w:t>RMI</w:t>
      </w:r>
      <w:r w:rsidRPr="009C2ADD">
        <w:rPr>
          <w:rFonts w:ascii="Times New Roman" w:hAnsi="Times New Roman"/>
          <w:lang w:val="en-AU"/>
        </w:rPr>
        <w:t>, Nauru, Kiribati, Tuvalu, Solomon Islands and PNG and continued to acquire, process and analyse tag-return data, including their incorporation into recent stock assessments of skipjack, bigeye and yellowfin tuna.</w:t>
      </w:r>
    </w:p>
    <w:p w14:paraId="7A455825"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6A0FE0B8"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PTTP Steering Committee adopted a work plan for 2017-2010, which consists of two tagging cruises targeting skipjack and yellowfin (in 2017 and 2019) and bigeye tuna (in 2018 and 2020). The work plan also includes continued tag recovery, tag-return data verification, analysis and modelling (including use of a new simulator to test tag-release designs) and, subject to funding, conducting a study to assess the cost-effectiveness of acquiring and running a dedicated tagging vessel. </w:t>
      </w:r>
    </w:p>
    <w:p w14:paraId="08FFE45F"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7E2CF18B" w14:textId="1C9E9819" w:rsidR="00041CD9" w:rsidRPr="009C2ADD" w:rsidRDefault="00041CD9" w:rsidP="009C2ADD">
      <w:pPr>
        <w:pStyle w:val="WCPFC"/>
        <w:adjustRightInd w:val="0"/>
        <w:spacing w:after="0"/>
        <w:rPr>
          <w:b/>
          <w:lang w:val="en-AU"/>
        </w:rPr>
      </w:pPr>
      <w:r w:rsidRPr="009C2ADD">
        <w:rPr>
          <w:b/>
          <w:lang w:val="en-AU"/>
        </w:rPr>
        <w:t>The Scientific Committee endorsed t</w:t>
      </w:r>
      <w:r w:rsidR="00BA0E48" w:rsidRPr="009C2ADD">
        <w:rPr>
          <w:b/>
          <w:lang w:val="en-AU"/>
        </w:rPr>
        <w:t>he PTTP work plan for 2017-2020, and supported:</w:t>
      </w:r>
    </w:p>
    <w:p w14:paraId="1D3B679F" w14:textId="701CB205" w:rsidR="00041CD9" w:rsidRPr="009C2ADD" w:rsidRDefault="00041CD9" w:rsidP="00001F31">
      <w:pPr>
        <w:numPr>
          <w:ilvl w:val="0"/>
          <w:numId w:val="185"/>
        </w:numPr>
        <w:adjustRightInd w:val="0"/>
        <w:snapToGrid w:val="0"/>
        <w:spacing w:after="0"/>
        <w:ind w:left="1080"/>
        <w:rPr>
          <w:rFonts w:ascii="Times New Roman" w:hAnsi="Times New Roman"/>
          <w:b/>
          <w:lang w:val="en-AU"/>
        </w:rPr>
      </w:pPr>
      <w:r w:rsidRPr="009C2ADD">
        <w:rPr>
          <w:rFonts w:ascii="Times New Roman" w:hAnsi="Times New Roman"/>
          <w:b/>
          <w:lang w:val="en-AU"/>
        </w:rPr>
        <w:t>the PTTP as par</w:t>
      </w:r>
      <w:r w:rsidR="00BA0E48" w:rsidRPr="009C2ADD">
        <w:rPr>
          <w:rFonts w:ascii="Times New Roman" w:hAnsi="Times New Roman"/>
          <w:b/>
          <w:lang w:val="en-AU"/>
        </w:rPr>
        <w:t>t of the ongoing work of the SC;</w:t>
      </w:r>
    </w:p>
    <w:p w14:paraId="0B02F7A3" w14:textId="72C0446A" w:rsidR="00041CD9" w:rsidRPr="009C2ADD" w:rsidRDefault="00041CD9" w:rsidP="00001F31">
      <w:pPr>
        <w:numPr>
          <w:ilvl w:val="0"/>
          <w:numId w:val="185"/>
        </w:numPr>
        <w:adjustRightInd w:val="0"/>
        <w:snapToGrid w:val="0"/>
        <w:spacing w:after="0"/>
        <w:ind w:left="1080"/>
        <w:rPr>
          <w:rFonts w:ascii="Times New Roman" w:hAnsi="Times New Roman"/>
          <w:b/>
          <w:lang w:val="en-AU"/>
        </w:rPr>
      </w:pPr>
      <w:r w:rsidRPr="009C2ADD">
        <w:rPr>
          <w:rFonts w:ascii="Times New Roman" w:hAnsi="Times New Roman"/>
          <w:b/>
          <w:lang w:val="en-AU"/>
        </w:rPr>
        <w:t>efforts to identify sustainable financing of the PTTP, through a combination of WCPFC budget support to the extent possible and voluntary contributions from WCPFC members or o</w:t>
      </w:r>
      <w:r w:rsidR="00BA0E48" w:rsidRPr="009C2ADD">
        <w:rPr>
          <w:rFonts w:ascii="Times New Roman" w:hAnsi="Times New Roman"/>
          <w:b/>
          <w:lang w:val="en-AU"/>
        </w:rPr>
        <w:t>ther stakeholders; and</w:t>
      </w:r>
    </w:p>
    <w:p w14:paraId="0BE2D686" w14:textId="550D8F5E" w:rsidR="00041CD9" w:rsidRPr="009C2ADD" w:rsidRDefault="00041CD9" w:rsidP="00001F31">
      <w:pPr>
        <w:numPr>
          <w:ilvl w:val="0"/>
          <w:numId w:val="185"/>
        </w:numPr>
        <w:adjustRightInd w:val="0"/>
        <w:snapToGrid w:val="0"/>
        <w:spacing w:after="0"/>
        <w:ind w:left="1080"/>
        <w:rPr>
          <w:rFonts w:ascii="Times New Roman" w:hAnsi="Times New Roman"/>
          <w:b/>
          <w:lang w:val="en-AU"/>
        </w:rPr>
      </w:pPr>
      <w:proofErr w:type="gramStart"/>
      <w:r w:rsidRPr="009C2ADD">
        <w:rPr>
          <w:rFonts w:ascii="Times New Roman" w:hAnsi="Times New Roman"/>
          <w:b/>
          <w:lang w:val="en-AU"/>
        </w:rPr>
        <w:t>an</w:t>
      </w:r>
      <w:proofErr w:type="gramEnd"/>
      <w:r w:rsidRPr="009C2ADD">
        <w:rPr>
          <w:rFonts w:ascii="Times New Roman" w:hAnsi="Times New Roman"/>
          <w:b/>
          <w:lang w:val="en-AU"/>
        </w:rPr>
        <w:t xml:space="preserve"> assessment of the cost-effectiveness of acquiring and running a dedicated tagging vessel.</w:t>
      </w:r>
    </w:p>
    <w:p w14:paraId="184C8FE6" w14:textId="77777777" w:rsidR="00C31FA6" w:rsidRPr="009C2ADD" w:rsidRDefault="00C31FA6" w:rsidP="009C2ADD">
      <w:pPr>
        <w:adjustRightInd w:val="0"/>
        <w:snapToGrid w:val="0"/>
        <w:spacing w:after="0"/>
        <w:rPr>
          <w:rFonts w:ascii="Times New Roman" w:hAnsi="Times New Roman"/>
          <w:b/>
          <w:lang w:val="en-AU"/>
        </w:rPr>
      </w:pPr>
    </w:p>
    <w:p w14:paraId="4C392D64" w14:textId="0441E28B" w:rsidR="00C31FA6" w:rsidRPr="009C2ADD" w:rsidRDefault="00C31FA6" w:rsidP="009C2ADD">
      <w:pPr>
        <w:pStyle w:val="Heading2"/>
        <w:adjustRightInd w:val="0"/>
        <w:snapToGrid w:val="0"/>
        <w:rPr>
          <w:rFonts w:eastAsiaTheme="minorEastAsia"/>
          <w:color w:val="auto"/>
          <w:szCs w:val="22"/>
          <w:lang w:val="en-AU" w:eastAsia="ko-KR"/>
        </w:rPr>
      </w:pPr>
      <w:bookmarkStart w:id="143" w:name="_Toc491851837"/>
      <w:r w:rsidRPr="009C2ADD">
        <w:rPr>
          <w:color w:val="auto"/>
          <w:szCs w:val="22"/>
          <w:lang w:val="en-AU"/>
        </w:rPr>
        <w:t xml:space="preserve">7.3 </w:t>
      </w:r>
      <w:r w:rsidR="00BA0E48" w:rsidRPr="009C2ADD">
        <w:rPr>
          <w:color w:val="auto"/>
          <w:szCs w:val="22"/>
          <w:lang w:val="en-AU"/>
        </w:rPr>
        <w:tab/>
      </w:r>
      <w:r w:rsidRPr="009C2ADD">
        <w:rPr>
          <w:color w:val="auto"/>
          <w:szCs w:val="22"/>
          <w:lang w:val="en-AU"/>
        </w:rPr>
        <w:t>ABNJ (Common Oceans) Tuna Project – Shark and Bycatch Components</w:t>
      </w:r>
      <w:bookmarkEnd w:id="143"/>
    </w:p>
    <w:p w14:paraId="3B4CC309" w14:textId="77777777" w:rsidR="007A3E34" w:rsidRPr="009C2ADD" w:rsidRDefault="007A3E34" w:rsidP="009C2ADD">
      <w:pPr>
        <w:adjustRightInd w:val="0"/>
        <w:snapToGrid w:val="0"/>
        <w:spacing w:after="0"/>
        <w:rPr>
          <w:rFonts w:ascii="Times New Roman" w:hAnsi="Times New Roman"/>
          <w:lang w:val="en-AU" w:eastAsia="ko-KR"/>
        </w:rPr>
      </w:pPr>
    </w:p>
    <w:p w14:paraId="488F3011" w14:textId="30B841D9" w:rsidR="00041CD9" w:rsidRPr="009C2ADD" w:rsidRDefault="00560F1C"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D4452E">
        <w:rPr>
          <w:rFonts w:ascii="Times New Roman" w:hAnsi="Times New Roman"/>
          <w:lang w:val="en-AU"/>
        </w:rPr>
        <w:t>.</w:t>
      </w:r>
      <w:r w:rsidRPr="009C2ADD">
        <w:rPr>
          <w:rFonts w:ascii="Times New Roman" w:hAnsi="Times New Roman"/>
          <w:lang w:val="en-AU"/>
        </w:rPr>
        <w:t xml:space="preserve"> Clarke presented</w:t>
      </w:r>
      <w:r w:rsidR="00041CD9" w:rsidRPr="009C2ADD">
        <w:rPr>
          <w:rFonts w:ascii="Times New Roman" w:hAnsi="Times New Roman"/>
          <w:lang w:val="en-AU"/>
        </w:rPr>
        <w:t xml:space="preserve"> </w:t>
      </w:r>
      <w:r w:rsidR="00041CD9" w:rsidRPr="0070772D">
        <w:rPr>
          <w:rFonts w:ascii="Times New Roman" w:hAnsi="Times New Roman"/>
          <w:bCs/>
          <w:lang w:val="en-AU"/>
        </w:rPr>
        <w:t>SC13- RP-ABNJ-01</w:t>
      </w:r>
      <w:r w:rsidR="00041CD9" w:rsidRPr="009C2ADD">
        <w:rPr>
          <w:rFonts w:ascii="Times New Roman" w:hAnsi="Times New Roman"/>
          <w:lang w:val="en-AU"/>
        </w:rPr>
        <w:t xml:space="preserve"> </w:t>
      </w:r>
      <w:r w:rsidR="00041CD9" w:rsidRPr="009C2ADD">
        <w:rPr>
          <w:rFonts w:ascii="Times New Roman" w:hAnsi="Times New Roman"/>
          <w:i/>
          <w:lang w:val="en-AU"/>
        </w:rPr>
        <w:t>Update on the Common Oceans (ABNJ) Tuna Project’s Shark and Bycatch Components 2016-2017</w:t>
      </w:r>
      <w:r w:rsidRPr="009C2ADD">
        <w:rPr>
          <w:rFonts w:ascii="Times New Roman" w:hAnsi="Times New Roman"/>
          <w:lang w:val="en-AU"/>
        </w:rPr>
        <w:t>.</w:t>
      </w:r>
      <w:r w:rsidR="00041CD9" w:rsidRPr="009C2ADD">
        <w:rPr>
          <w:rFonts w:ascii="Times New Roman" w:hAnsi="Times New Roman"/>
          <w:lang w:val="en-AU"/>
        </w:rPr>
        <w:t xml:space="preserve"> </w:t>
      </w:r>
      <w:r w:rsidR="0050437C">
        <w:rPr>
          <w:rFonts w:ascii="Times New Roman" w:hAnsi="Times New Roman" w:hint="eastAsia"/>
          <w:lang w:val="en-AU" w:eastAsia="ko-KR"/>
        </w:rPr>
        <w:t>S.</w:t>
      </w:r>
      <w:r w:rsidR="0050437C" w:rsidRPr="009C2ADD">
        <w:rPr>
          <w:rFonts w:ascii="Times New Roman" w:hAnsi="Times New Roman"/>
          <w:lang w:val="en-AU"/>
        </w:rPr>
        <w:t xml:space="preserve"> </w:t>
      </w:r>
      <w:r w:rsidR="00041CD9" w:rsidRPr="009C2ADD">
        <w:rPr>
          <w:rFonts w:ascii="Times New Roman" w:hAnsi="Times New Roman"/>
          <w:lang w:val="en-AU"/>
        </w:rPr>
        <w:t>Clarke also referred delegates to SC13-EB-IP-14 which reported on the outcomes of two Regional Seabird Bycatch Pre-assessment Workshops held in early 2017, and planned a data preparation workshop.</w:t>
      </w:r>
    </w:p>
    <w:p w14:paraId="6E9C965B"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3833D4BE" w14:textId="303E17D2" w:rsidR="00041CD9" w:rsidRDefault="004E50B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Australia</w:t>
      </w:r>
      <w:r>
        <w:rPr>
          <w:rFonts w:ascii="Times New Roman" w:hAnsi="Times New Roman"/>
          <w:lang w:val="en-AU"/>
        </w:rPr>
        <w:t xml:space="preserve"> thanked the presenter and the WCPFC and FAO team involved in the ABNJ Tuna Project for their work on sharks and sea turtles, and appreciated the opportunity to understand that the project also contained governance and illegal fishing components not led by the WCPFC.  </w:t>
      </w:r>
    </w:p>
    <w:p w14:paraId="4429FA31" w14:textId="77777777" w:rsidR="004E50B0" w:rsidRDefault="004E50B0" w:rsidP="0070772D">
      <w:pPr>
        <w:pStyle w:val="ListParagraph"/>
        <w:rPr>
          <w:rFonts w:ascii="Times New Roman" w:hAnsi="Times New Roman"/>
          <w:lang w:val="en-AU"/>
        </w:rPr>
      </w:pPr>
    </w:p>
    <w:p w14:paraId="62ADE4A8" w14:textId="238F6000" w:rsidR="004E50B0" w:rsidRDefault="004E50B0"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The</w:t>
      </w:r>
      <w:r w:rsidRPr="009C2ADD">
        <w:rPr>
          <w:rFonts w:ascii="Times New Roman" w:hAnsi="Times New Roman"/>
          <w:lang w:val="en-AU"/>
        </w:rPr>
        <w:t xml:space="preserve"> EU </w:t>
      </w:r>
      <w:r>
        <w:rPr>
          <w:rFonts w:ascii="Times New Roman" w:hAnsi="Times New Roman"/>
          <w:lang w:val="en-AU"/>
        </w:rPr>
        <w:t>echoed these comments and thanked the project for its contributions to bycatch issues.</w:t>
      </w:r>
    </w:p>
    <w:p w14:paraId="377B5896" w14:textId="77777777" w:rsidR="004E50B0" w:rsidRDefault="004E50B0" w:rsidP="0070772D">
      <w:pPr>
        <w:pStyle w:val="ListParagraph"/>
        <w:rPr>
          <w:rFonts w:ascii="Times New Roman" w:hAnsi="Times New Roman"/>
          <w:lang w:val="en-AU"/>
        </w:rPr>
      </w:pPr>
    </w:p>
    <w:p w14:paraId="4E629858" w14:textId="133B7A4A" w:rsidR="004E50B0" w:rsidRDefault="004E50B0"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lang w:val="en-AU"/>
        </w:rPr>
        <w:t xml:space="preserve">The </w:t>
      </w:r>
      <w:r w:rsidRPr="009C2ADD">
        <w:rPr>
          <w:rFonts w:ascii="Times New Roman" w:hAnsi="Times New Roman"/>
          <w:lang w:val="en-AU"/>
        </w:rPr>
        <w:t xml:space="preserve">USA </w:t>
      </w:r>
      <w:r>
        <w:rPr>
          <w:rFonts w:ascii="Times New Roman" w:hAnsi="Times New Roman"/>
          <w:lang w:val="en-AU"/>
        </w:rPr>
        <w:t xml:space="preserve">noted that the ABNJ Tuna Project had had a productive year, highlighting in particular the sea turtle workshop which compiled what </w:t>
      </w:r>
      <w:proofErr w:type="gramStart"/>
      <w:r>
        <w:rPr>
          <w:rFonts w:ascii="Times New Roman" w:hAnsi="Times New Roman"/>
          <w:lang w:val="en-AU"/>
        </w:rPr>
        <w:t>is</w:t>
      </w:r>
      <w:proofErr w:type="gramEnd"/>
      <w:r>
        <w:rPr>
          <w:rFonts w:ascii="Times New Roman" w:hAnsi="Times New Roman"/>
          <w:lang w:val="en-AU"/>
        </w:rPr>
        <w:t xml:space="preserve"> probably the largest dataset of its kind in the world, as well as the good results of the bigeye thresher and porbeagle shark assessments.  </w:t>
      </w:r>
    </w:p>
    <w:p w14:paraId="5245FB1F" w14:textId="77777777" w:rsidR="001F6690" w:rsidRDefault="001F6690" w:rsidP="0070772D">
      <w:pPr>
        <w:pStyle w:val="ListParagraph"/>
        <w:rPr>
          <w:rFonts w:ascii="Times New Roman" w:hAnsi="Times New Roman"/>
          <w:lang w:val="en-AU"/>
        </w:rPr>
      </w:pPr>
    </w:p>
    <w:p w14:paraId="277BC51F" w14:textId="6AA32FBE" w:rsidR="001F6690" w:rsidRPr="009C2ADD" w:rsidRDefault="001F6690"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Fiji also thanked the ABNJ Tuna Project team and looked forward to</w:t>
      </w:r>
      <w:r>
        <w:rPr>
          <w:rFonts w:ascii="Times New Roman" w:hAnsi="Times New Roman" w:hint="eastAsia"/>
          <w:lang w:val="en-AU" w:eastAsia="ko-KR"/>
        </w:rPr>
        <w:t xml:space="preserve"> </w:t>
      </w:r>
      <w:r>
        <w:rPr>
          <w:rFonts w:ascii="Times New Roman" w:hAnsi="Times New Roman"/>
          <w:lang w:val="en-AU" w:eastAsia="ko-KR"/>
        </w:rPr>
        <w:t>initiation</w:t>
      </w:r>
      <w:r>
        <w:rPr>
          <w:rFonts w:ascii="Times New Roman" w:hAnsi="Times New Roman" w:hint="eastAsia"/>
          <w:lang w:val="en-AU" w:eastAsia="ko-KR"/>
        </w:rPr>
        <w:t xml:space="preserve"> of</w:t>
      </w:r>
      <w:r w:rsidRPr="009C2ADD">
        <w:rPr>
          <w:rFonts w:ascii="Times New Roman" w:hAnsi="Times New Roman"/>
          <w:lang w:val="en-AU"/>
        </w:rPr>
        <w:t xml:space="preserve"> the </w:t>
      </w:r>
      <w:r>
        <w:rPr>
          <w:rFonts w:ascii="Times New Roman" w:hAnsi="Times New Roman" w:hint="eastAsia"/>
          <w:lang w:val="en-AU" w:eastAsia="ko-KR"/>
        </w:rPr>
        <w:t xml:space="preserve">shark post-release mortality </w:t>
      </w:r>
      <w:r w:rsidRPr="009C2ADD">
        <w:rPr>
          <w:rFonts w:ascii="Times New Roman" w:hAnsi="Times New Roman"/>
          <w:lang w:val="en-AU"/>
        </w:rPr>
        <w:t xml:space="preserve">tagging program planned </w:t>
      </w:r>
      <w:r>
        <w:rPr>
          <w:rFonts w:ascii="Times New Roman" w:hAnsi="Times New Roman" w:hint="eastAsia"/>
          <w:lang w:val="en-AU" w:eastAsia="ko-KR"/>
        </w:rPr>
        <w:t>to be launched in</w:t>
      </w:r>
      <w:r w:rsidRPr="009C2ADD">
        <w:rPr>
          <w:rFonts w:ascii="Times New Roman" w:hAnsi="Times New Roman"/>
          <w:lang w:val="en-AU"/>
        </w:rPr>
        <w:t xml:space="preserve"> Fiji </w:t>
      </w:r>
      <w:r>
        <w:rPr>
          <w:rFonts w:ascii="Times New Roman" w:hAnsi="Times New Roman" w:hint="eastAsia"/>
          <w:lang w:val="en-AU" w:eastAsia="ko-KR"/>
        </w:rPr>
        <w:t>soon</w:t>
      </w:r>
      <w:r w:rsidRPr="009C2ADD">
        <w:rPr>
          <w:rFonts w:ascii="Times New Roman" w:hAnsi="Times New Roman"/>
          <w:lang w:val="en-AU"/>
        </w:rPr>
        <w:t>.</w:t>
      </w:r>
    </w:p>
    <w:p w14:paraId="43897166"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37754B53" w14:textId="06A78BE0"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New Caledonia noted that shark</w:t>
      </w:r>
      <w:r w:rsidR="003B2E84">
        <w:rPr>
          <w:rFonts w:ascii="Times New Roman" w:hAnsi="Times New Roman" w:hint="eastAsia"/>
          <w:lang w:val="en-AU" w:eastAsia="ko-KR"/>
        </w:rPr>
        <w:t>s are</w:t>
      </w:r>
      <w:r w:rsidRPr="009C2ADD">
        <w:rPr>
          <w:rFonts w:ascii="Times New Roman" w:hAnsi="Times New Roman"/>
          <w:lang w:val="en-AU"/>
        </w:rPr>
        <w:t xml:space="preserve"> </w:t>
      </w:r>
      <w:r w:rsidR="00444E27" w:rsidRPr="009C2ADD">
        <w:rPr>
          <w:rFonts w:ascii="Times New Roman" w:hAnsi="Times New Roman"/>
          <w:lang w:val="en-AU"/>
        </w:rPr>
        <w:t>top</w:t>
      </w:r>
      <w:r w:rsidRPr="009C2ADD">
        <w:rPr>
          <w:rFonts w:ascii="Times New Roman" w:hAnsi="Times New Roman"/>
          <w:lang w:val="en-AU"/>
        </w:rPr>
        <w:t xml:space="preserve"> predator</w:t>
      </w:r>
      <w:r w:rsidR="003B2E84">
        <w:rPr>
          <w:rFonts w:ascii="Times New Roman" w:hAnsi="Times New Roman" w:hint="eastAsia"/>
          <w:lang w:val="en-AU" w:eastAsia="ko-KR"/>
        </w:rPr>
        <w:t>s</w:t>
      </w:r>
      <w:r w:rsidRPr="009C2ADD">
        <w:rPr>
          <w:rFonts w:ascii="Times New Roman" w:hAnsi="Times New Roman"/>
          <w:lang w:val="en-AU"/>
        </w:rPr>
        <w:t xml:space="preserve"> that </w:t>
      </w:r>
      <w:r w:rsidR="003B2E84">
        <w:rPr>
          <w:rFonts w:ascii="Times New Roman" w:hAnsi="Times New Roman" w:hint="eastAsia"/>
          <w:lang w:val="en-AU" w:eastAsia="ko-KR"/>
        </w:rPr>
        <w:t xml:space="preserve">the </w:t>
      </w:r>
      <w:r w:rsidRPr="009C2ADD">
        <w:rPr>
          <w:rFonts w:ascii="Times New Roman" w:hAnsi="Times New Roman"/>
          <w:lang w:val="en-AU"/>
        </w:rPr>
        <w:t xml:space="preserve">ocean needs to regulate the health of fish stock we fish all together. Moreover, shark is a very important component of the ancestral Melanesian, Oceanian and Micronesian culture.  We need maintain a healthy population of shark in our waters, it is our responsibility, </w:t>
      </w:r>
      <w:r w:rsidR="00444E27" w:rsidRPr="009C2ADD">
        <w:rPr>
          <w:rFonts w:ascii="Times New Roman" w:hAnsi="Times New Roman"/>
          <w:lang w:val="en-AU"/>
        </w:rPr>
        <w:t>and it</w:t>
      </w:r>
      <w:r w:rsidRPr="009C2ADD">
        <w:rPr>
          <w:rFonts w:ascii="Times New Roman" w:hAnsi="Times New Roman"/>
          <w:lang w:val="en-AU"/>
        </w:rPr>
        <w:t xml:space="preserve"> is the respons</w:t>
      </w:r>
      <w:r w:rsidR="001A6413" w:rsidRPr="009C2ADD">
        <w:rPr>
          <w:rFonts w:ascii="Times New Roman" w:hAnsi="Times New Roman"/>
          <w:lang w:val="en-AU"/>
        </w:rPr>
        <w:t>ibility for all of us. On these</w:t>
      </w:r>
      <w:r w:rsidR="004E50B0">
        <w:rPr>
          <w:rFonts w:ascii="Times New Roman" w:hAnsi="Times New Roman"/>
          <w:lang w:val="en-AU"/>
        </w:rPr>
        <w:t xml:space="preserve"> </w:t>
      </w:r>
      <w:r w:rsidRPr="009C2ADD">
        <w:rPr>
          <w:rFonts w:ascii="Times New Roman" w:hAnsi="Times New Roman"/>
          <w:lang w:val="en-AU"/>
        </w:rPr>
        <w:t>consideration</w:t>
      </w:r>
      <w:r w:rsidR="004E50B0">
        <w:rPr>
          <w:rFonts w:ascii="Times New Roman" w:hAnsi="Times New Roman"/>
          <w:lang w:val="en-AU"/>
        </w:rPr>
        <w:t>s</w:t>
      </w:r>
      <w:r w:rsidRPr="009C2ADD">
        <w:rPr>
          <w:rFonts w:ascii="Times New Roman" w:hAnsi="Times New Roman"/>
          <w:lang w:val="en-AU"/>
        </w:rPr>
        <w:t xml:space="preserve">, in 2008 New Caledonia fishermen took their responsibility by stopping shark fishing, followed by the government of New Caledonia that officially banned shark fishing in its EEZ in 2013. At present time, shark fishing and trading is definitely banned in New Caledonia, including territorial and inside lagoon waters. By the creation of the natural park of the coral sea, New Caledonia stakeholders, population of New Caledonia and NGO work together to maintain the exceptional level of biodiversity of this vast area. Data’s collected by the observer programme show that the main shark species caught by our longline fisheries is the blue shark and that about 85% of shark catches are released alive. However, the level of mortality of post released shark stand as an issue. It is the reason why New Caledonia would like to express its interest to participate and to contribute to the post release shark mortality programme. The ABNJ </w:t>
      </w:r>
      <w:r w:rsidR="004E50B0">
        <w:rPr>
          <w:rFonts w:ascii="Times New Roman" w:hAnsi="Times New Roman"/>
          <w:lang w:val="en-AU"/>
        </w:rPr>
        <w:t>T</w:t>
      </w:r>
      <w:r w:rsidRPr="009C2ADD">
        <w:rPr>
          <w:rFonts w:ascii="Times New Roman" w:hAnsi="Times New Roman"/>
          <w:lang w:val="en-AU"/>
        </w:rPr>
        <w:t xml:space="preserve">una </w:t>
      </w:r>
      <w:r w:rsidR="004E50B0">
        <w:rPr>
          <w:rFonts w:ascii="Times New Roman" w:hAnsi="Times New Roman"/>
          <w:lang w:val="en-AU"/>
        </w:rPr>
        <w:t>P</w:t>
      </w:r>
      <w:r w:rsidRPr="009C2ADD">
        <w:rPr>
          <w:rFonts w:ascii="Times New Roman" w:hAnsi="Times New Roman"/>
          <w:lang w:val="en-AU"/>
        </w:rPr>
        <w:t>roject, in its report of the expert workshop on shark release mortality tagging studies, encourage</w:t>
      </w:r>
      <w:r w:rsidR="004E50B0">
        <w:rPr>
          <w:rFonts w:ascii="Times New Roman" w:hAnsi="Times New Roman"/>
          <w:lang w:val="en-AU"/>
        </w:rPr>
        <w:t>s</w:t>
      </w:r>
      <w:r w:rsidRPr="009C2ADD">
        <w:rPr>
          <w:rFonts w:ascii="Times New Roman" w:hAnsi="Times New Roman"/>
          <w:lang w:val="en-AU"/>
        </w:rPr>
        <w:t xml:space="preserve"> the implementation of complementary studies regarding blue shark. On this consideration, the NC fishery department would like to engage discussions with the programme manager and SPC technical staffs to study on how to implement a tagging campaign in 2019 in the EEZ of NC. </w:t>
      </w:r>
    </w:p>
    <w:p w14:paraId="0AD03DE9"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29D781E0" w14:textId="26D49542"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WWF, Birdlife International, the Sustainable Fisheries Partnership and Greenpeace expressed appreciation to those engaged in the delivery of the Common Oceans </w:t>
      </w:r>
      <w:r w:rsidR="009E0AA6">
        <w:rPr>
          <w:rFonts w:ascii="Times New Roman" w:hAnsi="Times New Roman" w:hint="eastAsia"/>
          <w:lang w:val="en-AU" w:eastAsia="ko-KR"/>
        </w:rPr>
        <w:t>(</w:t>
      </w:r>
      <w:r w:rsidRPr="009C2ADD">
        <w:rPr>
          <w:rFonts w:ascii="Times New Roman" w:hAnsi="Times New Roman"/>
          <w:lang w:val="en-AU"/>
        </w:rPr>
        <w:t>ABNJ</w:t>
      </w:r>
      <w:r w:rsidR="009E0AA6">
        <w:rPr>
          <w:rFonts w:ascii="Times New Roman" w:hAnsi="Times New Roman" w:hint="eastAsia"/>
          <w:lang w:val="en-AU" w:eastAsia="ko-KR"/>
        </w:rPr>
        <w:t>)</w:t>
      </w:r>
      <w:r w:rsidR="004E50B0">
        <w:rPr>
          <w:rFonts w:ascii="Times New Roman" w:hAnsi="Times New Roman"/>
          <w:lang w:val="en-AU"/>
        </w:rPr>
        <w:t xml:space="preserve"> Tuna</w:t>
      </w:r>
      <w:r w:rsidRPr="009C2ADD">
        <w:rPr>
          <w:rFonts w:ascii="Times New Roman" w:hAnsi="Times New Roman"/>
          <w:lang w:val="en-AU"/>
        </w:rPr>
        <w:t xml:space="preserve"> </w:t>
      </w:r>
      <w:r w:rsidR="004E50B0">
        <w:rPr>
          <w:rFonts w:ascii="Times New Roman" w:hAnsi="Times New Roman"/>
          <w:lang w:val="en-AU"/>
        </w:rPr>
        <w:t>P</w:t>
      </w:r>
      <w:r w:rsidRPr="009C2ADD">
        <w:rPr>
          <w:rFonts w:ascii="Times New Roman" w:hAnsi="Times New Roman"/>
          <w:lang w:val="en-AU"/>
        </w:rPr>
        <w:t>roject, a project that is providing vital support to the Commission in the provision of much needed technical expertise and advice. They noted that it was evident that the Commission greatly benefited from the input from the ABNJ project, which both supplements and incorporates the excellent work of SPC while simultaneously sharing the burden of providing high quality scientific advice. The ABNJ project has provided the Commission with opportunities to lead on issues that are their responsibility, such as bycatch issues on sharks, rays, turtles and birds</w:t>
      </w:r>
      <w:r w:rsidR="00F70341">
        <w:rPr>
          <w:rFonts w:ascii="Times New Roman" w:hAnsi="Times New Roman" w:hint="eastAsia"/>
          <w:lang w:val="en-AU" w:eastAsia="ko-KR"/>
        </w:rPr>
        <w:t>,</w:t>
      </w:r>
      <w:r w:rsidRPr="009C2ADD">
        <w:rPr>
          <w:rFonts w:ascii="Times New Roman" w:hAnsi="Times New Roman"/>
          <w:lang w:val="en-AU"/>
        </w:rPr>
        <w:t xml:space="preserve"> but the outputs of the project will also allow CCM’s to fulfil national and international conservation and management objectives for bycatch species, such as certification of fisheries within the MSC process or complying with existin</w:t>
      </w:r>
      <w:r w:rsidR="00560F1C" w:rsidRPr="009C2ADD">
        <w:rPr>
          <w:rFonts w:ascii="Times New Roman" w:hAnsi="Times New Roman"/>
          <w:lang w:val="en-AU"/>
        </w:rPr>
        <w:t xml:space="preserve">g CITES obligations. WWF urged </w:t>
      </w:r>
      <w:r w:rsidRPr="009C2ADD">
        <w:rPr>
          <w:rFonts w:ascii="Times New Roman" w:hAnsi="Times New Roman"/>
          <w:lang w:val="en-AU"/>
        </w:rPr>
        <w:t>the Scientific Committee to recommend that the Commission consider options in how to effectively continue the excellent groundwork on bycatch issues that have been a direct result of the Common Oceans project.</w:t>
      </w:r>
    </w:p>
    <w:p w14:paraId="71E3BDAD"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2271954D" w14:textId="48F0923A" w:rsidR="00041CD9" w:rsidRPr="009C2ADD" w:rsidRDefault="0028464D" w:rsidP="009C2ADD">
      <w:pPr>
        <w:pStyle w:val="Heading2"/>
        <w:adjustRightInd w:val="0"/>
        <w:snapToGrid w:val="0"/>
        <w:rPr>
          <w:rFonts w:eastAsiaTheme="minorEastAsia"/>
          <w:color w:val="auto"/>
          <w:szCs w:val="22"/>
          <w:lang w:val="en-AU" w:eastAsia="ko-KR"/>
        </w:rPr>
      </w:pPr>
      <w:bookmarkStart w:id="144" w:name="_Toc491851838"/>
      <w:r w:rsidRPr="009C2ADD">
        <w:rPr>
          <w:color w:val="auto"/>
          <w:szCs w:val="22"/>
          <w:lang w:val="en-AU"/>
        </w:rPr>
        <w:t xml:space="preserve">7.4 </w:t>
      </w:r>
      <w:r w:rsidR="00BA0E48" w:rsidRPr="009C2ADD">
        <w:rPr>
          <w:color w:val="auto"/>
          <w:szCs w:val="22"/>
          <w:lang w:val="en-AU"/>
        </w:rPr>
        <w:tab/>
      </w:r>
      <w:r w:rsidR="00041CD9" w:rsidRPr="009C2ADD">
        <w:rPr>
          <w:color w:val="auto"/>
          <w:szCs w:val="22"/>
          <w:lang w:val="en-AU"/>
        </w:rPr>
        <w:t>WCPFC Tissue Bank (Project 35b)</w:t>
      </w:r>
      <w:bookmarkEnd w:id="144"/>
    </w:p>
    <w:p w14:paraId="5FCFA07D" w14:textId="77777777" w:rsidR="007A3E34" w:rsidRPr="009C2ADD" w:rsidRDefault="007A3E34" w:rsidP="009C2ADD">
      <w:pPr>
        <w:adjustRightInd w:val="0"/>
        <w:snapToGrid w:val="0"/>
        <w:spacing w:after="0"/>
        <w:rPr>
          <w:rFonts w:ascii="Times New Roman" w:hAnsi="Times New Roman"/>
          <w:lang w:val="en-AU" w:eastAsia="ko-KR"/>
        </w:rPr>
      </w:pPr>
    </w:p>
    <w:p w14:paraId="7A796C02" w14:textId="3E44BED3"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N</w:t>
      </w:r>
      <w:r w:rsidR="004E50B0">
        <w:rPr>
          <w:rFonts w:ascii="Times New Roman" w:hAnsi="Times New Roman"/>
          <w:lang w:val="en-AU"/>
        </w:rPr>
        <w:t>.</w:t>
      </w:r>
      <w:r w:rsidRPr="009C2ADD">
        <w:rPr>
          <w:rFonts w:ascii="Times New Roman" w:hAnsi="Times New Roman"/>
          <w:lang w:val="en-AU"/>
        </w:rPr>
        <w:t xml:space="preserve"> Smith presented SC13-RP-P35-01 Project 35: </w:t>
      </w:r>
      <w:r w:rsidRPr="0070772D">
        <w:rPr>
          <w:rFonts w:ascii="Times New Roman" w:hAnsi="Times New Roman"/>
          <w:i/>
          <w:lang w:val="en-AU"/>
        </w:rPr>
        <w:t>Bigeye biology</w:t>
      </w:r>
      <w:r w:rsidRPr="009C2ADD">
        <w:rPr>
          <w:rFonts w:ascii="Times New Roman" w:hAnsi="Times New Roman"/>
          <w:lang w:val="en-AU"/>
        </w:rPr>
        <w:t xml:space="preserve">, Project 35b: </w:t>
      </w:r>
      <w:r w:rsidRPr="0070772D">
        <w:rPr>
          <w:rFonts w:ascii="Times New Roman" w:hAnsi="Times New Roman"/>
          <w:i/>
          <w:lang w:val="en-AU"/>
        </w:rPr>
        <w:t>WCPFC Tuna Tissue Bank</w:t>
      </w:r>
      <w:r w:rsidR="007A32A2" w:rsidRPr="009C2ADD">
        <w:rPr>
          <w:rFonts w:ascii="Times New Roman" w:hAnsi="Times New Roman"/>
          <w:lang w:val="en-AU"/>
        </w:rPr>
        <w:t xml:space="preserve"> and</w:t>
      </w:r>
      <w:r w:rsidRPr="009C2ADD">
        <w:rPr>
          <w:rFonts w:ascii="Times New Roman" w:hAnsi="Times New Roman"/>
          <w:lang w:val="en-AU"/>
        </w:rPr>
        <w:t xml:space="preserve"> SC13-RP-P35b-02 </w:t>
      </w:r>
      <w:r w:rsidRPr="0070772D">
        <w:rPr>
          <w:rFonts w:ascii="Times New Roman" w:hAnsi="Times New Roman"/>
          <w:i/>
          <w:lang w:val="en-AU"/>
        </w:rPr>
        <w:t>Development</w:t>
      </w:r>
      <w:r w:rsidR="005B3538" w:rsidRPr="0070772D">
        <w:rPr>
          <w:rFonts w:ascii="Times New Roman" w:hAnsi="Times New Roman"/>
          <w:i/>
          <w:lang w:val="en-AU" w:eastAsia="ko-KR"/>
        </w:rPr>
        <w:t xml:space="preserve"> of</w:t>
      </w:r>
      <w:r w:rsidRPr="0070772D">
        <w:rPr>
          <w:rFonts w:ascii="Times New Roman" w:hAnsi="Times New Roman"/>
          <w:i/>
          <w:lang w:val="en-AU"/>
        </w:rPr>
        <w:t xml:space="preserve"> a Pacific Community Marine Specimen Bank</w:t>
      </w:r>
      <w:r w:rsidRPr="009C2ADD">
        <w:rPr>
          <w:rFonts w:ascii="Times New Roman" w:hAnsi="Times New Roman"/>
          <w:lang w:val="en-AU"/>
        </w:rPr>
        <w:t>.</w:t>
      </w:r>
      <w:r w:rsidR="007A32A2" w:rsidRPr="009C2ADD">
        <w:rPr>
          <w:rFonts w:ascii="Times New Roman" w:hAnsi="Times New Roman"/>
          <w:lang w:val="en-AU"/>
        </w:rPr>
        <w:t xml:space="preserve"> </w:t>
      </w:r>
      <w:r w:rsidR="004E50B0">
        <w:rPr>
          <w:rFonts w:ascii="Times New Roman" w:hAnsi="Times New Roman"/>
          <w:lang w:val="en-AU"/>
        </w:rPr>
        <w:t>N.</w:t>
      </w:r>
      <w:r w:rsidR="004E50B0" w:rsidRPr="009C2ADD">
        <w:rPr>
          <w:rFonts w:ascii="Times New Roman" w:hAnsi="Times New Roman"/>
          <w:lang w:val="en-AU"/>
        </w:rPr>
        <w:t xml:space="preserve"> </w:t>
      </w:r>
      <w:r w:rsidRPr="009C2ADD">
        <w:rPr>
          <w:rFonts w:ascii="Times New Roman" w:hAnsi="Times New Roman"/>
          <w:lang w:val="en-AU"/>
        </w:rPr>
        <w:t xml:space="preserve">Smith noted that a key result in a busy and productive year was the completion of the bigeye tuna age and growth analyses as reported in Farley </w:t>
      </w:r>
      <w:r w:rsidRPr="009C2ADD">
        <w:rPr>
          <w:rFonts w:ascii="Times New Roman" w:hAnsi="Times New Roman"/>
          <w:i/>
          <w:lang w:val="en-AU"/>
        </w:rPr>
        <w:t>et al</w:t>
      </w:r>
      <w:r w:rsidRPr="009C2ADD">
        <w:rPr>
          <w:rFonts w:ascii="Times New Roman" w:hAnsi="Times New Roman"/>
          <w:lang w:val="en-AU"/>
        </w:rPr>
        <w:t>. (2017), an important new input to the stock assessme</w:t>
      </w:r>
      <w:r w:rsidR="00BB6A4C" w:rsidRPr="009C2ADD">
        <w:rPr>
          <w:rFonts w:ascii="Times New Roman" w:hAnsi="Times New Roman"/>
          <w:lang w:val="en-AU"/>
        </w:rPr>
        <w:t xml:space="preserve">nt for bigeye in 2017. The </w:t>
      </w:r>
      <w:r w:rsidR="00246F70">
        <w:rPr>
          <w:rFonts w:ascii="Times New Roman" w:hAnsi="Times New Roman"/>
          <w:lang w:val="en-AU"/>
        </w:rPr>
        <w:t>Tuna Tissue Bank (</w:t>
      </w:r>
      <w:r w:rsidR="00BB6A4C" w:rsidRPr="009C2ADD">
        <w:rPr>
          <w:rFonts w:ascii="Times New Roman" w:hAnsi="Times New Roman"/>
          <w:lang w:val="en-AU"/>
        </w:rPr>
        <w:t>TTB</w:t>
      </w:r>
      <w:r w:rsidR="00246F70">
        <w:rPr>
          <w:rFonts w:ascii="Times New Roman" w:hAnsi="Times New Roman"/>
          <w:lang w:val="en-AU"/>
        </w:rPr>
        <w:t>)</w:t>
      </w:r>
      <w:r w:rsidR="00BB6A4C" w:rsidRPr="009C2ADD">
        <w:rPr>
          <w:rFonts w:ascii="Times New Roman" w:hAnsi="Times New Roman"/>
          <w:lang w:val="en-AU"/>
        </w:rPr>
        <w:t xml:space="preserve"> wa</w:t>
      </w:r>
      <w:r w:rsidRPr="009C2ADD">
        <w:rPr>
          <w:rFonts w:ascii="Times New Roman" w:hAnsi="Times New Roman"/>
          <w:lang w:val="en-AU"/>
        </w:rPr>
        <w:t xml:space="preserve">s an important supporting component of the WCPFC science system and continues to be developed and enhanced. A substantive development in 2017 has been the redevelopment of the Biological </w:t>
      </w:r>
      <w:r w:rsidR="00387CAD" w:rsidRPr="009C2ADD">
        <w:rPr>
          <w:rFonts w:ascii="Times New Roman" w:hAnsi="Times New Roman"/>
          <w:lang w:val="en-AU"/>
        </w:rPr>
        <w:t>D</w:t>
      </w:r>
      <w:r w:rsidRPr="009C2ADD">
        <w:rPr>
          <w:rFonts w:ascii="Times New Roman" w:hAnsi="Times New Roman"/>
          <w:lang w:val="en-AU"/>
        </w:rPr>
        <w:t>ata System underpinning the TTB, and the relaunch of the associated web portal (</w:t>
      </w:r>
      <w:hyperlink r:id="rId93" w:history="1">
        <w:r w:rsidR="00246F70" w:rsidRPr="00242013">
          <w:rPr>
            <w:rStyle w:val="Hyperlink"/>
            <w:rFonts w:ascii="Times New Roman" w:hAnsi="Times New Roman"/>
            <w:lang w:val="en-AU"/>
          </w:rPr>
          <w:t>www.spc.int/ofp/PacificSpecimenBank</w:t>
        </w:r>
      </w:hyperlink>
      <w:r w:rsidRPr="009C2ADD">
        <w:rPr>
          <w:rFonts w:ascii="Times New Roman" w:hAnsi="Times New Roman"/>
          <w:lang w:val="en-AU"/>
        </w:rPr>
        <w:t xml:space="preserve">). An important activity in 2016-17 was a quality assurance test for use of samples in modern genetic analyses, the result of which was positive. The outstanding support from the people of PICTs in collecting, storing and transporting specimens for the TTB – at-sea and onshore – is </w:t>
      </w:r>
      <w:r w:rsidR="00454D25">
        <w:rPr>
          <w:rFonts w:ascii="Times New Roman" w:hAnsi="Times New Roman"/>
          <w:lang w:val="en-AU"/>
        </w:rPr>
        <w:t xml:space="preserve">at </w:t>
      </w:r>
      <w:r w:rsidRPr="009C2ADD">
        <w:rPr>
          <w:rFonts w:ascii="Times New Roman" w:hAnsi="Times New Roman"/>
          <w:lang w:val="en-AU"/>
        </w:rPr>
        <w:t xml:space="preserve">the core </w:t>
      </w:r>
      <w:r w:rsidR="00454D25">
        <w:rPr>
          <w:rFonts w:ascii="Times New Roman" w:hAnsi="Times New Roman"/>
          <w:lang w:val="en-AU"/>
        </w:rPr>
        <w:t>of</w:t>
      </w:r>
      <w:r w:rsidR="00454D25" w:rsidRPr="009C2ADD">
        <w:rPr>
          <w:rFonts w:ascii="Times New Roman" w:hAnsi="Times New Roman"/>
          <w:lang w:val="en-AU"/>
        </w:rPr>
        <w:t xml:space="preserve"> </w:t>
      </w:r>
      <w:r w:rsidRPr="009C2ADD">
        <w:rPr>
          <w:rFonts w:ascii="Times New Roman" w:hAnsi="Times New Roman"/>
          <w:lang w:val="en-AU"/>
        </w:rPr>
        <w:t>its success.</w:t>
      </w:r>
    </w:p>
    <w:p w14:paraId="5026A8FD"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1F317C0B"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Recommendations arising from the Tuna Tissue Bank project this last year include:</w:t>
      </w:r>
    </w:p>
    <w:p w14:paraId="48707A74" w14:textId="5B538C17" w:rsidR="00041CD9" w:rsidRPr="009C2ADD" w:rsidRDefault="00041CD9" w:rsidP="00B22C8E">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regular age, growth and maturity analyses of specimens for all tuna and tuna-like stocks for future stock assessments should be budgeted for and aligned with the stock assessment schedule, noting that additional resources would be required, and that yellowfin tuna would be the next priority species;</w:t>
      </w:r>
    </w:p>
    <w:p w14:paraId="1E16806C" w14:textId="58830264" w:rsidR="00041CD9" w:rsidRPr="009C2ADD" w:rsidRDefault="00041CD9" w:rsidP="00B22C8E">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as the WCPFC Tuna Tissue bank is intended to be ongoing, and given its success and measured quality to date, incorporate the identified budget into the 2019-20 indicative budgets;</w:t>
      </w:r>
    </w:p>
    <w:p w14:paraId="60495F43" w14:textId="6E5981F0" w:rsidR="00041CD9" w:rsidRPr="009C2ADD" w:rsidRDefault="00041CD9" w:rsidP="00B22C8E">
      <w:pPr>
        <w:pStyle w:val="ListParagraph"/>
        <w:numPr>
          <w:ilvl w:val="1"/>
          <w:numId w:val="57"/>
        </w:numPr>
        <w:autoSpaceDE w:val="0"/>
        <w:autoSpaceDN w:val="0"/>
        <w:adjustRightInd w:val="0"/>
        <w:snapToGrid w:val="0"/>
        <w:ind w:left="1080"/>
        <w:contextualSpacing w:val="0"/>
        <w:rPr>
          <w:rFonts w:ascii="Times New Roman" w:hAnsi="Times New Roman"/>
          <w:bCs/>
        </w:rPr>
      </w:pPr>
      <w:r w:rsidRPr="009C2ADD">
        <w:rPr>
          <w:rFonts w:ascii="Times New Roman" w:hAnsi="Times New Roman"/>
          <w:bCs/>
        </w:rPr>
        <w:t>that interested CCM</w:t>
      </w:r>
      <w:r w:rsidR="00454D25">
        <w:rPr>
          <w:rFonts w:ascii="Times New Roman" w:hAnsi="Times New Roman"/>
          <w:bCs/>
        </w:rPr>
        <w:t>s</w:t>
      </w:r>
      <w:r w:rsidRPr="009C2ADD">
        <w:rPr>
          <w:rFonts w:ascii="Times New Roman" w:hAnsi="Times New Roman"/>
          <w:bCs/>
        </w:rPr>
        <w:t xml:space="preserve"> visit the Tuna Tissue Bank web-portal and provide any feedback intersessionally to SPC; and</w:t>
      </w:r>
    </w:p>
    <w:p w14:paraId="79D877BC" w14:textId="0E4D7BFE" w:rsidR="00041CD9" w:rsidRPr="009C2ADD" w:rsidRDefault="00041CD9" w:rsidP="00B22C8E">
      <w:pPr>
        <w:pStyle w:val="ListParagraph"/>
        <w:numPr>
          <w:ilvl w:val="1"/>
          <w:numId w:val="57"/>
        </w:numPr>
        <w:autoSpaceDE w:val="0"/>
        <w:autoSpaceDN w:val="0"/>
        <w:adjustRightInd w:val="0"/>
        <w:snapToGrid w:val="0"/>
        <w:ind w:left="1080"/>
        <w:contextualSpacing w:val="0"/>
        <w:rPr>
          <w:rFonts w:ascii="Times New Roman" w:hAnsi="Times New Roman"/>
          <w:bCs/>
        </w:rPr>
      </w:pPr>
      <w:proofErr w:type="gramStart"/>
      <w:r w:rsidRPr="009C2ADD">
        <w:rPr>
          <w:rFonts w:ascii="Times New Roman" w:hAnsi="Times New Roman"/>
          <w:bCs/>
        </w:rPr>
        <w:t>the</w:t>
      </w:r>
      <w:proofErr w:type="gramEnd"/>
      <w:r w:rsidRPr="009C2ADD">
        <w:rPr>
          <w:rFonts w:ascii="Times New Roman" w:hAnsi="Times New Roman"/>
          <w:bCs/>
        </w:rPr>
        <w:t xml:space="preserve"> development and implementation of a multi-level login to the web portal to enhance access for those planning research. </w:t>
      </w:r>
    </w:p>
    <w:p w14:paraId="6624E240" w14:textId="77777777" w:rsidR="00BA0E48" w:rsidRPr="009C2ADD" w:rsidRDefault="00BA0E48" w:rsidP="009C2ADD">
      <w:pPr>
        <w:pStyle w:val="ListParagraph"/>
        <w:autoSpaceDE w:val="0"/>
        <w:autoSpaceDN w:val="0"/>
        <w:adjustRightInd w:val="0"/>
        <w:snapToGrid w:val="0"/>
        <w:ind w:left="1080" w:firstLine="0"/>
        <w:contextualSpacing w:val="0"/>
        <w:rPr>
          <w:rFonts w:ascii="Times New Roman" w:hAnsi="Times New Roman"/>
          <w:bCs/>
        </w:rPr>
      </w:pPr>
    </w:p>
    <w:p w14:paraId="007664CE" w14:textId="168E1E91"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confirmed that maintaining and enhancing the WCPFC Tuna Tissue Bank (P35b) remains an essential part of the WCPFC science system and supported its inclusion in the proposed budget for 2018.</w:t>
      </w:r>
    </w:p>
    <w:p w14:paraId="65376203" w14:textId="77777777" w:rsidR="00387CAD" w:rsidRPr="009C2ADD" w:rsidRDefault="00387CAD" w:rsidP="009C2ADD">
      <w:pPr>
        <w:autoSpaceDE w:val="0"/>
        <w:autoSpaceDN w:val="0"/>
        <w:adjustRightInd w:val="0"/>
        <w:snapToGrid w:val="0"/>
        <w:spacing w:after="0"/>
        <w:rPr>
          <w:rFonts w:ascii="Times New Roman" w:hAnsi="Times New Roman"/>
          <w:b/>
          <w:bCs/>
        </w:rPr>
      </w:pPr>
    </w:p>
    <w:p w14:paraId="5905EFE7"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agreed to include the WCPFC Tuna Tissue Bank (P35b) in its indicative budget for 2019-20.</w:t>
      </w:r>
    </w:p>
    <w:p w14:paraId="53D14C2E" w14:textId="77777777" w:rsidR="00DA29B0" w:rsidRPr="009C2ADD" w:rsidRDefault="00DA29B0" w:rsidP="009C2ADD">
      <w:pPr>
        <w:autoSpaceDE w:val="0"/>
        <w:autoSpaceDN w:val="0"/>
        <w:adjustRightInd w:val="0"/>
        <w:snapToGrid w:val="0"/>
        <w:spacing w:after="0"/>
        <w:rPr>
          <w:rFonts w:ascii="Times New Roman" w:hAnsi="Times New Roman"/>
          <w:b/>
          <w:bCs/>
        </w:rPr>
      </w:pPr>
    </w:p>
    <w:p w14:paraId="1F646F28" w14:textId="77777777"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b/>
          <w:bCs/>
        </w:rPr>
      </w:pPr>
      <w:r w:rsidRPr="009C2ADD">
        <w:rPr>
          <w:rFonts w:ascii="Times New Roman" w:hAnsi="Times New Roman"/>
          <w:b/>
          <w:bCs/>
        </w:rPr>
        <w:t>The Scientific Committee agreed the development and implementation of a multi-level login to the web portal which would allow greater access to Tuna Tissue Bank data for those planning research.</w:t>
      </w:r>
    </w:p>
    <w:p w14:paraId="6B092154" w14:textId="77777777" w:rsidR="00DA29B0" w:rsidRPr="009C2ADD" w:rsidRDefault="00DA29B0" w:rsidP="009C2ADD">
      <w:pPr>
        <w:autoSpaceDE w:val="0"/>
        <w:autoSpaceDN w:val="0"/>
        <w:adjustRightInd w:val="0"/>
        <w:snapToGrid w:val="0"/>
        <w:spacing w:after="0"/>
        <w:rPr>
          <w:rFonts w:ascii="Times New Roman" w:hAnsi="Times New Roman"/>
          <w:b/>
          <w:bCs/>
        </w:rPr>
      </w:pPr>
    </w:p>
    <w:p w14:paraId="58507E83" w14:textId="64ADD1EF" w:rsidR="00041CD9" w:rsidRPr="009C2ADD" w:rsidRDefault="00041CD9"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On behalf of FFA </w:t>
      </w:r>
      <w:r w:rsidR="00D5432C">
        <w:rPr>
          <w:rFonts w:ascii="Times New Roman" w:hAnsi="Times New Roman"/>
          <w:lang w:val="en-AU"/>
        </w:rPr>
        <w:t>member</w:t>
      </w:r>
      <w:r w:rsidRPr="009C2ADD">
        <w:rPr>
          <w:rFonts w:ascii="Times New Roman" w:hAnsi="Times New Roman"/>
          <w:lang w:val="en-AU"/>
        </w:rPr>
        <w:t>s, Tonga</w:t>
      </w:r>
      <w:r w:rsidR="00DA29B0" w:rsidRPr="009C2ADD">
        <w:rPr>
          <w:rFonts w:ascii="Times New Roman" w:hAnsi="Times New Roman"/>
          <w:lang w:val="en-AU"/>
        </w:rPr>
        <w:t xml:space="preserve"> thanked</w:t>
      </w:r>
      <w:r w:rsidRPr="009C2ADD">
        <w:rPr>
          <w:rFonts w:ascii="Times New Roman" w:hAnsi="Times New Roman"/>
          <w:lang w:val="en-AU"/>
        </w:rPr>
        <w:t xml:space="preserve"> SPC for the paper, and acknowledged the invaluable contribution that observers and port samplers provide to the tissue bank. FFA </w:t>
      </w:r>
      <w:r w:rsidR="00D5432C">
        <w:rPr>
          <w:rFonts w:ascii="Times New Roman" w:hAnsi="Times New Roman"/>
          <w:lang w:val="en-AU"/>
        </w:rPr>
        <w:t>member</w:t>
      </w:r>
      <w:r w:rsidRPr="009C2ADD">
        <w:rPr>
          <w:rFonts w:ascii="Times New Roman" w:hAnsi="Times New Roman"/>
          <w:lang w:val="en-AU"/>
        </w:rPr>
        <w:t>s fully support the continued operation and maintenance of Project 35b, and the advancements it has made in addressing key biological uncertainties in stock assessments, notably bigeye.</w:t>
      </w:r>
      <w:r w:rsidR="00444E27">
        <w:rPr>
          <w:rFonts w:ascii="Times New Roman" w:hAnsi="Times New Roman"/>
          <w:lang w:val="en-AU"/>
        </w:rPr>
        <w:t xml:space="preserve"> </w:t>
      </w:r>
      <w:r w:rsidRPr="009C2ADD">
        <w:rPr>
          <w:rFonts w:ascii="Times New Roman" w:hAnsi="Times New Roman"/>
          <w:lang w:val="en-AU"/>
        </w:rPr>
        <w:t xml:space="preserve">FFA </w:t>
      </w:r>
      <w:r w:rsidR="00D5432C">
        <w:rPr>
          <w:rFonts w:ascii="Times New Roman" w:hAnsi="Times New Roman"/>
          <w:lang w:val="en-AU"/>
        </w:rPr>
        <w:t>member</w:t>
      </w:r>
      <w:r w:rsidRPr="009C2ADD">
        <w:rPr>
          <w:rFonts w:ascii="Times New Roman" w:hAnsi="Times New Roman"/>
          <w:lang w:val="en-AU"/>
        </w:rPr>
        <w:t xml:space="preserve">s support having regular age and growth analyses and aligning these with the stock assessment schedule, a logical approach for prioritising this work. This must also be kept in mind when the WCPFC Research Sub-Committee considers requests for withdrawal of samples from the tissue bank. The suggested inclusion of USD 97,250 in the indicative budget for 2019 and 2020 to maintain the tissue bank is supported by FFA </w:t>
      </w:r>
      <w:r w:rsidR="00D5432C">
        <w:rPr>
          <w:rFonts w:ascii="Times New Roman" w:hAnsi="Times New Roman"/>
          <w:lang w:val="en-AU"/>
        </w:rPr>
        <w:t>member</w:t>
      </w:r>
      <w:r w:rsidRPr="009C2ADD">
        <w:rPr>
          <w:rFonts w:ascii="Times New Roman" w:hAnsi="Times New Roman"/>
          <w:lang w:val="en-AU"/>
        </w:rPr>
        <w:t xml:space="preserve">s. This is important in the context of the investment that has gone in to establishing and maintaining sampling regimes, transport and storage of samples, but also in the benefits derived from this project and improvements to the scientific outputs from related work. However, while we note that some charging is included in the protocols for extraction, we request that the Secretariat investigate further mechanisms for cost-recovery and long term sustainability of this project. </w:t>
      </w:r>
    </w:p>
    <w:p w14:paraId="3008AC82"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2312501E" w14:textId="77777777" w:rsidR="00C32ED1" w:rsidRPr="009C2ADD" w:rsidRDefault="00DA29B0" w:rsidP="009C2ADD">
      <w:pPr>
        <w:numPr>
          <w:ilvl w:val="0"/>
          <w:numId w:val="1"/>
        </w:numPr>
        <w:autoSpaceDE w:val="0"/>
        <w:autoSpaceDN w:val="0"/>
        <w:adjustRightInd w:val="0"/>
        <w:snapToGrid w:val="0"/>
        <w:spacing w:after="0"/>
        <w:ind w:left="0" w:firstLine="0"/>
        <w:rPr>
          <w:rFonts w:ascii="Times New Roman" w:hAnsi="Times New Roman"/>
          <w:bCs/>
        </w:rPr>
      </w:pPr>
      <w:r w:rsidRPr="009C2ADD">
        <w:rPr>
          <w:rFonts w:ascii="Times New Roman" w:hAnsi="Times New Roman"/>
          <w:lang w:val="en-AU"/>
        </w:rPr>
        <w:t xml:space="preserve">China </w:t>
      </w:r>
      <w:r w:rsidR="000F064A" w:rsidRPr="009C2ADD">
        <w:rPr>
          <w:rFonts w:ascii="Times New Roman" w:hAnsi="Times New Roman"/>
          <w:lang w:val="en-AU"/>
        </w:rPr>
        <w:t>noted that this work wa</w:t>
      </w:r>
      <w:r w:rsidR="00041CD9" w:rsidRPr="009C2ADD">
        <w:rPr>
          <w:rFonts w:ascii="Times New Roman" w:hAnsi="Times New Roman"/>
          <w:lang w:val="en-AU"/>
        </w:rPr>
        <w:t>s extremely important and hoped that the development of the data observation proto</w:t>
      </w:r>
      <w:r w:rsidR="00145E72" w:rsidRPr="009C2ADD">
        <w:rPr>
          <w:rFonts w:ascii="Times New Roman" w:hAnsi="Times New Roman"/>
          <w:lang w:val="en-AU"/>
        </w:rPr>
        <w:t>cols would allow China to share</w:t>
      </w:r>
      <w:r w:rsidR="00C32ED1" w:rsidRPr="009C2ADD">
        <w:rPr>
          <w:rFonts w:ascii="Times New Roman" w:hAnsi="Times New Roman"/>
          <w:lang w:val="en-AU"/>
        </w:rPr>
        <w:t xml:space="preserve"> tuna biology studies</w:t>
      </w:r>
      <w:r w:rsidR="00041CD9" w:rsidRPr="009C2ADD">
        <w:rPr>
          <w:rFonts w:ascii="Times New Roman" w:hAnsi="Times New Roman"/>
          <w:lang w:val="en-AU"/>
        </w:rPr>
        <w:t xml:space="preserve"> currently only published in Chinese.</w:t>
      </w:r>
    </w:p>
    <w:p w14:paraId="330F382B" w14:textId="77777777" w:rsidR="00BA0E48" w:rsidRPr="009C2ADD" w:rsidRDefault="00BA0E48" w:rsidP="009C2ADD">
      <w:pPr>
        <w:pStyle w:val="ListParagraph"/>
        <w:adjustRightInd w:val="0"/>
        <w:snapToGrid w:val="0"/>
        <w:contextualSpacing w:val="0"/>
        <w:rPr>
          <w:rFonts w:ascii="Times New Roman" w:hAnsi="Times New Roman"/>
          <w:bCs/>
        </w:rPr>
      </w:pPr>
    </w:p>
    <w:p w14:paraId="1098514A" w14:textId="77777777" w:rsidR="00C32ED1" w:rsidRPr="009C2ADD" w:rsidRDefault="00041CD9" w:rsidP="009C2ADD">
      <w:pPr>
        <w:pStyle w:val="WCPFC"/>
        <w:adjustRightInd w:val="0"/>
        <w:spacing w:after="0"/>
        <w:rPr>
          <w:b/>
          <w:lang w:val="en-AU"/>
        </w:rPr>
      </w:pPr>
      <w:r w:rsidRPr="009C2ADD">
        <w:rPr>
          <w:b/>
          <w:lang w:val="en-AU"/>
        </w:rPr>
        <w:t>SC13 supported the recommendations</w:t>
      </w:r>
      <w:r w:rsidR="00C32ED1" w:rsidRPr="009C2ADD">
        <w:rPr>
          <w:b/>
          <w:lang w:val="en-AU"/>
        </w:rPr>
        <w:t xml:space="preserve">. </w:t>
      </w:r>
    </w:p>
    <w:p w14:paraId="3E7334D0" w14:textId="484E4810" w:rsidR="00041CD9" w:rsidRPr="009C2ADD" w:rsidRDefault="00041CD9" w:rsidP="009C2ADD">
      <w:pPr>
        <w:pStyle w:val="WCPFC"/>
        <w:numPr>
          <w:ilvl w:val="0"/>
          <w:numId w:val="0"/>
        </w:numPr>
        <w:adjustRightInd w:val="0"/>
        <w:spacing w:after="0"/>
        <w:ind w:left="567"/>
        <w:rPr>
          <w:b/>
          <w:lang w:val="en-AU"/>
        </w:rPr>
      </w:pPr>
    </w:p>
    <w:p w14:paraId="64BDDA7D" w14:textId="69EAA57B" w:rsidR="00041CD9" w:rsidRPr="009C2ADD" w:rsidRDefault="0028464D" w:rsidP="009C2ADD">
      <w:pPr>
        <w:pStyle w:val="Heading2"/>
        <w:adjustRightInd w:val="0"/>
        <w:snapToGrid w:val="0"/>
        <w:rPr>
          <w:rFonts w:eastAsiaTheme="minorEastAsia"/>
          <w:color w:val="auto"/>
          <w:szCs w:val="22"/>
          <w:lang w:val="en-AU" w:eastAsia="ko-KR"/>
        </w:rPr>
      </w:pPr>
      <w:bookmarkStart w:id="145" w:name="_Toc491851839"/>
      <w:r w:rsidRPr="009C2ADD">
        <w:rPr>
          <w:color w:val="auto"/>
          <w:szCs w:val="22"/>
          <w:lang w:val="en-AU"/>
        </w:rPr>
        <w:t xml:space="preserve">7.5 </w:t>
      </w:r>
      <w:r w:rsidR="00BA0E48" w:rsidRPr="009C2ADD">
        <w:rPr>
          <w:color w:val="auto"/>
          <w:szCs w:val="22"/>
          <w:lang w:val="en-AU"/>
        </w:rPr>
        <w:tab/>
      </w:r>
      <w:r w:rsidR="00041CD9" w:rsidRPr="009C2ADD">
        <w:rPr>
          <w:color w:val="auto"/>
          <w:szCs w:val="22"/>
          <w:lang w:val="en-AU"/>
        </w:rPr>
        <w:t>Other Projects</w:t>
      </w:r>
      <w:bookmarkEnd w:id="145"/>
    </w:p>
    <w:p w14:paraId="0AE31221" w14:textId="77777777" w:rsidR="007A3E34" w:rsidRPr="009C2ADD" w:rsidRDefault="007A3E34" w:rsidP="009C2ADD">
      <w:pPr>
        <w:adjustRightInd w:val="0"/>
        <w:snapToGrid w:val="0"/>
        <w:spacing w:after="0"/>
        <w:rPr>
          <w:rFonts w:ascii="Times New Roman" w:hAnsi="Times New Roman"/>
          <w:lang w:val="en-AU" w:eastAsia="ko-KR"/>
        </w:rPr>
      </w:pPr>
    </w:p>
    <w:p w14:paraId="6273DFD3" w14:textId="2BC60AEE" w:rsidR="00041CD9" w:rsidRPr="009C2ADD" w:rsidRDefault="00BA0E48"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w:t>
      </w:r>
      <w:r w:rsidR="00041CD9" w:rsidRPr="009C2ADD">
        <w:rPr>
          <w:rFonts w:ascii="Times New Roman" w:hAnsi="Times New Roman"/>
          <w:lang w:val="en-AU"/>
        </w:rPr>
        <w:t xml:space="preserve"> Soh (Secretariat) referred delegates to </w:t>
      </w:r>
      <w:r w:rsidR="00041CD9" w:rsidRPr="0070772D">
        <w:rPr>
          <w:rFonts w:ascii="Times New Roman" w:hAnsi="Times New Roman"/>
          <w:bCs/>
          <w:lang w:val="en-AU"/>
        </w:rPr>
        <w:t>SC13-GN-WP-04</w:t>
      </w:r>
      <w:r w:rsidR="00041CD9" w:rsidRPr="009C2ADD">
        <w:rPr>
          <w:rFonts w:ascii="Times New Roman" w:hAnsi="Times New Roman"/>
          <w:lang w:val="en-AU"/>
        </w:rPr>
        <w:t xml:space="preserve"> </w:t>
      </w:r>
      <w:r w:rsidR="00041CD9" w:rsidRPr="009C2ADD">
        <w:rPr>
          <w:rFonts w:ascii="Times New Roman" w:hAnsi="Times New Roman"/>
          <w:i/>
          <w:lang w:val="en-AU"/>
        </w:rPr>
        <w:t>Intersessional activities of the SC Rev 1</w:t>
      </w:r>
      <w:r w:rsidR="00041CD9" w:rsidRPr="009C2ADD">
        <w:rPr>
          <w:rFonts w:ascii="Times New Roman" w:hAnsi="Times New Roman"/>
          <w:lang w:val="en-AU"/>
        </w:rPr>
        <w:t xml:space="preserve"> for a report on other science projects undertaken since SC12. </w:t>
      </w:r>
      <w:r w:rsidR="0050437C">
        <w:rPr>
          <w:rFonts w:ascii="Times New Roman" w:hAnsi="Times New Roman" w:hint="eastAsia"/>
          <w:lang w:val="en-AU" w:eastAsia="ko-KR"/>
        </w:rPr>
        <w:t>S.</w:t>
      </w:r>
      <w:r w:rsidR="0050437C" w:rsidRPr="009C2ADD">
        <w:rPr>
          <w:rFonts w:ascii="Times New Roman" w:hAnsi="Times New Roman"/>
          <w:lang w:val="en-AU"/>
        </w:rPr>
        <w:t xml:space="preserve"> </w:t>
      </w:r>
      <w:r w:rsidR="00C32ED1" w:rsidRPr="009C2ADD">
        <w:rPr>
          <w:rFonts w:ascii="Times New Roman" w:hAnsi="Times New Roman"/>
          <w:lang w:val="en-AU"/>
        </w:rPr>
        <w:t>Soh</w:t>
      </w:r>
      <w:r w:rsidR="00041CD9" w:rsidRPr="009C2ADD">
        <w:rPr>
          <w:rFonts w:ascii="Times New Roman" w:hAnsi="Times New Roman"/>
          <w:lang w:val="en-AU"/>
        </w:rPr>
        <w:t xml:space="preserve"> noted that </w:t>
      </w:r>
      <w:r w:rsidR="00D5432C">
        <w:rPr>
          <w:rFonts w:ascii="Times New Roman" w:hAnsi="Times New Roman"/>
          <w:lang w:val="en-AU"/>
        </w:rPr>
        <w:t>member</w:t>
      </w:r>
      <w:r w:rsidR="00041CD9" w:rsidRPr="009C2ADD">
        <w:rPr>
          <w:rFonts w:ascii="Times New Roman" w:hAnsi="Times New Roman"/>
          <w:lang w:val="en-AU"/>
        </w:rPr>
        <w:t xml:space="preserve">s and </w:t>
      </w:r>
      <w:r w:rsidR="00D5432C">
        <w:rPr>
          <w:rFonts w:ascii="Times New Roman" w:hAnsi="Times New Roman" w:hint="eastAsia"/>
          <w:lang w:val="en-AU" w:eastAsia="ko-KR"/>
        </w:rPr>
        <w:t>o</w:t>
      </w:r>
      <w:r w:rsidR="00041CD9" w:rsidRPr="009C2ADD">
        <w:rPr>
          <w:rFonts w:ascii="Times New Roman" w:hAnsi="Times New Roman"/>
          <w:lang w:val="en-AU"/>
        </w:rPr>
        <w:t>bserv</w:t>
      </w:r>
      <w:r w:rsidR="002055FC" w:rsidRPr="009C2ADD">
        <w:rPr>
          <w:rFonts w:ascii="Times New Roman" w:hAnsi="Times New Roman"/>
          <w:lang w:val="en-AU"/>
        </w:rPr>
        <w:t xml:space="preserve">ers of the Commission had also </w:t>
      </w:r>
      <w:r w:rsidR="00041CD9" w:rsidRPr="009C2ADD">
        <w:rPr>
          <w:rFonts w:ascii="Times New Roman" w:hAnsi="Times New Roman"/>
          <w:lang w:val="en-AU"/>
        </w:rPr>
        <w:t xml:space="preserve">voluntarily provided funding support for scientific work of the Commission. </w:t>
      </w:r>
      <w:r w:rsidR="007E066D">
        <w:rPr>
          <w:rFonts w:ascii="Times New Roman" w:hAnsi="Times New Roman" w:hint="eastAsia"/>
          <w:iCs/>
          <w:lang w:eastAsia="ko-KR"/>
        </w:rPr>
        <w:t>EU</w:t>
      </w:r>
      <w:r w:rsidR="00E16BF4">
        <w:rPr>
          <w:rFonts w:ascii="Times New Roman" w:hAnsi="Times New Roman"/>
          <w:iCs/>
          <w:lang w:eastAsia="ko-KR"/>
        </w:rPr>
        <w:t xml:space="preserve"> </w:t>
      </w:r>
      <w:r w:rsidR="00041CD9" w:rsidRPr="009C2ADD">
        <w:rPr>
          <w:rFonts w:ascii="Times New Roman" w:hAnsi="Times New Roman"/>
          <w:lang w:val="en-AU"/>
        </w:rPr>
        <w:t xml:space="preserve">had made available approx. USD 1 million for various research projects including simulation testing of reference points, estimation of post-release </w:t>
      </w:r>
      <w:r w:rsidR="00454D25">
        <w:rPr>
          <w:rFonts w:ascii="Times New Roman" w:hAnsi="Times New Roman"/>
          <w:lang w:val="en-AU"/>
        </w:rPr>
        <w:t xml:space="preserve">mortality of </w:t>
      </w:r>
      <w:r w:rsidR="00041CD9" w:rsidRPr="009C2ADD">
        <w:rPr>
          <w:rFonts w:ascii="Times New Roman" w:hAnsi="Times New Roman"/>
          <w:lang w:val="en-AU"/>
        </w:rPr>
        <w:t xml:space="preserve">sharks </w:t>
      </w:r>
      <w:r w:rsidR="00454D25">
        <w:rPr>
          <w:rFonts w:ascii="Times New Roman" w:hAnsi="Times New Roman"/>
          <w:lang w:val="en-AU"/>
        </w:rPr>
        <w:t xml:space="preserve">in </w:t>
      </w:r>
      <w:r w:rsidR="00041CD9" w:rsidRPr="009C2ADD">
        <w:rPr>
          <w:rFonts w:ascii="Times New Roman" w:hAnsi="Times New Roman"/>
          <w:lang w:val="en-AU"/>
        </w:rPr>
        <w:t xml:space="preserve">longline fisheries and </w:t>
      </w:r>
      <w:r w:rsidR="009E0AA6">
        <w:rPr>
          <w:rFonts w:ascii="Times New Roman" w:hAnsi="Times New Roman" w:hint="eastAsia"/>
          <w:lang w:val="en-AU" w:eastAsia="ko-KR"/>
        </w:rPr>
        <w:t>bigeye/yellowfin</w:t>
      </w:r>
      <w:r w:rsidR="00041CD9" w:rsidRPr="009C2ADD">
        <w:rPr>
          <w:rFonts w:ascii="Times New Roman" w:hAnsi="Times New Roman"/>
          <w:lang w:val="en-AU"/>
        </w:rPr>
        <w:t xml:space="preserve"> juvenile bycatch mitigation. The second 5-year programme of the Korean government to support the SPC’s Pacific Tuna Tagging Project started in 2014, providing about USD 170,000 per year. Over the last year, the International Seafood Sustainability Foundation and the Western Pacific Regional Fishery Management Council </w:t>
      </w:r>
      <w:r w:rsidR="00B037FE">
        <w:rPr>
          <w:rFonts w:ascii="Times New Roman" w:hAnsi="Times New Roman" w:hint="eastAsia"/>
          <w:lang w:val="en-AU" w:eastAsia="ko-KR"/>
        </w:rPr>
        <w:t>have</w:t>
      </w:r>
      <w:r w:rsidR="00B037FE" w:rsidRPr="009C2ADD">
        <w:rPr>
          <w:rFonts w:ascii="Times New Roman" w:hAnsi="Times New Roman"/>
          <w:lang w:val="en-AU"/>
        </w:rPr>
        <w:t xml:space="preserve"> </w:t>
      </w:r>
      <w:r w:rsidR="00041CD9" w:rsidRPr="009C2ADD">
        <w:rPr>
          <w:rFonts w:ascii="Times New Roman" w:hAnsi="Times New Roman"/>
          <w:lang w:val="en-AU"/>
        </w:rPr>
        <w:t>supported the Expert Consultation Workshop on Management Strategy Evaluation and the spatial longline analyses.</w:t>
      </w:r>
    </w:p>
    <w:p w14:paraId="6D5EF2FF"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6E9CFFB8"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29A0E25C" w14:textId="33C3FA75" w:rsidR="003035B1" w:rsidRPr="009C2ADD" w:rsidRDefault="003035B1" w:rsidP="009C2ADD">
      <w:pPr>
        <w:pStyle w:val="Heading1"/>
        <w:adjustRightInd w:val="0"/>
        <w:snapToGrid w:val="0"/>
        <w:rPr>
          <w:rFonts w:ascii="Times New Roman" w:hAnsi="Times New Roman"/>
          <w:sz w:val="22"/>
          <w:szCs w:val="22"/>
        </w:rPr>
      </w:pPr>
      <w:bookmarkStart w:id="146" w:name="_Toc491850309"/>
      <w:bookmarkStart w:id="147" w:name="_Toc491851840"/>
      <w:r w:rsidRPr="009C2ADD">
        <w:rPr>
          <w:rFonts w:ascii="Times New Roman" w:hAnsi="Times New Roman"/>
          <w:sz w:val="22"/>
          <w:szCs w:val="22"/>
        </w:rPr>
        <w:t>AGENDA ITEM 8 - Cooperation with Other Organisations</w:t>
      </w:r>
      <w:bookmarkEnd w:id="146"/>
      <w:bookmarkEnd w:id="147"/>
    </w:p>
    <w:p w14:paraId="006C39E4" w14:textId="77777777" w:rsidR="00D35145" w:rsidRPr="009C2ADD" w:rsidRDefault="00D35145" w:rsidP="009C2ADD">
      <w:pPr>
        <w:adjustRightInd w:val="0"/>
        <w:snapToGrid w:val="0"/>
        <w:spacing w:after="0"/>
        <w:rPr>
          <w:rFonts w:ascii="Times New Roman" w:hAnsi="Times New Roman"/>
        </w:rPr>
      </w:pPr>
    </w:p>
    <w:p w14:paraId="180B2304" w14:textId="77777777" w:rsidR="00BA0E48" w:rsidRPr="009C2ADD" w:rsidRDefault="00BA0E48" w:rsidP="009C2ADD">
      <w:pPr>
        <w:adjustRightInd w:val="0"/>
        <w:snapToGrid w:val="0"/>
        <w:spacing w:after="0"/>
        <w:rPr>
          <w:rFonts w:ascii="Times New Roman" w:hAnsi="Times New Roman"/>
        </w:rPr>
      </w:pPr>
    </w:p>
    <w:p w14:paraId="1C18AAFB" w14:textId="77777777"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reviewed the status of cooperation with other organizations.</w:t>
      </w:r>
    </w:p>
    <w:p w14:paraId="7E4B1CF4"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22A2A7F1" w14:textId="26656FBE" w:rsidR="00BA0E48"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WCPFC Science Manager presented </w:t>
      </w:r>
      <w:r w:rsidRPr="0070772D">
        <w:rPr>
          <w:rFonts w:ascii="Times New Roman" w:hAnsi="Times New Roman"/>
          <w:bCs/>
          <w:lang w:val="en-AU"/>
        </w:rPr>
        <w:t>SC13-GN-IP-01</w:t>
      </w:r>
      <w:r w:rsidRPr="009C2ADD">
        <w:rPr>
          <w:rFonts w:ascii="Times New Roman" w:hAnsi="Times New Roman"/>
          <w:lang w:val="en-AU"/>
        </w:rPr>
        <w:t xml:space="preserve"> </w:t>
      </w:r>
      <w:r w:rsidRPr="009C2ADD">
        <w:rPr>
          <w:rFonts w:ascii="Times New Roman" w:hAnsi="Times New Roman"/>
          <w:i/>
          <w:lang w:val="en-AU"/>
        </w:rPr>
        <w:t>Cooperation with Other Organizations</w:t>
      </w:r>
      <w:r w:rsidRPr="009C2ADD">
        <w:rPr>
          <w:rFonts w:ascii="Times New Roman" w:hAnsi="Times New Roman"/>
          <w:lang w:val="en-AU"/>
        </w:rPr>
        <w:t xml:space="preserve"> which provided an update on existing and new arrangements. Attention was drawn to the signing of two new memoranda on 5 June 2017 with the Commission for the Conservation of Southern Bluefin Tuna (CCSBT): a Memorandum of Cooperation on the Exchange and Release of Data; and a Memorandum of Cooperation on the Endorsement of WCPFC ROP Observers for Observing Transhipments of Southern Bluefin Tuna on the High Seas of the WCPFC Convention Area with CCSBT.</w:t>
      </w:r>
    </w:p>
    <w:p w14:paraId="1B70E2FA" w14:textId="77777777" w:rsidR="00BA0E48" w:rsidRPr="009C2ADD" w:rsidRDefault="00BA0E48" w:rsidP="009C2ADD">
      <w:pPr>
        <w:pStyle w:val="ListParagraph"/>
        <w:adjustRightInd w:val="0"/>
        <w:snapToGrid w:val="0"/>
        <w:contextualSpacing w:val="0"/>
        <w:rPr>
          <w:rFonts w:ascii="Times New Roman" w:hAnsi="Times New Roman"/>
          <w:lang w:val="en-AU"/>
        </w:rPr>
      </w:pPr>
    </w:p>
    <w:p w14:paraId="11DBB029" w14:textId="1AEEF95F"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The Tuna Compliance Network, an informal network of officers responsible for compliance from the five tuna RFMOs, was established in March 2017 and hosted under the International Monitoring, Control and Surveillance Network (IMCSN) with support from the FAO Common Oceans </w:t>
      </w:r>
      <w:r w:rsidR="00861EE8">
        <w:rPr>
          <w:rFonts w:ascii="Times New Roman" w:hAnsi="Times New Roman"/>
          <w:lang w:val="en-AU"/>
        </w:rPr>
        <w:t>(</w:t>
      </w:r>
      <w:r w:rsidRPr="009C2ADD">
        <w:rPr>
          <w:rFonts w:ascii="Times New Roman" w:hAnsi="Times New Roman"/>
          <w:lang w:val="en-AU"/>
        </w:rPr>
        <w:t>ABNJ</w:t>
      </w:r>
      <w:r w:rsidR="00861EE8">
        <w:rPr>
          <w:rFonts w:ascii="Times New Roman" w:hAnsi="Times New Roman"/>
          <w:lang w:val="en-AU"/>
        </w:rPr>
        <w:t>)</w:t>
      </w:r>
      <w:r w:rsidRPr="009C2ADD">
        <w:rPr>
          <w:rFonts w:ascii="Times New Roman" w:hAnsi="Times New Roman"/>
          <w:lang w:val="en-AU"/>
        </w:rPr>
        <w:t xml:space="preserve"> Tuna Project. The Tuna Compliance Network provided opportunities for regular dialogue amongst the five tuna RFMO Secretariats on MCS and Compliance matters, and with other MCS/Compliance experts.</w:t>
      </w:r>
    </w:p>
    <w:p w14:paraId="3401D482" w14:textId="77777777" w:rsidR="003035B1" w:rsidRPr="009C2ADD" w:rsidRDefault="003035B1" w:rsidP="009C2ADD">
      <w:pPr>
        <w:adjustRightInd w:val="0"/>
        <w:snapToGrid w:val="0"/>
        <w:spacing w:after="0"/>
        <w:rPr>
          <w:rFonts w:ascii="Times New Roman" w:hAnsi="Times New Roman"/>
        </w:rPr>
      </w:pPr>
    </w:p>
    <w:p w14:paraId="1E9904C1" w14:textId="77777777" w:rsidR="003035B1" w:rsidRPr="009C2ADD" w:rsidRDefault="003035B1" w:rsidP="009C2ADD">
      <w:pPr>
        <w:adjustRightInd w:val="0"/>
        <w:snapToGrid w:val="0"/>
        <w:spacing w:after="0"/>
        <w:rPr>
          <w:rFonts w:ascii="Times New Roman" w:hAnsi="Times New Roman"/>
        </w:rPr>
      </w:pPr>
    </w:p>
    <w:p w14:paraId="6F581E4D" w14:textId="77777777" w:rsidR="003035B1" w:rsidRPr="009C2ADD" w:rsidRDefault="003035B1" w:rsidP="009C2ADD">
      <w:pPr>
        <w:pStyle w:val="Heading1"/>
        <w:adjustRightInd w:val="0"/>
        <w:snapToGrid w:val="0"/>
        <w:rPr>
          <w:rFonts w:ascii="Times New Roman" w:hAnsi="Times New Roman"/>
          <w:sz w:val="22"/>
          <w:szCs w:val="22"/>
        </w:rPr>
      </w:pPr>
      <w:bookmarkStart w:id="148" w:name="_Toc491850310"/>
      <w:bookmarkStart w:id="149" w:name="_Toc491851841"/>
      <w:r w:rsidRPr="009C2ADD">
        <w:rPr>
          <w:rFonts w:ascii="Times New Roman" w:hAnsi="Times New Roman"/>
          <w:sz w:val="22"/>
          <w:szCs w:val="22"/>
        </w:rPr>
        <w:t>AGENDA ITEM 9 - Special Requirements of</w:t>
      </w:r>
      <w:bookmarkEnd w:id="148"/>
      <w:r w:rsidRPr="009C2ADD">
        <w:rPr>
          <w:rFonts w:ascii="Times New Roman" w:hAnsi="Times New Roman"/>
          <w:sz w:val="22"/>
          <w:szCs w:val="22"/>
        </w:rPr>
        <w:t xml:space="preserve"> </w:t>
      </w:r>
      <w:bookmarkStart w:id="150" w:name="_Toc491850311"/>
      <w:r w:rsidRPr="009C2ADD">
        <w:rPr>
          <w:rFonts w:ascii="Times New Roman" w:hAnsi="Times New Roman"/>
          <w:sz w:val="22"/>
          <w:szCs w:val="22"/>
        </w:rPr>
        <w:t>Developing States and Participating Territories</w:t>
      </w:r>
      <w:bookmarkEnd w:id="149"/>
      <w:bookmarkEnd w:id="150"/>
    </w:p>
    <w:p w14:paraId="228F6709" w14:textId="77777777" w:rsidR="003035B1" w:rsidRPr="009C2ADD" w:rsidRDefault="003035B1" w:rsidP="009C2ADD">
      <w:pPr>
        <w:adjustRightInd w:val="0"/>
        <w:snapToGrid w:val="0"/>
        <w:spacing w:after="0"/>
        <w:jc w:val="center"/>
        <w:rPr>
          <w:rFonts w:ascii="Times New Roman" w:hAnsi="Times New Roman"/>
          <w:b/>
        </w:rPr>
      </w:pPr>
    </w:p>
    <w:p w14:paraId="6EE0AB17" w14:textId="77777777" w:rsidR="00BA0E48" w:rsidRPr="009C2ADD" w:rsidRDefault="00BA0E48" w:rsidP="009C2ADD">
      <w:pPr>
        <w:adjustRightInd w:val="0"/>
        <w:snapToGrid w:val="0"/>
        <w:spacing w:after="0"/>
        <w:jc w:val="center"/>
        <w:rPr>
          <w:rFonts w:ascii="Times New Roman" w:hAnsi="Times New Roman"/>
          <w:b/>
        </w:rPr>
      </w:pPr>
    </w:p>
    <w:p w14:paraId="72708FDF" w14:textId="27D65E8F"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WCPFC Assistant Science Manager, T</w:t>
      </w:r>
      <w:r w:rsidR="00861EE8">
        <w:rPr>
          <w:rFonts w:ascii="Times New Roman" w:hAnsi="Times New Roman"/>
          <w:lang w:val="en-AU"/>
        </w:rPr>
        <w:t>.</w:t>
      </w:r>
      <w:r w:rsidRPr="009C2ADD">
        <w:rPr>
          <w:rFonts w:ascii="Times New Roman" w:hAnsi="Times New Roman"/>
          <w:lang w:val="en-AU"/>
        </w:rPr>
        <w:t xml:space="preserve"> Beeching presented </w:t>
      </w:r>
      <w:r w:rsidRPr="0070772D">
        <w:rPr>
          <w:rFonts w:ascii="Times New Roman" w:hAnsi="Times New Roman"/>
          <w:bCs/>
          <w:lang w:val="en-AU"/>
        </w:rPr>
        <w:t>SC13-RP-JTF-01</w:t>
      </w:r>
      <w:r w:rsidRPr="009C2ADD">
        <w:rPr>
          <w:rFonts w:ascii="Times New Roman" w:hAnsi="Times New Roman"/>
          <w:lang w:val="en-AU"/>
        </w:rPr>
        <w:t xml:space="preserve"> </w:t>
      </w:r>
      <w:r w:rsidRPr="009C2ADD">
        <w:rPr>
          <w:rFonts w:ascii="Times New Roman" w:hAnsi="Times New Roman"/>
          <w:i/>
          <w:lang w:val="en-AU"/>
        </w:rPr>
        <w:t>Japan Trust Fund Status Report (2017)</w:t>
      </w:r>
      <w:r w:rsidRPr="009C2ADD">
        <w:rPr>
          <w:rFonts w:ascii="Times New Roman" w:hAnsi="Times New Roman"/>
          <w:lang w:val="en-AU"/>
        </w:rPr>
        <w:t xml:space="preserve">; and </w:t>
      </w:r>
      <w:r w:rsidRPr="0070772D">
        <w:rPr>
          <w:rFonts w:ascii="Times New Roman" w:hAnsi="Times New Roman"/>
          <w:bCs/>
          <w:lang w:val="en-AU"/>
        </w:rPr>
        <w:t>SC13-RP-JTF-02</w:t>
      </w:r>
      <w:r w:rsidRPr="009C2ADD">
        <w:rPr>
          <w:rFonts w:ascii="Times New Roman" w:hAnsi="Times New Roman"/>
          <w:lang w:val="en-AU"/>
        </w:rPr>
        <w:t xml:space="preserve"> </w:t>
      </w:r>
      <w:r w:rsidRPr="009C2ADD">
        <w:rPr>
          <w:rFonts w:ascii="Times New Roman" w:hAnsi="Times New Roman"/>
          <w:i/>
          <w:lang w:val="en-AU"/>
        </w:rPr>
        <w:t>Japan Trust Fund Steering Committee Report</w:t>
      </w:r>
      <w:r w:rsidRPr="009C2ADD">
        <w:rPr>
          <w:rFonts w:ascii="Times New Roman" w:hAnsi="Times New Roman"/>
          <w:lang w:val="en-AU"/>
        </w:rPr>
        <w:t xml:space="preserve">; and advised that the JTF fund had appointed </w:t>
      </w:r>
      <w:r w:rsidR="00861EE8">
        <w:rPr>
          <w:rFonts w:ascii="Times New Roman" w:hAnsi="Times New Roman"/>
          <w:lang w:val="en-AU"/>
        </w:rPr>
        <w:t xml:space="preserve">W. </w:t>
      </w:r>
      <w:r w:rsidRPr="009C2ADD">
        <w:rPr>
          <w:rFonts w:ascii="Times New Roman" w:hAnsi="Times New Roman"/>
          <w:lang w:val="en-AU"/>
        </w:rPr>
        <w:t xml:space="preserve">Tanoue as the Coordinator, and this year the JTF was represented by </w:t>
      </w:r>
      <w:r w:rsidR="00861EE8">
        <w:rPr>
          <w:rFonts w:ascii="Times New Roman" w:hAnsi="Times New Roman"/>
          <w:lang w:val="en-AU"/>
        </w:rPr>
        <w:t xml:space="preserve">T. </w:t>
      </w:r>
      <w:r w:rsidRPr="009C2ADD">
        <w:rPr>
          <w:rFonts w:ascii="Times New Roman" w:hAnsi="Times New Roman"/>
          <w:lang w:val="en-AU"/>
        </w:rPr>
        <w:t>Fujiwara. 2017 was the first extension year of the second phase of the JTF; and WCPFC disbursed USD128</w:t>
      </w:r>
      <w:proofErr w:type="gramStart"/>
      <w:r w:rsidRPr="009C2ADD">
        <w:rPr>
          <w:rFonts w:ascii="Times New Roman" w:hAnsi="Times New Roman"/>
          <w:lang w:val="en-AU"/>
        </w:rPr>
        <w:t>,843</w:t>
      </w:r>
      <w:proofErr w:type="gramEnd"/>
      <w:r w:rsidRPr="009C2ADD">
        <w:rPr>
          <w:rFonts w:ascii="Times New Roman" w:hAnsi="Times New Roman"/>
          <w:lang w:val="en-AU"/>
        </w:rPr>
        <w:t xml:space="preserve"> to each of </w:t>
      </w:r>
      <w:r w:rsidR="00444E27">
        <w:rPr>
          <w:rFonts w:ascii="Times New Roman" w:hAnsi="Times New Roman"/>
          <w:lang w:val="en-AU"/>
        </w:rPr>
        <w:t>four</w:t>
      </w:r>
      <w:r w:rsidRPr="009C2ADD">
        <w:rPr>
          <w:rFonts w:ascii="Times New Roman" w:hAnsi="Times New Roman"/>
          <w:lang w:val="en-AU"/>
        </w:rPr>
        <w:t xml:space="preserve"> JTF projects in the Cook Islands, Kiribati, and </w:t>
      </w:r>
      <w:r w:rsidR="00444E27">
        <w:rPr>
          <w:rFonts w:ascii="Times New Roman" w:hAnsi="Times New Roman"/>
          <w:lang w:val="en-AU"/>
        </w:rPr>
        <w:t xml:space="preserve">two in </w:t>
      </w:r>
      <w:r w:rsidRPr="009C2ADD">
        <w:rPr>
          <w:rFonts w:ascii="Times New Roman" w:hAnsi="Times New Roman"/>
          <w:lang w:val="en-AU"/>
        </w:rPr>
        <w:t>Tonga. Compliance and data collection were particular foci of the funding. A JTF steering committee meeting held in the margins of SC13 discussed the status and any challenges of current projects and projects carried over from earlier years. WCPFC circulated a call for project proposals for a second extension year into 2018 with a submission deadline of 30th September 2017. There was a vacancy for a new JTF Committee Island Members, and any SIDS representatives interested in the position were encouraged contact P</w:t>
      </w:r>
      <w:r w:rsidR="00861EE8">
        <w:rPr>
          <w:rFonts w:ascii="Times New Roman" w:hAnsi="Times New Roman"/>
          <w:lang w:val="en-AU"/>
        </w:rPr>
        <w:t>.</w:t>
      </w:r>
      <w:r w:rsidRPr="009C2ADD">
        <w:rPr>
          <w:rFonts w:ascii="Times New Roman" w:hAnsi="Times New Roman"/>
          <w:lang w:val="en-AU"/>
        </w:rPr>
        <w:t xml:space="preserve"> Maru (FFA).</w:t>
      </w:r>
    </w:p>
    <w:p w14:paraId="3C107E14"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634C426A" w14:textId="09788B0B" w:rsidR="003035B1" w:rsidRPr="009C2ADD" w:rsidRDefault="00B177F7" w:rsidP="009C2ADD">
      <w:pPr>
        <w:numPr>
          <w:ilvl w:val="0"/>
          <w:numId w:val="1"/>
        </w:numPr>
        <w:autoSpaceDE w:val="0"/>
        <w:autoSpaceDN w:val="0"/>
        <w:adjustRightInd w:val="0"/>
        <w:snapToGrid w:val="0"/>
        <w:spacing w:after="0"/>
        <w:ind w:left="0" w:firstLine="0"/>
        <w:rPr>
          <w:rFonts w:ascii="Times New Roman" w:hAnsi="Times New Roman"/>
          <w:lang w:val="en-AU"/>
        </w:rPr>
      </w:pPr>
      <w:r>
        <w:rPr>
          <w:rFonts w:ascii="Times New Roman" w:hAnsi="Times New Roman" w:hint="eastAsia"/>
          <w:lang w:val="en-AU" w:eastAsia="ko-KR"/>
        </w:rPr>
        <w:t>RMI</w:t>
      </w:r>
      <w:r w:rsidR="003035B1" w:rsidRPr="009C2ADD">
        <w:rPr>
          <w:rFonts w:ascii="Times New Roman" w:hAnsi="Times New Roman"/>
          <w:lang w:val="en-AU"/>
        </w:rPr>
        <w:t xml:space="preserve"> noted the Special Requirements of Developing States and Participating Territories was an important platform on which this Commission must consider the development and delivery of its functions and work. This agenda item provides the opportune moment to reflect on the scientific work that has been considered and undertaken and how this Committee could help to increase the participation of developing States, in particular Small Island Developing States and Territories, in the scientific landscape of WCPO fisheries. It was grateful to CCMs and observer delegations to WCPFC, for supporting SIDS through the various mechanisms under the Commission that provided SIDS the opportunity to improve their scientific capabilities, such as through the Japanese Trust Fund, Chinese-Taipei Trust Fund, the Special Requirements Fund and the ‘Regional Capacity Building Workshops’ budget item. CCMs were encouraged to read CMM 2013-07 </w:t>
      </w:r>
      <w:r w:rsidR="003035B1" w:rsidRPr="009C2ADD">
        <w:rPr>
          <w:rFonts w:ascii="Times New Roman" w:hAnsi="Times New Roman"/>
          <w:i/>
          <w:lang w:val="en-AU"/>
        </w:rPr>
        <w:t>the Conservation and Management Measure on the Special Requirements of Small Island Developing States and Territories</w:t>
      </w:r>
      <w:r w:rsidR="003035B1" w:rsidRPr="009C2ADD">
        <w:rPr>
          <w:rFonts w:ascii="Times New Roman" w:hAnsi="Times New Roman"/>
          <w:lang w:val="en-AU"/>
        </w:rPr>
        <w:t xml:space="preserve">, and investigate avenues to further assist SIDs, especially for building technical capacity and resources that would support the strengthening of national programmes that feed in to the work of this Committee.  </w:t>
      </w:r>
    </w:p>
    <w:p w14:paraId="5FC18E52"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7F9CC5A1" w14:textId="041AFAB1"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Samoa, on behalf of FFA </w:t>
      </w:r>
      <w:r w:rsidR="00D5432C">
        <w:rPr>
          <w:rFonts w:ascii="Times New Roman" w:hAnsi="Times New Roman"/>
          <w:lang w:val="en-AU"/>
        </w:rPr>
        <w:t>member</w:t>
      </w:r>
      <w:r w:rsidRPr="009C2ADD">
        <w:rPr>
          <w:rFonts w:ascii="Times New Roman" w:hAnsi="Times New Roman"/>
          <w:lang w:val="en-AU"/>
        </w:rPr>
        <w:t xml:space="preserve">s further provided examples of such assistance. Australia, through SPC, funded the Junior Professionals Programme which provided dedicated resourcing to enable Pacific Island scientists the opportunity to study and work on specific research topics relevant to their countries, to learn and be mentored by SPC scientists over the period of a year. The Programme was a great example of providing dedicated resources to up-skill Pacific Islanders allowing them to undertake work to contribute to the scientific capacity of coastal States. In addition, the annual SPC Stock Assessment Workshops and Tuna Data Workshops, continued to support FFA </w:t>
      </w:r>
      <w:r w:rsidR="00D5432C">
        <w:rPr>
          <w:rFonts w:ascii="Times New Roman" w:hAnsi="Times New Roman"/>
          <w:lang w:val="en-AU"/>
        </w:rPr>
        <w:t>member</w:t>
      </w:r>
      <w:r w:rsidRPr="009C2ADD">
        <w:rPr>
          <w:rFonts w:ascii="Times New Roman" w:hAnsi="Times New Roman"/>
          <w:lang w:val="en-AU"/>
        </w:rPr>
        <w:t xml:space="preserve">s to understand and interpret some of the more technical details of work presented in this forum. The Commission lacks the framework to facilitate the delivery of support for more effective participation in scientific processes. While FFA members were pleased with the genuine efforts made by some CCMs to enable capacity building across scientific programmes, they noted that CCMs should not pick and choose between which SIDS Special Requirements they want to support through conditional project funding. FFA </w:t>
      </w:r>
      <w:r w:rsidR="00D5432C">
        <w:rPr>
          <w:rFonts w:ascii="Times New Roman" w:hAnsi="Times New Roman"/>
          <w:lang w:val="en-AU"/>
        </w:rPr>
        <w:t>member</w:t>
      </w:r>
      <w:r w:rsidRPr="009C2ADD">
        <w:rPr>
          <w:rFonts w:ascii="Times New Roman" w:hAnsi="Times New Roman"/>
          <w:lang w:val="en-AU"/>
        </w:rPr>
        <w:t>s again urged CCMs to review CMM 2013-07, and the provisions that highlighted the specific areas of assistance that should be contributed to.</w:t>
      </w:r>
    </w:p>
    <w:p w14:paraId="3C56AB9F" w14:textId="77777777" w:rsidR="003035B1" w:rsidRPr="009C2ADD" w:rsidRDefault="003035B1" w:rsidP="009C2ADD">
      <w:pPr>
        <w:adjustRightInd w:val="0"/>
        <w:snapToGrid w:val="0"/>
        <w:spacing w:after="0"/>
        <w:jc w:val="center"/>
        <w:rPr>
          <w:rFonts w:ascii="Times New Roman" w:hAnsi="Times New Roman"/>
          <w:b/>
        </w:rPr>
      </w:pPr>
    </w:p>
    <w:p w14:paraId="1F7DBD74" w14:textId="77777777" w:rsidR="00BA0E48" w:rsidRPr="009C2ADD" w:rsidRDefault="00BA0E48" w:rsidP="009C2ADD">
      <w:pPr>
        <w:adjustRightInd w:val="0"/>
        <w:snapToGrid w:val="0"/>
        <w:spacing w:after="0"/>
        <w:jc w:val="center"/>
        <w:rPr>
          <w:rFonts w:ascii="Times New Roman" w:hAnsi="Times New Roman"/>
          <w:b/>
        </w:rPr>
      </w:pPr>
    </w:p>
    <w:p w14:paraId="6402CF99" w14:textId="25FF0589" w:rsidR="003035B1" w:rsidRPr="009C2ADD" w:rsidRDefault="003035B1" w:rsidP="009C2ADD">
      <w:pPr>
        <w:pStyle w:val="Heading1"/>
        <w:adjustRightInd w:val="0"/>
        <w:snapToGrid w:val="0"/>
        <w:rPr>
          <w:rFonts w:ascii="Times New Roman" w:hAnsi="Times New Roman"/>
          <w:sz w:val="22"/>
          <w:szCs w:val="22"/>
        </w:rPr>
      </w:pPr>
      <w:bookmarkStart w:id="151" w:name="_Toc491850312"/>
      <w:bookmarkStart w:id="152" w:name="_Toc491851842"/>
      <w:r w:rsidRPr="009C2ADD">
        <w:rPr>
          <w:rFonts w:ascii="Times New Roman" w:hAnsi="Times New Roman"/>
          <w:sz w:val="22"/>
          <w:szCs w:val="22"/>
        </w:rPr>
        <w:t>AGENDA ITEM 10 - Future Work Program and Budget</w:t>
      </w:r>
      <w:bookmarkEnd w:id="151"/>
      <w:bookmarkEnd w:id="152"/>
    </w:p>
    <w:p w14:paraId="43840EA5" w14:textId="77777777" w:rsidR="00D35145" w:rsidRPr="009C2ADD" w:rsidRDefault="00D35145" w:rsidP="009C2ADD">
      <w:pPr>
        <w:adjustRightInd w:val="0"/>
        <w:snapToGrid w:val="0"/>
        <w:spacing w:after="0"/>
        <w:rPr>
          <w:rFonts w:ascii="Times New Roman" w:hAnsi="Times New Roman"/>
        </w:rPr>
      </w:pPr>
    </w:p>
    <w:p w14:paraId="35D9C091" w14:textId="77777777" w:rsidR="00BA0E48" w:rsidRPr="009C2ADD" w:rsidRDefault="00BA0E48" w:rsidP="009C2ADD">
      <w:pPr>
        <w:adjustRightInd w:val="0"/>
        <w:snapToGrid w:val="0"/>
        <w:spacing w:after="0"/>
        <w:rPr>
          <w:rFonts w:ascii="Times New Roman" w:hAnsi="Times New Roman"/>
        </w:rPr>
      </w:pPr>
    </w:p>
    <w:p w14:paraId="5AE2FC71" w14:textId="7DBD41B4" w:rsidR="003035B1" w:rsidRPr="009C2ADD" w:rsidRDefault="0028464D" w:rsidP="009C2ADD">
      <w:pPr>
        <w:pStyle w:val="Heading2"/>
        <w:adjustRightInd w:val="0"/>
        <w:snapToGrid w:val="0"/>
        <w:rPr>
          <w:color w:val="auto"/>
          <w:szCs w:val="22"/>
          <w:lang w:val="en-AU"/>
        </w:rPr>
      </w:pPr>
      <w:bookmarkStart w:id="153" w:name="_Toc491851843"/>
      <w:r w:rsidRPr="009C2ADD">
        <w:rPr>
          <w:color w:val="auto"/>
          <w:szCs w:val="22"/>
          <w:lang w:val="en-AU"/>
        </w:rPr>
        <w:t xml:space="preserve">10.1 </w:t>
      </w:r>
      <w:r w:rsidR="00BA0E48" w:rsidRPr="009C2ADD">
        <w:rPr>
          <w:color w:val="auto"/>
          <w:szCs w:val="22"/>
          <w:lang w:val="en-AU"/>
        </w:rPr>
        <w:tab/>
      </w:r>
      <w:r w:rsidR="003035B1" w:rsidRPr="009C2ADD">
        <w:rPr>
          <w:color w:val="auto"/>
          <w:szCs w:val="22"/>
          <w:lang w:val="en-AU"/>
        </w:rPr>
        <w:t>Review of the Scientific Committee Work Programme</w:t>
      </w:r>
      <w:bookmarkEnd w:id="153"/>
    </w:p>
    <w:p w14:paraId="4215A9F7" w14:textId="77777777" w:rsidR="00D35145" w:rsidRPr="009C2ADD" w:rsidRDefault="00D35145" w:rsidP="009C2ADD">
      <w:pPr>
        <w:adjustRightInd w:val="0"/>
        <w:snapToGrid w:val="0"/>
        <w:spacing w:after="0"/>
        <w:rPr>
          <w:rFonts w:ascii="Times New Roman" w:hAnsi="Times New Roman"/>
          <w:lang w:val="en-AU"/>
        </w:rPr>
      </w:pPr>
    </w:p>
    <w:p w14:paraId="50FB6F6A" w14:textId="1D284599"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w:t>
      </w:r>
      <w:r w:rsidR="007E066D">
        <w:rPr>
          <w:rFonts w:ascii="Times New Roman" w:hAnsi="Times New Roman" w:hint="eastAsia"/>
          <w:lang w:val="en-AU" w:eastAsia="ko-KR"/>
        </w:rPr>
        <w:t>.</w:t>
      </w:r>
      <w:r w:rsidRPr="009C2ADD">
        <w:rPr>
          <w:rFonts w:ascii="Times New Roman" w:hAnsi="Times New Roman"/>
          <w:lang w:val="en-AU"/>
        </w:rPr>
        <w:t xml:space="preserve"> Beeching</w:t>
      </w:r>
      <w:r w:rsidR="002A5B99" w:rsidRPr="009C2ADD">
        <w:rPr>
          <w:rFonts w:ascii="Times New Roman" w:hAnsi="Times New Roman"/>
          <w:lang w:val="en-AU"/>
        </w:rPr>
        <w:t xml:space="preserve"> (</w:t>
      </w:r>
      <w:r w:rsidR="00387CAD" w:rsidRPr="009C2ADD">
        <w:rPr>
          <w:rFonts w:ascii="Times New Roman" w:hAnsi="Times New Roman"/>
          <w:lang w:val="en-AU"/>
        </w:rPr>
        <w:t>Assistant Science Manager</w:t>
      </w:r>
      <w:r w:rsidRPr="009C2ADD">
        <w:rPr>
          <w:rFonts w:ascii="Times New Roman" w:hAnsi="Times New Roman"/>
          <w:lang w:val="en-AU"/>
        </w:rPr>
        <w:t xml:space="preserve">) presented </w:t>
      </w:r>
      <w:r w:rsidRPr="0070772D">
        <w:rPr>
          <w:rFonts w:ascii="Times New Roman" w:hAnsi="Times New Roman"/>
          <w:bCs/>
          <w:lang w:val="en-AU"/>
        </w:rPr>
        <w:t>SC13-GN-WP-04</w:t>
      </w:r>
      <w:r w:rsidRPr="009C2ADD">
        <w:rPr>
          <w:rFonts w:ascii="Times New Roman" w:hAnsi="Times New Roman"/>
          <w:lang w:val="en-AU"/>
        </w:rPr>
        <w:t xml:space="preserve"> </w:t>
      </w:r>
      <w:r w:rsidRPr="009C2ADD">
        <w:rPr>
          <w:rFonts w:ascii="Times New Roman" w:hAnsi="Times New Roman"/>
          <w:i/>
          <w:lang w:val="en-AU"/>
        </w:rPr>
        <w:t>Intersessional Activities of the Scientific Committee</w:t>
      </w:r>
      <w:r w:rsidRPr="009C2ADD">
        <w:rPr>
          <w:rFonts w:ascii="Times New Roman" w:hAnsi="Times New Roman"/>
          <w:lang w:val="en-AU"/>
        </w:rPr>
        <w:t>, which briefed SC13 on the status of the SC12 work programme. In addition to the ongoing data management and other advisory services provided by SPC, the Assistant Science Manager highlighted as specific outputs, the stock assessments for bigeye and yellowfin tuna, and supporting science, notably on the biology and growth of bigeye tuna (Projects 35 and 35b). There was also a stock assessment for swordfish in the southwest pacific. SPC participated in workshop</w:t>
      </w:r>
      <w:r w:rsidR="00444E27">
        <w:rPr>
          <w:rFonts w:ascii="Times New Roman" w:hAnsi="Times New Roman"/>
          <w:lang w:val="en-AU"/>
        </w:rPr>
        <w:t>s for FAD Management and Joint T-</w:t>
      </w:r>
      <w:r w:rsidRPr="009C2ADD">
        <w:rPr>
          <w:rFonts w:ascii="Times New Roman" w:hAnsi="Times New Roman"/>
          <w:lang w:val="en-AU"/>
        </w:rPr>
        <w:t xml:space="preserve">RFMO MSE work. SPC authored or co-authored 49 papers submitted to SC12, (23 of which were working papers), and an additional 4 papers related to ongoing project work for PTTP and </w:t>
      </w:r>
      <w:r w:rsidR="00861EE8">
        <w:rPr>
          <w:rFonts w:ascii="Times New Roman" w:hAnsi="Times New Roman"/>
          <w:lang w:val="en-AU"/>
        </w:rPr>
        <w:t>P</w:t>
      </w:r>
      <w:r w:rsidRPr="009C2ADD">
        <w:rPr>
          <w:rFonts w:ascii="Times New Roman" w:hAnsi="Times New Roman"/>
          <w:lang w:val="en-AU"/>
        </w:rPr>
        <w:t>rojects 35 and 35b. This work was completed via two main funding routes: the core Service Agreement with SPC and individual project contracts. It was noted that an unobligated budget was not provided for 2016/17. Finally, three science projects supported by EU supplementary funding were detailed.</w:t>
      </w:r>
    </w:p>
    <w:p w14:paraId="608E9E16"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58EE12B8" w14:textId="51E33F27" w:rsidR="003035B1" w:rsidRPr="009C2ADD" w:rsidRDefault="0028464D" w:rsidP="009C2ADD">
      <w:pPr>
        <w:pStyle w:val="Heading2"/>
        <w:adjustRightInd w:val="0"/>
        <w:snapToGrid w:val="0"/>
        <w:rPr>
          <w:color w:val="auto"/>
          <w:szCs w:val="22"/>
          <w:lang w:val="en-AU"/>
        </w:rPr>
      </w:pPr>
      <w:bookmarkStart w:id="154" w:name="_Toc491851844"/>
      <w:r w:rsidRPr="009C2ADD">
        <w:rPr>
          <w:color w:val="auto"/>
          <w:szCs w:val="22"/>
          <w:lang w:val="en-AU"/>
        </w:rPr>
        <w:t xml:space="preserve">10.2 </w:t>
      </w:r>
      <w:r w:rsidR="00BA0E48" w:rsidRPr="009C2ADD">
        <w:rPr>
          <w:color w:val="auto"/>
          <w:szCs w:val="22"/>
          <w:lang w:val="en-AU"/>
        </w:rPr>
        <w:tab/>
      </w:r>
      <w:r w:rsidR="003035B1" w:rsidRPr="009C2ADD">
        <w:rPr>
          <w:color w:val="auto"/>
          <w:szCs w:val="22"/>
          <w:lang w:val="en-AU"/>
        </w:rPr>
        <w:t>Development of the 2018 Work Programme and budget, and projection of 2019-2020 provisional Work Programme and indicative budget</w:t>
      </w:r>
      <w:bookmarkEnd w:id="154"/>
      <w:r w:rsidR="003035B1" w:rsidRPr="009C2ADD">
        <w:rPr>
          <w:color w:val="auto"/>
          <w:szCs w:val="22"/>
          <w:lang w:val="en-AU"/>
        </w:rPr>
        <w:t xml:space="preserve"> </w:t>
      </w:r>
    </w:p>
    <w:p w14:paraId="5A538A08" w14:textId="77777777" w:rsidR="00BA0E48" w:rsidRPr="009C2ADD" w:rsidRDefault="00BA0E48" w:rsidP="009C2ADD">
      <w:pPr>
        <w:adjustRightInd w:val="0"/>
        <w:snapToGrid w:val="0"/>
        <w:spacing w:after="0"/>
        <w:rPr>
          <w:rFonts w:ascii="Times New Roman" w:hAnsi="Times New Roman"/>
          <w:lang w:val="en-AU" w:eastAsia="ja-JP"/>
        </w:rPr>
      </w:pPr>
    </w:p>
    <w:p w14:paraId="4050F52F" w14:textId="77777777"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SC13 noted a recommendation from the Finance and Administration Committee to the Commission (Para 71, FAC9 Summary Report) that “</w:t>
      </w:r>
      <w:r w:rsidRPr="009C2ADD">
        <w:rPr>
          <w:rFonts w:ascii="Times New Roman" w:hAnsi="Times New Roman"/>
          <w:i/>
          <w:lang w:val="en-AU"/>
        </w:rPr>
        <w:t>WCPFC12 task SC with carefully considering proposed scientific projects in the context of the indicative budget agreed for the coming year</w:t>
      </w:r>
      <w:r w:rsidRPr="009C2ADD">
        <w:rPr>
          <w:rFonts w:ascii="Times New Roman" w:hAnsi="Times New Roman"/>
          <w:lang w:val="en-AU"/>
        </w:rPr>
        <w:t>.”</w:t>
      </w:r>
    </w:p>
    <w:p w14:paraId="59E8E23B"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7CDAEBD4" w14:textId="4EB58B3C" w:rsidR="003035B1" w:rsidRPr="009C2ADD" w:rsidRDefault="00B406B8" w:rsidP="009C2ADD">
      <w:pPr>
        <w:numPr>
          <w:ilvl w:val="0"/>
          <w:numId w:val="1"/>
        </w:numPr>
        <w:autoSpaceDE w:val="0"/>
        <w:autoSpaceDN w:val="0"/>
        <w:adjustRightInd w:val="0"/>
        <w:snapToGrid w:val="0"/>
        <w:spacing w:after="0"/>
        <w:ind w:left="0" w:firstLine="0"/>
        <w:rPr>
          <w:rFonts w:ascii="Times New Roman" w:hAnsi="Times New Roman"/>
        </w:rPr>
      </w:pPr>
      <w:r w:rsidRPr="009C2ADD">
        <w:rPr>
          <w:rFonts w:ascii="Times New Roman" w:hAnsi="Times New Roman"/>
        </w:rPr>
        <w:t xml:space="preserve">The Secretariat noted that the proposed SC budget for 2018 represents a 7% increase compared to the 2018 indicative budget and 21% increase compared to the current 2017 SC budget, noting that a large portion of the increase is related to the increase in </w:t>
      </w:r>
      <w:r w:rsidR="009E0AA6">
        <w:rPr>
          <w:rFonts w:ascii="Times New Roman" w:hAnsi="Times New Roman" w:hint="eastAsia"/>
          <w:lang w:eastAsia="ko-KR"/>
        </w:rPr>
        <w:t xml:space="preserve">funding for the </w:t>
      </w:r>
      <w:r w:rsidRPr="009C2ADD">
        <w:rPr>
          <w:rFonts w:ascii="Times New Roman" w:hAnsi="Times New Roman"/>
        </w:rPr>
        <w:t>tagging project.</w:t>
      </w:r>
    </w:p>
    <w:p w14:paraId="7E2C9178" w14:textId="77777777" w:rsidR="00BA0E48" w:rsidRPr="009C2ADD" w:rsidRDefault="00BA0E48" w:rsidP="009C2ADD">
      <w:pPr>
        <w:pStyle w:val="ListParagraph"/>
        <w:adjustRightInd w:val="0"/>
        <w:snapToGrid w:val="0"/>
        <w:contextualSpacing w:val="0"/>
        <w:rPr>
          <w:rFonts w:ascii="Times New Roman" w:hAnsi="Times New Roman"/>
        </w:rPr>
      </w:pPr>
    </w:p>
    <w:p w14:paraId="75962976" w14:textId="5BF06C32" w:rsidR="003035B1" w:rsidRPr="00590FBF" w:rsidRDefault="003035B1" w:rsidP="009C2ADD">
      <w:pPr>
        <w:pStyle w:val="WCPFC"/>
        <w:adjustRightInd w:val="0"/>
        <w:spacing w:after="0"/>
        <w:ind w:left="0" w:firstLine="0"/>
        <w:rPr>
          <w:b/>
        </w:rPr>
      </w:pPr>
      <w:r w:rsidRPr="009C2ADD">
        <w:rPr>
          <w:b/>
        </w:rPr>
        <w:t xml:space="preserve">SC13 adopted the proposed </w:t>
      </w:r>
      <w:r w:rsidRPr="00590FBF">
        <w:rPr>
          <w:b/>
        </w:rPr>
        <w:t xml:space="preserve">budget </w:t>
      </w:r>
      <w:r w:rsidR="007F0142" w:rsidRPr="00590FBF">
        <w:rPr>
          <w:b/>
        </w:rPr>
        <w:t xml:space="preserve">(Table 1) </w:t>
      </w:r>
      <w:r w:rsidRPr="00590FBF">
        <w:rPr>
          <w:b/>
        </w:rPr>
        <w:t xml:space="preserve">and forwarded it to the FAC at the December WCPFC meeting. </w:t>
      </w:r>
    </w:p>
    <w:p w14:paraId="3B29CEB7" w14:textId="77777777" w:rsidR="007F0142" w:rsidRPr="00590FBF" w:rsidRDefault="007F0142" w:rsidP="007F0142">
      <w:pPr>
        <w:pStyle w:val="ListParagraph"/>
        <w:rPr>
          <w:rFonts w:ascii="Times New Roman" w:hAnsi="Times New Roman"/>
          <w:b/>
        </w:rPr>
      </w:pPr>
    </w:p>
    <w:p w14:paraId="43933185" w14:textId="25AB4FE5" w:rsidR="007F0142" w:rsidRPr="00590FBF" w:rsidRDefault="007F0142" w:rsidP="007F0142">
      <w:pPr>
        <w:pStyle w:val="ListParagraph"/>
        <w:ind w:left="0" w:firstLine="0"/>
        <w:rPr>
          <w:rFonts w:ascii="Times New Roman" w:eastAsia="맑은 고딕" w:hAnsi="Times New Roman"/>
          <w:lang w:eastAsia="ko-KR"/>
        </w:rPr>
      </w:pPr>
      <w:proofErr w:type="gramStart"/>
      <w:r w:rsidRPr="00590FBF">
        <w:rPr>
          <w:rFonts w:ascii="Times New Roman" w:hAnsi="Times New Roman"/>
          <w:b/>
          <w:bCs/>
        </w:rPr>
        <w:t>Table 1.</w:t>
      </w:r>
      <w:proofErr w:type="gramEnd"/>
      <w:r w:rsidRPr="00590FBF">
        <w:rPr>
          <w:rFonts w:ascii="Times New Roman" w:hAnsi="Times New Roman"/>
          <w:b/>
          <w:bCs/>
        </w:rPr>
        <w:t xml:space="preserve"> </w:t>
      </w:r>
      <w:r w:rsidR="00C72947">
        <w:rPr>
          <w:rFonts w:ascii="Times New Roman" w:hAnsi="Times New Roman"/>
        </w:rPr>
        <w:t xml:space="preserve">Summary of </w:t>
      </w:r>
      <w:r w:rsidRPr="00590FBF">
        <w:rPr>
          <w:rFonts w:ascii="Times New Roman" w:hAnsi="Times New Roman"/>
        </w:rPr>
        <w:t>SC work programme titles and budget for 201</w:t>
      </w:r>
      <w:r w:rsidR="00590FBF" w:rsidRPr="00590FBF">
        <w:rPr>
          <w:rFonts w:ascii="Times New Roman" w:eastAsia="맑은 고딕" w:hAnsi="Times New Roman"/>
          <w:lang w:eastAsia="ko-KR"/>
        </w:rPr>
        <w:t>8</w:t>
      </w:r>
      <w:r w:rsidRPr="00590FBF">
        <w:rPr>
          <w:rFonts w:ascii="Times New Roman" w:hAnsi="Times New Roman"/>
        </w:rPr>
        <w:t>, and indicative budget for 201</w:t>
      </w:r>
      <w:r w:rsidR="00590FBF" w:rsidRPr="00590FBF">
        <w:rPr>
          <w:rFonts w:ascii="Times New Roman" w:eastAsia="맑은 고딕" w:hAnsi="Times New Roman"/>
          <w:lang w:eastAsia="ko-KR"/>
        </w:rPr>
        <w:t>9</w:t>
      </w:r>
      <w:r w:rsidR="00590FBF" w:rsidRPr="00590FBF">
        <w:rPr>
          <w:rFonts w:ascii="Times New Roman" w:hAnsi="Times New Roman"/>
        </w:rPr>
        <w:t>–2020</w:t>
      </w:r>
      <w:r w:rsidR="00590FBF">
        <w:rPr>
          <w:rFonts w:ascii="Times New Roman" w:hAnsi="Times New Roman"/>
        </w:rPr>
        <w:t xml:space="preserve">, </w:t>
      </w:r>
      <w:r w:rsidRPr="00590FBF">
        <w:rPr>
          <w:rFonts w:ascii="Times New Roman" w:hAnsi="Times New Roman"/>
        </w:rPr>
        <w:t>which require</w:t>
      </w:r>
      <w:r w:rsidR="009E0AA6">
        <w:rPr>
          <w:rFonts w:ascii="Times New Roman" w:hAnsi="Times New Roman" w:hint="eastAsia"/>
          <w:lang w:eastAsia="ko-KR"/>
        </w:rPr>
        <w:t>s</w:t>
      </w:r>
      <w:r w:rsidRPr="00590FBF">
        <w:rPr>
          <w:rFonts w:ascii="Times New Roman" w:hAnsi="Times New Roman"/>
        </w:rPr>
        <w:t xml:space="preserve"> funding from the Commission’s core budget</w:t>
      </w:r>
      <w:r w:rsidR="00590FBF">
        <w:rPr>
          <w:rFonts w:ascii="Times New Roman" w:hAnsi="Times New Roman"/>
        </w:rPr>
        <w:t xml:space="preserve"> (USD)</w:t>
      </w:r>
      <w:r w:rsidRPr="00590FBF">
        <w:rPr>
          <w:rFonts w:ascii="Times New Roman" w:eastAsia="맑은 고딕" w:hAnsi="Times New Roman"/>
          <w:lang w:eastAsia="ko-KR"/>
        </w:rPr>
        <w:t>.</w:t>
      </w:r>
    </w:p>
    <w:tbl>
      <w:tblPr>
        <w:tblW w:w="5000" w:type="pct"/>
        <w:tblLook w:val="04A0" w:firstRow="1" w:lastRow="0" w:firstColumn="1" w:lastColumn="0" w:noHBand="0" w:noVBand="1"/>
      </w:tblPr>
      <w:tblGrid>
        <w:gridCol w:w="3672"/>
        <w:gridCol w:w="938"/>
        <w:gridCol w:w="990"/>
        <w:gridCol w:w="900"/>
        <w:gridCol w:w="1046"/>
        <w:gridCol w:w="1015"/>
        <w:gridCol w:w="1015"/>
      </w:tblGrid>
      <w:tr w:rsidR="00590FBF" w:rsidRPr="002534EE" w14:paraId="75B3FB74" w14:textId="77777777" w:rsidTr="00C72947">
        <w:trPr>
          <w:tblHeader/>
        </w:trPr>
        <w:tc>
          <w:tcPr>
            <w:tcW w:w="19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7BD0A3" w14:textId="77777777" w:rsidR="00590FBF" w:rsidRPr="00590FBF" w:rsidRDefault="00590FBF" w:rsidP="00590FBF">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Times New Roman" w:hAnsi="Times New Roman"/>
                <w:b/>
                <w:bCs/>
                <w:sz w:val="18"/>
                <w:szCs w:val="18"/>
              </w:rPr>
              <w:t>Project</w:t>
            </w:r>
            <w:r w:rsidRPr="00590FBF">
              <w:rPr>
                <w:rFonts w:ascii="Times New Roman" w:eastAsia="맑은 고딕" w:hAnsi="Times New Roman"/>
                <w:b/>
                <w:bCs/>
                <w:sz w:val="18"/>
                <w:szCs w:val="18"/>
                <w:lang w:eastAsia="ko-KR"/>
              </w:rPr>
              <w:t xml:space="preserve"> title</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FE033" w14:textId="77777777" w:rsidR="00590FBF" w:rsidRPr="00590FBF" w:rsidRDefault="00590FBF" w:rsidP="00590FBF">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TORs</w:t>
            </w:r>
          </w:p>
        </w:tc>
        <w:tc>
          <w:tcPr>
            <w:tcW w:w="5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8B5FB" w14:textId="77777777" w:rsidR="00590FBF" w:rsidRPr="00590FBF" w:rsidRDefault="00590FBF" w:rsidP="00590FBF">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Essential</w:t>
            </w: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A3388" w14:textId="77777777" w:rsidR="00590FBF" w:rsidRPr="00590FBF" w:rsidRDefault="00590FBF" w:rsidP="00590FBF">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P</w:t>
            </w:r>
            <w:r w:rsidRPr="00590FBF">
              <w:rPr>
                <w:rFonts w:ascii="Times New Roman" w:eastAsia="맑은 고딕" w:hAnsi="Times New Roman"/>
                <w:b/>
                <w:bCs/>
                <w:sz w:val="18"/>
                <w:szCs w:val="18"/>
                <w:lang w:eastAsia="ko-KR"/>
              </w:rPr>
              <w:t>riority / Rank</w:t>
            </w:r>
          </w:p>
        </w:tc>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17979C" w14:textId="77777777" w:rsidR="00590FBF" w:rsidRPr="00590FBF" w:rsidRDefault="00590FBF" w:rsidP="00590FBF">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2018</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202625" w14:textId="77777777" w:rsidR="00590FBF" w:rsidRPr="00590FBF" w:rsidRDefault="00590FBF" w:rsidP="00590FBF">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2019</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4378D" w14:textId="77777777" w:rsidR="00590FBF" w:rsidRPr="00590FBF" w:rsidRDefault="00590FBF" w:rsidP="00590FBF">
            <w:pPr>
              <w:adjustRightInd w:val="0"/>
              <w:snapToGrid w:val="0"/>
              <w:spacing w:after="0"/>
              <w:jc w:val="center"/>
              <w:rPr>
                <w:rFonts w:ascii="Times New Roman" w:eastAsia="맑은 고딕" w:hAnsi="Times New Roman"/>
                <w:b/>
                <w:bCs/>
                <w:sz w:val="18"/>
                <w:szCs w:val="18"/>
                <w:lang w:eastAsia="ko-KR"/>
              </w:rPr>
            </w:pPr>
            <w:r w:rsidRPr="00590FBF">
              <w:rPr>
                <w:rFonts w:ascii="Times New Roman" w:eastAsia="맑은 고딕" w:hAnsi="Times New Roman"/>
                <w:b/>
                <w:bCs/>
                <w:sz w:val="18"/>
                <w:szCs w:val="18"/>
                <w:lang w:eastAsia="ko-KR"/>
              </w:rPr>
              <w:t>2020</w:t>
            </w:r>
          </w:p>
        </w:tc>
      </w:tr>
      <w:tr w:rsidR="00590FBF" w:rsidRPr="002534EE" w14:paraId="2186A5EF"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28C2D" w14:textId="77777777"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SPC Oceanic Fisheries Programme Budget</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6885791"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41883"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D3454"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D5315"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888,624</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6791AEF"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906,396</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F0AEF2F"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924,524</w:t>
            </w:r>
          </w:p>
        </w:tc>
      </w:tr>
      <w:tr w:rsidR="00590FBF" w:rsidRPr="002534EE" w14:paraId="1E346F1D"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45987CB8" w14:textId="58C1B467" w:rsidR="00590FBF" w:rsidRPr="00C72947" w:rsidRDefault="00590FBF" w:rsidP="00590FBF">
            <w:pPr>
              <w:adjustRightInd w:val="0"/>
              <w:snapToGrid w:val="0"/>
              <w:spacing w:after="0"/>
              <w:jc w:val="left"/>
              <w:rPr>
                <w:rFonts w:ascii="Times New Roman" w:hAnsi="Times New Roman"/>
                <w:sz w:val="18"/>
                <w:szCs w:val="18"/>
                <w:lang w:eastAsia="ko-KR"/>
              </w:rPr>
            </w:pPr>
            <w:r w:rsidRPr="00C72947">
              <w:rPr>
                <w:rFonts w:ascii="Times New Roman" w:eastAsia="맑은 고딕" w:hAnsi="Times New Roman"/>
                <w:sz w:val="18"/>
                <w:szCs w:val="18"/>
                <w:lang w:eastAsia="ko-KR"/>
              </w:rPr>
              <w:t xml:space="preserve">SPC – </w:t>
            </w:r>
            <w:r w:rsidRPr="00C72947">
              <w:rPr>
                <w:rFonts w:ascii="Times New Roman" w:hAnsi="Times New Roman"/>
                <w:sz w:val="18"/>
                <w:szCs w:val="18"/>
              </w:rPr>
              <w:t xml:space="preserve">Additional </w:t>
            </w:r>
            <w:r w:rsidRPr="00C72947">
              <w:rPr>
                <w:rFonts w:ascii="Times New Roman" w:eastAsia="맑은 고딕" w:hAnsi="Times New Roman"/>
                <w:sz w:val="18"/>
                <w:szCs w:val="18"/>
                <w:lang w:eastAsia="ko-KR"/>
              </w:rPr>
              <w:t>r</w:t>
            </w:r>
            <w:r w:rsidRPr="00C72947">
              <w:rPr>
                <w:rFonts w:ascii="Times New Roman" w:hAnsi="Times New Roman"/>
                <w:sz w:val="18"/>
                <w:szCs w:val="18"/>
              </w:rPr>
              <w:t>esourcing</w:t>
            </w:r>
            <w:r w:rsidRPr="00C72947">
              <w:rPr>
                <w:rStyle w:val="FootnoteReference"/>
                <w:rFonts w:ascii="Times New Roman" w:hAnsi="Times New Roman"/>
                <w:sz w:val="18"/>
                <w:szCs w:val="18"/>
              </w:rPr>
              <w:footnoteReference w:id="7"/>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5F56FD8"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3D07282"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EC5B22D"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61515717"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163,200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886F908"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164,832</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D0C5C0F"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166,480</w:t>
            </w:r>
          </w:p>
        </w:tc>
      </w:tr>
      <w:tr w:rsidR="00590FBF" w:rsidRPr="002534EE" w14:paraId="0760F233"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5C975FD5" w14:textId="77777777" w:rsidR="00590FBF" w:rsidRPr="00C72947" w:rsidRDefault="00590FBF" w:rsidP="00590FBF">
            <w:pPr>
              <w:adjustRightInd w:val="0"/>
              <w:snapToGrid w:val="0"/>
              <w:spacing w:after="0"/>
              <w:jc w:val="left"/>
              <w:rPr>
                <w:rFonts w:ascii="Times New Roman" w:eastAsia="Times New Roman" w:hAnsi="Times New Roman"/>
                <w:sz w:val="18"/>
                <w:szCs w:val="18"/>
              </w:rPr>
            </w:pPr>
            <w:r w:rsidRPr="00C72947">
              <w:rPr>
                <w:rFonts w:ascii="Times New Roman" w:eastAsia="Times New Roman" w:hAnsi="Times New Roman"/>
                <w:sz w:val="18"/>
                <w:szCs w:val="18"/>
              </w:rPr>
              <w:t>Project 35b. Maintenance and enhancement of the WCPFC Tissue Bank</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6446657"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916EA06"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F1CE0E3"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EC5649"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p w14:paraId="32B6DEB3"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C8A4B00"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p w14:paraId="506C0DE6"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C5E14A8"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p w14:paraId="204B64A6"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Times New Roman" w:hAnsi="Times New Roman"/>
                <w:sz w:val="18"/>
                <w:szCs w:val="18"/>
              </w:rPr>
              <w:t>97,2</w:t>
            </w:r>
            <w:r w:rsidRPr="00590FBF">
              <w:rPr>
                <w:rFonts w:ascii="Times New Roman" w:eastAsia="맑은 고딕" w:hAnsi="Times New Roman"/>
                <w:sz w:val="18"/>
                <w:szCs w:val="18"/>
                <w:lang w:eastAsia="ko-KR"/>
              </w:rPr>
              <w:t>0</w:t>
            </w:r>
            <w:r w:rsidRPr="00590FBF">
              <w:rPr>
                <w:rFonts w:ascii="Times New Roman" w:eastAsia="Times New Roman" w:hAnsi="Times New Roman"/>
                <w:sz w:val="18"/>
                <w:szCs w:val="18"/>
              </w:rPr>
              <w:t>0</w:t>
            </w:r>
          </w:p>
        </w:tc>
      </w:tr>
      <w:tr w:rsidR="00590FBF" w:rsidRPr="002534EE" w14:paraId="1DFE476B"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27CAFB5" w14:textId="049D413B"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hAnsi="Times New Roman"/>
                <w:sz w:val="18"/>
                <w:szCs w:val="18"/>
                <w:lang w:eastAsia="ko-KR"/>
              </w:rPr>
              <w:t>Project 42 Pacific Tuna Tagging Program</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46D8EB0"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A07F145"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DBFBD27"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Times New Roman" w:hAnsi="Times New Roman"/>
                <w:sz w:val="18"/>
                <w:szCs w:val="18"/>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8803F" w14:textId="77777777" w:rsidR="00590FBF" w:rsidRPr="00590FBF" w:rsidRDefault="00590FBF" w:rsidP="00590FBF">
            <w:pPr>
              <w:adjustRightInd w:val="0"/>
              <w:snapToGrid w:val="0"/>
              <w:spacing w:after="0"/>
              <w:jc w:val="right"/>
              <w:rPr>
                <w:rFonts w:ascii="Times New Roman" w:hAnsi="Times New Roman"/>
                <w:sz w:val="18"/>
                <w:szCs w:val="18"/>
              </w:rPr>
            </w:pPr>
            <w:r w:rsidRPr="00590FBF">
              <w:rPr>
                <w:rFonts w:ascii="Times New Roman" w:hAnsi="Times New Roman"/>
                <w:sz w:val="18"/>
                <w:szCs w:val="18"/>
              </w:rPr>
              <w:t>500,000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9ECCD21" w14:textId="77777777" w:rsidR="00590FBF" w:rsidRPr="00590FBF" w:rsidRDefault="00590FBF" w:rsidP="00590FBF">
            <w:pPr>
              <w:adjustRightInd w:val="0"/>
              <w:snapToGrid w:val="0"/>
              <w:spacing w:after="0"/>
              <w:jc w:val="right"/>
              <w:rPr>
                <w:rFonts w:ascii="Times New Roman" w:hAnsi="Times New Roman"/>
                <w:sz w:val="18"/>
                <w:szCs w:val="18"/>
              </w:rPr>
            </w:pPr>
            <w:r w:rsidRPr="00590FBF">
              <w:rPr>
                <w:rFonts w:ascii="Times New Roman" w:hAnsi="Times New Roman"/>
                <w:sz w:val="18"/>
                <w:szCs w:val="18"/>
              </w:rPr>
              <w:t>650,000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C860F1A" w14:textId="77777777" w:rsidR="00590FBF" w:rsidRPr="00590FBF" w:rsidRDefault="00590FBF" w:rsidP="00590FBF">
            <w:pPr>
              <w:adjustRightInd w:val="0"/>
              <w:snapToGrid w:val="0"/>
              <w:spacing w:after="0"/>
              <w:jc w:val="right"/>
              <w:rPr>
                <w:rFonts w:ascii="Times New Roman" w:hAnsi="Times New Roman"/>
                <w:sz w:val="18"/>
                <w:szCs w:val="18"/>
              </w:rPr>
            </w:pPr>
            <w:r w:rsidRPr="00590FBF">
              <w:rPr>
                <w:rFonts w:ascii="Times New Roman" w:hAnsi="Times New Roman"/>
                <w:sz w:val="18"/>
                <w:szCs w:val="18"/>
              </w:rPr>
              <w:t>690,000</w:t>
            </w:r>
          </w:p>
        </w:tc>
      </w:tr>
      <w:tr w:rsidR="00590FBF" w:rsidRPr="002534EE" w14:paraId="621A8F63"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7891925B" w14:textId="4F6CC318" w:rsidR="00590FBF" w:rsidRPr="00C72947" w:rsidRDefault="00590FBF" w:rsidP="00590FBF">
            <w:pPr>
              <w:adjustRightInd w:val="0"/>
              <w:snapToGrid w:val="0"/>
              <w:spacing w:after="0"/>
              <w:jc w:val="left"/>
              <w:rPr>
                <w:rFonts w:ascii="Times New Roman" w:hAnsi="Times New Roman"/>
                <w:sz w:val="18"/>
                <w:szCs w:val="18"/>
              </w:rPr>
            </w:pPr>
            <w:r w:rsidRPr="00C72947">
              <w:rPr>
                <w:rFonts w:ascii="Times New Roman" w:hAnsi="Times New Roman"/>
                <w:sz w:val="18"/>
                <w:szCs w:val="18"/>
                <w:lang w:eastAsia="ja-JP"/>
              </w:rPr>
              <w:t xml:space="preserve">Project 57. </w:t>
            </w:r>
            <w:r w:rsidRPr="00C72947">
              <w:rPr>
                <w:rFonts w:ascii="Times New Roman" w:hAnsi="Times New Roman"/>
                <w:sz w:val="18"/>
                <w:szCs w:val="18"/>
              </w:rPr>
              <w:t>Identifying appropriate LRPs for elasmobranchs within the WCPFC</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3A89836"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75E3F959"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5E1D234"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9ECEF"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25,000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61350B6"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E0C1F52"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0</w:t>
            </w:r>
          </w:p>
        </w:tc>
      </w:tr>
      <w:tr w:rsidR="00590FBF" w:rsidRPr="002534EE" w14:paraId="480C71B6"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6716E2AC" w14:textId="098B8049"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Project 60: Improving purse seine species composition</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402DCF0"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2CE2D814"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15883888"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Times New Roman" w:hAnsi="Times New Roman"/>
                <w:sz w:val="18"/>
                <w:szCs w:val="18"/>
              </w:rPr>
              <w:t>Medium</w:t>
            </w:r>
            <w:r w:rsidRPr="00590FBF">
              <w:rPr>
                <w:rFonts w:ascii="Times New Roman" w:eastAsia="맑은 고딕" w:hAnsi="Times New Roman"/>
                <w:sz w:val="18"/>
                <w:szCs w:val="18"/>
                <w:lang w:eastAsia="ko-KR"/>
              </w:rPr>
              <w:t xml:space="preserve"> / 1</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ED74E7"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1AA7DF0"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40,000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4AE269F"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40,000</w:t>
            </w:r>
          </w:p>
        </w:tc>
      </w:tr>
      <w:tr w:rsidR="00590FBF" w:rsidRPr="002534EE" w14:paraId="065B57E6"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060B4632" w14:textId="6DE73639"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 xml:space="preserve">Project 68. Estimation of </w:t>
            </w:r>
            <w:r w:rsidRPr="00C72947">
              <w:rPr>
                <w:rFonts w:ascii="Times New Roman" w:hAnsi="Times New Roman"/>
                <w:sz w:val="18"/>
                <w:szCs w:val="18"/>
              </w:rPr>
              <w:t>seabird mortality across the WCPO Convention area</w:t>
            </w:r>
            <w:r w:rsidRPr="00C72947">
              <w:rPr>
                <w:rFonts w:ascii="Times New Roman" w:eastAsia="맑은 고딕" w:hAnsi="Times New Roman"/>
                <w:sz w:val="18"/>
                <w:szCs w:val="18"/>
                <w:lang w:eastAsia="ko-KR"/>
              </w:rPr>
              <w:t xml:space="preserve"> </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99090BA"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A0D21FD"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4DDA879"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950152"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hAnsi="Times New Roman"/>
                <w:sz w:val="18"/>
                <w:szCs w:val="18"/>
                <w:lang w:eastAsia="ko-KR"/>
              </w:rPr>
              <w:t>22,500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D609F0C"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hAnsi="Times New Roman"/>
                <w:sz w:val="18"/>
                <w:szCs w:val="18"/>
                <w:lang w:eastAsia="ko-KR"/>
              </w:rPr>
              <w:t>17,500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EC27DA6" w14:textId="77777777" w:rsidR="00590FBF" w:rsidRPr="00590FBF" w:rsidRDefault="00590FBF" w:rsidP="00590FBF">
            <w:pPr>
              <w:adjustRightInd w:val="0"/>
              <w:snapToGrid w:val="0"/>
              <w:spacing w:after="0"/>
              <w:jc w:val="right"/>
              <w:rPr>
                <w:rFonts w:ascii="Times New Roman" w:hAnsi="Times New Roman"/>
                <w:sz w:val="18"/>
                <w:szCs w:val="18"/>
                <w:lang w:eastAsia="ko-KR"/>
              </w:rPr>
            </w:pPr>
          </w:p>
        </w:tc>
      </w:tr>
      <w:tr w:rsidR="00590FBF" w:rsidRPr="002534EE" w14:paraId="5067B54A"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7947B924" w14:textId="0FAA4C23" w:rsidR="00590FBF" w:rsidRPr="00C72947" w:rsidRDefault="00590FBF" w:rsidP="00590FBF">
            <w:pPr>
              <w:adjustRightInd w:val="0"/>
              <w:snapToGrid w:val="0"/>
              <w:spacing w:after="0"/>
              <w:jc w:val="left"/>
              <w:rPr>
                <w:rFonts w:ascii="Times New Roman" w:eastAsia="Times New Roman" w:hAnsi="Times New Roman"/>
                <w:sz w:val="18"/>
                <w:szCs w:val="18"/>
              </w:rPr>
            </w:pPr>
            <w:r w:rsidRPr="00C72947">
              <w:rPr>
                <w:rFonts w:ascii="Times New Roman" w:eastAsia="맑은 고딕" w:hAnsi="Times New Roman"/>
                <w:sz w:val="18"/>
                <w:szCs w:val="18"/>
                <w:lang w:eastAsia="ko-KR"/>
              </w:rPr>
              <w:t xml:space="preserve">Project 81. </w:t>
            </w:r>
            <w:r w:rsidRPr="00C72947">
              <w:rPr>
                <w:rFonts w:ascii="Times New Roman" w:hAnsi="Times New Roman"/>
                <w:sz w:val="18"/>
                <w:szCs w:val="18"/>
              </w:rPr>
              <w:t>Further work on bigeye tuna age and growth</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F9688D2"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D0BCBF6"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Yes</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89C76E2"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High/1</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897FC4"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30,000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6F73681"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4F2C475"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tc>
      </w:tr>
      <w:tr w:rsidR="00590FBF" w:rsidRPr="002534EE" w14:paraId="20814C59"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35A2AA3B" w14:textId="2C48AF2A"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 xml:space="preserve">Project 82. </w:t>
            </w:r>
            <w:r w:rsidRPr="00C72947">
              <w:rPr>
                <w:rFonts w:ascii="Times New Roman" w:hAnsi="Times New Roman"/>
                <w:sz w:val="18"/>
                <w:szCs w:val="18"/>
              </w:rPr>
              <w:t>Yellowfin tuna age and growth</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C6964D0"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24D4F10"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ADEE7EF"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High/2</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4B4D6"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100,000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7C4A36A0"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85,000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61EA3DE"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tc>
      </w:tr>
      <w:tr w:rsidR="00590FBF" w:rsidRPr="002534EE" w14:paraId="53491EFE"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03327E5D" w14:textId="6B0BCE38"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Project 83. Investigating the potential for a WCPFC tag vessel</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326564E"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0C9C1BC"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No</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71A1A25"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Medium</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69D6E8"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62,500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A66577A"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336AAF4"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p>
        </w:tc>
      </w:tr>
      <w:tr w:rsidR="00590FBF" w:rsidRPr="002534EE" w14:paraId="2E8137C6"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526EB8A2" w14:textId="215B9975" w:rsidR="00590FBF" w:rsidRPr="00C72947" w:rsidRDefault="00590FBF" w:rsidP="009E0AA6">
            <w:pPr>
              <w:adjustRightInd w:val="0"/>
              <w:snapToGrid w:val="0"/>
              <w:spacing w:after="0"/>
              <w:jc w:val="left"/>
              <w:rPr>
                <w:rFonts w:ascii="Times New Roman" w:eastAsia="Times New Roman" w:hAnsi="Times New Roman"/>
                <w:sz w:val="18"/>
                <w:szCs w:val="18"/>
              </w:rPr>
            </w:pPr>
            <w:r w:rsidRPr="00C72947">
              <w:rPr>
                <w:rFonts w:ascii="Times New Roman" w:hAnsi="Times New Roman"/>
                <w:bCs/>
                <w:sz w:val="18"/>
                <w:szCs w:val="18"/>
              </w:rPr>
              <w:t xml:space="preserve">Project 88. </w:t>
            </w:r>
            <w:r w:rsidRPr="00C72947">
              <w:rPr>
                <w:rFonts w:ascii="Times New Roman" w:eastAsia="Times New Roman" w:hAnsi="Times New Roman"/>
                <w:sz w:val="18"/>
                <w:szCs w:val="18"/>
              </w:rPr>
              <w:t>Acoustic FAD analyses</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CAE037A"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AC85D5A"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No</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33B20D1A"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r w:rsidRPr="00590FBF">
              <w:rPr>
                <w:rFonts w:ascii="Times New Roman" w:eastAsia="Times New Roman" w:hAnsi="Times New Roman"/>
                <w:sz w:val="18"/>
                <w:szCs w:val="18"/>
              </w:rPr>
              <w:t>Medium</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AD7C41"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A84B357"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120,000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3FE0CF65"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72,000</w:t>
            </w:r>
          </w:p>
        </w:tc>
      </w:tr>
      <w:tr w:rsidR="00590FBF" w:rsidRPr="002534EE" w14:paraId="0A1CD16E"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588E204B" w14:textId="6C3FC2CA" w:rsidR="00590FBF" w:rsidRPr="00C72947" w:rsidRDefault="00590FBF" w:rsidP="009E0AA6">
            <w:pPr>
              <w:adjustRightInd w:val="0"/>
              <w:snapToGrid w:val="0"/>
              <w:spacing w:after="0"/>
              <w:jc w:val="left"/>
              <w:rPr>
                <w:rFonts w:ascii="Times New Roman" w:eastAsia="맑은 고딕" w:hAnsi="Times New Roman"/>
                <w:sz w:val="18"/>
                <w:szCs w:val="18"/>
                <w:lang w:eastAsia="ko-KR"/>
              </w:rPr>
            </w:pPr>
            <w:r w:rsidRPr="00C72947">
              <w:rPr>
                <w:rFonts w:ascii="Times New Roman" w:eastAsia="맑은 고딕" w:hAnsi="Times New Roman"/>
                <w:sz w:val="18"/>
                <w:szCs w:val="18"/>
                <w:lang w:eastAsia="ko-KR"/>
              </w:rPr>
              <w:t>Project 90. Better data on fish weights and lengths for scientific analyses</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5F79BAFB"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5C0711F0"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16480D77" w14:textId="77777777" w:rsidR="00590FBF" w:rsidRPr="00590FBF" w:rsidRDefault="00590FBF" w:rsidP="00590FBF">
            <w:pPr>
              <w:adjustRightInd w:val="0"/>
              <w:snapToGrid w:val="0"/>
              <w:spacing w:after="0"/>
              <w:jc w:val="center"/>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High</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94992"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1C860D8"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맑은 고딕" w:hAnsi="Times New Roman"/>
                <w:sz w:val="18"/>
                <w:szCs w:val="18"/>
                <w:lang w:eastAsia="ko-KR"/>
              </w:rPr>
              <w:t>40,000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5F383381"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20,000</w:t>
            </w:r>
          </w:p>
        </w:tc>
      </w:tr>
      <w:tr w:rsidR="00590FBF" w:rsidRPr="002534EE" w14:paraId="3E5764C5"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49016C36" w14:textId="44B68E2B" w:rsidR="00590FBF" w:rsidRPr="00C72947" w:rsidRDefault="00590FBF" w:rsidP="00590FBF">
            <w:pPr>
              <w:adjustRightInd w:val="0"/>
              <w:snapToGrid w:val="0"/>
              <w:spacing w:after="0"/>
              <w:jc w:val="left"/>
              <w:rPr>
                <w:rFonts w:ascii="Times New Roman" w:eastAsia="맑은 고딕" w:hAnsi="Times New Roman"/>
                <w:sz w:val="18"/>
                <w:szCs w:val="18"/>
                <w:lang w:eastAsia="ko-KR"/>
              </w:rPr>
            </w:pPr>
            <w:r w:rsidRPr="00C72947">
              <w:rPr>
                <w:rFonts w:ascii="Times New Roman" w:eastAsia="Times New Roman" w:hAnsi="Times New Roman"/>
                <w:sz w:val="18"/>
                <w:szCs w:val="18"/>
              </w:rPr>
              <w:t>Unobligated</w:t>
            </w:r>
            <w:r w:rsidRPr="00C72947">
              <w:rPr>
                <w:rFonts w:ascii="Times New Roman" w:hAnsi="Times New Roman"/>
                <w:sz w:val="18"/>
                <w:szCs w:val="18"/>
              </w:rPr>
              <w:t xml:space="preserve"> (Contingency)</w:t>
            </w:r>
            <w:r w:rsidRPr="00C72947">
              <w:rPr>
                <w:rFonts w:ascii="Times New Roman" w:eastAsia="Times New Roman" w:hAnsi="Times New Roman"/>
                <w:sz w:val="18"/>
                <w:szCs w:val="18"/>
              </w:rPr>
              <w:t xml:space="preserve"> Budget </w:t>
            </w:r>
          </w:p>
        </w:tc>
        <w:tc>
          <w:tcPr>
            <w:tcW w:w="490" w:type="pct"/>
            <w:tcBorders>
              <w:top w:val="single" w:sz="4" w:space="0" w:color="auto"/>
              <w:left w:val="single" w:sz="4" w:space="0" w:color="auto"/>
              <w:bottom w:val="single" w:sz="4" w:space="0" w:color="auto"/>
              <w:right w:val="single" w:sz="4" w:space="0" w:color="auto"/>
            </w:tcBorders>
            <w:shd w:val="clear" w:color="auto" w:fill="auto"/>
          </w:tcPr>
          <w:p w14:paraId="56A13CD1" w14:textId="77777777" w:rsidR="00590FBF" w:rsidRPr="00590FBF" w:rsidRDefault="00590FBF" w:rsidP="00590FBF">
            <w:pPr>
              <w:adjustRightInd w:val="0"/>
              <w:snapToGrid w:val="0"/>
              <w:spacing w:after="0"/>
              <w:rPr>
                <w:rFonts w:ascii="Times New Roman" w:eastAsia="Times New Roman" w:hAnsi="Times New Roman"/>
                <w:sz w:val="18"/>
                <w:szCs w:val="18"/>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02A6F8AB"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A9E6A52" w14:textId="77777777" w:rsidR="00590FBF" w:rsidRPr="00590FBF" w:rsidRDefault="00590FBF" w:rsidP="00590FBF">
            <w:pPr>
              <w:adjustRightInd w:val="0"/>
              <w:snapToGrid w:val="0"/>
              <w:spacing w:after="0"/>
              <w:jc w:val="center"/>
              <w:rPr>
                <w:rFonts w:ascii="Times New Roman" w:eastAsia="Times New Roman" w:hAnsi="Times New Roman"/>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61C075" w14:textId="77777777" w:rsidR="00590FBF" w:rsidRPr="00590FBF" w:rsidRDefault="00590FBF" w:rsidP="00590FBF">
            <w:pPr>
              <w:adjustRightInd w:val="0"/>
              <w:snapToGrid w:val="0"/>
              <w:spacing w:after="0"/>
              <w:jc w:val="right"/>
              <w:rPr>
                <w:rFonts w:ascii="Times New Roman" w:eastAsia="Times New Roman" w:hAnsi="Times New Roman"/>
                <w:sz w:val="18"/>
                <w:szCs w:val="18"/>
              </w:rPr>
            </w:pPr>
            <w:r w:rsidRPr="00590FBF">
              <w:rPr>
                <w:rFonts w:ascii="Times New Roman" w:eastAsia="Times New Roman" w:hAnsi="Times New Roman"/>
                <w:sz w:val="18"/>
                <w:szCs w:val="18"/>
              </w:rPr>
              <w:t>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3210BDD"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83,000</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5D10271" w14:textId="77777777" w:rsidR="00590FBF" w:rsidRPr="00590FBF" w:rsidRDefault="00590FBF" w:rsidP="00590FBF">
            <w:pPr>
              <w:adjustRightInd w:val="0"/>
              <w:snapToGrid w:val="0"/>
              <w:spacing w:after="0"/>
              <w:jc w:val="right"/>
              <w:rPr>
                <w:rFonts w:ascii="Times New Roman" w:eastAsia="맑은 고딕" w:hAnsi="Times New Roman"/>
                <w:sz w:val="18"/>
                <w:szCs w:val="18"/>
                <w:lang w:eastAsia="ko-KR"/>
              </w:rPr>
            </w:pPr>
            <w:r w:rsidRPr="00590FBF">
              <w:rPr>
                <w:rFonts w:ascii="Times New Roman" w:eastAsia="맑은 고딕" w:hAnsi="Times New Roman"/>
                <w:sz w:val="18"/>
                <w:szCs w:val="18"/>
                <w:lang w:eastAsia="ko-KR"/>
              </w:rPr>
              <w:t>83,000</w:t>
            </w:r>
          </w:p>
        </w:tc>
      </w:tr>
      <w:tr w:rsidR="00590FBF" w:rsidRPr="002534EE" w14:paraId="4696526C" w14:textId="77777777" w:rsidTr="00590FBF">
        <w:tc>
          <w:tcPr>
            <w:tcW w:w="1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C1AA7D" w14:textId="77777777" w:rsidR="00590FBF" w:rsidRPr="00590FBF" w:rsidRDefault="00590FBF" w:rsidP="00590FBF">
            <w:pPr>
              <w:adjustRightInd w:val="0"/>
              <w:snapToGrid w:val="0"/>
              <w:spacing w:after="0"/>
              <w:jc w:val="center"/>
              <w:rPr>
                <w:rFonts w:ascii="Times New Roman" w:eastAsia="Times New Roman" w:hAnsi="Times New Roman"/>
                <w:b/>
                <w:bCs/>
                <w:sz w:val="18"/>
                <w:szCs w:val="18"/>
              </w:rPr>
            </w:pPr>
            <w:r w:rsidRPr="00590FBF">
              <w:rPr>
                <w:rFonts w:ascii="Times New Roman" w:eastAsia="Times New Roman" w:hAnsi="Times New Roman"/>
                <w:b/>
                <w:bCs/>
                <w:sz w:val="18"/>
                <w:szCs w:val="18"/>
              </w:rPr>
              <w:t>SC13 TOTAL BUDGET</w:t>
            </w:r>
          </w:p>
        </w:tc>
        <w:tc>
          <w:tcPr>
            <w:tcW w:w="1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B65DD8" w14:textId="77777777" w:rsidR="00590FBF" w:rsidRPr="00590FBF" w:rsidRDefault="00590FBF" w:rsidP="00590FBF">
            <w:pPr>
              <w:adjustRightInd w:val="0"/>
              <w:snapToGrid w:val="0"/>
              <w:spacing w:after="0"/>
              <w:jc w:val="center"/>
              <w:rPr>
                <w:rFonts w:ascii="Times New Roman" w:eastAsia="Times New Roman" w:hAnsi="Times New Roman"/>
                <w:b/>
                <w:bCs/>
                <w:sz w:val="18"/>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3AF88A" w14:textId="6520B338" w:rsidR="00590FBF" w:rsidRPr="00590FBF" w:rsidRDefault="00590FBF" w:rsidP="00590FBF">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1,889</w:t>
            </w:r>
            <w:r w:rsidR="00D57209">
              <w:rPr>
                <w:rFonts w:ascii="Times New Roman" w:eastAsia="맑은 고딕" w:hAnsi="Times New Roman" w:hint="eastAsia"/>
                <w:b/>
                <w:sz w:val="18"/>
                <w:szCs w:val="18"/>
                <w:lang w:eastAsia="ko-KR"/>
              </w:rPr>
              <w:t>,</w:t>
            </w:r>
            <w:r w:rsidRPr="00590FBF">
              <w:rPr>
                <w:rFonts w:ascii="Times New Roman" w:eastAsia="맑은 고딕" w:hAnsi="Times New Roman"/>
                <w:b/>
                <w:sz w:val="18"/>
                <w:szCs w:val="18"/>
                <w:lang w:eastAsia="ko-KR"/>
              </w:rPr>
              <w:t>024</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15DB482" w14:textId="77777777" w:rsidR="00590FBF" w:rsidRPr="00590FBF" w:rsidRDefault="00590FBF" w:rsidP="00590FBF">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2,203,928</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2E281B3" w14:textId="77777777" w:rsidR="00590FBF" w:rsidRPr="00590FBF" w:rsidRDefault="00590FBF" w:rsidP="00590FBF">
            <w:pPr>
              <w:adjustRightInd w:val="0"/>
              <w:snapToGrid w:val="0"/>
              <w:spacing w:after="0"/>
              <w:jc w:val="right"/>
              <w:rPr>
                <w:rFonts w:ascii="Times New Roman" w:eastAsia="맑은 고딕" w:hAnsi="Times New Roman"/>
                <w:b/>
                <w:sz w:val="18"/>
                <w:szCs w:val="18"/>
                <w:lang w:eastAsia="ko-KR"/>
              </w:rPr>
            </w:pPr>
            <w:r w:rsidRPr="00590FBF">
              <w:rPr>
                <w:rFonts w:ascii="Times New Roman" w:eastAsia="맑은 고딕" w:hAnsi="Times New Roman"/>
                <w:b/>
                <w:sz w:val="18"/>
                <w:szCs w:val="18"/>
                <w:lang w:eastAsia="ko-KR"/>
              </w:rPr>
              <w:t>2,093,205</w:t>
            </w:r>
          </w:p>
        </w:tc>
      </w:tr>
    </w:tbl>
    <w:p w14:paraId="6D5531BB" w14:textId="77777777" w:rsidR="007F0142" w:rsidRPr="00590FBF" w:rsidRDefault="007F0142" w:rsidP="007F0142">
      <w:pPr>
        <w:pStyle w:val="ListParagraph"/>
        <w:rPr>
          <w:rFonts w:ascii="Times New Roman" w:hAnsi="Times New Roman"/>
          <w:b/>
        </w:rPr>
      </w:pPr>
    </w:p>
    <w:p w14:paraId="31739BB9" w14:textId="0FADC8BC" w:rsidR="007F0142" w:rsidRPr="00590FBF" w:rsidRDefault="007F0142" w:rsidP="009C2ADD">
      <w:pPr>
        <w:pStyle w:val="WCPFC"/>
        <w:adjustRightInd w:val="0"/>
        <w:spacing w:after="0"/>
        <w:ind w:left="0" w:firstLine="0"/>
      </w:pPr>
      <w:r w:rsidRPr="00590FBF">
        <w:t xml:space="preserve">Detailed </w:t>
      </w:r>
      <w:r w:rsidR="00C72947">
        <w:t xml:space="preserve">description of SC13 work programme, budget and </w:t>
      </w:r>
      <w:r w:rsidRPr="00590FBF">
        <w:t xml:space="preserve">terms of reference for </w:t>
      </w:r>
      <w:r w:rsidR="00C72947">
        <w:t xml:space="preserve">each project are </w:t>
      </w:r>
      <w:r w:rsidRPr="00590FBF">
        <w:t>in Attachment J.</w:t>
      </w:r>
    </w:p>
    <w:p w14:paraId="1CC1810A" w14:textId="77777777" w:rsidR="003035B1" w:rsidRPr="00590FBF" w:rsidRDefault="003035B1" w:rsidP="009C2ADD">
      <w:pPr>
        <w:adjustRightInd w:val="0"/>
        <w:snapToGrid w:val="0"/>
        <w:spacing w:after="0"/>
        <w:rPr>
          <w:rFonts w:ascii="Times New Roman" w:hAnsi="Times New Roman"/>
        </w:rPr>
      </w:pPr>
    </w:p>
    <w:p w14:paraId="071604FD" w14:textId="77777777" w:rsidR="00BA0E48" w:rsidRPr="00590FBF" w:rsidRDefault="00BA0E48" w:rsidP="009C2ADD">
      <w:pPr>
        <w:adjustRightInd w:val="0"/>
        <w:snapToGrid w:val="0"/>
        <w:spacing w:after="0"/>
        <w:rPr>
          <w:rFonts w:ascii="Times New Roman" w:hAnsi="Times New Roman"/>
        </w:rPr>
      </w:pPr>
    </w:p>
    <w:p w14:paraId="46802922" w14:textId="77777777" w:rsidR="003035B1" w:rsidRPr="009C2ADD" w:rsidRDefault="003035B1" w:rsidP="009C2ADD">
      <w:pPr>
        <w:pStyle w:val="Heading1"/>
        <w:adjustRightInd w:val="0"/>
        <w:snapToGrid w:val="0"/>
        <w:rPr>
          <w:rFonts w:ascii="Times New Roman" w:hAnsi="Times New Roman"/>
          <w:sz w:val="22"/>
          <w:szCs w:val="22"/>
        </w:rPr>
      </w:pPr>
      <w:bookmarkStart w:id="155" w:name="_Toc491850313"/>
      <w:bookmarkStart w:id="156" w:name="_Toc491851845"/>
      <w:r w:rsidRPr="009C2ADD">
        <w:rPr>
          <w:rFonts w:ascii="Times New Roman" w:hAnsi="Times New Roman"/>
          <w:sz w:val="22"/>
          <w:szCs w:val="22"/>
        </w:rPr>
        <w:t>AGENDA ITEM 11 - Administrative Matters</w:t>
      </w:r>
      <w:bookmarkEnd w:id="155"/>
      <w:bookmarkEnd w:id="156"/>
    </w:p>
    <w:p w14:paraId="79ADBA47" w14:textId="77777777" w:rsidR="00BA0E48" w:rsidRPr="009C2ADD" w:rsidRDefault="00BA0E48" w:rsidP="009C2ADD">
      <w:pPr>
        <w:adjustRightInd w:val="0"/>
        <w:snapToGrid w:val="0"/>
        <w:spacing w:after="0"/>
        <w:rPr>
          <w:rFonts w:ascii="Times New Roman" w:hAnsi="Times New Roman"/>
          <w:lang w:val="en-AU"/>
        </w:rPr>
      </w:pPr>
    </w:p>
    <w:p w14:paraId="18D0388C" w14:textId="77777777" w:rsidR="00BA0E48" w:rsidRPr="009C2ADD" w:rsidRDefault="00BA0E48" w:rsidP="009C2ADD">
      <w:pPr>
        <w:adjustRightInd w:val="0"/>
        <w:snapToGrid w:val="0"/>
        <w:spacing w:after="0"/>
        <w:rPr>
          <w:rFonts w:ascii="Times New Roman" w:hAnsi="Times New Roman"/>
          <w:lang w:val="en-AU"/>
        </w:rPr>
      </w:pPr>
    </w:p>
    <w:p w14:paraId="3DB6E8A6" w14:textId="14F0B033" w:rsidR="003035B1" w:rsidRPr="009C2ADD" w:rsidRDefault="0028464D" w:rsidP="009C2ADD">
      <w:pPr>
        <w:pStyle w:val="Heading2"/>
        <w:adjustRightInd w:val="0"/>
        <w:snapToGrid w:val="0"/>
        <w:rPr>
          <w:color w:val="auto"/>
          <w:szCs w:val="22"/>
          <w:lang w:val="en-AU"/>
        </w:rPr>
      </w:pPr>
      <w:bookmarkStart w:id="157" w:name="_Toc491851846"/>
      <w:r w:rsidRPr="009C2ADD">
        <w:rPr>
          <w:color w:val="auto"/>
          <w:szCs w:val="22"/>
          <w:lang w:val="en-AU"/>
        </w:rPr>
        <w:t>11.1</w:t>
      </w:r>
      <w:r w:rsidR="00BA0E48" w:rsidRPr="009C2ADD">
        <w:rPr>
          <w:color w:val="auto"/>
          <w:szCs w:val="22"/>
          <w:lang w:val="en-AU"/>
        </w:rPr>
        <w:tab/>
      </w:r>
      <w:r w:rsidRPr="009C2ADD">
        <w:rPr>
          <w:color w:val="auto"/>
          <w:szCs w:val="22"/>
          <w:lang w:val="en-AU"/>
        </w:rPr>
        <w:t xml:space="preserve"> </w:t>
      </w:r>
      <w:r w:rsidR="003035B1" w:rsidRPr="009C2ADD">
        <w:rPr>
          <w:color w:val="auto"/>
          <w:szCs w:val="22"/>
          <w:lang w:val="en-AU"/>
        </w:rPr>
        <w:t>Future operation of the Scientific Committee</w:t>
      </w:r>
      <w:bookmarkEnd w:id="157"/>
      <w:r w:rsidR="003035B1" w:rsidRPr="009C2ADD">
        <w:rPr>
          <w:color w:val="auto"/>
          <w:szCs w:val="22"/>
          <w:lang w:val="en-AU"/>
        </w:rPr>
        <w:t xml:space="preserve"> </w:t>
      </w:r>
    </w:p>
    <w:p w14:paraId="1083F0BB" w14:textId="77777777" w:rsidR="00787DAC" w:rsidRPr="009C2ADD" w:rsidRDefault="00787DAC" w:rsidP="009C2ADD">
      <w:pPr>
        <w:adjustRightInd w:val="0"/>
        <w:snapToGrid w:val="0"/>
        <w:spacing w:after="0"/>
        <w:rPr>
          <w:rFonts w:ascii="Times New Roman" w:hAnsi="Times New Roman"/>
          <w:highlight w:val="yellow"/>
        </w:rPr>
      </w:pPr>
    </w:p>
    <w:p w14:paraId="2D080657" w14:textId="3E3C51F8" w:rsidR="003035B1" w:rsidRPr="00E81B37" w:rsidRDefault="00681E83" w:rsidP="009C2ADD">
      <w:pPr>
        <w:pStyle w:val="WCPFC"/>
        <w:adjustRightInd w:val="0"/>
        <w:spacing w:after="0"/>
        <w:ind w:left="0" w:firstLine="0"/>
        <w:rPr>
          <w:b/>
          <w:bCs/>
        </w:rPr>
      </w:pPr>
      <w:r w:rsidRPr="00E81B37">
        <w:rPr>
          <w:b/>
          <w:bCs/>
        </w:rPr>
        <w:t xml:space="preserve">SC13 adopted a revised </w:t>
      </w:r>
      <w:r w:rsidR="0040394A" w:rsidRPr="00E81B37">
        <w:rPr>
          <w:b/>
          <w:bCs/>
        </w:rPr>
        <w:t xml:space="preserve">version of the </w:t>
      </w:r>
      <w:r w:rsidR="003035B1" w:rsidRPr="00E81B37">
        <w:rPr>
          <w:b/>
          <w:bCs/>
          <w:i/>
        </w:rPr>
        <w:t xml:space="preserve">Guidelines for the SC </w:t>
      </w:r>
      <w:r w:rsidRPr="00E81B37">
        <w:rPr>
          <w:b/>
          <w:bCs/>
          <w:i/>
        </w:rPr>
        <w:t>C</w:t>
      </w:r>
      <w:r w:rsidR="003035B1" w:rsidRPr="00E81B37">
        <w:rPr>
          <w:b/>
          <w:bCs/>
          <w:i/>
        </w:rPr>
        <w:t>hair</w:t>
      </w:r>
      <w:r w:rsidR="009C729C" w:rsidRPr="00E81B37">
        <w:rPr>
          <w:b/>
          <w:bCs/>
          <w:i/>
        </w:rPr>
        <w:t xml:space="preserve"> and </w:t>
      </w:r>
      <w:r w:rsidRPr="00E81B37">
        <w:rPr>
          <w:b/>
          <w:bCs/>
          <w:i/>
        </w:rPr>
        <w:t>T</w:t>
      </w:r>
      <w:r w:rsidR="009C729C" w:rsidRPr="00E81B37">
        <w:rPr>
          <w:b/>
          <w:bCs/>
          <w:i/>
        </w:rPr>
        <w:t xml:space="preserve">heme </w:t>
      </w:r>
      <w:r w:rsidRPr="00E81B37">
        <w:rPr>
          <w:b/>
          <w:bCs/>
          <w:i/>
        </w:rPr>
        <w:t>C</w:t>
      </w:r>
      <w:r w:rsidR="009C729C" w:rsidRPr="00E81B37">
        <w:rPr>
          <w:b/>
          <w:bCs/>
          <w:i/>
        </w:rPr>
        <w:t>onveners</w:t>
      </w:r>
      <w:r w:rsidRPr="00E81B37">
        <w:rPr>
          <w:b/>
          <w:bCs/>
        </w:rPr>
        <w:t xml:space="preserve"> (SC13-GN-IP-03), which was originally adopted at SC8. </w:t>
      </w:r>
    </w:p>
    <w:p w14:paraId="27E80FDF" w14:textId="5CA1074E" w:rsidR="003035B1" w:rsidRPr="009C2ADD" w:rsidRDefault="003035B1" w:rsidP="009C2ADD">
      <w:pPr>
        <w:pStyle w:val="WCPFC"/>
        <w:numPr>
          <w:ilvl w:val="0"/>
          <w:numId w:val="0"/>
        </w:numPr>
        <w:adjustRightInd w:val="0"/>
        <w:spacing w:after="0"/>
        <w:ind w:left="567" w:hanging="567"/>
      </w:pPr>
    </w:p>
    <w:p w14:paraId="0CB5B6CE" w14:textId="70A45410" w:rsidR="003035B1" w:rsidRPr="009C2ADD" w:rsidRDefault="0028464D" w:rsidP="009C2ADD">
      <w:pPr>
        <w:pStyle w:val="Heading2"/>
        <w:adjustRightInd w:val="0"/>
        <w:snapToGrid w:val="0"/>
        <w:rPr>
          <w:color w:val="auto"/>
          <w:szCs w:val="22"/>
          <w:lang w:val="en-AU"/>
        </w:rPr>
      </w:pPr>
      <w:bookmarkStart w:id="158" w:name="_Toc491851847"/>
      <w:r w:rsidRPr="009C2ADD">
        <w:rPr>
          <w:color w:val="auto"/>
          <w:szCs w:val="22"/>
          <w:lang w:val="en-AU"/>
        </w:rPr>
        <w:t xml:space="preserve">11.2 </w:t>
      </w:r>
      <w:r w:rsidR="00BA0E48" w:rsidRPr="009C2ADD">
        <w:rPr>
          <w:color w:val="auto"/>
          <w:szCs w:val="22"/>
          <w:lang w:val="en-AU"/>
        </w:rPr>
        <w:tab/>
      </w:r>
      <w:r w:rsidR="003035B1" w:rsidRPr="009C2ADD">
        <w:rPr>
          <w:color w:val="auto"/>
          <w:szCs w:val="22"/>
          <w:lang w:val="en-AU"/>
        </w:rPr>
        <w:t>Election of Officers of the Scientific Committee</w:t>
      </w:r>
      <w:bookmarkEnd w:id="158"/>
      <w:r w:rsidR="003035B1" w:rsidRPr="009C2ADD">
        <w:rPr>
          <w:color w:val="auto"/>
          <w:szCs w:val="22"/>
          <w:lang w:val="en-AU"/>
        </w:rPr>
        <w:t xml:space="preserve"> </w:t>
      </w:r>
    </w:p>
    <w:p w14:paraId="10FDA639" w14:textId="77777777" w:rsidR="00787DAC" w:rsidRPr="009C2ADD" w:rsidRDefault="00787DAC" w:rsidP="009C2ADD">
      <w:pPr>
        <w:adjustRightInd w:val="0"/>
        <w:snapToGrid w:val="0"/>
        <w:spacing w:after="0"/>
        <w:rPr>
          <w:rFonts w:ascii="Times New Roman" w:hAnsi="Times New Roman"/>
          <w:lang w:val="en-AU"/>
        </w:rPr>
      </w:pPr>
    </w:p>
    <w:p w14:paraId="3232B9AE" w14:textId="77777777"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considered nominations for SC Chair, SC Vice-Chair and theme conveners, noting that the SC Chair and Vice-Chair at SC13 would not be available to assume those roles again at SC14. The theme convenors and co-convenors reconfirmed their availability for SC14, but no nominations were made for the SC Chair and SC Vice-Chair roles. Members were asked to further consider potential nominations in the intersessional period. </w:t>
      </w:r>
    </w:p>
    <w:p w14:paraId="6B39EB36"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5F0A0E91" w14:textId="77053F61" w:rsidR="003035B1" w:rsidRPr="009C2ADD" w:rsidRDefault="0028464D" w:rsidP="009C2ADD">
      <w:pPr>
        <w:pStyle w:val="Heading2"/>
        <w:adjustRightInd w:val="0"/>
        <w:snapToGrid w:val="0"/>
        <w:rPr>
          <w:color w:val="auto"/>
          <w:szCs w:val="22"/>
          <w:lang w:val="en-AU"/>
        </w:rPr>
      </w:pPr>
      <w:bookmarkStart w:id="159" w:name="_Toc491851848"/>
      <w:r w:rsidRPr="009C2ADD">
        <w:rPr>
          <w:color w:val="auto"/>
          <w:szCs w:val="22"/>
          <w:lang w:val="en-AU"/>
        </w:rPr>
        <w:t xml:space="preserve">11.3 </w:t>
      </w:r>
      <w:r w:rsidR="00BA0E48" w:rsidRPr="009C2ADD">
        <w:rPr>
          <w:color w:val="auto"/>
          <w:szCs w:val="22"/>
          <w:lang w:val="en-AU"/>
        </w:rPr>
        <w:tab/>
      </w:r>
      <w:r w:rsidR="003035B1" w:rsidRPr="009C2ADD">
        <w:rPr>
          <w:color w:val="auto"/>
          <w:szCs w:val="22"/>
          <w:lang w:val="en-AU"/>
        </w:rPr>
        <w:t>Next meeting</w:t>
      </w:r>
      <w:bookmarkEnd w:id="159"/>
      <w:r w:rsidR="003035B1" w:rsidRPr="009C2ADD">
        <w:rPr>
          <w:color w:val="auto"/>
          <w:szCs w:val="22"/>
          <w:lang w:val="en-AU"/>
        </w:rPr>
        <w:t xml:space="preserve">  </w:t>
      </w:r>
    </w:p>
    <w:p w14:paraId="28016B22" w14:textId="77777777" w:rsidR="00BA0E48" w:rsidRPr="009C2ADD" w:rsidRDefault="00BA0E48" w:rsidP="009C2ADD">
      <w:pPr>
        <w:adjustRightInd w:val="0"/>
        <w:snapToGrid w:val="0"/>
        <w:spacing w:after="0"/>
        <w:rPr>
          <w:rFonts w:ascii="Times New Roman" w:hAnsi="Times New Roman"/>
          <w:lang w:val="en-AU" w:eastAsia="ja-JP"/>
        </w:rPr>
      </w:pPr>
    </w:p>
    <w:p w14:paraId="1FDDC006" w14:textId="32886481"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SC13 confirmed that SC14 would be held in Busan, Korea, </w:t>
      </w:r>
      <w:r w:rsidR="001D7DE2" w:rsidRPr="009C2ADD">
        <w:rPr>
          <w:rFonts w:ascii="Times New Roman" w:hAnsi="Times New Roman"/>
          <w:lang w:val="en-AU"/>
        </w:rPr>
        <w:t>during 8 – 16 August 201</w:t>
      </w:r>
      <w:r w:rsidR="00764FDD">
        <w:rPr>
          <w:rFonts w:ascii="Times New Roman" w:hAnsi="Times New Roman"/>
          <w:lang w:val="en-AU"/>
        </w:rPr>
        <w:t>8</w:t>
      </w:r>
      <w:r w:rsidR="001D7DE2" w:rsidRPr="009C2ADD">
        <w:rPr>
          <w:rFonts w:ascii="Times New Roman" w:hAnsi="Times New Roman"/>
          <w:lang w:val="en-AU"/>
        </w:rPr>
        <w:t xml:space="preserve">, </w:t>
      </w:r>
      <w:r w:rsidRPr="009C2ADD">
        <w:rPr>
          <w:rFonts w:ascii="Times New Roman" w:hAnsi="Times New Roman"/>
          <w:lang w:val="en-AU"/>
        </w:rPr>
        <w:t xml:space="preserve">and proposed that SC15 in 2019 be held in Samoa. </w:t>
      </w:r>
    </w:p>
    <w:p w14:paraId="191C5683" w14:textId="77777777" w:rsidR="003035B1" w:rsidRPr="009C2ADD" w:rsidRDefault="003035B1" w:rsidP="009C2ADD">
      <w:pPr>
        <w:adjustRightInd w:val="0"/>
        <w:snapToGrid w:val="0"/>
        <w:spacing w:after="0"/>
        <w:rPr>
          <w:rFonts w:ascii="Times New Roman" w:hAnsi="Times New Roman"/>
          <w:lang w:val="en-AU"/>
        </w:rPr>
      </w:pPr>
    </w:p>
    <w:p w14:paraId="1F5D6D91" w14:textId="77777777" w:rsidR="00BA0E48" w:rsidRPr="009C2ADD" w:rsidRDefault="00BA0E48" w:rsidP="009C2ADD">
      <w:pPr>
        <w:adjustRightInd w:val="0"/>
        <w:snapToGrid w:val="0"/>
        <w:spacing w:after="0"/>
        <w:rPr>
          <w:rFonts w:ascii="Times New Roman" w:hAnsi="Times New Roman"/>
          <w:lang w:val="en-AU"/>
        </w:rPr>
      </w:pPr>
    </w:p>
    <w:p w14:paraId="6F2F9922" w14:textId="77777777" w:rsidR="003035B1" w:rsidRPr="009C2ADD" w:rsidRDefault="003035B1" w:rsidP="009C2ADD">
      <w:pPr>
        <w:pStyle w:val="Heading1"/>
        <w:adjustRightInd w:val="0"/>
        <w:snapToGrid w:val="0"/>
        <w:rPr>
          <w:rFonts w:ascii="Times New Roman" w:hAnsi="Times New Roman"/>
          <w:sz w:val="22"/>
          <w:szCs w:val="22"/>
        </w:rPr>
      </w:pPr>
      <w:bookmarkStart w:id="160" w:name="_Toc491851849"/>
      <w:r w:rsidRPr="009C2ADD">
        <w:rPr>
          <w:rFonts w:ascii="Times New Roman" w:hAnsi="Times New Roman"/>
          <w:sz w:val="22"/>
          <w:szCs w:val="22"/>
        </w:rPr>
        <w:t>AGENDA ITEM 12 - Other Matters</w:t>
      </w:r>
      <w:bookmarkEnd w:id="160"/>
    </w:p>
    <w:p w14:paraId="5E411AC8" w14:textId="77777777" w:rsidR="00BA0E48" w:rsidRPr="009C2ADD" w:rsidRDefault="00BA0E48" w:rsidP="009C2ADD">
      <w:pPr>
        <w:adjustRightInd w:val="0"/>
        <w:snapToGrid w:val="0"/>
        <w:spacing w:after="0"/>
        <w:rPr>
          <w:rFonts w:ascii="Times New Roman" w:hAnsi="Times New Roman"/>
          <w:lang w:val="en-AU"/>
        </w:rPr>
      </w:pPr>
    </w:p>
    <w:p w14:paraId="02AD52F6" w14:textId="77777777" w:rsidR="00BA0E48" w:rsidRPr="009C2ADD" w:rsidRDefault="00BA0E48" w:rsidP="009C2ADD">
      <w:pPr>
        <w:adjustRightInd w:val="0"/>
        <w:snapToGrid w:val="0"/>
        <w:spacing w:after="0"/>
        <w:rPr>
          <w:rFonts w:ascii="Times New Roman" w:hAnsi="Times New Roman"/>
          <w:lang w:val="en-AU"/>
        </w:rPr>
      </w:pPr>
    </w:p>
    <w:p w14:paraId="10129A60" w14:textId="77777777"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 xml:space="preserve">No issues were raised under this agenda item. </w:t>
      </w:r>
    </w:p>
    <w:p w14:paraId="34B91371" w14:textId="77777777" w:rsidR="003035B1" w:rsidRPr="009C2ADD" w:rsidRDefault="003035B1" w:rsidP="009C2ADD">
      <w:pPr>
        <w:adjustRightInd w:val="0"/>
        <w:snapToGrid w:val="0"/>
        <w:spacing w:after="0"/>
        <w:rPr>
          <w:rFonts w:ascii="Times New Roman" w:hAnsi="Times New Roman"/>
        </w:rPr>
      </w:pPr>
    </w:p>
    <w:p w14:paraId="36ED0FF5" w14:textId="77777777" w:rsidR="00BA0E48" w:rsidRPr="009C2ADD" w:rsidRDefault="00BA0E48" w:rsidP="009C2ADD">
      <w:pPr>
        <w:adjustRightInd w:val="0"/>
        <w:snapToGrid w:val="0"/>
        <w:spacing w:after="0"/>
        <w:rPr>
          <w:rFonts w:ascii="Times New Roman" w:hAnsi="Times New Roman"/>
        </w:rPr>
      </w:pPr>
    </w:p>
    <w:p w14:paraId="3B2BA33A" w14:textId="77777777" w:rsidR="003035B1" w:rsidRPr="009C2ADD" w:rsidRDefault="003035B1" w:rsidP="009C2ADD">
      <w:pPr>
        <w:pStyle w:val="Heading1"/>
        <w:adjustRightInd w:val="0"/>
        <w:snapToGrid w:val="0"/>
        <w:rPr>
          <w:rFonts w:ascii="Times New Roman" w:hAnsi="Times New Roman"/>
          <w:sz w:val="22"/>
          <w:szCs w:val="22"/>
        </w:rPr>
      </w:pPr>
      <w:bookmarkStart w:id="161" w:name="_Toc491850314"/>
      <w:bookmarkStart w:id="162" w:name="_Toc491851850"/>
      <w:r w:rsidRPr="009C2ADD">
        <w:rPr>
          <w:rFonts w:ascii="Times New Roman" w:hAnsi="Times New Roman"/>
          <w:sz w:val="22"/>
          <w:szCs w:val="22"/>
        </w:rPr>
        <w:t>AGENDA ITEM 13 - Adoption of the Summary Report of the Thirteenth Regular Session Of The Scientific Committee</w:t>
      </w:r>
      <w:bookmarkEnd w:id="161"/>
      <w:bookmarkEnd w:id="162"/>
    </w:p>
    <w:p w14:paraId="1421C55C" w14:textId="77777777" w:rsidR="003035B1" w:rsidRPr="009C2ADD" w:rsidRDefault="003035B1" w:rsidP="009C2ADD">
      <w:pPr>
        <w:pStyle w:val="Heading2"/>
        <w:adjustRightInd w:val="0"/>
        <w:snapToGrid w:val="0"/>
        <w:rPr>
          <w:color w:val="auto"/>
          <w:szCs w:val="22"/>
          <w:lang w:val="en-AU"/>
        </w:rPr>
      </w:pPr>
    </w:p>
    <w:p w14:paraId="3F89F4B5" w14:textId="77777777" w:rsidR="00BA0E48" w:rsidRPr="009C2ADD" w:rsidRDefault="00BA0E48" w:rsidP="009C2ADD">
      <w:pPr>
        <w:adjustRightInd w:val="0"/>
        <w:snapToGrid w:val="0"/>
        <w:spacing w:after="0"/>
        <w:rPr>
          <w:rFonts w:ascii="Times New Roman" w:hAnsi="Times New Roman"/>
          <w:lang w:val="en-AU" w:eastAsia="ja-JP"/>
        </w:rPr>
      </w:pPr>
    </w:p>
    <w:p w14:paraId="2367A2AE" w14:textId="3338348B" w:rsidR="00F95727" w:rsidRPr="009C2ADD" w:rsidRDefault="005232FE" w:rsidP="009C2ADD">
      <w:pPr>
        <w:numPr>
          <w:ilvl w:val="0"/>
          <w:numId w:val="1"/>
        </w:numPr>
        <w:autoSpaceDE w:val="0"/>
        <w:autoSpaceDN w:val="0"/>
        <w:adjustRightInd w:val="0"/>
        <w:snapToGrid w:val="0"/>
        <w:spacing w:after="0"/>
        <w:ind w:left="0" w:firstLine="0"/>
        <w:rPr>
          <w:rFonts w:ascii="Times New Roman" w:hAnsi="Times New Roman"/>
          <w:lang w:val="en-AU"/>
        </w:rPr>
      </w:pPr>
      <w:r w:rsidRPr="00D2779F">
        <w:rPr>
          <w:rFonts w:ascii="Times New Roman" w:hAnsi="Times New Roman"/>
          <w:b/>
          <w:bCs/>
          <w:lang w:val="en-AU"/>
        </w:rPr>
        <w:t>SC13</w:t>
      </w:r>
      <w:r w:rsidR="003035B1" w:rsidRPr="00D2779F">
        <w:rPr>
          <w:rFonts w:ascii="Times New Roman" w:hAnsi="Times New Roman"/>
          <w:b/>
          <w:bCs/>
          <w:lang w:val="en-AU"/>
        </w:rPr>
        <w:t xml:space="preserve"> adopt</w:t>
      </w:r>
      <w:r w:rsidRPr="00D2779F">
        <w:rPr>
          <w:rFonts w:ascii="Times New Roman" w:hAnsi="Times New Roman"/>
          <w:b/>
          <w:bCs/>
          <w:lang w:val="en-AU"/>
        </w:rPr>
        <w:t>ed the</w:t>
      </w:r>
      <w:r w:rsidR="003035B1" w:rsidRPr="00D2779F">
        <w:rPr>
          <w:rFonts w:ascii="Times New Roman" w:hAnsi="Times New Roman"/>
          <w:b/>
          <w:bCs/>
          <w:lang w:val="en-AU"/>
        </w:rPr>
        <w:t xml:space="preserve"> recommendations of the Thirteenth Regular Session of the Scientific Committee.</w:t>
      </w:r>
      <w:r w:rsidR="003035B1" w:rsidRPr="009C2ADD">
        <w:rPr>
          <w:rFonts w:ascii="Times New Roman" w:hAnsi="Times New Roman"/>
          <w:lang w:val="en-AU"/>
        </w:rPr>
        <w:t xml:space="preserve"> </w:t>
      </w:r>
      <w:r w:rsidR="007A5FEA" w:rsidRPr="009C2ADD">
        <w:rPr>
          <w:rFonts w:ascii="Times New Roman" w:hAnsi="Times New Roman"/>
          <w:lang w:val="en-AU"/>
        </w:rPr>
        <w:t xml:space="preserve">The </w:t>
      </w:r>
      <w:r w:rsidR="003035B1" w:rsidRPr="009C2ADD">
        <w:rPr>
          <w:rFonts w:ascii="Times New Roman" w:hAnsi="Times New Roman"/>
          <w:lang w:val="en-AU"/>
        </w:rPr>
        <w:t xml:space="preserve">SC13 Summary Report will be </w:t>
      </w:r>
      <w:r w:rsidR="007A5FEA" w:rsidRPr="009C2ADD">
        <w:rPr>
          <w:rFonts w:ascii="Times New Roman" w:hAnsi="Times New Roman"/>
          <w:lang w:val="en-AU"/>
        </w:rPr>
        <w:t>adopted</w:t>
      </w:r>
      <w:r w:rsidR="003035B1" w:rsidRPr="009C2ADD">
        <w:rPr>
          <w:rFonts w:ascii="Times New Roman" w:hAnsi="Times New Roman"/>
          <w:lang w:val="en-AU"/>
        </w:rPr>
        <w:t xml:space="preserve"> </w:t>
      </w:r>
      <w:r w:rsidR="00F95727" w:rsidRPr="009C2ADD">
        <w:rPr>
          <w:rFonts w:ascii="Times New Roman" w:hAnsi="Times New Roman"/>
          <w:lang w:val="en-AU"/>
        </w:rPr>
        <w:t>intersessionally according to the following schedule:</w:t>
      </w:r>
      <w:r w:rsidR="003035B1" w:rsidRPr="009C2ADD">
        <w:rPr>
          <w:rFonts w:ascii="Times New Roman" w:hAnsi="Times New Roman"/>
          <w:lang w:val="en-AU"/>
        </w:rPr>
        <w:t xml:space="preserve"> </w:t>
      </w:r>
    </w:p>
    <w:p w14:paraId="79ECEC12" w14:textId="77777777" w:rsidR="00F95727" w:rsidRPr="009C2ADD" w:rsidRDefault="00F95727" w:rsidP="009C2ADD">
      <w:pPr>
        <w:pStyle w:val="WCPFC"/>
        <w:numPr>
          <w:ilvl w:val="0"/>
          <w:numId w:val="0"/>
        </w:numPr>
        <w:adjustRightInd w:val="0"/>
        <w:spacing w:after="0"/>
        <w:rPr>
          <w:lang w:eastAsia="ko-KR"/>
        </w:rPr>
      </w:pPr>
    </w:p>
    <w:tbl>
      <w:tblPr>
        <w:tblW w:w="5000" w:type="pct"/>
        <w:tblLook w:val="04A0" w:firstRow="1" w:lastRow="0" w:firstColumn="1" w:lastColumn="0" w:noHBand="0" w:noVBand="1"/>
      </w:tblPr>
      <w:tblGrid>
        <w:gridCol w:w="2628"/>
        <w:gridCol w:w="6948"/>
      </w:tblGrid>
      <w:tr w:rsidR="00F95727" w:rsidRPr="009C2ADD" w14:paraId="423103C8" w14:textId="77777777" w:rsidTr="00F95727">
        <w:tc>
          <w:tcPr>
            <w:tcW w:w="1372" w:type="pct"/>
            <w:tcBorders>
              <w:top w:val="single" w:sz="4" w:space="0" w:color="auto"/>
              <w:left w:val="nil"/>
              <w:bottom w:val="single" w:sz="4" w:space="0" w:color="auto"/>
              <w:right w:val="nil"/>
            </w:tcBorders>
            <w:shd w:val="clear" w:color="auto" w:fill="A6A6A6" w:themeFill="background1" w:themeFillShade="A6"/>
          </w:tcPr>
          <w:p w14:paraId="11295E7C" w14:textId="77777777" w:rsidR="00F95727" w:rsidRPr="009C2ADD" w:rsidRDefault="00F95727" w:rsidP="009C2ADD">
            <w:pPr>
              <w:tabs>
                <w:tab w:val="left" w:pos="2977"/>
              </w:tabs>
              <w:autoSpaceDE w:val="0"/>
              <w:autoSpaceDN w:val="0"/>
              <w:adjustRightInd w:val="0"/>
              <w:snapToGrid w:val="0"/>
              <w:spacing w:after="0"/>
              <w:rPr>
                <w:rFonts w:ascii="Times New Roman" w:eastAsia="맑은 고딕" w:hAnsi="Times New Roman"/>
                <w:b/>
                <w:lang w:eastAsia="ko-KR"/>
              </w:rPr>
            </w:pPr>
            <w:r w:rsidRPr="009C2ADD">
              <w:rPr>
                <w:rFonts w:ascii="Times New Roman" w:eastAsia="맑은 고딕" w:hAnsi="Times New Roman"/>
                <w:b/>
                <w:lang w:eastAsia="ko-KR"/>
              </w:rPr>
              <w:t>Due by</w:t>
            </w:r>
          </w:p>
        </w:tc>
        <w:tc>
          <w:tcPr>
            <w:tcW w:w="3628" w:type="pct"/>
            <w:tcBorders>
              <w:top w:val="single" w:sz="4" w:space="0" w:color="auto"/>
              <w:left w:val="nil"/>
              <w:bottom w:val="single" w:sz="4" w:space="0" w:color="auto"/>
              <w:right w:val="nil"/>
            </w:tcBorders>
            <w:shd w:val="clear" w:color="auto" w:fill="A6A6A6" w:themeFill="background1" w:themeFillShade="A6"/>
          </w:tcPr>
          <w:p w14:paraId="7B1A7CC1"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b/>
                <w:lang w:eastAsia="ko-KR"/>
              </w:rPr>
            </w:pPr>
            <w:r w:rsidRPr="009C2ADD">
              <w:rPr>
                <w:rFonts w:ascii="Times New Roman" w:hAnsi="Times New Roman"/>
                <w:b/>
                <w:lang w:eastAsia="ko-KR"/>
              </w:rPr>
              <w:t>Activity</w:t>
            </w:r>
          </w:p>
        </w:tc>
      </w:tr>
      <w:tr w:rsidR="00F95727" w:rsidRPr="009C2ADD" w14:paraId="52804C34" w14:textId="77777777" w:rsidTr="00F95727">
        <w:tc>
          <w:tcPr>
            <w:tcW w:w="1372" w:type="pct"/>
            <w:tcBorders>
              <w:top w:val="single" w:sz="4" w:space="0" w:color="auto"/>
              <w:left w:val="nil"/>
              <w:bottom w:val="single" w:sz="4" w:space="0" w:color="auto"/>
              <w:right w:val="nil"/>
            </w:tcBorders>
          </w:tcPr>
          <w:p w14:paraId="6D6AD94F"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28 August</w:t>
            </w:r>
          </w:p>
        </w:tc>
        <w:tc>
          <w:tcPr>
            <w:tcW w:w="3628" w:type="pct"/>
            <w:tcBorders>
              <w:top w:val="single" w:sz="4" w:space="0" w:color="auto"/>
              <w:left w:val="nil"/>
              <w:bottom w:val="single" w:sz="4" w:space="0" w:color="auto"/>
              <w:right w:val="nil"/>
            </w:tcBorders>
          </w:tcPr>
          <w:p w14:paraId="371F9ABE" w14:textId="1579B736"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Receive draft report from rapporteurs</w:t>
            </w:r>
          </w:p>
        </w:tc>
      </w:tr>
      <w:tr w:rsidR="00F95727" w:rsidRPr="009C2ADD" w14:paraId="6273E449" w14:textId="77777777" w:rsidTr="00F95727">
        <w:tc>
          <w:tcPr>
            <w:tcW w:w="1372" w:type="pct"/>
            <w:tcBorders>
              <w:top w:val="single" w:sz="4" w:space="0" w:color="auto"/>
              <w:left w:val="nil"/>
              <w:bottom w:val="single" w:sz="4" w:space="0" w:color="auto"/>
              <w:right w:val="nil"/>
            </w:tcBorders>
          </w:tcPr>
          <w:p w14:paraId="383950AE" w14:textId="2A3A7B53"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4</w:t>
            </w:r>
            <w:r w:rsidRPr="009C2ADD">
              <w:rPr>
                <w:rFonts w:ascii="Times New Roman" w:eastAsia="MS Mincho" w:hAnsi="Times New Roman"/>
              </w:rPr>
              <w:t xml:space="preserve"> </w:t>
            </w:r>
            <w:r w:rsidRPr="009C2ADD">
              <w:rPr>
                <w:rFonts w:ascii="Times New Roman" w:hAnsi="Times New Roman"/>
                <w:lang w:eastAsia="ko-KR"/>
              </w:rPr>
              <w:t>September</w:t>
            </w:r>
          </w:p>
        </w:tc>
        <w:tc>
          <w:tcPr>
            <w:tcW w:w="3628" w:type="pct"/>
            <w:tcBorders>
              <w:top w:val="single" w:sz="4" w:space="0" w:color="auto"/>
              <w:left w:val="nil"/>
              <w:bottom w:val="single" w:sz="4" w:space="0" w:color="auto"/>
              <w:right w:val="nil"/>
            </w:tcBorders>
            <w:vAlign w:val="center"/>
            <w:hideMark/>
          </w:tcPr>
          <w:p w14:paraId="09D8EFCB" w14:textId="67B8B723"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MS Mincho" w:hAnsi="Times New Roman"/>
              </w:rPr>
              <w:t xml:space="preserve">Secretariat clean and send the draft report </w:t>
            </w:r>
            <w:r w:rsidRPr="009C2ADD">
              <w:rPr>
                <w:rFonts w:ascii="Times New Roman" w:eastAsia="맑은 고딕" w:hAnsi="Times New Roman"/>
                <w:lang w:eastAsia="ko-KR"/>
              </w:rPr>
              <w:t>to theme conveners</w:t>
            </w:r>
          </w:p>
        </w:tc>
      </w:tr>
      <w:tr w:rsidR="00F95727" w:rsidRPr="009C2ADD" w14:paraId="43363900" w14:textId="77777777" w:rsidTr="00F95727">
        <w:tc>
          <w:tcPr>
            <w:tcW w:w="1372" w:type="pct"/>
            <w:tcBorders>
              <w:top w:val="single" w:sz="4" w:space="0" w:color="auto"/>
              <w:left w:val="nil"/>
              <w:bottom w:val="single" w:sz="4" w:space="0" w:color="auto"/>
              <w:right w:val="nil"/>
            </w:tcBorders>
          </w:tcPr>
          <w:p w14:paraId="13099E70"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rPr>
            </w:pPr>
            <w:r w:rsidRPr="009C2ADD">
              <w:rPr>
                <w:rFonts w:ascii="Times New Roman" w:hAnsi="Times New Roman"/>
                <w:lang w:eastAsia="ko-KR"/>
              </w:rPr>
              <w:t>11 September</w:t>
            </w:r>
          </w:p>
        </w:tc>
        <w:tc>
          <w:tcPr>
            <w:tcW w:w="3628" w:type="pct"/>
            <w:tcBorders>
              <w:top w:val="single" w:sz="4" w:space="0" w:color="auto"/>
              <w:left w:val="nil"/>
              <w:bottom w:val="single" w:sz="4" w:space="0" w:color="auto"/>
              <w:right w:val="nil"/>
            </w:tcBorders>
            <w:hideMark/>
          </w:tcPr>
          <w:p w14:paraId="730FE0F6" w14:textId="3456A756"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MS Mincho" w:hAnsi="Times New Roman"/>
              </w:rPr>
              <w:t xml:space="preserve">Theme convenors </w:t>
            </w:r>
            <w:r w:rsidRPr="009C2ADD">
              <w:rPr>
                <w:rFonts w:ascii="Times New Roman" w:hAnsi="Times New Roman"/>
                <w:lang w:eastAsia="ko-KR"/>
              </w:rPr>
              <w:t>return the report back to the Secretariat</w:t>
            </w:r>
          </w:p>
        </w:tc>
      </w:tr>
      <w:tr w:rsidR="00F95727" w:rsidRPr="009C2ADD" w14:paraId="547D6315" w14:textId="77777777" w:rsidTr="00F95727">
        <w:tc>
          <w:tcPr>
            <w:tcW w:w="1372" w:type="pct"/>
            <w:tcBorders>
              <w:top w:val="single" w:sz="4" w:space="0" w:color="auto"/>
              <w:left w:val="nil"/>
              <w:bottom w:val="single" w:sz="4" w:space="0" w:color="auto"/>
              <w:right w:val="nil"/>
            </w:tcBorders>
          </w:tcPr>
          <w:p w14:paraId="1235839A"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hAnsi="Times New Roman"/>
                <w:lang w:eastAsia="ko-KR"/>
              </w:rPr>
              <w:t>13 September</w:t>
            </w:r>
          </w:p>
        </w:tc>
        <w:tc>
          <w:tcPr>
            <w:tcW w:w="3628" w:type="pct"/>
            <w:tcBorders>
              <w:top w:val="single" w:sz="4" w:space="0" w:color="auto"/>
              <w:left w:val="nil"/>
              <w:bottom w:val="single" w:sz="4" w:space="0" w:color="auto"/>
              <w:right w:val="nil"/>
            </w:tcBorders>
            <w:hideMark/>
          </w:tcPr>
          <w:p w14:paraId="2A06732E"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lang w:eastAsia="ko-KR"/>
              </w:rPr>
            </w:pPr>
            <w:r w:rsidRPr="009C2ADD">
              <w:rPr>
                <w:rFonts w:ascii="Times New Roman" w:eastAsia="맑은 고딕" w:hAnsi="Times New Roman"/>
                <w:lang w:eastAsia="ko-KR"/>
              </w:rPr>
              <w:t xml:space="preserve">The </w:t>
            </w:r>
            <w:r w:rsidRPr="009C2ADD">
              <w:rPr>
                <w:rFonts w:ascii="Times New Roman" w:eastAsia="MS Mincho" w:hAnsi="Times New Roman"/>
              </w:rPr>
              <w:t xml:space="preserve">Secretariat </w:t>
            </w:r>
            <w:r w:rsidRPr="009C2ADD">
              <w:rPr>
                <w:rFonts w:ascii="Times New Roman" w:eastAsia="맑은 고딕" w:hAnsi="Times New Roman"/>
                <w:lang w:eastAsia="ko-KR"/>
              </w:rPr>
              <w:t>distributes</w:t>
            </w:r>
            <w:r w:rsidRPr="009C2ADD">
              <w:rPr>
                <w:rFonts w:ascii="Times New Roman" w:eastAsia="MS Mincho" w:hAnsi="Times New Roman"/>
              </w:rPr>
              <w:t xml:space="preserve"> the </w:t>
            </w:r>
            <w:r w:rsidRPr="009C2ADD">
              <w:rPr>
                <w:rFonts w:ascii="Times New Roman" w:eastAsia="맑은 고딕" w:hAnsi="Times New Roman"/>
                <w:lang w:eastAsia="ko-KR"/>
              </w:rPr>
              <w:t xml:space="preserve">draft </w:t>
            </w:r>
            <w:r w:rsidRPr="009C2ADD">
              <w:rPr>
                <w:rFonts w:ascii="Times New Roman" w:eastAsia="MS Mincho" w:hAnsi="Times New Roman"/>
              </w:rPr>
              <w:t xml:space="preserve">report </w:t>
            </w:r>
            <w:r w:rsidRPr="009C2ADD">
              <w:rPr>
                <w:rFonts w:ascii="Times New Roman" w:eastAsia="맑은 고딕" w:hAnsi="Times New Roman"/>
                <w:lang w:eastAsia="ko-KR"/>
              </w:rPr>
              <w:t>to all CCMs and Observers</w:t>
            </w:r>
            <w:r w:rsidRPr="009C2ADD">
              <w:rPr>
                <w:rFonts w:ascii="Times New Roman" w:eastAsia="MS Mincho" w:hAnsi="Times New Roman"/>
              </w:rPr>
              <w:t xml:space="preserve"> by </w:t>
            </w:r>
            <w:r w:rsidRPr="009C2ADD">
              <w:rPr>
                <w:rFonts w:ascii="Times New Roman" w:hAnsi="Times New Roman"/>
                <w:lang w:eastAsia="ko-KR"/>
              </w:rPr>
              <w:t>email (DRAFT version post on SC13 website)</w:t>
            </w:r>
          </w:p>
        </w:tc>
      </w:tr>
      <w:tr w:rsidR="00F95727" w:rsidRPr="009C2ADD" w14:paraId="4F0DE215" w14:textId="77777777" w:rsidTr="00F95727">
        <w:tc>
          <w:tcPr>
            <w:tcW w:w="1372" w:type="pct"/>
            <w:tcBorders>
              <w:top w:val="single" w:sz="4" w:space="0" w:color="auto"/>
              <w:left w:val="nil"/>
              <w:bottom w:val="single" w:sz="4" w:space="0" w:color="auto"/>
              <w:right w:val="nil"/>
            </w:tcBorders>
          </w:tcPr>
          <w:p w14:paraId="694EFF62" w14:textId="77777777" w:rsidR="00F95727" w:rsidRPr="009C2ADD" w:rsidRDefault="00F95727" w:rsidP="009C2ADD">
            <w:pPr>
              <w:tabs>
                <w:tab w:val="left" w:pos="2977"/>
              </w:tabs>
              <w:autoSpaceDE w:val="0"/>
              <w:autoSpaceDN w:val="0"/>
              <w:adjustRightInd w:val="0"/>
              <w:snapToGrid w:val="0"/>
              <w:spacing w:after="0"/>
              <w:rPr>
                <w:rFonts w:ascii="Times New Roman" w:hAnsi="Times New Roman"/>
              </w:rPr>
            </w:pPr>
            <w:r w:rsidRPr="009C2ADD">
              <w:rPr>
                <w:rFonts w:ascii="Times New Roman" w:hAnsi="Times New Roman"/>
                <w:lang w:eastAsia="ko-KR"/>
              </w:rPr>
              <w:t xml:space="preserve">25 October </w:t>
            </w:r>
          </w:p>
        </w:tc>
        <w:tc>
          <w:tcPr>
            <w:tcW w:w="3628" w:type="pct"/>
            <w:tcBorders>
              <w:top w:val="single" w:sz="4" w:space="0" w:color="auto"/>
              <w:left w:val="nil"/>
              <w:bottom w:val="single" w:sz="4" w:space="0" w:color="auto"/>
              <w:right w:val="nil"/>
            </w:tcBorders>
            <w:hideMark/>
          </w:tcPr>
          <w:p w14:paraId="16A83BE1" w14:textId="77777777" w:rsidR="00F95727" w:rsidRPr="009C2ADD" w:rsidRDefault="00F95727" w:rsidP="009C2ADD">
            <w:pPr>
              <w:tabs>
                <w:tab w:val="left" w:pos="2977"/>
              </w:tabs>
              <w:autoSpaceDE w:val="0"/>
              <w:autoSpaceDN w:val="0"/>
              <w:adjustRightInd w:val="0"/>
              <w:snapToGrid w:val="0"/>
              <w:spacing w:after="0"/>
              <w:rPr>
                <w:rFonts w:ascii="Times New Roman" w:eastAsia="MS Mincho" w:hAnsi="Times New Roman"/>
              </w:rPr>
            </w:pPr>
            <w:r w:rsidRPr="009C2ADD">
              <w:rPr>
                <w:rFonts w:ascii="Times New Roman" w:eastAsia="맑은 고딕" w:hAnsi="Times New Roman"/>
                <w:lang w:eastAsia="ko-KR"/>
              </w:rPr>
              <w:t>Deadline for the submission of comments from CCMs and Observers</w:t>
            </w:r>
          </w:p>
        </w:tc>
      </w:tr>
    </w:tbl>
    <w:p w14:paraId="65F8CA9F" w14:textId="77777777" w:rsidR="00F95727" w:rsidRPr="009C2ADD" w:rsidRDefault="00F95727" w:rsidP="009C2ADD">
      <w:pPr>
        <w:autoSpaceDE w:val="0"/>
        <w:autoSpaceDN w:val="0"/>
        <w:adjustRightInd w:val="0"/>
        <w:snapToGrid w:val="0"/>
        <w:spacing w:after="0"/>
        <w:rPr>
          <w:rFonts w:ascii="Times New Roman" w:hAnsi="Times New Roman"/>
          <w:lang w:val="en-AU"/>
        </w:rPr>
      </w:pPr>
    </w:p>
    <w:p w14:paraId="6E9D135D" w14:textId="0E449988" w:rsidR="003035B1" w:rsidRPr="009C2ADD" w:rsidRDefault="00F95727"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Responding to Japan’s queries, the Executive Director noted that relevant r</w:t>
      </w:r>
      <w:r w:rsidR="005232FE" w:rsidRPr="009C2ADD">
        <w:rPr>
          <w:rFonts w:ascii="Times New Roman" w:hAnsi="Times New Roman"/>
          <w:lang w:val="en-AU"/>
        </w:rPr>
        <w:t xml:space="preserve">ecommendations </w:t>
      </w:r>
      <w:r w:rsidR="007A5FEA" w:rsidRPr="009C2ADD">
        <w:rPr>
          <w:rFonts w:ascii="Times New Roman" w:hAnsi="Times New Roman"/>
          <w:lang w:val="en-AU"/>
        </w:rPr>
        <w:t xml:space="preserve">from SC13 </w:t>
      </w:r>
      <w:r w:rsidR="005232FE" w:rsidRPr="009C2ADD">
        <w:rPr>
          <w:rFonts w:ascii="Times New Roman" w:hAnsi="Times New Roman"/>
          <w:lang w:val="en-AU"/>
        </w:rPr>
        <w:t xml:space="preserve">would be provided to the </w:t>
      </w:r>
      <w:r w:rsidR="0011269A" w:rsidRPr="009C2ADD">
        <w:rPr>
          <w:rFonts w:ascii="Times New Roman" w:hAnsi="Times New Roman"/>
          <w:lang w:val="en-AU"/>
        </w:rPr>
        <w:t xml:space="preserve">upcoming Intersessional Meeting to progress the draft Bridging CMM on Tropical Tuna (22 – 24 </w:t>
      </w:r>
      <w:r w:rsidR="009263EA" w:rsidRPr="009C2ADD">
        <w:rPr>
          <w:rFonts w:ascii="Times New Roman" w:hAnsi="Times New Roman"/>
          <w:lang w:val="en-AU"/>
        </w:rPr>
        <w:t>August 2017</w:t>
      </w:r>
      <w:r w:rsidRPr="009C2ADD">
        <w:rPr>
          <w:rFonts w:ascii="Times New Roman" w:hAnsi="Times New Roman"/>
          <w:lang w:val="en-AU"/>
        </w:rPr>
        <w:t>, Honolulu</w:t>
      </w:r>
      <w:r w:rsidR="009263EA" w:rsidRPr="009C2ADD">
        <w:rPr>
          <w:rFonts w:ascii="Times New Roman" w:hAnsi="Times New Roman"/>
          <w:lang w:val="en-AU"/>
        </w:rPr>
        <w:t xml:space="preserve">). </w:t>
      </w:r>
    </w:p>
    <w:p w14:paraId="7115768D" w14:textId="77777777" w:rsidR="00C31FA6" w:rsidRPr="009C2ADD" w:rsidRDefault="00C31FA6" w:rsidP="009C2ADD">
      <w:pPr>
        <w:autoSpaceDE w:val="0"/>
        <w:autoSpaceDN w:val="0"/>
        <w:adjustRightInd w:val="0"/>
        <w:snapToGrid w:val="0"/>
        <w:spacing w:after="0"/>
        <w:rPr>
          <w:rFonts w:ascii="Times New Roman" w:hAnsi="Times New Roman"/>
          <w:lang w:val="en-AU"/>
        </w:rPr>
      </w:pPr>
    </w:p>
    <w:p w14:paraId="5F1358DF" w14:textId="77777777" w:rsidR="00BA0E48" w:rsidRPr="009C2ADD" w:rsidRDefault="00BA0E48" w:rsidP="009C2ADD">
      <w:pPr>
        <w:autoSpaceDE w:val="0"/>
        <w:autoSpaceDN w:val="0"/>
        <w:adjustRightInd w:val="0"/>
        <w:snapToGrid w:val="0"/>
        <w:spacing w:after="0"/>
        <w:rPr>
          <w:rFonts w:ascii="Times New Roman" w:hAnsi="Times New Roman"/>
          <w:lang w:val="en-AU"/>
        </w:rPr>
      </w:pPr>
    </w:p>
    <w:p w14:paraId="5F71EFC3" w14:textId="77777777" w:rsidR="00C31FA6" w:rsidRPr="009C2ADD" w:rsidRDefault="00C31FA6" w:rsidP="009C2ADD">
      <w:pPr>
        <w:pStyle w:val="Heading1"/>
        <w:adjustRightInd w:val="0"/>
        <w:snapToGrid w:val="0"/>
        <w:rPr>
          <w:rFonts w:ascii="Times New Roman" w:hAnsi="Times New Roman"/>
          <w:sz w:val="22"/>
          <w:szCs w:val="22"/>
        </w:rPr>
      </w:pPr>
      <w:bookmarkStart w:id="163" w:name="_Toc491850315"/>
      <w:bookmarkStart w:id="164" w:name="_Toc491851851"/>
      <w:r w:rsidRPr="009C2ADD">
        <w:rPr>
          <w:rFonts w:ascii="Times New Roman" w:hAnsi="Times New Roman"/>
          <w:sz w:val="22"/>
          <w:szCs w:val="22"/>
        </w:rPr>
        <w:t>AGENDA ITEM 14 – Close of the Meeting</w:t>
      </w:r>
      <w:bookmarkEnd w:id="163"/>
      <w:bookmarkEnd w:id="164"/>
    </w:p>
    <w:p w14:paraId="28976671" w14:textId="77777777" w:rsidR="001D7DE2" w:rsidRPr="009C2ADD" w:rsidRDefault="001D7DE2" w:rsidP="009C2ADD">
      <w:pPr>
        <w:adjustRightInd w:val="0"/>
        <w:snapToGrid w:val="0"/>
        <w:spacing w:after="0"/>
        <w:rPr>
          <w:rFonts w:ascii="Times New Roman" w:hAnsi="Times New Roman"/>
        </w:rPr>
      </w:pPr>
    </w:p>
    <w:p w14:paraId="04454925" w14:textId="77777777" w:rsidR="00BA0E48" w:rsidRPr="009C2ADD" w:rsidRDefault="00BA0E48" w:rsidP="009C2ADD">
      <w:pPr>
        <w:adjustRightInd w:val="0"/>
        <w:snapToGrid w:val="0"/>
        <w:spacing w:after="0"/>
        <w:rPr>
          <w:rFonts w:ascii="Times New Roman" w:hAnsi="Times New Roman"/>
        </w:rPr>
      </w:pPr>
    </w:p>
    <w:p w14:paraId="4253EC27" w14:textId="4234D0BD" w:rsidR="001D7DE2" w:rsidRPr="009C2ADD" w:rsidRDefault="001D7DE2"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On behalf of the Government of the Cook Islands, Secretary of MMR B</w:t>
      </w:r>
      <w:r w:rsidR="007E066D">
        <w:rPr>
          <w:rFonts w:ascii="Times New Roman" w:hAnsi="Times New Roman" w:hint="eastAsia"/>
          <w:lang w:val="en-AU" w:eastAsia="ko-KR"/>
        </w:rPr>
        <w:t>.</w:t>
      </w:r>
      <w:r w:rsidRPr="009C2ADD">
        <w:rPr>
          <w:rFonts w:ascii="Times New Roman" w:hAnsi="Times New Roman"/>
          <w:lang w:val="en-AU"/>
        </w:rPr>
        <w:t xml:space="preserve"> Ponia provided his </w:t>
      </w:r>
      <w:r w:rsidR="009E0AA6">
        <w:rPr>
          <w:rFonts w:ascii="Times New Roman" w:hAnsi="Times New Roman" w:hint="eastAsia"/>
          <w:lang w:val="en-AU" w:eastAsia="ko-KR"/>
        </w:rPr>
        <w:t>closing</w:t>
      </w:r>
      <w:r w:rsidR="009E0AA6" w:rsidRPr="009C2ADD">
        <w:rPr>
          <w:rFonts w:ascii="Times New Roman" w:hAnsi="Times New Roman"/>
          <w:lang w:val="en-AU"/>
        </w:rPr>
        <w:t xml:space="preserve"> </w:t>
      </w:r>
      <w:r w:rsidRPr="009C2ADD">
        <w:rPr>
          <w:rFonts w:ascii="Times New Roman" w:hAnsi="Times New Roman"/>
          <w:lang w:val="en-AU"/>
        </w:rPr>
        <w:t>remarks.  On behalf of the meeting, EU appreciated all hospitalities of the Cook Islands, SC Chair for her leadership and the Secretariat for meeting arr</w:t>
      </w:r>
      <w:r w:rsidR="005B3538">
        <w:rPr>
          <w:rFonts w:ascii="Times New Roman" w:hAnsi="Times New Roman" w:hint="eastAsia"/>
          <w:lang w:val="en-AU" w:eastAsia="ko-KR"/>
        </w:rPr>
        <w:t>a</w:t>
      </w:r>
      <w:r w:rsidRPr="009C2ADD">
        <w:rPr>
          <w:rFonts w:ascii="Times New Roman" w:hAnsi="Times New Roman"/>
          <w:lang w:val="en-AU"/>
        </w:rPr>
        <w:t xml:space="preserve">ngements. The SC Chair B. Muller gave her </w:t>
      </w:r>
      <w:r w:rsidR="009E0AA6">
        <w:rPr>
          <w:rFonts w:ascii="Times New Roman" w:hAnsi="Times New Roman" w:hint="eastAsia"/>
          <w:lang w:val="en-AU" w:eastAsia="ko-KR"/>
        </w:rPr>
        <w:t>final</w:t>
      </w:r>
      <w:r w:rsidR="009E0AA6" w:rsidRPr="009C2ADD">
        <w:rPr>
          <w:rFonts w:ascii="Times New Roman" w:hAnsi="Times New Roman"/>
          <w:lang w:val="en-AU"/>
        </w:rPr>
        <w:t xml:space="preserve"> </w:t>
      </w:r>
      <w:r w:rsidRPr="009C2ADD">
        <w:rPr>
          <w:rFonts w:ascii="Times New Roman" w:hAnsi="Times New Roman"/>
          <w:lang w:val="en-AU"/>
        </w:rPr>
        <w:t xml:space="preserve">remarks </w:t>
      </w:r>
      <w:r w:rsidR="009E0AA6">
        <w:rPr>
          <w:rFonts w:ascii="Times New Roman" w:hAnsi="Times New Roman" w:hint="eastAsia"/>
          <w:lang w:val="en-AU" w:eastAsia="ko-KR"/>
        </w:rPr>
        <w:t xml:space="preserve">as SC Chair </w:t>
      </w:r>
      <w:r w:rsidRPr="009C2ADD">
        <w:rPr>
          <w:rFonts w:ascii="Times New Roman" w:hAnsi="Times New Roman"/>
          <w:lang w:val="en-AU"/>
        </w:rPr>
        <w:t xml:space="preserve">and Fiji </w:t>
      </w:r>
      <w:r w:rsidR="009E0AA6">
        <w:rPr>
          <w:rFonts w:ascii="Times New Roman" w:hAnsi="Times New Roman" w:hint="eastAsia"/>
          <w:lang w:val="en-AU" w:eastAsia="ko-KR"/>
        </w:rPr>
        <w:t>offered a closing prayer</w:t>
      </w:r>
      <w:r w:rsidRPr="009C2ADD">
        <w:rPr>
          <w:rFonts w:ascii="Times New Roman" w:hAnsi="Times New Roman"/>
          <w:lang w:val="en-AU"/>
        </w:rPr>
        <w:t>.</w:t>
      </w:r>
    </w:p>
    <w:p w14:paraId="78C2B27F" w14:textId="77777777" w:rsidR="007A5FEA" w:rsidRPr="009C2ADD" w:rsidRDefault="007A5FEA" w:rsidP="009C2ADD">
      <w:pPr>
        <w:autoSpaceDE w:val="0"/>
        <w:autoSpaceDN w:val="0"/>
        <w:adjustRightInd w:val="0"/>
        <w:snapToGrid w:val="0"/>
        <w:spacing w:after="0"/>
        <w:rPr>
          <w:rFonts w:ascii="Times New Roman" w:hAnsi="Times New Roman"/>
          <w:lang w:val="en-AU"/>
        </w:rPr>
      </w:pPr>
    </w:p>
    <w:p w14:paraId="31080573" w14:textId="23E4E359" w:rsidR="003035B1" w:rsidRPr="009C2ADD" w:rsidRDefault="003035B1" w:rsidP="009C2ADD">
      <w:pPr>
        <w:numPr>
          <w:ilvl w:val="0"/>
          <w:numId w:val="1"/>
        </w:numPr>
        <w:autoSpaceDE w:val="0"/>
        <w:autoSpaceDN w:val="0"/>
        <w:adjustRightInd w:val="0"/>
        <w:snapToGrid w:val="0"/>
        <w:spacing w:after="0"/>
        <w:ind w:left="0" w:firstLine="0"/>
        <w:rPr>
          <w:rFonts w:ascii="Times New Roman" w:hAnsi="Times New Roman"/>
          <w:lang w:val="en-AU"/>
        </w:rPr>
      </w:pPr>
      <w:r w:rsidRPr="009C2ADD">
        <w:rPr>
          <w:rFonts w:ascii="Times New Roman" w:hAnsi="Times New Roman"/>
          <w:lang w:val="en-AU"/>
        </w:rPr>
        <w:t>The meeting closed at 6.00pm on Thursday 1</w:t>
      </w:r>
      <w:r w:rsidR="00B037FE">
        <w:rPr>
          <w:rFonts w:ascii="Times New Roman" w:hAnsi="Times New Roman" w:hint="eastAsia"/>
          <w:lang w:val="en-AU" w:eastAsia="ko-KR"/>
        </w:rPr>
        <w:t>7</w:t>
      </w:r>
      <w:r w:rsidRPr="009C2ADD">
        <w:rPr>
          <w:rFonts w:ascii="Times New Roman" w:hAnsi="Times New Roman"/>
          <w:lang w:val="en-AU"/>
        </w:rPr>
        <w:t xml:space="preserve"> August 201</w:t>
      </w:r>
      <w:r w:rsidR="00B037FE">
        <w:rPr>
          <w:rFonts w:ascii="Times New Roman" w:hAnsi="Times New Roman" w:hint="eastAsia"/>
          <w:lang w:val="en-AU" w:eastAsia="ko-KR"/>
        </w:rPr>
        <w:t>7</w:t>
      </w:r>
      <w:r w:rsidRPr="009C2ADD">
        <w:rPr>
          <w:rFonts w:ascii="Times New Roman" w:hAnsi="Times New Roman"/>
          <w:lang w:val="en-AU"/>
        </w:rPr>
        <w:t>.</w:t>
      </w:r>
    </w:p>
    <w:p w14:paraId="1BC5DF0D" w14:textId="3EF34548" w:rsidR="006B2F2D" w:rsidRDefault="006B2F2D">
      <w:pPr>
        <w:spacing w:after="0"/>
        <w:jc w:val="left"/>
        <w:rPr>
          <w:rFonts w:ascii="Times New Roman" w:hAnsi="Times New Roman"/>
          <w:lang w:val="en-AU"/>
        </w:rPr>
      </w:pPr>
      <w:r>
        <w:rPr>
          <w:rFonts w:ascii="Times New Roman" w:hAnsi="Times New Roman"/>
          <w:lang w:val="en-AU"/>
        </w:rPr>
        <w:br w:type="page"/>
      </w:r>
    </w:p>
    <w:p w14:paraId="5FA64930" w14:textId="77777777" w:rsidR="006B2F2D" w:rsidRDefault="006B2F2D" w:rsidP="006B2F2D">
      <w:pPr>
        <w:autoSpaceDE w:val="0"/>
        <w:autoSpaceDN w:val="0"/>
        <w:adjustRightInd w:val="0"/>
        <w:snapToGrid w:val="0"/>
        <w:spacing w:after="0"/>
        <w:jc w:val="right"/>
        <w:rPr>
          <w:rFonts w:ascii="Times New Roman" w:hAnsi="Times New Roman"/>
          <w:b/>
          <w:bCs/>
          <w:lang w:val="en-AU" w:eastAsia="en-NZ"/>
        </w:rPr>
      </w:pPr>
      <w:r>
        <w:rPr>
          <w:rFonts w:ascii="Times New Roman" w:hAnsi="Times New Roman"/>
          <w:b/>
          <w:bCs/>
          <w:lang w:val="en-AU" w:eastAsia="en-NZ"/>
        </w:rPr>
        <w:t>Attachment A</w:t>
      </w:r>
    </w:p>
    <w:p w14:paraId="3F95640B" w14:textId="77777777" w:rsidR="006B2F2D" w:rsidRDefault="006B2F2D" w:rsidP="006B2F2D">
      <w:pPr>
        <w:autoSpaceDE w:val="0"/>
        <w:autoSpaceDN w:val="0"/>
        <w:adjustRightInd w:val="0"/>
        <w:snapToGrid w:val="0"/>
        <w:spacing w:after="0"/>
        <w:jc w:val="center"/>
        <w:rPr>
          <w:rFonts w:ascii="Times New Roman" w:hAnsi="Times New Roman"/>
          <w:b/>
          <w:bCs/>
          <w:lang w:val="en-AU" w:eastAsia="en-NZ"/>
        </w:rPr>
      </w:pPr>
    </w:p>
    <w:p w14:paraId="759FFB4F" w14:textId="0952911B" w:rsidR="006B2F2D" w:rsidRPr="009C2ADD" w:rsidRDefault="006B2F2D" w:rsidP="006B2F2D">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Highly Migratory Fish Stocks in the Western and Central Pacific Ocean</w:t>
      </w:r>
    </w:p>
    <w:p w14:paraId="5BB9A522" w14:textId="77777777" w:rsidR="006B2F2D" w:rsidRPr="009C2ADD" w:rsidRDefault="006B2F2D" w:rsidP="006B2F2D">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 xml:space="preserve">Scientific Committee </w:t>
      </w:r>
    </w:p>
    <w:p w14:paraId="7C00F4F2" w14:textId="77777777" w:rsidR="006B2F2D" w:rsidRPr="009C2ADD" w:rsidRDefault="006B2F2D" w:rsidP="006B2F2D">
      <w:pPr>
        <w:autoSpaceDE w:val="0"/>
        <w:autoSpaceDN w:val="0"/>
        <w:adjustRightInd w:val="0"/>
        <w:snapToGrid w:val="0"/>
        <w:spacing w:after="0"/>
        <w:jc w:val="center"/>
        <w:rPr>
          <w:rFonts w:ascii="Times New Roman" w:hAnsi="Times New Roman"/>
          <w:b/>
          <w:bCs/>
          <w:lang w:val="en-AU" w:eastAsia="ko-KR"/>
        </w:rPr>
      </w:pPr>
      <w:r w:rsidRPr="009C2ADD">
        <w:rPr>
          <w:rFonts w:ascii="Times New Roman" w:hAnsi="Times New Roman"/>
          <w:b/>
          <w:bCs/>
          <w:lang w:val="en-AU" w:eastAsia="en-NZ"/>
        </w:rPr>
        <w:t>Thirteenth Regular Session</w:t>
      </w:r>
    </w:p>
    <w:p w14:paraId="68012382" w14:textId="77777777" w:rsidR="006B2F2D" w:rsidRPr="009C2ADD" w:rsidRDefault="006B2F2D" w:rsidP="006B2F2D">
      <w:pPr>
        <w:autoSpaceDE w:val="0"/>
        <w:autoSpaceDN w:val="0"/>
        <w:adjustRightInd w:val="0"/>
        <w:snapToGrid w:val="0"/>
        <w:spacing w:after="0"/>
        <w:jc w:val="center"/>
        <w:rPr>
          <w:rFonts w:ascii="Times New Roman" w:hAnsi="Times New Roman"/>
          <w:bCs/>
          <w:lang w:val="en-AU" w:eastAsia="en-NZ"/>
        </w:rPr>
      </w:pPr>
      <w:r w:rsidRPr="009C2ADD">
        <w:rPr>
          <w:rFonts w:ascii="Times New Roman" w:hAnsi="Times New Roman"/>
          <w:bCs/>
          <w:lang w:val="en-AU" w:eastAsia="en-NZ"/>
        </w:rPr>
        <w:t>Rarotonga, Cook Islands</w:t>
      </w:r>
      <w:r w:rsidRPr="009C2ADD">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6B2F2D" w:rsidRPr="009C2ADD" w14:paraId="374C8666" w14:textId="77777777" w:rsidTr="006B2F2D">
        <w:tc>
          <w:tcPr>
            <w:tcW w:w="9576" w:type="dxa"/>
            <w:tcBorders>
              <w:top w:val="single" w:sz="12" w:space="0" w:color="auto"/>
              <w:left w:val="nil"/>
              <w:bottom w:val="single" w:sz="12" w:space="0" w:color="auto"/>
              <w:right w:val="nil"/>
            </w:tcBorders>
            <w:hideMark/>
          </w:tcPr>
          <w:p w14:paraId="60444D0B" w14:textId="4FD95532" w:rsidR="006B2F2D" w:rsidRPr="009C2ADD" w:rsidRDefault="006B2F2D" w:rsidP="006B2F2D">
            <w:pPr>
              <w:adjustRightInd w:val="0"/>
              <w:snapToGrid w:val="0"/>
              <w:spacing w:after="0"/>
              <w:jc w:val="center"/>
              <w:rPr>
                <w:rFonts w:ascii="Times New Roman" w:eastAsia="맑은 고딕" w:hAnsi="Times New Roman"/>
                <w:b/>
                <w:lang w:val="en-AU" w:eastAsia="ko-KR"/>
              </w:rPr>
            </w:pPr>
            <w:r>
              <w:rPr>
                <w:rFonts w:ascii="Times New Roman" w:eastAsia="맑은 고딕" w:hAnsi="Times New Roman"/>
                <w:b/>
                <w:lang w:val="en-AU" w:eastAsia="ko-KR"/>
              </w:rPr>
              <w:t>List of Participants</w:t>
            </w:r>
          </w:p>
        </w:tc>
      </w:tr>
    </w:tbl>
    <w:p w14:paraId="0DCCC402" w14:textId="77777777" w:rsidR="006B2F2D" w:rsidRDefault="006B2F2D" w:rsidP="006B2F2D">
      <w:pPr>
        <w:pStyle w:val="WCPFC"/>
        <w:numPr>
          <w:ilvl w:val="0"/>
          <w:numId w:val="0"/>
        </w:numPr>
        <w:adjustRightInd w:val="0"/>
        <w:spacing w:after="0"/>
        <w:ind w:left="567" w:hanging="567"/>
        <w:rPr>
          <w:b/>
        </w:rPr>
      </w:pPr>
    </w:p>
    <w:p w14:paraId="1BE180E6" w14:textId="77777777" w:rsidR="006B2F2D" w:rsidRDefault="006B2F2D" w:rsidP="006B2F2D">
      <w:pPr>
        <w:adjustRightInd w:val="0"/>
        <w:snapToGrid w:val="0"/>
        <w:spacing w:after="0"/>
        <w:rPr>
          <w:rFonts w:ascii="Times New Roman" w:hAnsi="Times New Roman"/>
          <w:b/>
          <w:i/>
          <w:color w:val="000000"/>
        </w:rPr>
        <w:sectPr w:rsidR="006B2F2D" w:rsidSect="002114F4">
          <w:footerReference w:type="first" r:id="rId94"/>
          <w:pgSz w:w="12240" w:h="15840" w:code="1"/>
          <w:pgMar w:top="1440" w:right="1440" w:bottom="1440" w:left="1440" w:header="706" w:footer="0" w:gutter="0"/>
          <w:pgNumType w:start="1"/>
          <w:cols w:space="708"/>
          <w:titlePg/>
          <w:docGrid w:linePitch="360"/>
        </w:sectPr>
      </w:pPr>
    </w:p>
    <w:p w14:paraId="477CB8DD" w14:textId="4559AA27" w:rsidR="006B2F2D" w:rsidRPr="006B2F2D" w:rsidRDefault="006B2F2D" w:rsidP="006B2F2D">
      <w:pPr>
        <w:adjustRightInd w:val="0"/>
        <w:snapToGrid w:val="0"/>
        <w:spacing w:after="0"/>
        <w:rPr>
          <w:rFonts w:ascii="Times New Roman" w:hAnsi="Times New Roman"/>
          <w:b/>
          <w:i/>
          <w:color w:val="000000"/>
        </w:rPr>
      </w:pPr>
      <w:r w:rsidRPr="006B2F2D">
        <w:rPr>
          <w:rFonts w:ascii="Times New Roman" w:hAnsi="Times New Roman"/>
          <w:b/>
          <w:i/>
          <w:color w:val="000000"/>
        </w:rPr>
        <w:t>CHAIRMAN</w:t>
      </w:r>
    </w:p>
    <w:p w14:paraId="16CCCE7B" w14:textId="77777777" w:rsidR="006B2F2D" w:rsidRPr="006B2F2D" w:rsidRDefault="006B2F2D" w:rsidP="006B2F2D">
      <w:pPr>
        <w:adjustRightInd w:val="0"/>
        <w:snapToGrid w:val="0"/>
        <w:spacing w:after="0"/>
        <w:rPr>
          <w:rFonts w:ascii="Times New Roman" w:hAnsi="Times New Roman"/>
          <w:b/>
          <w:color w:val="000000"/>
        </w:rPr>
      </w:pPr>
    </w:p>
    <w:p w14:paraId="4A19F024"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Berry Muller</w:t>
      </w:r>
    </w:p>
    <w:p w14:paraId="601E7C67"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SC Chair</w:t>
      </w:r>
    </w:p>
    <w:p w14:paraId="0C9767C5"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Marshall Islands Marine Resources Authority (MIMRA)</w:t>
      </w:r>
    </w:p>
    <w:p w14:paraId="277496B5"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P.O. Box 860 Marshall Islands, Majuro MH 96960</w:t>
      </w:r>
    </w:p>
    <w:p w14:paraId="3EC662B0"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bmuller@mimra.com</w:t>
      </w:r>
    </w:p>
    <w:p w14:paraId="5BC4D7F9" w14:textId="77777777" w:rsidR="006B2F2D" w:rsidRPr="006B2F2D" w:rsidRDefault="006B2F2D" w:rsidP="006B2F2D">
      <w:pPr>
        <w:adjustRightInd w:val="0"/>
        <w:snapToGrid w:val="0"/>
        <w:spacing w:after="0"/>
        <w:rPr>
          <w:rFonts w:ascii="Times New Roman" w:hAnsi="Times New Roman"/>
          <w:color w:val="000000"/>
        </w:rPr>
      </w:pPr>
    </w:p>
    <w:p w14:paraId="299E43B9" w14:textId="77777777" w:rsidR="006B2F2D" w:rsidRPr="006B2F2D" w:rsidRDefault="006B2F2D" w:rsidP="006B2F2D">
      <w:pPr>
        <w:adjustRightInd w:val="0"/>
        <w:snapToGrid w:val="0"/>
        <w:spacing w:after="0"/>
        <w:rPr>
          <w:rFonts w:ascii="Times New Roman" w:hAnsi="Times New Roman"/>
          <w:b/>
          <w:i/>
          <w:noProof/>
          <w:color w:val="000000"/>
        </w:rPr>
      </w:pPr>
      <w:r w:rsidRPr="006B2F2D">
        <w:rPr>
          <w:rFonts w:ascii="Times New Roman" w:hAnsi="Times New Roman"/>
          <w:b/>
          <w:i/>
          <w:noProof/>
          <w:color w:val="000000"/>
        </w:rPr>
        <w:t>AUSTRALIA</w:t>
      </w:r>
    </w:p>
    <w:p w14:paraId="3798E8FF" w14:textId="77777777" w:rsidR="006B2F2D" w:rsidRPr="006B2F2D" w:rsidRDefault="006B2F2D" w:rsidP="006B2F2D">
      <w:pPr>
        <w:adjustRightInd w:val="0"/>
        <w:snapToGrid w:val="0"/>
        <w:spacing w:after="0"/>
        <w:rPr>
          <w:rFonts w:ascii="Times New Roman" w:hAnsi="Times New Roman"/>
          <w:b/>
          <w:noProof/>
          <w:color w:val="000000"/>
        </w:rPr>
      </w:pPr>
    </w:p>
    <w:p w14:paraId="002F61D9"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James Larcombe</w:t>
      </w:r>
    </w:p>
    <w:p w14:paraId="34C961D4"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Senior Scientist</w:t>
      </w:r>
    </w:p>
    <w:p w14:paraId="2CBACB00"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Department of Agriculture and Water</w:t>
      </w:r>
    </w:p>
    <w:p w14:paraId="4E85B098" w14:textId="325A91D3" w:rsidR="006B2F2D" w:rsidRPr="006B2F2D" w:rsidRDefault="00585986" w:rsidP="006B2F2D">
      <w:pPr>
        <w:adjustRightInd w:val="0"/>
        <w:snapToGrid w:val="0"/>
        <w:spacing w:after="0"/>
        <w:rPr>
          <w:rFonts w:ascii="Times New Roman" w:hAnsi="Times New Roman"/>
          <w:color w:val="000000"/>
        </w:rPr>
      </w:pPr>
      <w:r>
        <w:rPr>
          <w:rFonts w:ascii="Times New Roman" w:hAnsi="Times New Roman" w:hint="eastAsia"/>
          <w:noProof/>
          <w:color w:val="000000"/>
          <w:lang w:eastAsia="ko-KR"/>
        </w:rPr>
        <w:t xml:space="preserve">+61 </w:t>
      </w:r>
      <w:r w:rsidR="006B2F2D" w:rsidRPr="006B2F2D">
        <w:rPr>
          <w:rFonts w:ascii="Times New Roman" w:hAnsi="Times New Roman"/>
          <w:noProof/>
          <w:color w:val="000000"/>
        </w:rPr>
        <w:t>415084514</w:t>
      </w:r>
    </w:p>
    <w:p w14:paraId="79D48C4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james.larcombe@agriculture.gov.au</w:t>
      </w:r>
    </w:p>
    <w:p w14:paraId="6A15C665" w14:textId="77777777" w:rsidR="006B2F2D" w:rsidRPr="006B2F2D" w:rsidRDefault="006B2F2D" w:rsidP="006B2F2D">
      <w:pPr>
        <w:adjustRightInd w:val="0"/>
        <w:snapToGrid w:val="0"/>
        <w:spacing w:after="0"/>
        <w:rPr>
          <w:rFonts w:ascii="Times New Roman" w:hAnsi="Times New Roman"/>
          <w:color w:val="000000"/>
        </w:rPr>
      </w:pPr>
    </w:p>
    <w:p w14:paraId="60690BA6"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Robert Campbell</w:t>
      </w:r>
    </w:p>
    <w:p w14:paraId="38F0BBEB"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Senior Fisheries Scientist</w:t>
      </w:r>
    </w:p>
    <w:p w14:paraId="0665ED55"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CSIRO</w:t>
      </w:r>
    </w:p>
    <w:p w14:paraId="010A83F4" w14:textId="77777777" w:rsidR="00585986" w:rsidRPr="006B2F2D" w:rsidRDefault="00585986" w:rsidP="00585986">
      <w:pPr>
        <w:adjustRightInd w:val="0"/>
        <w:snapToGrid w:val="0"/>
        <w:spacing w:after="0"/>
        <w:rPr>
          <w:rFonts w:ascii="Times New Roman" w:hAnsi="Times New Roman"/>
          <w:color w:val="000000"/>
        </w:rPr>
      </w:pPr>
      <w:r>
        <w:rPr>
          <w:rFonts w:ascii="Times New Roman" w:hAnsi="Times New Roman"/>
          <w:noProof/>
          <w:color w:val="000000"/>
        </w:rPr>
        <w:t>Private Bag No. 1</w:t>
      </w:r>
    </w:p>
    <w:p w14:paraId="0F4E89E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Aspendale, VIC, Australia</w:t>
      </w:r>
    </w:p>
    <w:p w14:paraId="530C58D3"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+61 3 9239 4681</w:t>
      </w:r>
    </w:p>
    <w:p w14:paraId="1BB8798F"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Robert.Campbell@csiro.au</w:t>
      </w:r>
    </w:p>
    <w:p w14:paraId="0F1C33CD" w14:textId="77777777" w:rsidR="006B2F2D" w:rsidRPr="006B2F2D" w:rsidRDefault="006B2F2D" w:rsidP="006B2F2D">
      <w:pPr>
        <w:adjustRightInd w:val="0"/>
        <w:snapToGrid w:val="0"/>
        <w:spacing w:after="0"/>
        <w:rPr>
          <w:rFonts w:ascii="Times New Roman" w:hAnsi="Times New Roman"/>
          <w:color w:val="000000"/>
        </w:rPr>
      </w:pPr>
    </w:p>
    <w:p w14:paraId="47FBF293"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Jessica Farley</w:t>
      </w:r>
    </w:p>
    <w:p w14:paraId="2795C699"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Fisheries Scientist</w:t>
      </w:r>
    </w:p>
    <w:p w14:paraId="37F0A337"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CSIRO</w:t>
      </w:r>
    </w:p>
    <w:p w14:paraId="25B24156"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GPO Box 1538, Hobart, Tasmania 7001 Australia</w:t>
      </w:r>
    </w:p>
    <w:p w14:paraId="4281373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+61 407255524</w:t>
      </w:r>
    </w:p>
    <w:p w14:paraId="7231056F"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jessica.farley@csiro.au</w:t>
      </w:r>
    </w:p>
    <w:p w14:paraId="5DAA7134" w14:textId="77777777" w:rsidR="006B2F2D" w:rsidRPr="006B2F2D" w:rsidRDefault="006B2F2D" w:rsidP="006B2F2D">
      <w:pPr>
        <w:adjustRightInd w:val="0"/>
        <w:snapToGrid w:val="0"/>
        <w:spacing w:after="0"/>
        <w:rPr>
          <w:rFonts w:ascii="Times New Roman" w:hAnsi="Times New Roman"/>
          <w:color w:val="000000"/>
        </w:rPr>
      </w:pPr>
    </w:p>
    <w:p w14:paraId="6EC5B7B9"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Karen Evans</w:t>
      </w:r>
    </w:p>
    <w:p w14:paraId="32261A43"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Senior Research Scientist</w:t>
      </w:r>
    </w:p>
    <w:p w14:paraId="7ACA3EF3"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CSIRO Oceans and Atmosphere</w:t>
      </w:r>
    </w:p>
    <w:p w14:paraId="3BDDDC79"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GPO Box 1538, Hobart, Tasmania 7001, Australia</w:t>
      </w:r>
    </w:p>
    <w:p w14:paraId="495FF2E3"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karen.evans@csiro.au</w:t>
      </w:r>
    </w:p>
    <w:p w14:paraId="00F5BBA5" w14:textId="77777777" w:rsidR="006B2F2D" w:rsidRPr="006B2F2D" w:rsidRDefault="006B2F2D" w:rsidP="006B2F2D">
      <w:pPr>
        <w:adjustRightInd w:val="0"/>
        <w:snapToGrid w:val="0"/>
        <w:spacing w:after="0"/>
        <w:rPr>
          <w:rFonts w:ascii="Times New Roman" w:hAnsi="Times New Roman"/>
          <w:b/>
          <w:noProof/>
          <w:color w:val="000000"/>
        </w:rPr>
      </w:pPr>
    </w:p>
    <w:p w14:paraId="6E2C5FDD"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Don Bromhead</w:t>
      </w:r>
    </w:p>
    <w:p w14:paraId="37668099"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Manager - Tropical Tuna Fisheries</w:t>
      </w:r>
    </w:p>
    <w:p w14:paraId="72602E64"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Australian Fisheries Management Authority</w:t>
      </w:r>
    </w:p>
    <w:p w14:paraId="6EE0B719"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Don.Bromhead@afma.gov.au</w:t>
      </w:r>
    </w:p>
    <w:p w14:paraId="3DDD3531" w14:textId="77777777" w:rsidR="006B2F2D" w:rsidRPr="006B2F2D" w:rsidRDefault="006B2F2D" w:rsidP="006B2F2D">
      <w:pPr>
        <w:adjustRightInd w:val="0"/>
        <w:snapToGrid w:val="0"/>
        <w:spacing w:after="0"/>
        <w:rPr>
          <w:rFonts w:ascii="Times New Roman" w:hAnsi="Times New Roman"/>
          <w:color w:val="000000"/>
        </w:rPr>
      </w:pPr>
    </w:p>
    <w:p w14:paraId="6A4E5D0F" w14:textId="77777777" w:rsidR="006B2F2D" w:rsidRPr="006B2F2D" w:rsidRDefault="006B2F2D" w:rsidP="006B2F2D">
      <w:pPr>
        <w:adjustRightInd w:val="0"/>
        <w:snapToGrid w:val="0"/>
        <w:spacing w:after="0"/>
        <w:rPr>
          <w:rFonts w:ascii="Times New Roman" w:hAnsi="Times New Roman"/>
          <w:b/>
          <w:i/>
          <w:noProof/>
        </w:rPr>
      </w:pPr>
      <w:r w:rsidRPr="006B2F2D">
        <w:rPr>
          <w:rFonts w:ascii="Times New Roman" w:hAnsi="Times New Roman"/>
          <w:b/>
          <w:i/>
          <w:noProof/>
        </w:rPr>
        <w:t>CHINA</w:t>
      </w:r>
    </w:p>
    <w:p w14:paraId="5B54F47F" w14:textId="77777777" w:rsidR="006B2F2D" w:rsidRPr="006B2F2D" w:rsidRDefault="006B2F2D" w:rsidP="006B2F2D">
      <w:pPr>
        <w:adjustRightInd w:val="0"/>
        <w:snapToGrid w:val="0"/>
        <w:spacing w:after="0"/>
        <w:rPr>
          <w:rFonts w:ascii="Times New Roman" w:hAnsi="Times New Roman"/>
          <w:b/>
          <w:noProof/>
          <w:color w:val="000000"/>
        </w:rPr>
      </w:pPr>
    </w:p>
    <w:p w14:paraId="65348320"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Xiaojie Dai</w:t>
      </w:r>
    </w:p>
    <w:p w14:paraId="2A975E68"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Professor</w:t>
      </w:r>
    </w:p>
    <w:p w14:paraId="0C0D985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009941C8"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8615692165351</w:t>
      </w:r>
    </w:p>
    <w:p w14:paraId="127D4DC8"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xjdai@shou.edu.cn</w:t>
      </w:r>
    </w:p>
    <w:p w14:paraId="6C1DA701" w14:textId="77777777" w:rsidR="006B2F2D" w:rsidRPr="006B2F2D" w:rsidRDefault="006B2F2D" w:rsidP="006B2F2D">
      <w:pPr>
        <w:adjustRightInd w:val="0"/>
        <w:snapToGrid w:val="0"/>
        <w:spacing w:after="0"/>
        <w:rPr>
          <w:rFonts w:ascii="Times New Roman" w:hAnsi="Times New Roman"/>
          <w:color w:val="000000"/>
        </w:rPr>
      </w:pPr>
    </w:p>
    <w:p w14:paraId="489CC34B"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Xiaobing Liu</w:t>
      </w:r>
    </w:p>
    <w:p w14:paraId="40FCE1F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Professor</w:t>
      </w:r>
    </w:p>
    <w:p w14:paraId="4074E89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600CB7DC"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xiaobing.liu@hotmail.com</w:t>
      </w:r>
    </w:p>
    <w:p w14:paraId="62F6512E" w14:textId="77777777" w:rsidR="006B2F2D" w:rsidRPr="006B2F2D" w:rsidRDefault="006B2F2D" w:rsidP="006B2F2D">
      <w:pPr>
        <w:adjustRightInd w:val="0"/>
        <w:snapToGrid w:val="0"/>
        <w:spacing w:after="0"/>
        <w:rPr>
          <w:rFonts w:ascii="Times New Roman" w:hAnsi="Times New Roman"/>
          <w:color w:val="000000"/>
        </w:rPr>
      </w:pPr>
    </w:p>
    <w:p w14:paraId="1E953EE2"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Jiangfeng Zhu</w:t>
      </w:r>
    </w:p>
    <w:p w14:paraId="5E9A3087"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Associate Professor</w:t>
      </w:r>
    </w:p>
    <w:p w14:paraId="5C448F5F"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4D3D11AB"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jfzhu@shou.edu.cn</w:t>
      </w:r>
    </w:p>
    <w:p w14:paraId="3ADBA503" w14:textId="77777777" w:rsidR="006B2F2D" w:rsidRPr="006B2F2D" w:rsidRDefault="006B2F2D" w:rsidP="006B2F2D">
      <w:pPr>
        <w:adjustRightInd w:val="0"/>
        <w:snapToGrid w:val="0"/>
        <w:spacing w:after="0"/>
        <w:rPr>
          <w:rFonts w:ascii="Times New Roman" w:hAnsi="Times New Roman"/>
          <w:color w:val="000000"/>
        </w:rPr>
      </w:pPr>
    </w:p>
    <w:p w14:paraId="17564068"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Jintao Wang</w:t>
      </w:r>
    </w:p>
    <w:p w14:paraId="62F180D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Lecturer</w:t>
      </w:r>
    </w:p>
    <w:p w14:paraId="65E9892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4B3EB7F1"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jtwang@shou.edu.cn</w:t>
      </w:r>
    </w:p>
    <w:p w14:paraId="4023632E" w14:textId="77777777" w:rsidR="006B2F2D" w:rsidRPr="006B2F2D" w:rsidRDefault="006B2F2D" w:rsidP="006B2F2D">
      <w:pPr>
        <w:adjustRightInd w:val="0"/>
        <w:snapToGrid w:val="0"/>
        <w:spacing w:after="0"/>
        <w:rPr>
          <w:rFonts w:ascii="Times New Roman" w:hAnsi="Times New Roman"/>
          <w:color w:val="000000"/>
        </w:rPr>
      </w:pPr>
    </w:p>
    <w:p w14:paraId="28A0B241"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Liuxiong Xu</w:t>
      </w:r>
    </w:p>
    <w:p w14:paraId="37E33996"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Professor</w:t>
      </w:r>
    </w:p>
    <w:p w14:paraId="2324FE65"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5D40266E"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lxxu@shou.edu.cn</w:t>
      </w:r>
    </w:p>
    <w:p w14:paraId="010F3D94" w14:textId="77777777" w:rsidR="006B2F2D" w:rsidRPr="006B2F2D" w:rsidRDefault="006B2F2D" w:rsidP="006B2F2D">
      <w:pPr>
        <w:adjustRightInd w:val="0"/>
        <w:snapToGrid w:val="0"/>
        <w:spacing w:after="0"/>
        <w:rPr>
          <w:rFonts w:ascii="Times New Roman" w:hAnsi="Times New Roman"/>
          <w:color w:val="000000"/>
        </w:rPr>
      </w:pPr>
    </w:p>
    <w:p w14:paraId="40BA14A8"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noProof/>
          <w:color w:val="000000"/>
        </w:rPr>
        <w:t>Yong Chen</w:t>
      </w:r>
    </w:p>
    <w:p w14:paraId="3DB74C38"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Professor</w:t>
      </w:r>
    </w:p>
    <w:p w14:paraId="3BF3E7D2"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Shanghai Ocean University</w:t>
      </w:r>
    </w:p>
    <w:p w14:paraId="17113736"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noProof/>
          <w:color w:val="000000"/>
        </w:rPr>
        <w:t>y chen @shou.edu.cn</w:t>
      </w:r>
    </w:p>
    <w:p w14:paraId="0A7FD6E1" w14:textId="77777777" w:rsidR="006B2F2D" w:rsidRPr="006B2F2D" w:rsidRDefault="006B2F2D" w:rsidP="0054190C">
      <w:pPr>
        <w:adjustRightInd w:val="0"/>
        <w:snapToGrid w:val="0"/>
        <w:spacing w:after="0"/>
        <w:jc w:val="left"/>
        <w:rPr>
          <w:rFonts w:ascii="Times New Roman" w:hAnsi="Times New Roman"/>
          <w:b/>
          <w:noProof/>
          <w:color w:val="000000"/>
        </w:rPr>
      </w:pPr>
    </w:p>
    <w:p w14:paraId="65633B6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Wang Shigang</w:t>
      </w:r>
    </w:p>
    <w:p w14:paraId="2AEB753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Overseas Project Manager</w:t>
      </w:r>
    </w:p>
    <w:p w14:paraId="25FD077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Ping Tai Rong Ocean Fishery Group Co.,Ltd.</w:t>
      </w:r>
    </w:p>
    <w:p w14:paraId="771522F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matthewwang@ptrcn.com</w:t>
      </w:r>
    </w:p>
    <w:p w14:paraId="00EA8445" w14:textId="77777777" w:rsidR="006B2F2D" w:rsidRPr="006B2F2D" w:rsidRDefault="006B2F2D" w:rsidP="0054190C">
      <w:pPr>
        <w:adjustRightInd w:val="0"/>
        <w:snapToGrid w:val="0"/>
        <w:spacing w:after="0"/>
        <w:jc w:val="left"/>
        <w:rPr>
          <w:rFonts w:ascii="Times New Roman" w:hAnsi="Times New Roman"/>
          <w:color w:val="000000"/>
        </w:rPr>
      </w:pPr>
    </w:p>
    <w:p w14:paraId="3FE10330"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COOK ISLANDS</w:t>
      </w:r>
    </w:p>
    <w:p w14:paraId="36442427" w14:textId="77777777" w:rsidR="006B2F2D" w:rsidRPr="006B2F2D" w:rsidRDefault="006B2F2D" w:rsidP="0054190C">
      <w:pPr>
        <w:adjustRightInd w:val="0"/>
        <w:snapToGrid w:val="0"/>
        <w:spacing w:after="0"/>
        <w:jc w:val="left"/>
        <w:rPr>
          <w:rFonts w:ascii="Times New Roman" w:hAnsi="Times New Roman"/>
          <w:b/>
          <w:noProof/>
          <w:color w:val="000000"/>
        </w:rPr>
      </w:pPr>
    </w:p>
    <w:p w14:paraId="6F2BB7B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Marino Wichman</w:t>
      </w:r>
    </w:p>
    <w:p w14:paraId="7B33051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Officer</w:t>
      </w:r>
    </w:p>
    <w:p w14:paraId="6F577D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0A72B2D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85 Avarua, Rarotonga</w:t>
      </w:r>
    </w:p>
    <w:p w14:paraId="6D445EB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+682 28721</w:t>
      </w:r>
    </w:p>
    <w:p w14:paraId="72F16BB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32BD3267" w14:textId="77777777" w:rsidR="006B2F2D" w:rsidRPr="006B2F2D" w:rsidRDefault="006B2F2D" w:rsidP="0054190C">
      <w:pPr>
        <w:adjustRightInd w:val="0"/>
        <w:snapToGrid w:val="0"/>
        <w:spacing w:after="0"/>
        <w:jc w:val="left"/>
        <w:rPr>
          <w:rFonts w:ascii="Times New Roman" w:hAnsi="Times New Roman"/>
          <w:color w:val="000000"/>
        </w:rPr>
      </w:pPr>
    </w:p>
    <w:p w14:paraId="1F436FD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Lara Ainley</w:t>
      </w:r>
    </w:p>
    <w:p w14:paraId="7925429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Ecologist</w:t>
      </w:r>
    </w:p>
    <w:p w14:paraId="2578BEB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2439A2A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85 Avarua, Rarotonga</w:t>
      </w:r>
    </w:p>
    <w:p w14:paraId="5221227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+682 28721</w:t>
      </w:r>
    </w:p>
    <w:p w14:paraId="5C34854D" w14:textId="77777777" w:rsidR="006B2F2D" w:rsidRPr="006B2F2D" w:rsidRDefault="006B2F2D" w:rsidP="0054190C">
      <w:pPr>
        <w:adjustRightInd w:val="0"/>
        <w:snapToGrid w:val="0"/>
        <w:spacing w:after="0"/>
        <w:jc w:val="left"/>
        <w:rPr>
          <w:rFonts w:ascii="Times New Roman" w:hAnsi="Times New Roman"/>
          <w:color w:val="000000"/>
        </w:rPr>
      </w:pPr>
    </w:p>
    <w:p w14:paraId="65EAB2C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Ben Ponia</w:t>
      </w:r>
    </w:p>
    <w:p w14:paraId="77D9C4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Secretary</w:t>
      </w:r>
    </w:p>
    <w:p w14:paraId="785CE9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1F68CE3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85 Avarua, Rarotonga</w:t>
      </w:r>
    </w:p>
    <w:p w14:paraId="12BAE5A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+682 28721</w:t>
      </w:r>
    </w:p>
    <w:p w14:paraId="2707EAF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b.ponia@mmr.gov.ck</w:t>
      </w:r>
    </w:p>
    <w:p w14:paraId="75CDD647" w14:textId="77777777" w:rsidR="006B2F2D" w:rsidRPr="006B2F2D" w:rsidRDefault="006B2F2D" w:rsidP="0054190C">
      <w:pPr>
        <w:adjustRightInd w:val="0"/>
        <w:snapToGrid w:val="0"/>
        <w:spacing w:after="0"/>
        <w:jc w:val="left"/>
        <w:rPr>
          <w:rFonts w:ascii="Times New Roman" w:hAnsi="Times New Roman"/>
          <w:color w:val="000000"/>
        </w:rPr>
      </w:pPr>
    </w:p>
    <w:p w14:paraId="74A245B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Timothy Costelloe</w:t>
      </w:r>
    </w:p>
    <w:p w14:paraId="105A961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of Offshore Division</w:t>
      </w:r>
    </w:p>
    <w:p w14:paraId="7E3BD06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57B6210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85 Avarua, Rarotonga</w:t>
      </w:r>
    </w:p>
    <w:p w14:paraId="011D28A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+682 28721</w:t>
      </w:r>
    </w:p>
    <w:p w14:paraId="56ADBA8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t.costelloe@mmr.gov.ck</w:t>
      </w:r>
    </w:p>
    <w:p w14:paraId="61DAA749" w14:textId="77777777" w:rsidR="006B2F2D" w:rsidRPr="006B2F2D" w:rsidRDefault="006B2F2D" w:rsidP="0054190C">
      <w:pPr>
        <w:adjustRightInd w:val="0"/>
        <w:snapToGrid w:val="0"/>
        <w:spacing w:after="0"/>
        <w:jc w:val="left"/>
        <w:rPr>
          <w:rFonts w:ascii="Times New Roman" w:hAnsi="Times New Roman"/>
          <w:color w:val="000000"/>
        </w:rPr>
      </w:pPr>
    </w:p>
    <w:p w14:paraId="1C508EB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Sonny Tatuava</w:t>
      </w:r>
    </w:p>
    <w:p w14:paraId="597EB06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Officer</w:t>
      </w:r>
    </w:p>
    <w:p w14:paraId="6C416D2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25054AE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85 Avarua, Rarotonga</w:t>
      </w:r>
    </w:p>
    <w:p w14:paraId="57187D8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+682 28721</w:t>
      </w:r>
    </w:p>
    <w:p w14:paraId="6194818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statuava@mmr.gov.ck</w:t>
      </w:r>
    </w:p>
    <w:p w14:paraId="193AF270" w14:textId="77777777" w:rsidR="006B2F2D" w:rsidRPr="006B2F2D" w:rsidRDefault="006B2F2D" w:rsidP="0054190C">
      <w:pPr>
        <w:adjustRightInd w:val="0"/>
        <w:snapToGrid w:val="0"/>
        <w:spacing w:after="0"/>
        <w:jc w:val="left"/>
        <w:rPr>
          <w:rFonts w:ascii="Times New Roman" w:hAnsi="Times New Roman"/>
          <w:color w:val="000000"/>
        </w:rPr>
      </w:pPr>
    </w:p>
    <w:p w14:paraId="057381F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Alex Herman</w:t>
      </w:r>
    </w:p>
    <w:p w14:paraId="3B4D9AF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Crown Counsel</w:t>
      </w:r>
    </w:p>
    <w:p w14:paraId="2B3E3B4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Crown Law Office</w:t>
      </w:r>
    </w:p>
    <w:p w14:paraId="0D7545A6" w14:textId="77777777" w:rsidR="006B2F2D" w:rsidRPr="006B2F2D" w:rsidRDefault="006B2F2D" w:rsidP="0054190C">
      <w:pPr>
        <w:adjustRightInd w:val="0"/>
        <w:snapToGrid w:val="0"/>
        <w:spacing w:after="0"/>
        <w:jc w:val="left"/>
        <w:rPr>
          <w:rFonts w:ascii="Times New Roman" w:hAnsi="Times New Roman"/>
          <w:color w:val="000000"/>
        </w:rPr>
      </w:pPr>
    </w:p>
    <w:p w14:paraId="66FDBAE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Varanisese Bulabalavu</w:t>
      </w:r>
    </w:p>
    <w:p w14:paraId="2EF7582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Policy &amp; Legal Officer</w:t>
      </w:r>
    </w:p>
    <w:p w14:paraId="61FE9BA6" w14:textId="77777777" w:rsidR="006B2F2D" w:rsidRPr="006B2F2D" w:rsidRDefault="006B2F2D" w:rsidP="0054190C">
      <w:pPr>
        <w:adjustRightInd w:val="0"/>
        <w:snapToGrid w:val="0"/>
        <w:spacing w:after="0"/>
        <w:jc w:val="left"/>
        <w:rPr>
          <w:rFonts w:ascii="Times New Roman" w:hAnsi="Times New Roman"/>
          <w:color w:val="000000"/>
        </w:rPr>
      </w:pPr>
    </w:p>
    <w:p w14:paraId="7FA61F5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Jacqui Evans</w:t>
      </w:r>
    </w:p>
    <w:p w14:paraId="230C7BD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Marae Moana Project Manager</w:t>
      </w:r>
    </w:p>
    <w:p w14:paraId="30F77B9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Office of the Prime Minister</w:t>
      </w:r>
    </w:p>
    <w:p w14:paraId="214C0D5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Avarua, Rarotonga, Cook Islands</w:t>
      </w:r>
    </w:p>
    <w:p w14:paraId="7DA8AE2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+68225494</w:t>
      </w:r>
    </w:p>
    <w:p w14:paraId="4B2CF49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16AF2A95" w14:textId="77777777" w:rsidR="006B2F2D" w:rsidRPr="006B2F2D" w:rsidRDefault="006B2F2D" w:rsidP="0054190C">
      <w:pPr>
        <w:adjustRightInd w:val="0"/>
        <w:snapToGrid w:val="0"/>
        <w:spacing w:after="0"/>
        <w:jc w:val="left"/>
        <w:rPr>
          <w:rFonts w:ascii="Times New Roman" w:hAnsi="Times New Roman"/>
          <w:b/>
          <w:noProof/>
          <w:color w:val="000000"/>
        </w:rPr>
      </w:pPr>
    </w:p>
    <w:p w14:paraId="590149A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Jessica Cramp</w:t>
      </w:r>
    </w:p>
    <w:p w14:paraId="217470D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Shark Researcher</w:t>
      </w:r>
    </w:p>
    <w:p w14:paraId="0B1A307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James Cook University</w:t>
      </w:r>
    </w:p>
    <w:p w14:paraId="06C213D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5E7F9A9C" w14:textId="77777777" w:rsidR="006B2F2D" w:rsidRPr="006B2F2D" w:rsidRDefault="006B2F2D" w:rsidP="0054190C">
      <w:pPr>
        <w:adjustRightInd w:val="0"/>
        <w:snapToGrid w:val="0"/>
        <w:spacing w:after="0"/>
        <w:jc w:val="left"/>
        <w:rPr>
          <w:rFonts w:ascii="Times New Roman" w:hAnsi="Times New Roman"/>
          <w:color w:val="000000"/>
        </w:rPr>
      </w:pPr>
    </w:p>
    <w:p w14:paraId="605B306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Helen Greig</w:t>
      </w:r>
    </w:p>
    <w:p w14:paraId="255CE88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Communications Officer</w:t>
      </w:r>
    </w:p>
    <w:p w14:paraId="7851B90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7234BCB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6C3819D5" w14:textId="77777777" w:rsidR="006B2F2D" w:rsidRPr="006B2F2D" w:rsidRDefault="006B2F2D" w:rsidP="0054190C">
      <w:pPr>
        <w:adjustRightInd w:val="0"/>
        <w:snapToGrid w:val="0"/>
        <w:spacing w:after="0"/>
        <w:jc w:val="left"/>
        <w:rPr>
          <w:rFonts w:ascii="Times New Roman" w:hAnsi="Times New Roman"/>
          <w:color w:val="000000"/>
        </w:rPr>
      </w:pPr>
    </w:p>
    <w:p w14:paraId="3F43F57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Jim Armistead</w:t>
      </w:r>
    </w:p>
    <w:p w14:paraId="2D2DB90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Pacific</w:t>
      </w:r>
    </w:p>
    <w:p w14:paraId="4E1FAAE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Foreign Affairs</w:t>
      </w:r>
    </w:p>
    <w:p w14:paraId="2FECB2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268488F0" w14:textId="77777777" w:rsidR="006B2F2D" w:rsidRPr="006B2F2D" w:rsidRDefault="006B2F2D" w:rsidP="0054190C">
      <w:pPr>
        <w:adjustRightInd w:val="0"/>
        <w:snapToGrid w:val="0"/>
        <w:spacing w:after="0"/>
        <w:jc w:val="left"/>
        <w:rPr>
          <w:rFonts w:ascii="Times New Roman" w:hAnsi="Times New Roman"/>
          <w:color w:val="000000"/>
        </w:rPr>
      </w:pPr>
    </w:p>
    <w:p w14:paraId="4586142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Josh Mitchell</w:t>
      </w:r>
    </w:p>
    <w:p w14:paraId="43C052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UN and Treaties</w:t>
      </w:r>
    </w:p>
    <w:p w14:paraId="4436FC2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Foreign Affairs</w:t>
      </w:r>
    </w:p>
    <w:p w14:paraId="0C74ACF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m.wichman@mmr.gov.ck</w:t>
      </w:r>
    </w:p>
    <w:p w14:paraId="731CC4DD" w14:textId="77777777" w:rsidR="006B2F2D" w:rsidRPr="006B2F2D" w:rsidRDefault="006B2F2D" w:rsidP="0054190C">
      <w:pPr>
        <w:adjustRightInd w:val="0"/>
        <w:snapToGrid w:val="0"/>
        <w:spacing w:after="0"/>
        <w:jc w:val="left"/>
        <w:rPr>
          <w:rFonts w:ascii="Times New Roman" w:hAnsi="Times New Roman"/>
          <w:color w:val="000000"/>
        </w:rPr>
      </w:pPr>
    </w:p>
    <w:p w14:paraId="31B94E8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Latishia Maui</w:t>
      </w:r>
    </w:p>
    <w:p w14:paraId="2D05FDF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59EBADD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L.Maui@mmr.gov.ck</w:t>
      </w:r>
    </w:p>
    <w:p w14:paraId="4177E54C" w14:textId="77777777" w:rsidR="006B2F2D" w:rsidRPr="006B2F2D" w:rsidRDefault="006B2F2D" w:rsidP="0054190C">
      <w:pPr>
        <w:adjustRightInd w:val="0"/>
        <w:snapToGrid w:val="0"/>
        <w:spacing w:after="0"/>
        <w:jc w:val="left"/>
        <w:rPr>
          <w:rFonts w:ascii="Times New Roman" w:hAnsi="Times New Roman"/>
          <w:color w:val="000000"/>
        </w:rPr>
      </w:pPr>
    </w:p>
    <w:p w14:paraId="2FA45B3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Uirangi Bishop</w:t>
      </w:r>
    </w:p>
    <w:p w14:paraId="4F4B44A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1596DE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U.Bishop@mmr.gov.ck</w:t>
      </w:r>
    </w:p>
    <w:p w14:paraId="57D9B7BC" w14:textId="77777777" w:rsidR="006B2F2D" w:rsidRPr="006B2F2D" w:rsidRDefault="006B2F2D" w:rsidP="0054190C">
      <w:pPr>
        <w:adjustRightInd w:val="0"/>
        <w:snapToGrid w:val="0"/>
        <w:spacing w:after="0"/>
        <w:jc w:val="left"/>
        <w:rPr>
          <w:rFonts w:ascii="Times New Roman" w:hAnsi="Times New Roman"/>
          <w:color w:val="000000"/>
        </w:rPr>
      </w:pPr>
    </w:p>
    <w:p w14:paraId="566A89C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David James</w:t>
      </w:r>
    </w:p>
    <w:p w14:paraId="50337E8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Solicitor-General</w:t>
      </w:r>
    </w:p>
    <w:p w14:paraId="628959C7" w14:textId="77777777" w:rsidR="006B2F2D" w:rsidRPr="006B2F2D" w:rsidRDefault="006B2F2D" w:rsidP="0054190C">
      <w:pPr>
        <w:adjustRightInd w:val="0"/>
        <w:snapToGrid w:val="0"/>
        <w:spacing w:after="0"/>
        <w:jc w:val="left"/>
        <w:rPr>
          <w:rFonts w:ascii="Times New Roman" w:hAnsi="Times New Roman"/>
          <w:color w:val="000000"/>
        </w:rPr>
      </w:pPr>
    </w:p>
    <w:p w14:paraId="4A46209A"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Vaitoti Tupa</w:t>
      </w:r>
    </w:p>
    <w:p w14:paraId="7F5D90B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438544A6" w14:textId="6B66F583" w:rsidR="006B2F2D" w:rsidRPr="006B2F2D" w:rsidRDefault="006B2F2D" w:rsidP="0054190C">
      <w:pPr>
        <w:adjustRightInd w:val="0"/>
        <w:snapToGrid w:val="0"/>
        <w:spacing w:after="0"/>
        <w:jc w:val="left"/>
        <w:rPr>
          <w:rFonts w:ascii="Times New Roman" w:hAnsi="Times New Roman"/>
          <w:lang w:eastAsia="ko-KR"/>
        </w:rPr>
      </w:pPr>
      <w:r w:rsidRPr="00E0375A">
        <w:rPr>
          <w:rFonts w:ascii="Times New Roman" w:hAnsi="Times New Roman"/>
        </w:rPr>
        <w:t>vaitoti@oyster.net.ck</w:t>
      </w:r>
    </w:p>
    <w:p w14:paraId="6AA76680" w14:textId="77777777" w:rsidR="006B2F2D" w:rsidRPr="006B2F2D" w:rsidRDefault="006B2F2D" w:rsidP="0054190C">
      <w:pPr>
        <w:adjustRightInd w:val="0"/>
        <w:snapToGrid w:val="0"/>
        <w:spacing w:after="0"/>
        <w:jc w:val="left"/>
        <w:rPr>
          <w:rFonts w:ascii="Times New Roman" w:hAnsi="Times New Roman"/>
          <w:color w:val="000000"/>
        </w:rPr>
      </w:pPr>
    </w:p>
    <w:p w14:paraId="3314204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George Matutu</w:t>
      </w:r>
    </w:p>
    <w:p w14:paraId="2628281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w:t>
      </w:r>
    </w:p>
    <w:p w14:paraId="6D9655A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Corporate Services Division</w:t>
      </w:r>
    </w:p>
    <w:p w14:paraId="3B604E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 Government of the Cook Islands</w:t>
      </w:r>
    </w:p>
    <w:p w14:paraId="78A770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+682  28 721</w:t>
      </w:r>
    </w:p>
    <w:p w14:paraId="4AA229F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G.Matutu@mmr.gov.ck</w:t>
      </w:r>
    </w:p>
    <w:p w14:paraId="4A31252D" w14:textId="77777777" w:rsidR="006B2F2D" w:rsidRPr="006B2F2D" w:rsidRDefault="006B2F2D" w:rsidP="0054190C">
      <w:pPr>
        <w:adjustRightInd w:val="0"/>
        <w:snapToGrid w:val="0"/>
        <w:spacing w:after="0"/>
        <w:jc w:val="left"/>
        <w:rPr>
          <w:rFonts w:ascii="Times New Roman" w:hAnsi="Times New Roman"/>
          <w:color w:val="000000"/>
        </w:rPr>
      </w:pPr>
    </w:p>
    <w:p w14:paraId="5A6C028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Koroa Raumea</w:t>
      </w:r>
    </w:p>
    <w:p w14:paraId="7CA9739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 Inshore &amp; Fisheries</w:t>
      </w:r>
    </w:p>
    <w:p w14:paraId="0BC5634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Resources</w:t>
      </w:r>
    </w:p>
    <w:p w14:paraId="2E7F077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Avarua, Rarotonga, Cook Islands</w:t>
      </w:r>
    </w:p>
    <w:p w14:paraId="5A4F3F0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682-28730</w:t>
      </w:r>
    </w:p>
    <w:p w14:paraId="2D3273C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k.raumea@mmr.gov.ck</w:t>
      </w:r>
    </w:p>
    <w:p w14:paraId="03902031" w14:textId="77777777" w:rsidR="006B2F2D" w:rsidRPr="006B2F2D" w:rsidRDefault="006B2F2D" w:rsidP="0054190C">
      <w:pPr>
        <w:adjustRightInd w:val="0"/>
        <w:snapToGrid w:val="0"/>
        <w:spacing w:after="0"/>
        <w:jc w:val="left"/>
        <w:rPr>
          <w:rFonts w:ascii="Times New Roman" w:hAnsi="Times New Roman"/>
        </w:rPr>
      </w:pPr>
    </w:p>
    <w:p w14:paraId="4B2FA03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John Tini</w:t>
      </w:r>
    </w:p>
    <w:p w14:paraId="7D2127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Chartered Accountant</w:t>
      </w:r>
    </w:p>
    <w:p w14:paraId="7BF93AC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John Tini &amp; Associates</w:t>
      </w:r>
    </w:p>
    <w:p w14:paraId="2351AE0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Titikaveka</w:t>
      </w:r>
    </w:p>
    <w:p w14:paraId="0F8F120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+682-20875</w:t>
      </w:r>
    </w:p>
    <w:p w14:paraId="7EB2455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whiz@johntini.co.ck</w:t>
      </w:r>
    </w:p>
    <w:p w14:paraId="181B156A" w14:textId="77777777" w:rsidR="006B2F2D" w:rsidRPr="006B2F2D" w:rsidRDefault="006B2F2D" w:rsidP="0054190C">
      <w:pPr>
        <w:adjustRightInd w:val="0"/>
        <w:snapToGrid w:val="0"/>
        <w:spacing w:after="0"/>
        <w:jc w:val="left"/>
        <w:rPr>
          <w:rFonts w:ascii="Times New Roman" w:hAnsi="Times New Roman"/>
          <w:b/>
          <w:noProof/>
          <w:color w:val="000000"/>
        </w:rPr>
      </w:pPr>
    </w:p>
    <w:p w14:paraId="6211524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Alex Napa</w:t>
      </w:r>
    </w:p>
    <w:p w14:paraId="4D8D842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491354E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Alexander Napa Consultancy</w:t>
      </w:r>
    </w:p>
    <w:p w14:paraId="05AE385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Tupapa, Rarotonga</w:t>
      </w:r>
    </w:p>
    <w:p w14:paraId="07B3D0C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77515</w:t>
      </w:r>
    </w:p>
    <w:p w14:paraId="185C0E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alexn@alexandernapa.com</w:t>
      </w:r>
    </w:p>
    <w:p w14:paraId="1E9B5F14" w14:textId="77777777" w:rsidR="006B2F2D" w:rsidRPr="006B2F2D" w:rsidRDefault="006B2F2D" w:rsidP="0054190C">
      <w:pPr>
        <w:adjustRightInd w:val="0"/>
        <w:snapToGrid w:val="0"/>
        <w:spacing w:after="0"/>
        <w:jc w:val="left"/>
        <w:rPr>
          <w:rFonts w:ascii="Times New Roman" w:hAnsi="Times New Roman"/>
          <w:color w:val="000000"/>
        </w:rPr>
      </w:pPr>
    </w:p>
    <w:p w14:paraId="499B5416"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EUROPEAN UNION</w:t>
      </w:r>
    </w:p>
    <w:p w14:paraId="66F5B751" w14:textId="77777777" w:rsidR="006B2F2D" w:rsidRPr="006B2F2D" w:rsidRDefault="006B2F2D" w:rsidP="0054190C">
      <w:pPr>
        <w:adjustRightInd w:val="0"/>
        <w:snapToGrid w:val="0"/>
        <w:spacing w:after="0"/>
        <w:jc w:val="left"/>
        <w:rPr>
          <w:rFonts w:ascii="Times New Roman" w:hAnsi="Times New Roman"/>
          <w:b/>
          <w:noProof/>
          <w:color w:val="000000"/>
        </w:rPr>
      </w:pPr>
    </w:p>
    <w:p w14:paraId="7B868AC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Stamatios Varsamos</w:t>
      </w:r>
    </w:p>
    <w:p w14:paraId="73869A6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Scientific officer</w:t>
      </w:r>
    </w:p>
    <w:p w14:paraId="0DDF595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European Commission</w:t>
      </w:r>
    </w:p>
    <w:p w14:paraId="4C72F6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stamatios.varsamos@ec.europa.eu</w:t>
      </w:r>
    </w:p>
    <w:p w14:paraId="7178F01D" w14:textId="77777777" w:rsidR="006B2F2D" w:rsidRPr="006B2F2D" w:rsidRDefault="006B2F2D" w:rsidP="0054190C">
      <w:pPr>
        <w:adjustRightInd w:val="0"/>
        <w:snapToGrid w:val="0"/>
        <w:spacing w:after="0"/>
        <w:jc w:val="left"/>
        <w:rPr>
          <w:rFonts w:ascii="Times New Roman" w:hAnsi="Times New Roman"/>
          <w:color w:val="000000"/>
        </w:rPr>
      </w:pPr>
    </w:p>
    <w:p w14:paraId="6D999B3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Francisco J. Abascal</w:t>
      </w:r>
    </w:p>
    <w:p w14:paraId="38E54C5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Scientist</w:t>
      </w:r>
    </w:p>
    <w:p w14:paraId="4FADEBD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Spanish Institute of Oceanography</w:t>
      </w:r>
    </w:p>
    <w:p w14:paraId="5E3D48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Dársena Pesquera PCL 8. Santa Cruz de Tenerife. Spain</w:t>
      </w:r>
    </w:p>
    <w:p w14:paraId="7020EAC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+34 922549400</w:t>
      </w:r>
    </w:p>
    <w:p w14:paraId="39DB996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francisco.abascal@ca.ieo.es</w:t>
      </w:r>
    </w:p>
    <w:p w14:paraId="3897E3D9" w14:textId="77777777" w:rsidR="006B2F2D" w:rsidRPr="006B2F2D" w:rsidRDefault="006B2F2D" w:rsidP="0054190C">
      <w:pPr>
        <w:adjustRightInd w:val="0"/>
        <w:snapToGrid w:val="0"/>
        <w:spacing w:after="0"/>
        <w:jc w:val="left"/>
        <w:rPr>
          <w:rFonts w:ascii="Times New Roman" w:hAnsi="Times New Roman"/>
          <w:color w:val="000000"/>
        </w:rPr>
      </w:pPr>
    </w:p>
    <w:p w14:paraId="360CCBD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Josu Santiago</w:t>
      </w:r>
    </w:p>
    <w:p w14:paraId="23F56A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of Tuna Research Area</w:t>
      </w:r>
    </w:p>
    <w:p w14:paraId="18F41D3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AZTI</w:t>
      </w:r>
    </w:p>
    <w:p w14:paraId="6812BD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Txatxarramendi ugartea, 48395 Sukarrieta, Spain</w:t>
      </w:r>
    </w:p>
    <w:p w14:paraId="31F8BEC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+34 664303631</w:t>
      </w:r>
    </w:p>
    <w:p w14:paraId="2EBBD8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jsantiago@azti.es</w:t>
      </w:r>
    </w:p>
    <w:p w14:paraId="776D51CE" w14:textId="77777777" w:rsidR="006B2F2D" w:rsidRPr="006B2F2D" w:rsidRDefault="006B2F2D" w:rsidP="0054190C">
      <w:pPr>
        <w:adjustRightInd w:val="0"/>
        <w:snapToGrid w:val="0"/>
        <w:spacing w:after="0"/>
        <w:jc w:val="left"/>
        <w:rPr>
          <w:rFonts w:ascii="Times New Roman" w:hAnsi="Times New Roman"/>
          <w:color w:val="000000"/>
        </w:rPr>
      </w:pPr>
    </w:p>
    <w:p w14:paraId="37E84B9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Miguel Herrera</w:t>
      </w:r>
    </w:p>
    <w:p w14:paraId="65A8AE2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Manager</w:t>
      </w:r>
    </w:p>
    <w:p w14:paraId="132E074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 Ayala 54 2A</w:t>
      </w:r>
    </w:p>
    <w:p w14:paraId="67D9107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OPAGAC (Producers' Organization of Large Tuna Freezers, Spain)</w:t>
      </w:r>
    </w:p>
    <w:p w14:paraId="0D59AC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914314857</w:t>
      </w:r>
    </w:p>
    <w:p w14:paraId="4448F83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Miguel.herrera@opagac.org</w:t>
      </w:r>
    </w:p>
    <w:p w14:paraId="3E665734" w14:textId="77777777" w:rsidR="006B2F2D" w:rsidRPr="006B2F2D" w:rsidRDefault="006B2F2D" w:rsidP="0054190C">
      <w:pPr>
        <w:adjustRightInd w:val="0"/>
        <w:snapToGrid w:val="0"/>
        <w:spacing w:after="0"/>
        <w:jc w:val="left"/>
        <w:rPr>
          <w:rFonts w:ascii="Times New Roman" w:hAnsi="Times New Roman"/>
          <w:b/>
          <w:noProof/>
          <w:color w:val="000000"/>
        </w:rPr>
      </w:pPr>
    </w:p>
    <w:p w14:paraId="38C8EF10" w14:textId="77777777" w:rsidR="002D58FD" w:rsidRPr="006B2F2D" w:rsidRDefault="002D58F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Helena Delgado Nordmann</w:t>
      </w:r>
    </w:p>
    <w:p w14:paraId="0F88005F"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Scientific Advisor</w:t>
      </w:r>
    </w:p>
    <w:p w14:paraId="6F8301E5"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Satlink S.L.</w:t>
      </w:r>
    </w:p>
    <w:p w14:paraId="0FEC8FAD"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Avenida de la Industria, 53. Alcobendas - Madrid- Spain</w:t>
      </w:r>
    </w:p>
    <w:p w14:paraId="01509F77"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34913272131</w:t>
      </w:r>
    </w:p>
    <w:p w14:paraId="0D0253E0"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hdn@satlink.es</w:t>
      </w:r>
    </w:p>
    <w:p w14:paraId="2D588255" w14:textId="77777777" w:rsidR="002D58FD" w:rsidRPr="006B2F2D" w:rsidRDefault="002D58FD" w:rsidP="0054190C">
      <w:pPr>
        <w:adjustRightInd w:val="0"/>
        <w:snapToGrid w:val="0"/>
        <w:spacing w:after="0"/>
        <w:jc w:val="left"/>
        <w:rPr>
          <w:rFonts w:ascii="Times New Roman" w:hAnsi="Times New Roman"/>
          <w:color w:val="000000"/>
        </w:rPr>
      </w:pPr>
    </w:p>
    <w:p w14:paraId="378CC092" w14:textId="77777777" w:rsidR="002D58FD" w:rsidRPr="006B2F2D" w:rsidRDefault="002D58F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Javier de la Cal</w:t>
      </w:r>
    </w:p>
    <w:p w14:paraId="2DC48063"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Regional Sales Manager</w:t>
      </w:r>
    </w:p>
    <w:p w14:paraId="667E21F1"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Satlink S.L.</w:t>
      </w:r>
    </w:p>
    <w:p w14:paraId="0FE8FB70"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Avenida de la Industria, 53. Alcobendas - Madrid- Spain</w:t>
      </w:r>
    </w:p>
    <w:p w14:paraId="7802A5D7"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34913272131</w:t>
      </w:r>
    </w:p>
    <w:p w14:paraId="18A1251D" w14:textId="77777777" w:rsidR="002D58FD" w:rsidRPr="006B2F2D" w:rsidRDefault="002D58F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jdc@satlink.es</w:t>
      </w:r>
    </w:p>
    <w:p w14:paraId="791994AF" w14:textId="77777777" w:rsidR="002D58FD" w:rsidRPr="006B2F2D" w:rsidRDefault="002D58FD" w:rsidP="0054190C">
      <w:pPr>
        <w:adjustRightInd w:val="0"/>
        <w:snapToGrid w:val="0"/>
        <w:spacing w:after="0"/>
        <w:jc w:val="left"/>
        <w:rPr>
          <w:rFonts w:ascii="Times New Roman" w:hAnsi="Times New Roman"/>
          <w:color w:val="000000"/>
        </w:rPr>
      </w:pPr>
    </w:p>
    <w:p w14:paraId="772C32D7"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FEDERATED STATES OF MICRONESIA</w:t>
      </w:r>
    </w:p>
    <w:p w14:paraId="75A750D9" w14:textId="77777777" w:rsidR="006B2F2D" w:rsidRPr="006B2F2D" w:rsidRDefault="006B2F2D" w:rsidP="0054190C">
      <w:pPr>
        <w:adjustRightInd w:val="0"/>
        <w:snapToGrid w:val="0"/>
        <w:spacing w:after="0"/>
        <w:jc w:val="left"/>
        <w:rPr>
          <w:rFonts w:ascii="Times New Roman" w:hAnsi="Times New Roman"/>
          <w:b/>
          <w:noProof/>
          <w:color w:val="000000"/>
        </w:rPr>
      </w:pPr>
    </w:p>
    <w:p w14:paraId="2ED5808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Naiten Bradley Phillip Jr.</w:t>
      </w:r>
    </w:p>
    <w:p w14:paraId="4FAFAF7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Chief, Research Division</w:t>
      </w:r>
    </w:p>
    <w:p w14:paraId="21EABFC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Oceanic Resource Management Authority</w:t>
      </w:r>
    </w:p>
    <w:p w14:paraId="45CBBF1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bradley.phillip@norma.fm</w:t>
      </w:r>
    </w:p>
    <w:p w14:paraId="346F6725" w14:textId="77777777" w:rsidR="006B2F2D" w:rsidRPr="006B2F2D" w:rsidRDefault="006B2F2D" w:rsidP="0054190C">
      <w:pPr>
        <w:adjustRightInd w:val="0"/>
        <w:snapToGrid w:val="0"/>
        <w:spacing w:after="0"/>
        <w:jc w:val="left"/>
        <w:rPr>
          <w:rFonts w:ascii="Times New Roman" w:hAnsi="Times New Roman"/>
          <w:color w:val="000000"/>
        </w:rPr>
      </w:pPr>
    </w:p>
    <w:p w14:paraId="30D4C55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Derek Pelep</w:t>
      </w:r>
    </w:p>
    <w:p w14:paraId="6DA37EB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EMER Coordinator</w:t>
      </w:r>
    </w:p>
    <w:p w14:paraId="3440D95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NORMA</w:t>
      </w:r>
    </w:p>
    <w:p w14:paraId="36DFCF7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PS 122 Palikir, Pohnpei FM 96941</w:t>
      </w:r>
    </w:p>
    <w:p w14:paraId="43275D7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691-320-2768</w:t>
      </w:r>
    </w:p>
    <w:p w14:paraId="5839E93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derek.pelep@norma.fm</w:t>
      </w:r>
    </w:p>
    <w:p w14:paraId="40B498EE" w14:textId="77777777" w:rsidR="006B2F2D" w:rsidRPr="006B2F2D" w:rsidRDefault="006B2F2D" w:rsidP="0054190C">
      <w:pPr>
        <w:adjustRightInd w:val="0"/>
        <w:snapToGrid w:val="0"/>
        <w:spacing w:after="0"/>
        <w:jc w:val="left"/>
        <w:rPr>
          <w:rFonts w:ascii="Times New Roman" w:hAnsi="Times New Roman"/>
        </w:rPr>
      </w:pPr>
    </w:p>
    <w:p w14:paraId="6B5BB3E8"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FIJI</w:t>
      </w:r>
    </w:p>
    <w:p w14:paraId="3811B621" w14:textId="77777777" w:rsidR="006B2F2D" w:rsidRPr="006B2F2D" w:rsidRDefault="006B2F2D" w:rsidP="0054190C">
      <w:pPr>
        <w:adjustRightInd w:val="0"/>
        <w:snapToGrid w:val="0"/>
        <w:spacing w:after="0"/>
        <w:jc w:val="left"/>
        <w:rPr>
          <w:rFonts w:ascii="Times New Roman" w:hAnsi="Times New Roman"/>
          <w:b/>
          <w:noProof/>
          <w:color w:val="000000"/>
        </w:rPr>
      </w:pPr>
    </w:p>
    <w:p w14:paraId="1A84EA9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Aisake Batibasaga</w:t>
      </w:r>
    </w:p>
    <w:p w14:paraId="7827FA6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Fisheries</w:t>
      </w:r>
    </w:p>
    <w:p w14:paraId="30BDCB3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w:t>
      </w:r>
    </w:p>
    <w:p w14:paraId="7C2A8ED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2218 Suva, Fiji</w:t>
      </w:r>
    </w:p>
    <w:p w14:paraId="07B6CA5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abatibasaga@gmail.com</w:t>
      </w:r>
    </w:p>
    <w:p w14:paraId="0A7D253B" w14:textId="77777777" w:rsidR="006B2F2D" w:rsidRPr="006B2F2D" w:rsidRDefault="006B2F2D" w:rsidP="0054190C">
      <w:pPr>
        <w:adjustRightInd w:val="0"/>
        <w:snapToGrid w:val="0"/>
        <w:spacing w:after="0"/>
        <w:jc w:val="left"/>
        <w:rPr>
          <w:rFonts w:ascii="Times New Roman" w:hAnsi="Times New Roman"/>
          <w:color w:val="000000"/>
        </w:rPr>
      </w:pPr>
    </w:p>
    <w:p w14:paraId="7E09EFB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Leba Dranivesi</w:t>
      </w:r>
    </w:p>
    <w:p w14:paraId="5E3D60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Officer</w:t>
      </w:r>
    </w:p>
    <w:p w14:paraId="73A7EFB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w:t>
      </w:r>
    </w:p>
    <w:p w14:paraId="0CA3FDF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2218 Suva, Fiji</w:t>
      </w:r>
    </w:p>
    <w:p w14:paraId="0A52FF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dranivesi.leba@gmail.com</w:t>
      </w:r>
    </w:p>
    <w:p w14:paraId="2D26FE2B" w14:textId="77777777" w:rsidR="006B2F2D" w:rsidRPr="006B2F2D" w:rsidRDefault="006B2F2D" w:rsidP="0054190C">
      <w:pPr>
        <w:adjustRightInd w:val="0"/>
        <w:snapToGrid w:val="0"/>
        <w:spacing w:after="0"/>
        <w:jc w:val="left"/>
        <w:rPr>
          <w:rFonts w:ascii="Times New Roman" w:hAnsi="Times New Roman"/>
          <w:color w:val="000000"/>
        </w:rPr>
      </w:pPr>
    </w:p>
    <w:p w14:paraId="4BF17031"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INDONESIA</w:t>
      </w:r>
    </w:p>
    <w:p w14:paraId="0869E6F7" w14:textId="77777777" w:rsidR="006B2F2D" w:rsidRPr="006B2F2D" w:rsidRDefault="006B2F2D" w:rsidP="0054190C">
      <w:pPr>
        <w:adjustRightInd w:val="0"/>
        <w:snapToGrid w:val="0"/>
        <w:spacing w:after="0"/>
        <w:jc w:val="left"/>
        <w:rPr>
          <w:rFonts w:ascii="Times New Roman" w:hAnsi="Times New Roman"/>
          <w:b/>
          <w:noProof/>
          <w:color w:val="000000"/>
        </w:rPr>
      </w:pPr>
    </w:p>
    <w:p w14:paraId="61CE391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Fayakun Satria</w:t>
      </w:r>
    </w:p>
    <w:p w14:paraId="3F7028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of Research Institute for Marine Fisheries</w:t>
      </w:r>
    </w:p>
    <w:p w14:paraId="4CDD023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Affairs and Fisheries</w:t>
      </w:r>
    </w:p>
    <w:p w14:paraId="55AA3C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fsatria70@gmail.com</w:t>
      </w:r>
    </w:p>
    <w:p w14:paraId="7EEAD830" w14:textId="77777777" w:rsidR="006B2F2D" w:rsidRPr="006B2F2D" w:rsidRDefault="006B2F2D" w:rsidP="0054190C">
      <w:pPr>
        <w:adjustRightInd w:val="0"/>
        <w:snapToGrid w:val="0"/>
        <w:spacing w:after="0"/>
        <w:jc w:val="left"/>
        <w:rPr>
          <w:rFonts w:ascii="Times New Roman" w:hAnsi="Times New Roman"/>
          <w:color w:val="000000"/>
        </w:rPr>
      </w:pPr>
    </w:p>
    <w:p w14:paraId="12749C3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Lilis Sadiyah</w:t>
      </w:r>
    </w:p>
    <w:p w14:paraId="1E9A41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Center for Fisheries Research</w:t>
      </w:r>
    </w:p>
    <w:p w14:paraId="1ECBC83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Marine Affairs and Fisheries</w:t>
      </w:r>
    </w:p>
    <w:p w14:paraId="0ACC978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sadiyah.lilis2@gmail.com</w:t>
      </w:r>
    </w:p>
    <w:p w14:paraId="65DD3289" w14:textId="77777777" w:rsidR="006B2F2D" w:rsidRPr="006B2F2D" w:rsidRDefault="006B2F2D" w:rsidP="0054190C">
      <w:pPr>
        <w:adjustRightInd w:val="0"/>
        <w:snapToGrid w:val="0"/>
        <w:spacing w:after="0"/>
        <w:jc w:val="left"/>
        <w:rPr>
          <w:rFonts w:ascii="Times New Roman" w:hAnsi="Times New Roman"/>
          <w:color w:val="000000"/>
        </w:rPr>
      </w:pPr>
    </w:p>
    <w:p w14:paraId="71E8A99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JAPAN</w:t>
      </w:r>
    </w:p>
    <w:p w14:paraId="05BE7D9E" w14:textId="77777777" w:rsidR="006B2F2D" w:rsidRPr="006B2F2D" w:rsidRDefault="006B2F2D" w:rsidP="0054190C">
      <w:pPr>
        <w:adjustRightInd w:val="0"/>
        <w:snapToGrid w:val="0"/>
        <w:spacing w:after="0"/>
        <w:jc w:val="left"/>
        <w:rPr>
          <w:rFonts w:ascii="Times New Roman" w:hAnsi="Times New Roman"/>
          <w:b/>
          <w:noProof/>
          <w:color w:val="000000"/>
        </w:rPr>
      </w:pPr>
    </w:p>
    <w:p w14:paraId="77E5CA9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Shuya Nakatsuka</w:t>
      </w:r>
    </w:p>
    <w:p w14:paraId="459B26C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Pacific Bluefin Resources Group</w:t>
      </w:r>
    </w:p>
    <w:p w14:paraId="6C2A90A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37FC4F0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snakatsuka@affrc.go.jp</w:t>
      </w:r>
    </w:p>
    <w:p w14:paraId="656FA843" w14:textId="77777777" w:rsidR="006B2F2D" w:rsidRPr="006B2F2D" w:rsidRDefault="006B2F2D" w:rsidP="0054190C">
      <w:pPr>
        <w:adjustRightInd w:val="0"/>
        <w:snapToGrid w:val="0"/>
        <w:spacing w:after="0"/>
        <w:jc w:val="left"/>
        <w:rPr>
          <w:rFonts w:ascii="Times New Roman" w:hAnsi="Times New Roman"/>
          <w:color w:val="000000"/>
        </w:rPr>
      </w:pPr>
    </w:p>
    <w:p w14:paraId="0796F67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Kazuhiro Oshima</w:t>
      </w:r>
    </w:p>
    <w:p w14:paraId="457940A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Ecologically Related Species Group</w:t>
      </w:r>
    </w:p>
    <w:p w14:paraId="57B29E0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7A64B44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Japan</w:t>
      </w:r>
    </w:p>
    <w:p w14:paraId="0464E3C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+81-54-336-6047</w:t>
      </w:r>
    </w:p>
    <w:p w14:paraId="2D8431C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oshimaka@affrc.go.jp</w:t>
      </w:r>
    </w:p>
    <w:p w14:paraId="43764DE6" w14:textId="77777777" w:rsidR="006B2F2D" w:rsidRPr="006B2F2D" w:rsidRDefault="006B2F2D" w:rsidP="0054190C">
      <w:pPr>
        <w:adjustRightInd w:val="0"/>
        <w:snapToGrid w:val="0"/>
        <w:spacing w:after="0"/>
        <w:jc w:val="left"/>
        <w:rPr>
          <w:rFonts w:ascii="Times New Roman" w:hAnsi="Times New Roman"/>
          <w:color w:val="000000"/>
        </w:rPr>
      </w:pPr>
    </w:p>
    <w:p w14:paraId="2C9749A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Daisuke Ochi</w:t>
      </w:r>
    </w:p>
    <w:p w14:paraId="42F117A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362564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5384758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424-8633</w:t>
      </w:r>
    </w:p>
    <w:p w14:paraId="1B9E447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+81-59-336-6047</w:t>
      </w:r>
    </w:p>
    <w:p w14:paraId="21B5637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otthii@affrc.go.jp</w:t>
      </w:r>
    </w:p>
    <w:p w14:paraId="46B4DA90" w14:textId="77777777" w:rsidR="006B2F2D" w:rsidRPr="006B2F2D" w:rsidRDefault="006B2F2D" w:rsidP="0054190C">
      <w:pPr>
        <w:adjustRightInd w:val="0"/>
        <w:snapToGrid w:val="0"/>
        <w:spacing w:after="0"/>
        <w:jc w:val="left"/>
        <w:rPr>
          <w:rFonts w:ascii="Times New Roman" w:hAnsi="Times New Roman"/>
          <w:color w:val="000000"/>
        </w:rPr>
      </w:pPr>
    </w:p>
    <w:p w14:paraId="2331B17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Hidetada Kiyofuji</w:t>
      </w:r>
    </w:p>
    <w:p w14:paraId="4471CBF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Skipjack and Albacore Group</w:t>
      </w:r>
    </w:p>
    <w:p w14:paraId="5CAAA33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1945333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JAPAN</w:t>
      </w:r>
    </w:p>
    <w:p w14:paraId="0ECA15C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+81-54-336-6043</w:t>
      </w:r>
    </w:p>
    <w:p w14:paraId="79B23C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hkiyofuj@affrc.go.jp</w:t>
      </w:r>
    </w:p>
    <w:p w14:paraId="45C7BFBC" w14:textId="77777777" w:rsidR="006B2F2D" w:rsidRPr="006B2F2D" w:rsidRDefault="006B2F2D" w:rsidP="0054190C">
      <w:pPr>
        <w:adjustRightInd w:val="0"/>
        <w:snapToGrid w:val="0"/>
        <w:spacing w:after="0"/>
        <w:jc w:val="left"/>
        <w:rPr>
          <w:rFonts w:ascii="Times New Roman" w:hAnsi="Times New Roman"/>
          <w:color w:val="000000"/>
        </w:rPr>
      </w:pPr>
    </w:p>
    <w:p w14:paraId="1B1362D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Hiroaki Okamoto</w:t>
      </w:r>
    </w:p>
    <w:p w14:paraId="51C3C0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Bluefin Tuna Resources Department</w:t>
      </w:r>
    </w:p>
    <w:p w14:paraId="5DB3318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3E8050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Sizuoka 4248633, Japan</w:t>
      </w:r>
    </w:p>
    <w:p w14:paraId="5B938E4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+81-54-336-6000</w:t>
      </w:r>
    </w:p>
    <w:p w14:paraId="46C60A4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okamoto@affrc.go.jp</w:t>
      </w:r>
    </w:p>
    <w:p w14:paraId="3684AFB1" w14:textId="77777777" w:rsidR="006B2F2D" w:rsidRPr="006B2F2D" w:rsidRDefault="006B2F2D" w:rsidP="0054190C">
      <w:pPr>
        <w:adjustRightInd w:val="0"/>
        <w:snapToGrid w:val="0"/>
        <w:spacing w:after="0"/>
        <w:jc w:val="left"/>
        <w:rPr>
          <w:rFonts w:ascii="Times New Roman" w:hAnsi="Times New Roman"/>
          <w:color w:val="000000"/>
        </w:rPr>
      </w:pPr>
    </w:p>
    <w:p w14:paraId="1B54DCB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Hiroshi Nishida</w:t>
      </w:r>
    </w:p>
    <w:p w14:paraId="21A5046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Tuna and Skipjack Resources Department</w:t>
      </w:r>
    </w:p>
    <w:p w14:paraId="52A75AD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 Fisheries Research and Education Agency</w:t>
      </w:r>
    </w:p>
    <w:p w14:paraId="79546EA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JAPAN</w:t>
      </w:r>
    </w:p>
    <w:p w14:paraId="3726BFC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+81-54-336-6042</w:t>
      </w:r>
    </w:p>
    <w:p w14:paraId="6497584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hnishi@fra.affrc.go.jp</w:t>
      </w:r>
    </w:p>
    <w:p w14:paraId="1D239895" w14:textId="77777777" w:rsidR="006B2F2D" w:rsidRPr="006B2F2D" w:rsidRDefault="006B2F2D" w:rsidP="0054190C">
      <w:pPr>
        <w:adjustRightInd w:val="0"/>
        <w:snapToGrid w:val="0"/>
        <w:spacing w:after="0"/>
        <w:jc w:val="left"/>
        <w:rPr>
          <w:rFonts w:ascii="Times New Roman" w:hAnsi="Times New Roman"/>
        </w:rPr>
      </w:pPr>
    </w:p>
    <w:p w14:paraId="79A1435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Hirotaka Ijima</w:t>
      </w:r>
    </w:p>
    <w:p w14:paraId="3AA1A88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66CA9B1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05AD3BC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ijima@affrc.go.jp</w:t>
      </w:r>
    </w:p>
    <w:p w14:paraId="61DAA9B0" w14:textId="77777777" w:rsidR="006B2F2D" w:rsidRPr="006B2F2D" w:rsidRDefault="006B2F2D" w:rsidP="0054190C">
      <w:pPr>
        <w:adjustRightInd w:val="0"/>
        <w:snapToGrid w:val="0"/>
        <w:spacing w:after="0"/>
        <w:jc w:val="left"/>
        <w:rPr>
          <w:rFonts w:ascii="Times New Roman" w:hAnsi="Times New Roman"/>
          <w:color w:val="000000"/>
        </w:rPr>
      </w:pPr>
    </w:p>
    <w:p w14:paraId="1CACBCD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Keisuke Satoh</w:t>
      </w:r>
    </w:p>
    <w:p w14:paraId="29D4B61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Tuna Fisheries Resources Group</w:t>
      </w:r>
    </w:p>
    <w:p w14:paraId="605B004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1E266EC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424-8638, Japan</w:t>
      </w:r>
    </w:p>
    <w:p w14:paraId="43755B2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+81-543-36-6044</w:t>
      </w:r>
    </w:p>
    <w:p w14:paraId="0835E4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kstu21@fra.affrc.go.jp</w:t>
      </w:r>
    </w:p>
    <w:p w14:paraId="1694379F" w14:textId="77777777" w:rsidR="006B2F2D" w:rsidRPr="006B2F2D" w:rsidRDefault="006B2F2D" w:rsidP="0054190C">
      <w:pPr>
        <w:adjustRightInd w:val="0"/>
        <w:snapToGrid w:val="0"/>
        <w:spacing w:after="0"/>
        <w:jc w:val="left"/>
        <w:rPr>
          <w:rFonts w:ascii="Times New Roman" w:hAnsi="Times New Roman"/>
          <w:color w:val="000000"/>
        </w:rPr>
      </w:pPr>
    </w:p>
    <w:p w14:paraId="4F267AE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Koji Uosaki</w:t>
      </w:r>
    </w:p>
    <w:p w14:paraId="12457C8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Skipjack and Tuna Resources Devision</w:t>
      </w:r>
    </w:p>
    <w:p w14:paraId="0EC64E7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68BDBAE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Shimizu-ku, Shizuoka, 4248633 Japan</w:t>
      </w:r>
    </w:p>
    <w:p w14:paraId="51B8BB5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+81-54-336-6052</w:t>
      </w:r>
    </w:p>
    <w:p w14:paraId="36F7B6A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uosaki@affrc.go.jp</w:t>
      </w:r>
    </w:p>
    <w:p w14:paraId="5826C111" w14:textId="77777777" w:rsidR="006B2F2D" w:rsidRPr="006B2F2D" w:rsidRDefault="006B2F2D" w:rsidP="0054190C">
      <w:pPr>
        <w:adjustRightInd w:val="0"/>
        <w:snapToGrid w:val="0"/>
        <w:spacing w:after="0"/>
        <w:jc w:val="left"/>
        <w:rPr>
          <w:rFonts w:ascii="Times New Roman" w:hAnsi="Times New Roman"/>
          <w:b/>
          <w:noProof/>
          <w:color w:val="000000"/>
        </w:rPr>
      </w:pPr>
    </w:p>
    <w:p w14:paraId="61C97CF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Mikihiko Kai</w:t>
      </w:r>
    </w:p>
    <w:p w14:paraId="09CB2C9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Tuna resource group</w:t>
      </w:r>
    </w:p>
    <w:p w14:paraId="527ADDD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4E9E8A4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Japan</w:t>
      </w:r>
    </w:p>
    <w:p w14:paraId="332ABC1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kaim@affrc.go.jp</w:t>
      </w:r>
    </w:p>
    <w:p w14:paraId="097E044A" w14:textId="77777777" w:rsidR="006B2F2D" w:rsidRPr="006B2F2D" w:rsidRDefault="006B2F2D" w:rsidP="0054190C">
      <w:pPr>
        <w:adjustRightInd w:val="0"/>
        <w:snapToGrid w:val="0"/>
        <w:spacing w:after="0"/>
        <w:jc w:val="left"/>
        <w:rPr>
          <w:rFonts w:ascii="Times New Roman" w:hAnsi="Times New Roman"/>
          <w:color w:val="000000"/>
        </w:rPr>
      </w:pPr>
    </w:p>
    <w:p w14:paraId="4277472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Takahiro Fujiwara</w:t>
      </w:r>
    </w:p>
    <w:p w14:paraId="74F071F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Section Chief, International Affairs Division</w:t>
      </w:r>
    </w:p>
    <w:p w14:paraId="4750D45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Agency of Japan</w:t>
      </w:r>
    </w:p>
    <w:p w14:paraId="02EDFB2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1-2-1 Kasumigaseki, Chiyoda-ku, Tokyo, JAPAN</w:t>
      </w:r>
    </w:p>
    <w:p w14:paraId="7EC7A9F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+81-3-3502-8459</w:t>
      </w:r>
    </w:p>
    <w:p w14:paraId="4CD0D4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takahiro_fujiwara550@maff.go.jp</w:t>
      </w:r>
    </w:p>
    <w:p w14:paraId="026AC84F" w14:textId="77777777" w:rsidR="006B2F2D" w:rsidRPr="006B2F2D" w:rsidRDefault="006B2F2D" w:rsidP="0054190C">
      <w:pPr>
        <w:adjustRightInd w:val="0"/>
        <w:snapToGrid w:val="0"/>
        <w:spacing w:after="0"/>
        <w:jc w:val="left"/>
        <w:rPr>
          <w:rFonts w:ascii="Times New Roman" w:hAnsi="Times New Roman"/>
          <w:color w:val="000000"/>
        </w:rPr>
      </w:pPr>
    </w:p>
    <w:p w14:paraId="55932F4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Takayuki Matsumoto</w:t>
      </w:r>
    </w:p>
    <w:p w14:paraId="0A889F1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 Coordinator for Oceanography and Resources</w:t>
      </w:r>
    </w:p>
    <w:p w14:paraId="364B207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7B299ED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424-8633, JAPAN</w:t>
      </w:r>
    </w:p>
    <w:p w14:paraId="06C08D7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81-54-336-6000</w:t>
      </w:r>
    </w:p>
    <w:p w14:paraId="240071A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matumot@affrc.go.jp</w:t>
      </w:r>
    </w:p>
    <w:p w14:paraId="40145EC5" w14:textId="77777777" w:rsidR="006B2F2D" w:rsidRPr="006B2F2D" w:rsidRDefault="006B2F2D" w:rsidP="0054190C">
      <w:pPr>
        <w:adjustRightInd w:val="0"/>
        <w:snapToGrid w:val="0"/>
        <w:spacing w:after="0"/>
        <w:jc w:val="left"/>
        <w:rPr>
          <w:rFonts w:ascii="Times New Roman" w:hAnsi="Times New Roman"/>
          <w:color w:val="000000"/>
        </w:rPr>
      </w:pPr>
    </w:p>
    <w:p w14:paraId="68847C4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Toru Kitamura</w:t>
      </w:r>
    </w:p>
    <w:p w14:paraId="3DA008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Sub Leader</w:t>
      </w:r>
    </w:p>
    <w:p w14:paraId="3F689CD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Japan Nus Co., LTD.</w:t>
      </w:r>
    </w:p>
    <w:p w14:paraId="2B56DDE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Nishi-Shinjuku Kimuraya Building 5F 7-5-25 Nishi-Shinjuku, Shinjuku-ku, Tokyo 160-0023 JAPAN</w:t>
      </w:r>
    </w:p>
    <w:p w14:paraId="3E8B6D9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81-3-5925-6806</w:t>
      </w:r>
    </w:p>
    <w:p w14:paraId="05F7F3B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tkitamura@janus.co.jp</w:t>
      </w:r>
    </w:p>
    <w:p w14:paraId="144CFC90" w14:textId="77777777" w:rsidR="006B2F2D" w:rsidRPr="006B2F2D" w:rsidRDefault="006B2F2D" w:rsidP="0054190C">
      <w:pPr>
        <w:adjustRightInd w:val="0"/>
        <w:snapToGrid w:val="0"/>
        <w:spacing w:after="0"/>
        <w:jc w:val="left"/>
        <w:rPr>
          <w:rFonts w:ascii="Times New Roman" w:hAnsi="Times New Roman"/>
          <w:color w:val="000000"/>
        </w:rPr>
      </w:pPr>
    </w:p>
    <w:p w14:paraId="6881CE5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Yohei Tsukahara</w:t>
      </w:r>
    </w:p>
    <w:p w14:paraId="56D4E7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40C1C67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w:t>
      </w:r>
    </w:p>
    <w:p w14:paraId="64E74FB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ward, Shizuoka city, Shizuoka prefecture</w:t>
      </w:r>
    </w:p>
    <w:p w14:paraId="18EB12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+81-54-336-6000</w:t>
      </w:r>
    </w:p>
    <w:p w14:paraId="0D384A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tsukahara_y@affrc.go.jp</w:t>
      </w:r>
    </w:p>
    <w:p w14:paraId="439C0BB2" w14:textId="77777777" w:rsidR="006B2F2D" w:rsidRPr="006B2F2D" w:rsidRDefault="006B2F2D" w:rsidP="0054190C">
      <w:pPr>
        <w:adjustRightInd w:val="0"/>
        <w:snapToGrid w:val="0"/>
        <w:spacing w:after="0"/>
        <w:jc w:val="left"/>
        <w:rPr>
          <w:rFonts w:ascii="Times New Roman" w:hAnsi="Times New Roman"/>
          <w:color w:val="000000"/>
        </w:rPr>
      </w:pPr>
    </w:p>
    <w:p w14:paraId="5479939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Yoshihiro Notomi</w:t>
      </w:r>
    </w:p>
    <w:p w14:paraId="571FDF3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Managing Director</w:t>
      </w:r>
    </w:p>
    <w:p w14:paraId="7CC35F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Offshore Tuna Fisheries Association of Japan</w:t>
      </w:r>
    </w:p>
    <w:p w14:paraId="6E37853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1-3-1, uchikanda, chiyoda-ku, tokyo, japan</w:t>
      </w:r>
    </w:p>
    <w:p w14:paraId="62FF5D6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+81-3-3295-3721</w:t>
      </w:r>
    </w:p>
    <w:p w14:paraId="79AE6BE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notomi@kinkatsukyo.or.jp</w:t>
      </w:r>
    </w:p>
    <w:p w14:paraId="336EDEC1" w14:textId="77777777" w:rsidR="006B2F2D" w:rsidRPr="006B2F2D" w:rsidRDefault="006B2F2D" w:rsidP="0054190C">
      <w:pPr>
        <w:adjustRightInd w:val="0"/>
        <w:snapToGrid w:val="0"/>
        <w:spacing w:after="0"/>
        <w:jc w:val="left"/>
        <w:rPr>
          <w:rFonts w:ascii="Times New Roman" w:hAnsi="Times New Roman"/>
          <w:color w:val="000000"/>
        </w:rPr>
      </w:pPr>
    </w:p>
    <w:p w14:paraId="3F64576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Yuji Uozumi</w:t>
      </w:r>
    </w:p>
    <w:p w14:paraId="077AA4C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visiting scientist</w:t>
      </w:r>
    </w:p>
    <w:p w14:paraId="070F1D6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Research Institute of Far Seas Fisheries FRA Japan</w:t>
      </w:r>
    </w:p>
    <w:p w14:paraId="69E81FC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Japan</w:t>
      </w:r>
    </w:p>
    <w:p w14:paraId="091919C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81-54-336-6000</w:t>
      </w:r>
    </w:p>
    <w:p w14:paraId="22FF798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uozumi@japantuna.or.jp</w:t>
      </w:r>
    </w:p>
    <w:p w14:paraId="3DE628C1" w14:textId="77777777" w:rsidR="006B2F2D" w:rsidRPr="006B2F2D" w:rsidRDefault="006B2F2D" w:rsidP="0054190C">
      <w:pPr>
        <w:adjustRightInd w:val="0"/>
        <w:snapToGrid w:val="0"/>
        <w:spacing w:after="0"/>
        <w:jc w:val="left"/>
        <w:rPr>
          <w:rFonts w:ascii="Times New Roman" w:hAnsi="Times New Roman"/>
        </w:rPr>
      </w:pPr>
    </w:p>
    <w:p w14:paraId="41B63F7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Yumi Okochi</w:t>
      </w:r>
    </w:p>
    <w:p w14:paraId="07AE944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Staff</w:t>
      </w:r>
    </w:p>
    <w:p w14:paraId="4F7B108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Japan Nus Co., LTD.</w:t>
      </w:r>
    </w:p>
    <w:p w14:paraId="3F36EA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Nishi-Shinjuku Kimuraya Building 5F 7-5-25 Nishi-Shinjuku, Shinjuku-ku, Tokyo 160-0023 JAPAN</w:t>
      </w:r>
    </w:p>
    <w:p w14:paraId="38C4C0A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81-3-5925-6806</w:t>
      </w:r>
    </w:p>
    <w:p w14:paraId="6F20DEF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okochi-y@janus.co.jp</w:t>
      </w:r>
    </w:p>
    <w:p w14:paraId="5B160743" w14:textId="77777777" w:rsidR="006B2F2D" w:rsidRPr="006B2F2D" w:rsidRDefault="006B2F2D" w:rsidP="0054190C">
      <w:pPr>
        <w:adjustRightInd w:val="0"/>
        <w:snapToGrid w:val="0"/>
        <w:spacing w:after="0"/>
        <w:jc w:val="left"/>
        <w:rPr>
          <w:rFonts w:ascii="Times New Roman" w:hAnsi="Times New Roman"/>
          <w:color w:val="000000"/>
        </w:rPr>
      </w:pPr>
    </w:p>
    <w:p w14:paraId="7721804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Yoshinori Aoki</w:t>
      </w:r>
    </w:p>
    <w:p w14:paraId="5B426BE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1E321D1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Japan Fisheries Research and Education Agency</w:t>
      </w:r>
    </w:p>
    <w:p w14:paraId="0391C5B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5-7-1, Orido, Shimizu, Shizuoka, 424-8633 Japan</w:t>
      </w:r>
    </w:p>
    <w:p w14:paraId="0A5B656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81-54-336-6044</w:t>
      </w:r>
    </w:p>
    <w:p w14:paraId="6F4D414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aokiyoshinori@affrc.go.jp</w:t>
      </w:r>
    </w:p>
    <w:p w14:paraId="01CD66F5" w14:textId="77777777" w:rsidR="006B2F2D" w:rsidRPr="006B2F2D" w:rsidRDefault="006B2F2D" w:rsidP="0054190C">
      <w:pPr>
        <w:adjustRightInd w:val="0"/>
        <w:snapToGrid w:val="0"/>
        <w:spacing w:after="0"/>
        <w:jc w:val="left"/>
        <w:rPr>
          <w:rFonts w:ascii="Times New Roman" w:hAnsi="Times New Roman"/>
          <w:color w:val="000000"/>
        </w:rPr>
      </w:pPr>
    </w:p>
    <w:p w14:paraId="3FF380B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Akihito Fukuyama</w:t>
      </w:r>
    </w:p>
    <w:p w14:paraId="7B9E0A2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Executive Secretary</w:t>
      </w:r>
    </w:p>
    <w:p w14:paraId="78F78B6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Japan Far Seas Purse Seine Fishing Association</w:t>
      </w:r>
    </w:p>
    <w:p w14:paraId="4BAC9C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14-10 Ginza 1 Chome, Chuo-ku, Tokyo 104-0061, JAPAN</w:t>
      </w:r>
    </w:p>
    <w:p w14:paraId="3800AF3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+81-3-3564-2315</w:t>
      </w:r>
    </w:p>
    <w:p w14:paraId="0D4EA0B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fukuyama@kaimaki.or.jp</w:t>
      </w:r>
    </w:p>
    <w:p w14:paraId="1C77FD6C" w14:textId="77777777" w:rsidR="006B2F2D" w:rsidRPr="006B2F2D" w:rsidRDefault="006B2F2D" w:rsidP="0054190C">
      <w:pPr>
        <w:adjustRightInd w:val="0"/>
        <w:snapToGrid w:val="0"/>
        <w:spacing w:after="0"/>
        <w:jc w:val="left"/>
        <w:rPr>
          <w:rFonts w:ascii="Times New Roman" w:hAnsi="Times New Roman"/>
          <w:color w:val="000000"/>
        </w:rPr>
      </w:pPr>
    </w:p>
    <w:p w14:paraId="4241DE8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KIRIBATI</w:t>
      </w:r>
    </w:p>
    <w:p w14:paraId="74025653" w14:textId="77777777" w:rsidR="006B2F2D" w:rsidRPr="006B2F2D" w:rsidRDefault="006B2F2D" w:rsidP="0054190C">
      <w:pPr>
        <w:adjustRightInd w:val="0"/>
        <w:snapToGrid w:val="0"/>
        <w:spacing w:after="0"/>
        <w:jc w:val="left"/>
        <w:rPr>
          <w:rFonts w:ascii="Times New Roman" w:hAnsi="Times New Roman"/>
          <w:b/>
          <w:noProof/>
          <w:color w:val="000000"/>
        </w:rPr>
      </w:pPr>
    </w:p>
    <w:p w14:paraId="18B6AF5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Kaon Tiamere</w:t>
      </w:r>
    </w:p>
    <w:p w14:paraId="337109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Licence Officer</w:t>
      </w:r>
    </w:p>
    <w:p w14:paraId="127501E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 &amp; Marine Resource Development</w:t>
      </w:r>
    </w:p>
    <w:p w14:paraId="2DD6CE0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64 Bairiki, Tarawa, Republic of Kiribati</w:t>
      </w:r>
    </w:p>
    <w:p w14:paraId="24AA33C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(686) 21099</w:t>
      </w:r>
    </w:p>
    <w:p w14:paraId="3091990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kaont@mfmrd.gov.ki</w:t>
      </w:r>
    </w:p>
    <w:p w14:paraId="5CA8C124" w14:textId="77777777" w:rsidR="006B2F2D" w:rsidRPr="006B2F2D" w:rsidRDefault="006B2F2D" w:rsidP="0054190C">
      <w:pPr>
        <w:adjustRightInd w:val="0"/>
        <w:snapToGrid w:val="0"/>
        <w:spacing w:after="0"/>
        <w:jc w:val="left"/>
        <w:rPr>
          <w:rFonts w:ascii="Times New Roman" w:hAnsi="Times New Roman"/>
          <w:color w:val="000000"/>
        </w:rPr>
      </w:pPr>
    </w:p>
    <w:p w14:paraId="510657D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Patrick Itara</w:t>
      </w:r>
    </w:p>
    <w:p w14:paraId="7B65DF0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Assistance Compliance officer</w:t>
      </w:r>
    </w:p>
    <w:p w14:paraId="0E29E14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LCD (Licence &amp; Compliance Division) MFMRD</w:t>
      </w:r>
    </w:p>
    <w:p w14:paraId="77B4B45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Bairiki Tarawa</w:t>
      </w:r>
    </w:p>
    <w:p w14:paraId="6A7658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73002821/21099</w:t>
      </w:r>
    </w:p>
    <w:p w14:paraId="592DEE8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maplov12@gmail.com</w:t>
      </w:r>
    </w:p>
    <w:p w14:paraId="5223BA0E" w14:textId="77777777" w:rsidR="006B2F2D" w:rsidRPr="006B2F2D" w:rsidRDefault="006B2F2D" w:rsidP="0054190C">
      <w:pPr>
        <w:adjustRightInd w:val="0"/>
        <w:snapToGrid w:val="0"/>
        <w:spacing w:after="0"/>
        <w:jc w:val="left"/>
        <w:rPr>
          <w:rFonts w:ascii="Times New Roman" w:hAnsi="Times New Roman"/>
          <w:color w:val="000000"/>
        </w:rPr>
      </w:pPr>
    </w:p>
    <w:p w14:paraId="3FA59A3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REPUBLIC OF KOREA</w:t>
      </w:r>
    </w:p>
    <w:p w14:paraId="4F19A50A" w14:textId="77777777" w:rsidR="006B2F2D" w:rsidRPr="006B2F2D" w:rsidRDefault="006B2F2D" w:rsidP="0054190C">
      <w:pPr>
        <w:adjustRightInd w:val="0"/>
        <w:snapToGrid w:val="0"/>
        <w:spacing w:after="0"/>
        <w:jc w:val="left"/>
        <w:rPr>
          <w:rFonts w:ascii="Times New Roman" w:hAnsi="Times New Roman"/>
          <w:b/>
          <w:noProof/>
          <w:color w:val="000000"/>
        </w:rPr>
      </w:pPr>
    </w:p>
    <w:p w14:paraId="25DD5CE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Doo Nam Kim</w:t>
      </w:r>
    </w:p>
    <w:p w14:paraId="3841F5D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55801BF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Institute of Fisheries Science</w:t>
      </w:r>
    </w:p>
    <w:p w14:paraId="2EBE49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216, Gijanghaean-ro, Gijang-eup, Gijang-gun, Busan, 46083</w:t>
      </w:r>
    </w:p>
    <w:p w14:paraId="5523BF4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+82-51-720-2330</w:t>
      </w:r>
    </w:p>
    <w:p w14:paraId="576D0E0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doonamkim1@gmail.com</w:t>
      </w:r>
    </w:p>
    <w:p w14:paraId="0DBF4410" w14:textId="77777777" w:rsidR="006B2F2D" w:rsidRPr="006B2F2D" w:rsidRDefault="006B2F2D" w:rsidP="0054190C">
      <w:pPr>
        <w:adjustRightInd w:val="0"/>
        <w:snapToGrid w:val="0"/>
        <w:spacing w:after="0"/>
        <w:jc w:val="left"/>
        <w:rPr>
          <w:rFonts w:ascii="Times New Roman" w:hAnsi="Times New Roman"/>
          <w:b/>
          <w:noProof/>
          <w:color w:val="000000"/>
        </w:rPr>
      </w:pPr>
    </w:p>
    <w:p w14:paraId="7DA2CB6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Sung Il Lee</w:t>
      </w:r>
    </w:p>
    <w:p w14:paraId="696284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Researcher</w:t>
      </w:r>
    </w:p>
    <w:p w14:paraId="038D06C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Institute of Fisheries Science</w:t>
      </w:r>
    </w:p>
    <w:p w14:paraId="544A18D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216, Gijanghaean-ro, Gijang-eup, Gijang-gun, Busan, 46083</w:t>
      </w:r>
    </w:p>
    <w:p w14:paraId="39A80FC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+82-51-720-2331</w:t>
      </w:r>
    </w:p>
    <w:p w14:paraId="7F7222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k.sungillee@gmail.com</w:t>
      </w:r>
    </w:p>
    <w:p w14:paraId="589147FB" w14:textId="77777777" w:rsidR="006B2F2D" w:rsidRPr="006B2F2D" w:rsidRDefault="006B2F2D" w:rsidP="0054190C">
      <w:pPr>
        <w:adjustRightInd w:val="0"/>
        <w:snapToGrid w:val="0"/>
        <w:spacing w:after="0"/>
        <w:jc w:val="left"/>
        <w:rPr>
          <w:rFonts w:ascii="Times New Roman" w:hAnsi="Times New Roman"/>
          <w:color w:val="000000"/>
        </w:rPr>
      </w:pPr>
    </w:p>
    <w:p w14:paraId="58833A6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Bongjun Choi</w:t>
      </w:r>
    </w:p>
    <w:p w14:paraId="3D637F0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Assistant Manger</w:t>
      </w:r>
    </w:p>
    <w:p w14:paraId="2D0DA0B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Korea Overseas Fisheries Association</w:t>
      </w:r>
    </w:p>
    <w:p w14:paraId="7EDC410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bj@kosfa.org</w:t>
      </w:r>
    </w:p>
    <w:p w14:paraId="62B7CFF5" w14:textId="77777777" w:rsidR="006B2F2D" w:rsidRPr="006B2F2D" w:rsidRDefault="006B2F2D" w:rsidP="0054190C">
      <w:pPr>
        <w:adjustRightInd w:val="0"/>
        <w:snapToGrid w:val="0"/>
        <w:spacing w:after="0"/>
        <w:jc w:val="left"/>
        <w:rPr>
          <w:rFonts w:ascii="Times New Roman" w:hAnsi="Times New Roman"/>
          <w:color w:val="000000"/>
        </w:rPr>
      </w:pPr>
    </w:p>
    <w:p w14:paraId="40B1D42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Chun Woo Lee</w:t>
      </w:r>
    </w:p>
    <w:p w14:paraId="0125AAF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Professor</w:t>
      </w:r>
    </w:p>
    <w:p w14:paraId="1D1BF5A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Pkyong National University</w:t>
      </w:r>
    </w:p>
    <w:p w14:paraId="54AB1B0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Division of Marine Production System Management, Pukyong National University, 45 Yongso-ro, Busan 48513, Korea.</w:t>
      </w:r>
    </w:p>
    <w:p w14:paraId="43388BF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+82 10 7399 9743</w:t>
      </w:r>
    </w:p>
    <w:p w14:paraId="6B5F19C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cwlee@pknu.ac.kr</w:t>
      </w:r>
    </w:p>
    <w:p w14:paraId="3A6C382A" w14:textId="77777777" w:rsidR="006B2F2D" w:rsidRPr="006B2F2D" w:rsidRDefault="006B2F2D" w:rsidP="0054190C">
      <w:pPr>
        <w:adjustRightInd w:val="0"/>
        <w:snapToGrid w:val="0"/>
        <w:spacing w:after="0"/>
        <w:jc w:val="left"/>
        <w:rPr>
          <w:rFonts w:ascii="Times New Roman" w:hAnsi="Times New Roman"/>
          <w:color w:val="000000"/>
        </w:rPr>
      </w:pPr>
    </w:p>
    <w:p w14:paraId="64B3738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Jay Lee</w:t>
      </w:r>
    </w:p>
    <w:p w14:paraId="53630A4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jhlee33@dongwon.com</w:t>
      </w:r>
    </w:p>
    <w:p w14:paraId="198F4880" w14:textId="77777777" w:rsidR="006B2F2D" w:rsidRPr="006B2F2D" w:rsidRDefault="006B2F2D" w:rsidP="0054190C">
      <w:pPr>
        <w:adjustRightInd w:val="0"/>
        <w:snapToGrid w:val="0"/>
        <w:spacing w:after="0"/>
        <w:jc w:val="left"/>
        <w:rPr>
          <w:rFonts w:ascii="Times New Roman" w:hAnsi="Times New Roman"/>
        </w:rPr>
      </w:pPr>
    </w:p>
    <w:p w14:paraId="28DD1B2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Joseph Choi</w:t>
      </w:r>
    </w:p>
    <w:p w14:paraId="4566CF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joseph.choi@dongwon.co</w:t>
      </w:r>
    </w:p>
    <w:p w14:paraId="1441AD21" w14:textId="77777777" w:rsidR="006B2F2D" w:rsidRPr="006B2F2D" w:rsidRDefault="006B2F2D" w:rsidP="0054190C">
      <w:pPr>
        <w:adjustRightInd w:val="0"/>
        <w:snapToGrid w:val="0"/>
        <w:spacing w:after="0"/>
        <w:jc w:val="left"/>
        <w:rPr>
          <w:rFonts w:ascii="Times New Roman" w:hAnsi="Times New Roman"/>
          <w:color w:val="000000"/>
        </w:rPr>
      </w:pPr>
    </w:p>
    <w:p w14:paraId="369B7BE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Sung Chul Kim</w:t>
      </w:r>
    </w:p>
    <w:p w14:paraId="05EDB14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sancho@sla.co.kr</w:t>
      </w:r>
    </w:p>
    <w:p w14:paraId="0AB7A307" w14:textId="77777777" w:rsidR="006B2F2D" w:rsidRPr="006B2F2D" w:rsidRDefault="006B2F2D" w:rsidP="0054190C">
      <w:pPr>
        <w:adjustRightInd w:val="0"/>
        <w:snapToGrid w:val="0"/>
        <w:spacing w:after="0"/>
        <w:jc w:val="left"/>
        <w:rPr>
          <w:rFonts w:ascii="Times New Roman" w:hAnsi="Times New Roman"/>
          <w:color w:val="000000"/>
        </w:rPr>
      </w:pPr>
    </w:p>
    <w:p w14:paraId="41F6050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Ducklim Kim</w:t>
      </w:r>
    </w:p>
    <w:p w14:paraId="162BD44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Staff</w:t>
      </w:r>
    </w:p>
    <w:p w14:paraId="2A7C8A5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Sajo Industries Co., Ltd</w:t>
      </w:r>
    </w:p>
    <w:p w14:paraId="06D48C9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+8210-4057-2052</w:t>
      </w:r>
    </w:p>
    <w:p w14:paraId="23234E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liam@sajo.co.kr</w:t>
      </w:r>
    </w:p>
    <w:p w14:paraId="1C923024" w14:textId="77777777" w:rsidR="006B2F2D" w:rsidRPr="006B2F2D" w:rsidRDefault="006B2F2D" w:rsidP="0054190C">
      <w:pPr>
        <w:adjustRightInd w:val="0"/>
        <w:snapToGrid w:val="0"/>
        <w:spacing w:after="0"/>
        <w:jc w:val="left"/>
        <w:rPr>
          <w:rFonts w:ascii="Times New Roman" w:hAnsi="Times New Roman"/>
          <w:color w:val="000000"/>
        </w:rPr>
      </w:pPr>
    </w:p>
    <w:p w14:paraId="2F4D949E"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REPUBLIC OF THE MARSHALL ISLANDS</w:t>
      </w:r>
    </w:p>
    <w:p w14:paraId="4E4B4C70" w14:textId="77777777" w:rsidR="006B2F2D" w:rsidRPr="006B2F2D" w:rsidRDefault="006B2F2D" w:rsidP="0054190C">
      <w:pPr>
        <w:adjustRightInd w:val="0"/>
        <w:snapToGrid w:val="0"/>
        <w:spacing w:after="0"/>
        <w:jc w:val="left"/>
        <w:rPr>
          <w:rFonts w:ascii="Times New Roman" w:hAnsi="Times New Roman"/>
          <w:b/>
          <w:noProof/>
          <w:color w:val="000000"/>
        </w:rPr>
      </w:pPr>
    </w:p>
    <w:p w14:paraId="39C032C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Mark Beau Bigler</w:t>
      </w:r>
    </w:p>
    <w:p w14:paraId="1D68470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Assistant MCS Officer</w:t>
      </w:r>
    </w:p>
    <w:p w14:paraId="44795F0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MIMRA</w:t>
      </w:r>
    </w:p>
    <w:p w14:paraId="7F3FBC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860 Delap, Majuro MH 96960</w:t>
      </w:r>
    </w:p>
    <w:p w14:paraId="4B2B96F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692-625-8262</w:t>
      </w:r>
    </w:p>
    <w:p w14:paraId="624BF3A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bbigler@mimra.com</w:t>
      </w:r>
    </w:p>
    <w:p w14:paraId="16CFFB2F" w14:textId="77777777" w:rsidR="006B2F2D" w:rsidRPr="006B2F2D" w:rsidRDefault="006B2F2D" w:rsidP="0054190C">
      <w:pPr>
        <w:adjustRightInd w:val="0"/>
        <w:snapToGrid w:val="0"/>
        <w:spacing w:after="0"/>
        <w:jc w:val="left"/>
        <w:rPr>
          <w:rFonts w:ascii="Times New Roman" w:hAnsi="Times New Roman"/>
          <w:color w:val="000000"/>
        </w:rPr>
      </w:pPr>
    </w:p>
    <w:p w14:paraId="43E3EA8E"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NAURU</w:t>
      </w:r>
    </w:p>
    <w:p w14:paraId="19AA1112" w14:textId="77777777" w:rsidR="006B2F2D" w:rsidRPr="006B2F2D" w:rsidRDefault="006B2F2D" w:rsidP="0054190C">
      <w:pPr>
        <w:adjustRightInd w:val="0"/>
        <w:snapToGrid w:val="0"/>
        <w:spacing w:after="0"/>
        <w:jc w:val="left"/>
        <w:rPr>
          <w:rFonts w:ascii="Times New Roman" w:hAnsi="Times New Roman"/>
          <w:b/>
          <w:noProof/>
          <w:color w:val="000000"/>
        </w:rPr>
      </w:pPr>
    </w:p>
    <w:p w14:paraId="2C5D9DF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Karlick Agir</w:t>
      </w:r>
    </w:p>
    <w:p w14:paraId="1E817F3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Catch Data Officer</w:t>
      </w:r>
    </w:p>
    <w:p w14:paraId="68FB53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Nauru Fisheries and Marine Resources Authority</w:t>
      </w:r>
    </w:p>
    <w:p w14:paraId="0CADF84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Anibare District, Republic of Nauru</w:t>
      </w:r>
    </w:p>
    <w:p w14:paraId="091AC4D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+674 557 3733</w:t>
      </w:r>
    </w:p>
    <w:p w14:paraId="62FE280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k.agir1957@gmail.com</w:t>
      </w:r>
    </w:p>
    <w:p w14:paraId="170D6098" w14:textId="77777777" w:rsidR="00764FDD" w:rsidRDefault="00764FDD" w:rsidP="0054190C">
      <w:pPr>
        <w:adjustRightInd w:val="0"/>
        <w:snapToGrid w:val="0"/>
        <w:spacing w:after="0"/>
        <w:jc w:val="left"/>
        <w:rPr>
          <w:rFonts w:ascii="Times New Roman" w:hAnsi="Times New Roman"/>
          <w:b/>
          <w:noProof/>
          <w:color w:val="000000"/>
        </w:rPr>
      </w:pPr>
    </w:p>
    <w:p w14:paraId="4B533A3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Ace Capelle</w:t>
      </w:r>
    </w:p>
    <w:p w14:paraId="52EC178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Observer Coordinator</w:t>
      </w:r>
    </w:p>
    <w:p w14:paraId="464EA86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Nauru Fisheries and Marine Resources Authority</w:t>
      </w:r>
    </w:p>
    <w:p w14:paraId="52A01B0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Complex, Anibare District, Nauru</w:t>
      </w:r>
    </w:p>
    <w:p w14:paraId="633A265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+674-557-3911</w:t>
      </w:r>
    </w:p>
    <w:p w14:paraId="48DEFF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AIDA_11@hotmail.com</w:t>
      </w:r>
    </w:p>
    <w:p w14:paraId="2DF313F1" w14:textId="77777777" w:rsidR="006B2F2D" w:rsidRPr="006B2F2D" w:rsidRDefault="006B2F2D" w:rsidP="0054190C">
      <w:pPr>
        <w:adjustRightInd w:val="0"/>
        <w:snapToGrid w:val="0"/>
        <w:spacing w:after="0"/>
        <w:jc w:val="left"/>
        <w:rPr>
          <w:rFonts w:ascii="Times New Roman" w:hAnsi="Times New Roman"/>
          <w:color w:val="000000"/>
        </w:rPr>
      </w:pPr>
    </w:p>
    <w:p w14:paraId="6150C84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Camalus Reiyetsi</w:t>
      </w:r>
    </w:p>
    <w:p w14:paraId="73207A2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Oceanic Fisheries Officer</w:t>
      </w:r>
    </w:p>
    <w:p w14:paraId="3FFAF7A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Nauru Fisheries and Marine Resources Authority (NFMRA)</w:t>
      </w:r>
    </w:p>
    <w:p w14:paraId="19FB47B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Uaboe District</w:t>
      </w:r>
    </w:p>
    <w:p w14:paraId="57FBEC7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+674 557 3733</w:t>
      </w:r>
    </w:p>
    <w:p w14:paraId="76AC2E2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camalus.reiyetsi@gmail.com</w:t>
      </w:r>
    </w:p>
    <w:p w14:paraId="46749272" w14:textId="77777777" w:rsidR="006B2F2D" w:rsidRPr="006B2F2D" w:rsidRDefault="006B2F2D" w:rsidP="0054190C">
      <w:pPr>
        <w:adjustRightInd w:val="0"/>
        <w:snapToGrid w:val="0"/>
        <w:spacing w:after="0"/>
        <w:jc w:val="left"/>
        <w:rPr>
          <w:rFonts w:ascii="Times New Roman" w:hAnsi="Times New Roman"/>
          <w:color w:val="000000"/>
        </w:rPr>
      </w:pPr>
    </w:p>
    <w:p w14:paraId="0123034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Jonas Calvin Star</w:t>
      </w:r>
    </w:p>
    <w:p w14:paraId="374232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Technical Services Officer</w:t>
      </w:r>
    </w:p>
    <w:p w14:paraId="01A9AB4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NFMRA</w:t>
      </w:r>
    </w:p>
    <w:p w14:paraId="651BE88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Meneng District, Nauru</w:t>
      </w:r>
    </w:p>
    <w:p w14:paraId="7AB37B6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+6745568505</w:t>
      </w:r>
    </w:p>
    <w:p w14:paraId="5292CC6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jonas.star@hotmail.com</w:t>
      </w:r>
    </w:p>
    <w:p w14:paraId="64B77F86" w14:textId="77777777" w:rsidR="006B2F2D" w:rsidRPr="006B2F2D" w:rsidRDefault="006B2F2D" w:rsidP="0054190C">
      <w:pPr>
        <w:adjustRightInd w:val="0"/>
        <w:snapToGrid w:val="0"/>
        <w:spacing w:after="0"/>
        <w:jc w:val="left"/>
        <w:rPr>
          <w:rFonts w:ascii="Times New Roman" w:hAnsi="Times New Roman"/>
          <w:color w:val="000000"/>
        </w:rPr>
      </w:pPr>
    </w:p>
    <w:p w14:paraId="6EA4332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Gabriel Ika</w:t>
      </w:r>
    </w:p>
    <w:p w14:paraId="2C4B92E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Board Director</w:t>
      </w:r>
    </w:p>
    <w:p w14:paraId="6A50384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Nauru Fisheries and Marine Resources Authority</w:t>
      </w:r>
    </w:p>
    <w:p w14:paraId="228C061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Anibare District, Nauru</w:t>
      </w:r>
    </w:p>
    <w:p w14:paraId="70D345D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+6745573350</w:t>
      </w:r>
    </w:p>
    <w:p w14:paraId="742B825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sdreiyetsi@gmail.com</w:t>
      </w:r>
    </w:p>
    <w:p w14:paraId="4433AAF4" w14:textId="77777777" w:rsidR="006B2F2D" w:rsidRPr="006B2F2D" w:rsidRDefault="006B2F2D" w:rsidP="0054190C">
      <w:pPr>
        <w:adjustRightInd w:val="0"/>
        <w:snapToGrid w:val="0"/>
        <w:spacing w:after="0"/>
        <w:jc w:val="left"/>
        <w:rPr>
          <w:rFonts w:ascii="Times New Roman" w:hAnsi="Times New Roman"/>
          <w:color w:val="000000"/>
        </w:rPr>
      </w:pPr>
    </w:p>
    <w:p w14:paraId="0D3235C6"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NEW ZEALAND</w:t>
      </w:r>
    </w:p>
    <w:p w14:paraId="5A45AC51" w14:textId="77777777" w:rsidR="006B2F2D" w:rsidRPr="006B2F2D" w:rsidRDefault="006B2F2D" w:rsidP="0054190C">
      <w:pPr>
        <w:adjustRightInd w:val="0"/>
        <w:snapToGrid w:val="0"/>
        <w:spacing w:after="0"/>
        <w:jc w:val="left"/>
        <w:rPr>
          <w:rFonts w:ascii="Times New Roman" w:hAnsi="Times New Roman"/>
          <w:b/>
          <w:noProof/>
          <w:color w:val="000000"/>
        </w:rPr>
      </w:pPr>
    </w:p>
    <w:p w14:paraId="3DF092E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John Annala</w:t>
      </w:r>
    </w:p>
    <w:p w14:paraId="51400B2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Scientist</w:t>
      </w:r>
    </w:p>
    <w:p w14:paraId="20F86D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New Zealand Ministry for Primary Industries</w:t>
      </w:r>
    </w:p>
    <w:p w14:paraId="759BDF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25 The Terrace, Wellington, New Zealand</w:t>
      </w:r>
    </w:p>
    <w:p w14:paraId="77D1636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644-819-4718</w:t>
      </w:r>
    </w:p>
    <w:p w14:paraId="36DF8B0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John.Annala@mpi.govt.nz</w:t>
      </w:r>
    </w:p>
    <w:p w14:paraId="38E5B4A8" w14:textId="77777777" w:rsidR="006B2F2D" w:rsidRPr="006B2F2D" w:rsidRDefault="006B2F2D" w:rsidP="0054190C">
      <w:pPr>
        <w:adjustRightInd w:val="0"/>
        <w:snapToGrid w:val="0"/>
        <w:spacing w:after="0"/>
        <w:jc w:val="left"/>
        <w:rPr>
          <w:rFonts w:ascii="Times New Roman" w:hAnsi="Times New Roman"/>
        </w:rPr>
      </w:pPr>
    </w:p>
    <w:p w14:paraId="5F50697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Andy Smith</w:t>
      </w:r>
    </w:p>
    <w:p w14:paraId="2AEA212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Operations Manager</w:t>
      </w:r>
    </w:p>
    <w:p w14:paraId="73063D0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Talleys Group Nelson</w:t>
      </w:r>
    </w:p>
    <w:p w14:paraId="516096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267 Akersten st  maitai wharf port Nelson  New Zealand</w:t>
      </w:r>
    </w:p>
    <w:p w14:paraId="016B4BD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+ 64 21337756</w:t>
      </w:r>
    </w:p>
    <w:p w14:paraId="0C48921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andy.smith@talleys.co.nz</w:t>
      </w:r>
    </w:p>
    <w:p w14:paraId="5719CEFB" w14:textId="77777777" w:rsidR="006B2F2D" w:rsidRPr="006B2F2D" w:rsidRDefault="006B2F2D" w:rsidP="0054190C">
      <w:pPr>
        <w:adjustRightInd w:val="0"/>
        <w:snapToGrid w:val="0"/>
        <w:spacing w:after="0"/>
        <w:jc w:val="left"/>
        <w:rPr>
          <w:rFonts w:ascii="Times New Roman" w:hAnsi="Times New Roman"/>
          <w:color w:val="000000"/>
        </w:rPr>
      </w:pPr>
    </w:p>
    <w:p w14:paraId="142648D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Arthur Hore</w:t>
      </w:r>
    </w:p>
    <w:p w14:paraId="1BC6281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Manager Offshore Fisheries</w:t>
      </w:r>
    </w:p>
    <w:p w14:paraId="1BFBEF9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New Zealand Ministry for Primary Industries</w:t>
      </w:r>
    </w:p>
    <w:p w14:paraId="2B233E6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608 Rosebank Road, Auckland, New Zealand</w:t>
      </w:r>
    </w:p>
    <w:p w14:paraId="021E11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649-829-7686</w:t>
      </w:r>
    </w:p>
    <w:p w14:paraId="569A95E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Arthur.Hore@mpi.govt.nz</w:t>
      </w:r>
    </w:p>
    <w:p w14:paraId="0376E6B8" w14:textId="77777777" w:rsidR="006B2F2D" w:rsidRPr="006B2F2D" w:rsidRDefault="006B2F2D" w:rsidP="0054190C">
      <w:pPr>
        <w:adjustRightInd w:val="0"/>
        <w:snapToGrid w:val="0"/>
        <w:spacing w:after="0"/>
        <w:jc w:val="left"/>
        <w:rPr>
          <w:rFonts w:ascii="Times New Roman" w:hAnsi="Times New Roman"/>
          <w:b/>
          <w:noProof/>
          <w:color w:val="000000"/>
        </w:rPr>
      </w:pPr>
    </w:p>
    <w:p w14:paraId="037DD2C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Joanna Anderson</w:t>
      </w:r>
    </w:p>
    <w:p w14:paraId="0D0AC22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Development Manager - Fisheries</w:t>
      </w:r>
    </w:p>
    <w:p w14:paraId="70C81B8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New Zealand Ministry of Foreign Affairs and Trade</w:t>
      </w:r>
    </w:p>
    <w:p w14:paraId="47D5DCF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Private Bag 18-901, Wellington 6160, NZ</w:t>
      </w:r>
    </w:p>
    <w:p w14:paraId="7289F8F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+64 4 439 7153</w:t>
      </w:r>
    </w:p>
    <w:p w14:paraId="32211FC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Joanna.Anderson@mfat.govt.nz</w:t>
      </w:r>
    </w:p>
    <w:p w14:paraId="3BCC0AE7" w14:textId="77777777" w:rsidR="006B2F2D" w:rsidRPr="006B2F2D" w:rsidRDefault="006B2F2D" w:rsidP="0054190C">
      <w:pPr>
        <w:adjustRightInd w:val="0"/>
        <w:snapToGrid w:val="0"/>
        <w:spacing w:after="0"/>
        <w:jc w:val="left"/>
        <w:rPr>
          <w:rFonts w:ascii="Times New Roman" w:hAnsi="Times New Roman"/>
          <w:color w:val="000000"/>
        </w:rPr>
      </w:pPr>
    </w:p>
    <w:p w14:paraId="1DCB06F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NIUE</w:t>
      </w:r>
    </w:p>
    <w:p w14:paraId="10D6799D" w14:textId="77777777" w:rsidR="006B2F2D" w:rsidRPr="006B2F2D" w:rsidRDefault="006B2F2D" w:rsidP="0054190C">
      <w:pPr>
        <w:adjustRightInd w:val="0"/>
        <w:snapToGrid w:val="0"/>
        <w:spacing w:after="0"/>
        <w:jc w:val="left"/>
        <w:rPr>
          <w:rFonts w:ascii="Times New Roman" w:hAnsi="Times New Roman"/>
          <w:b/>
          <w:noProof/>
          <w:color w:val="000000"/>
        </w:rPr>
      </w:pPr>
    </w:p>
    <w:p w14:paraId="0F042DA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Brendon Pasisi</w:t>
      </w:r>
    </w:p>
    <w:p w14:paraId="2E57A9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brendon.pasisi@mail.gov.nu</w:t>
      </w:r>
    </w:p>
    <w:p w14:paraId="740E3A76" w14:textId="77777777" w:rsidR="006B2F2D" w:rsidRPr="006B2F2D" w:rsidRDefault="006B2F2D" w:rsidP="0054190C">
      <w:pPr>
        <w:adjustRightInd w:val="0"/>
        <w:snapToGrid w:val="0"/>
        <w:spacing w:after="0"/>
        <w:jc w:val="left"/>
        <w:rPr>
          <w:rFonts w:ascii="Times New Roman" w:hAnsi="Times New Roman"/>
          <w:color w:val="000000"/>
        </w:rPr>
      </w:pPr>
    </w:p>
    <w:p w14:paraId="60E5AC17"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PALAU</w:t>
      </w:r>
    </w:p>
    <w:p w14:paraId="6607C57F" w14:textId="77777777" w:rsidR="006B2F2D" w:rsidRPr="006B2F2D" w:rsidRDefault="006B2F2D" w:rsidP="0054190C">
      <w:pPr>
        <w:adjustRightInd w:val="0"/>
        <w:snapToGrid w:val="0"/>
        <w:spacing w:after="0"/>
        <w:jc w:val="left"/>
        <w:rPr>
          <w:rFonts w:ascii="Times New Roman" w:hAnsi="Times New Roman"/>
          <w:b/>
          <w:noProof/>
          <w:color w:val="000000"/>
        </w:rPr>
      </w:pPr>
    </w:p>
    <w:p w14:paraId="53307C7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Kathleen Sisior</w:t>
      </w:r>
    </w:p>
    <w:p w14:paraId="0624C21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Licensing/Revenue Officer II</w:t>
      </w:r>
    </w:p>
    <w:p w14:paraId="4B35ED4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Natural Resources, Environment and Tourism</w:t>
      </w:r>
    </w:p>
    <w:p w14:paraId="6EDC94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No.1 Street Peched</w:t>
      </w:r>
    </w:p>
    <w:p w14:paraId="1F2F9AA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4884938</w:t>
      </w:r>
    </w:p>
    <w:p w14:paraId="004D2F9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utau.sisior@gmail.com</w:t>
      </w:r>
    </w:p>
    <w:p w14:paraId="2C26B647" w14:textId="77777777" w:rsidR="006B2F2D" w:rsidRPr="006B2F2D" w:rsidRDefault="006B2F2D" w:rsidP="0054190C">
      <w:pPr>
        <w:adjustRightInd w:val="0"/>
        <w:snapToGrid w:val="0"/>
        <w:spacing w:after="0"/>
        <w:jc w:val="left"/>
        <w:rPr>
          <w:rFonts w:ascii="Times New Roman" w:hAnsi="Times New Roman"/>
          <w:color w:val="000000"/>
        </w:rPr>
      </w:pPr>
    </w:p>
    <w:p w14:paraId="642B8B2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Craig Heberer</w:t>
      </w:r>
    </w:p>
    <w:p w14:paraId="7586125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Director - IndoPacific Tuna Program</w:t>
      </w:r>
    </w:p>
    <w:p w14:paraId="337B404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The Nature Conservancy</w:t>
      </w:r>
    </w:p>
    <w:p w14:paraId="1A5E543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502 W Broadway, Suite 1350, San Diego, California, USA, 92101</w:t>
      </w:r>
    </w:p>
    <w:p w14:paraId="2FD27D9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011-760-805-5984</w:t>
      </w:r>
    </w:p>
    <w:p w14:paraId="3928734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craig.heberer@tnc.org</w:t>
      </w:r>
    </w:p>
    <w:p w14:paraId="5FDC3753" w14:textId="77777777" w:rsidR="006B2F2D" w:rsidRPr="006B2F2D" w:rsidRDefault="006B2F2D" w:rsidP="0054190C">
      <w:pPr>
        <w:adjustRightInd w:val="0"/>
        <w:snapToGrid w:val="0"/>
        <w:spacing w:after="0"/>
        <w:jc w:val="left"/>
        <w:rPr>
          <w:rFonts w:ascii="Times New Roman" w:hAnsi="Times New Roman"/>
          <w:color w:val="000000"/>
        </w:rPr>
      </w:pPr>
    </w:p>
    <w:p w14:paraId="1E4349A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David Itano</w:t>
      </w:r>
    </w:p>
    <w:p w14:paraId="166CCDE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Consultant</w:t>
      </w:r>
    </w:p>
    <w:p w14:paraId="6724E38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689 Kaumakani St, Honoluul, Hawaii, USA 96825</w:t>
      </w:r>
    </w:p>
    <w:p w14:paraId="0D3971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+1 808 387 5430</w:t>
      </w:r>
    </w:p>
    <w:p w14:paraId="6FB5FCF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daveitano@gmail.com</w:t>
      </w:r>
    </w:p>
    <w:p w14:paraId="33B5905A" w14:textId="77777777" w:rsidR="006B2F2D" w:rsidRPr="006B2F2D" w:rsidRDefault="006B2F2D" w:rsidP="0054190C">
      <w:pPr>
        <w:adjustRightInd w:val="0"/>
        <w:snapToGrid w:val="0"/>
        <w:spacing w:after="0"/>
        <w:jc w:val="left"/>
        <w:rPr>
          <w:rFonts w:ascii="Times New Roman" w:hAnsi="Times New Roman"/>
          <w:color w:val="000000"/>
        </w:rPr>
      </w:pPr>
    </w:p>
    <w:p w14:paraId="576FAEA0"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PAPUA NEW GUINEA</w:t>
      </w:r>
    </w:p>
    <w:p w14:paraId="728B1979" w14:textId="77777777" w:rsidR="006B2F2D" w:rsidRPr="006B2F2D" w:rsidRDefault="006B2F2D" w:rsidP="0054190C">
      <w:pPr>
        <w:adjustRightInd w:val="0"/>
        <w:snapToGrid w:val="0"/>
        <w:spacing w:after="0"/>
        <w:jc w:val="left"/>
        <w:rPr>
          <w:rFonts w:ascii="Times New Roman" w:hAnsi="Times New Roman"/>
          <w:b/>
          <w:noProof/>
          <w:color w:val="000000"/>
        </w:rPr>
      </w:pPr>
    </w:p>
    <w:p w14:paraId="5D5D1FA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Leban Gisawa</w:t>
      </w:r>
    </w:p>
    <w:p w14:paraId="58935A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Executive Manager - Fisheries Management</w:t>
      </w:r>
    </w:p>
    <w:p w14:paraId="27FA1F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PNG National Fisheries Authority</w:t>
      </w:r>
    </w:p>
    <w:p w14:paraId="418E61A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11th Floor Deloitte Tower, Douglas Street    P.O.ox 2016, Port Moresby, NCD. Papua New Guinea</w:t>
      </w:r>
    </w:p>
    <w:p w14:paraId="0E43FC8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+675 3090444</w:t>
      </w:r>
    </w:p>
    <w:p w14:paraId="613AE8B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lgisawa@fisheries.gov.pg</w:t>
      </w:r>
    </w:p>
    <w:p w14:paraId="2BFE4DA8" w14:textId="77777777" w:rsidR="006B2F2D" w:rsidRPr="006B2F2D" w:rsidRDefault="006B2F2D" w:rsidP="0054190C">
      <w:pPr>
        <w:adjustRightInd w:val="0"/>
        <w:snapToGrid w:val="0"/>
        <w:spacing w:after="0"/>
        <w:jc w:val="left"/>
        <w:rPr>
          <w:rFonts w:ascii="Times New Roman" w:hAnsi="Times New Roman"/>
          <w:b/>
          <w:noProof/>
          <w:color w:val="000000"/>
        </w:rPr>
      </w:pPr>
    </w:p>
    <w:p w14:paraId="55F6011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Thomas Usu</w:t>
      </w:r>
    </w:p>
    <w:p w14:paraId="5993DD9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Scientific Officer - Tuna Fishery</w:t>
      </w:r>
    </w:p>
    <w:p w14:paraId="18A9B43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PNG National Fisheries Authority</w:t>
      </w:r>
    </w:p>
    <w:p w14:paraId="4173763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11th Floor Deloitte Tower, Douglas Street P.O. Box 2016, Port Moresby, NCD Papua New Guinea</w:t>
      </w:r>
    </w:p>
    <w:p w14:paraId="058A62A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+675 3090444</w:t>
      </w:r>
    </w:p>
    <w:p w14:paraId="28F7C8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tusu@fisheries.gov.pg</w:t>
      </w:r>
    </w:p>
    <w:p w14:paraId="44E5377F" w14:textId="77777777" w:rsidR="006B2F2D" w:rsidRPr="006B2F2D" w:rsidRDefault="006B2F2D" w:rsidP="0054190C">
      <w:pPr>
        <w:adjustRightInd w:val="0"/>
        <w:snapToGrid w:val="0"/>
        <w:spacing w:after="0"/>
        <w:jc w:val="left"/>
        <w:rPr>
          <w:rFonts w:ascii="Times New Roman" w:hAnsi="Times New Roman"/>
          <w:color w:val="000000"/>
        </w:rPr>
      </w:pPr>
    </w:p>
    <w:p w14:paraId="288ECA7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Philip Polon</w:t>
      </w:r>
    </w:p>
    <w:p w14:paraId="08FA347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Managing Director</w:t>
      </w:r>
    </w:p>
    <w:p w14:paraId="01BA742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PNG National Fisheries Authority</w:t>
      </w:r>
    </w:p>
    <w:p w14:paraId="69077A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11th Floor Deloitte Tower, Douglas Street P.O. Box 2016, Port Moresby, NCD Papua New Guinea</w:t>
      </w:r>
    </w:p>
    <w:p w14:paraId="5EEF80A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+675 3090444</w:t>
      </w:r>
    </w:p>
    <w:p w14:paraId="2527A99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ppolon@fisheries.gov.pg</w:t>
      </w:r>
    </w:p>
    <w:p w14:paraId="7DA0CECD" w14:textId="77777777" w:rsidR="006B2F2D" w:rsidRPr="006B2F2D" w:rsidRDefault="006B2F2D" w:rsidP="0054190C">
      <w:pPr>
        <w:adjustRightInd w:val="0"/>
        <w:snapToGrid w:val="0"/>
        <w:spacing w:after="0"/>
        <w:jc w:val="left"/>
        <w:rPr>
          <w:rFonts w:ascii="Times New Roman" w:hAnsi="Times New Roman"/>
        </w:rPr>
      </w:pPr>
    </w:p>
    <w:p w14:paraId="1D2A9858"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PHILIPPINES</w:t>
      </w:r>
    </w:p>
    <w:p w14:paraId="062323D7" w14:textId="77777777" w:rsidR="006B2F2D" w:rsidRPr="006B2F2D" w:rsidRDefault="006B2F2D" w:rsidP="0054190C">
      <w:pPr>
        <w:adjustRightInd w:val="0"/>
        <w:snapToGrid w:val="0"/>
        <w:spacing w:after="0"/>
        <w:jc w:val="left"/>
        <w:rPr>
          <w:rFonts w:ascii="Times New Roman" w:hAnsi="Times New Roman"/>
          <w:b/>
          <w:noProof/>
          <w:color w:val="000000"/>
        </w:rPr>
      </w:pPr>
    </w:p>
    <w:p w14:paraId="0D22A79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Rafael Ramiscal</w:t>
      </w:r>
    </w:p>
    <w:p w14:paraId="0584972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Superivsing Aquaculturist and OIC, Capture Fisheries Division</w:t>
      </w:r>
    </w:p>
    <w:p w14:paraId="4AA6EB8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Bureau of Fisheries and Aquatic Resources (BFAR)</w:t>
      </w:r>
    </w:p>
    <w:p w14:paraId="00A6CE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PCA Compound, Elliptical Road, Diliman, Quezon City</w:t>
      </w:r>
    </w:p>
    <w:p w14:paraId="1A3D5B1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929-9597</w:t>
      </w:r>
    </w:p>
    <w:p w14:paraId="3EDB67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rv_ram55@yahoo.com</w:t>
      </w:r>
    </w:p>
    <w:p w14:paraId="02254EA7" w14:textId="77777777" w:rsidR="006B2F2D" w:rsidRPr="006B2F2D" w:rsidRDefault="006B2F2D" w:rsidP="0054190C">
      <w:pPr>
        <w:adjustRightInd w:val="0"/>
        <w:snapToGrid w:val="0"/>
        <w:spacing w:after="0"/>
        <w:jc w:val="left"/>
        <w:rPr>
          <w:rFonts w:ascii="Times New Roman" w:hAnsi="Times New Roman"/>
          <w:color w:val="000000"/>
        </w:rPr>
      </w:pPr>
    </w:p>
    <w:p w14:paraId="6C46FCA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Elaine Garvilles</w:t>
      </w:r>
    </w:p>
    <w:p w14:paraId="7A57CEB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Aquaculturist II</w:t>
      </w:r>
    </w:p>
    <w:p w14:paraId="15A3164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Bureau of Fisheries and Aquatic Resources (BFAR)</w:t>
      </w:r>
    </w:p>
    <w:p w14:paraId="2C9A981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PCA Compound, Elliptical Road, Diliman, Quezon City</w:t>
      </w:r>
    </w:p>
    <w:p w14:paraId="41CA166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929-9597</w:t>
      </w:r>
    </w:p>
    <w:p w14:paraId="00C9678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egarvilles@yahoo.com</w:t>
      </w:r>
    </w:p>
    <w:p w14:paraId="499542D1" w14:textId="77777777" w:rsidR="006B2F2D" w:rsidRPr="006B2F2D" w:rsidRDefault="006B2F2D" w:rsidP="0054190C">
      <w:pPr>
        <w:adjustRightInd w:val="0"/>
        <w:snapToGrid w:val="0"/>
        <w:spacing w:after="0"/>
        <w:jc w:val="left"/>
        <w:rPr>
          <w:rFonts w:ascii="Times New Roman" w:hAnsi="Times New Roman"/>
          <w:color w:val="000000"/>
        </w:rPr>
      </w:pPr>
    </w:p>
    <w:p w14:paraId="7E311C2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Rosanna Bernadette Contreras</w:t>
      </w:r>
    </w:p>
    <w:p w14:paraId="3D12BDE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Executive Director</w:t>
      </w:r>
    </w:p>
    <w:p w14:paraId="130BC2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Socsksargen Federation of Fishing and Allied Industries, Inc.</w:t>
      </w:r>
    </w:p>
    <w:p w14:paraId="4520279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Mezzanine Floor Market 3 Hall, General Santos Fish Port Complex, Tambler, General Santos City, Philippines</w:t>
      </w:r>
    </w:p>
    <w:p w14:paraId="7D9CA96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+63 83 5529736</w:t>
      </w:r>
    </w:p>
    <w:p w14:paraId="7E1B6F1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fishing.federation@gmail.com</w:t>
      </w:r>
    </w:p>
    <w:p w14:paraId="7D81B8AB" w14:textId="77777777" w:rsidR="006B2F2D" w:rsidRPr="006B2F2D" w:rsidRDefault="006B2F2D" w:rsidP="0054190C">
      <w:pPr>
        <w:adjustRightInd w:val="0"/>
        <w:snapToGrid w:val="0"/>
        <w:spacing w:after="0"/>
        <w:jc w:val="left"/>
        <w:rPr>
          <w:rFonts w:ascii="Times New Roman" w:hAnsi="Times New Roman"/>
          <w:color w:val="000000"/>
        </w:rPr>
      </w:pPr>
    </w:p>
    <w:p w14:paraId="749666F0"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SAMOA</w:t>
      </w:r>
    </w:p>
    <w:p w14:paraId="48F7F7E7" w14:textId="77777777" w:rsidR="006B2F2D" w:rsidRPr="006B2F2D" w:rsidRDefault="006B2F2D" w:rsidP="0054190C">
      <w:pPr>
        <w:adjustRightInd w:val="0"/>
        <w:snapToGrid w:val="0"/>
        <w:spacing w:after="0"/>
        <w:jc w:val="left"/>
        <w:rPr>
          <w:rFonts w:ascii="Times New Roman" w:hAnsi="Times New Roman"/>
          <w:b/>
          <w:noProof/>
          <w:color w:val="000000"/>
        </w:rPr>
      </w:pPr>
    </w:p>
    <w:p w14:paraId="6BEE365A"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Ueta Faasili Jr.</w:t>
      </w:r>
    </w:p>
    <w:p w14:paraId="2CA807F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Fisheries Officer</w:t>
      </w:r>
    </w:p>
    <w:p w14:paraId="45457BF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Agriculture and Fisheries</w:t>
      </w:r>
    </w:p>
    <w:p w14:paraId="15B0D32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'ueta.faasili@maf.gov.ws'</w:t>
      </w:r>
    </w:p>
    <w:p w14:paraId="3BA02ECB" w14:textId="77777777" w:rsidR="006B2F2D" w:rsidRPr="006B2F2D" w:rsidRDefault="006B2F2D" w:rsidP="0054190C">
      <w:pPr>
        <w:adjustRightInd w:val="0"/>
        <w:snapToGrid w:val="0"/>
        <w:spacing w:after="0"/>
        <w:jc w:val="left"/>
        <w:rPr>
          <w:rFonts w:ascii="Times New Roman" w:hAnsi="Times New Roman"/>
          <w:color w:val="000000"/>
        </w:rPr>
      </w:pPr>
    </w:p>
    <w:p w14:paraId="0B2FF61E"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SOLOMON ISLANDS</w:t>
      </w:r>
    </w:p>
    <w:p w14:paraId="4A01A49B" w14:textId="77777777" w:rsidR="006B2F2D" w:rsidRPr="006B2F2D" w:rsidRDefault="006B2F2D" w:rsidP="0054190C">
      <w:pPr>
        <w:adjustRightInd w:val="0"/>
        <w:snapToGrid w:val="0"/>
        <w:spacing w:after="0"/>
        <w:jc w:val="left"/>
        <w:rPr>
          <w:rFonts w:ascii="Times New Roman" w:hAnsi="Times New Roman"/>
          <w:b/>
          <w:noProof/>
          <w:color w:val="000000"/>
        </w:rPr>
      </w:pPr>
    </w:p>
    <w:p w14:paraId="3C14A1A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Francis Tofuakalo</w:t>
      </w:r>
    </w:p>
    <w:p w14:paraId="7E8976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Director Offshore Fisheries</w:t>
      </w:r>
    </w:p>
    <w:p w14:paraId="7A9CA43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Solomon Islands Ministry of Fisheries and Marine Resources</w:t>
      </w:r>
    </w:p>
    <w:p w14:paraId="6654F2B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P.O.Box G2, Kukum Highway, Honiara, Solomon Islands</w:t>
      </w:r>
    </w:p>
    <w:p w14:paraId="63EFAEB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39143</w:t>
      </w:r>
    </w:p>
    <w:p w14:paraId="7D0DAB3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ftofuakalo@fisheries.gov.sb</w:t>
      </w:r>
    </w:p>
    <w:p w14:paraId="106D706A" w14:textId="77777777" w:rsidR="006B2F2D" w:rsidRPr="006B2F2D" w:rsidRDefault="006B2F2D" w:rsidP="0054190C">
      <w:pPr>
        <w:adjustRightInd w:val="0"/>
        <w:snapToGrid w:val="0"/>
        <w:spacing w:after="0"/>
        <w:jc w:val="left"/>
        <w:rPr>
          <w:rFonts w:ascii="Times New Roman" w:hAnsi="Times New Roman"/>
          <w:color w:val="000000"/>
        </w:rPr>
      </w:pPr>
    </w:p>
    <w:p w14:paraId="517E3E7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Leon Hickie</w:t>
      </w:r>
    </w:p>
    <w:p w14:paraId="7330332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Principle Fisheries Officer</w:t>
      </w:r>
    </w:p>
    <w:p w14:paraId="1B272E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 and Marine Resources</w:t>
      </w:r>
    </w:p>
    <w:p w14:paraId="4936255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G2, Honiara, Solomon Islands</w:t>
      </w:r>
    </w:p>
    <w:p w14:paraId="3D4294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677 39139</w:t>
      </w:r>
    </w:p>
    <w:p w14:paraId="3E44168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lhickie@fisheries.gov.sb</w:t>
      </w:r>
    </w:p>
    <w:p w14:paraId="5521DE9C" w14:textId="77777777" w:rsidR="006B2F2D" w:rsidRPr="006B2F2D" w:rsidRDefault="006B2F2D" w:rsidP="0054190C">
      <w:pPr>
        <w:adjustRightInd w:val="0"/>
        <w:snapToGrid w:val="0"/>
        <w:spacing w:after="0"/>
        <w:jc w:val="left"/>
        <w:rPr>
          <w:rFonts w:ascii="Times New Roman" w:hAnsi="Times New Roman"/>
          <w:color w:val="000000"/>
        </w:rPr>
      </w:pPr>
    </w:p>
    <w:p w14:paraId="0F65FA2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Ellison Mason</w:t>
      </w:r>
    </w:p>
    <w:p w14:paraId="5639E70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Chief Desk Officer</w:t>
      </w:r>
    </w:p>
    <w:p w14:paraId="0661015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Foreign Affairs and External Trade, Regional Economic Cooperation Branch</w:t>
      </w:r>
    </w:p>
    <w:p w14:paraId="527D1B8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G10 865</w:t>
      </w:r>
    </w:p>
    <w:p w14:paraId="249506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677 21250, 21251</w:t>
      </w:r>
    </w:p>
    <w:p w14:paraId="0434644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ellisonmason1@gmail.com; ellison.mason@mfaet.gov.sb</w:t>
      </w:r>
    </w:p>
    <w:p w14:paraId="68F819DC" w14:textId="77777777" w:rsidR="006B2F2D" w:rsidRPr="006B2F2D" w:rsidRDefault="006B2F2D" w:rsidP="0054190C">
      <w:pPr>
        <w:adjustRightInd w:val="0"/>
        <w:snapToGrid w:val="0"/>
        <w:spacing w:after="0"/>
        <w:jc w:val="left"/>
        <w:rPr>
          <w:rFonts w:ascii="Times New Roman" w:hAnsi="Times New Roman"/>
          <w:color w:val="000000"/>
        </w:rPr>
      </w:pPr>
    </w:p>
    <w:p w14:paraId="110508DB"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CHINESE TAIPEI</w:t>
      </w:r>
    </w:p>
    <w:p w14:paraId="09317DAC" w14:textId="77777777" w:rsidR="006B2F2D" w:rsidRPr="006B2F2D" w:rsidRDefault="006B2F2D" w:rsidP="0054190C">
      <w:pPr>
        <w:adjustRightInd w:val="0"/>
        <w:snapToGrid w:val="0"/>
        <w:spacing w:after="0"/>
        <w:jc w:val="left"/>
        <w:rPr>
          <w:rFonts w:ascii="Times New Roman" w:hAnsi="Times New Roman"/>
          <w:b/>
          <w:noProof/>
          <w:color w:val="000000"/>
        </w:rPr>
      </w:pPr>
    </w:p>
    <w:p w14:paraId="4AAEE73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Hsiang-Yi Yu</w:t>
      </w:r>
    </w:p>
    <w:p w14:paraId="32E9A1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Associate Specialist</w:t>
      </w:r>
    </w:p>
    <w:p w14:paraId="47EBF1C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Agency, Council of Agriculture</w:t>
      </w:r>
    </w:p>
    <w:p w14:paraId="41A7B5F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8F., No.100, Sec. 2, Heping W. Rd., Zhongzheng Dist., Taipei City 10070, Taiwan</w:t>
      </w:r>
    </w:p>
    <w:p w14:paraId="59FC879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886-2-23835879</w:t>
      </w:r>
    </w:p>
    <w:p w14:paraId="47E9A06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hsiangyi@ms1.fa.gov.tw</w:t>
      </w:r>
    </w:p>
    <w:p w14:paraId="68BBDB12" w14:textId="77777777" w:rsidR="006B2F2D" w:rsidRPr="006B2F2D" w:rsidRDefault="006B2F2D" w:rsidP="0054190C">
      <w:pPr>
        <w:adjustRightInd w:val="0"/>
        <w:snapToGrid w:val="0"/>
        <w:spacing w:after="0"/>
        <w:jc w:val="left"/>
        <w:rPr>
          <w:rFonts w:ascii="Times New Roman" w:hAnsi="Times New Roman"/>
          <w:color w:val="000000"/>
        </w:rPr>
      </w:pPr>
    </w:p>
    <w:p w14:paraId="09D0363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Hung-I Liu</w:t>
      </w:r>
    </w:p>
    <w:p w14:paraId="13BC3B9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Statistician</w:t>
      </w:r>
    </w:p>
    <w:p w14:paraId="3747BDE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Overseas Fisheries Development Council</w:t>
      </w:r>
    </w:p>
    <w:p w14:paraId="564CB51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3F., No. 14, Wenzhou St., Taipei 10648, Taiwan</w:t>
      </w:r>
    </w:p>
    <w:p w14:paraId="57CBDDF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+886-2-23680889 ext. 124</w:t>
      </w:r>
    </w:p>
    <w:p w14:paraId="43101A5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luoe@ofdc.org.tw</w:t>
      </w:r>
    </w:p>
    <w:p w14:paraId="5BCE3C03" w14:textId="77777777" w:rsidR="006B2F2D" w:rsidRPr="006B2F2D" w:rsidRDefault="006B2F2D" w:rsidP="0054190C">
      <w:pPr>
        <w:adjustRightInd w:val="0"/>
        <w:snapToGrid w:val="0"/>
        <w:spacing w:after="0"/>
        <w:jc w:val="left"/>
        <w:rPr>
          <w:rFonts w:ascii="Times New Roman" w:hAnsi="Times New Roman"/>
          <w:color w:val="000000"/>
        </w:rPr>
      </w:pPr>
    </w:p>
    <w:p w14:paraId="11E12DD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Ren-Fen Wu</w:t>
      </w:r>
    </w:p>
    <w:p w14:paraId="06A8300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of Information Division</w:t>
      </w:r>
    </w:p>
    <w:p w14:paraId="7D483D3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Overseas Fisheries Development Council</w:t>
      </w:r>
    </w:p>
    <w:p w14:paraId="576210D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3F., No. 14, Wenzhou St., Taipei 10648, Taiwan</w:t>
      </w:r>
    </w:p>
    <w:p w14:paraId="682C230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+886-2-23680889 ext. 118</w:t>
      </w:r>
    </w:p>
    <w:p w14:paraId="00489C1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fan@ofdc.org.tw</w:t>
      </w:r>
    </w:p>
    <w:p w14:paraId="7C99AC78" w14:textId="77777777" w:rsidR="006B2F2D" w:rsidRPr="006B2F2D" w:rsidRDefault="006B2F2D" w:rsidP="0054190C">
      <w:pPr>
        <w:adjustRightInd w:val="0"/>
        <w:snapToGrid w:val="0"/>
        <w:spacing w:after="0"/>
        <w:jc w:val="left"/>
        <w:rPr>
          <w:rFonts w:ascii="Times New Roman" w:hAnsi="Times New Roman"/>
          <w:b/>
          <w:noProof/>
          <w:color w:val="000000"/>
        </w:rPr>
      </w:pPr>
    </w:p>
    <w:p w14:paraId="2E7A70A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Shui-Kai Chang</w:t>
      </w:r>
    </w:p>
    <w:p w14:paraId="2A4199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Professor</w:t>
      </w:r>
    </w:p>
    <w:p w14:paraId="31A8D3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National Sun Yat-sen University</w:t>
      </w:r>
    </w:p>
    <w:p w14:paraId="34CA9A5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 70, Lienhai Rd., Kaohsiung 80424, Taiwan</w:t>
      </w:r>
    </w:p>
    <w:p w14:paraId="5B8F6B1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+886-7-5252000 ext. 5303</w:t>
      </w:r>
    </w:p>
    <w:p w14:paraId="280D5F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skchang@faculty.nsysu.edu.tw</w:t>
      </w:r>
    </w:p>
    <w:p w14:paraId="24195A88" w14:textId="77777777" w:rsidR="006B2F2D" w:rsidRPr="006B2F2D" w:rsidRDefault="006B2F2D" w:rsidP="0054190C">
      <w:pPr>
        <w:adjustRightInd w:val="0"/>
        <w:snapToGrid w:val="0"/>
        <w:spacing w:after="0"/>
        <w:jc w:val="left"/>
        <w:rPr>
          <w:rFonts w:ascii="Times New Roman" w:hAnsi="Times New Roman"/>
          <w:color w:val="000000"/>
        </w:rPr>
      </w:pPr>
    </w:p>
    <w:p w14:paraId="7BB2E719"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TONGA</w:t>
      </w:r>
    </w:p>
    <w:p w14:paraId="1958A62A" w14:textId="77777777" w:rsidR="006B2F2D" w:rsidRPr="006B2F2D" w:rsidRDefault="006B2F2D" w:rsidP="0054190C">
      <w:pPr>
        <w:adjustRightInd w:val="0"/>
        <w:snapToGrid w:val="0"/>
        <w:spacing w:after="0"/>
        <w:jc w:val="left"/>
        <w:rPr>
          <w:rFonts w:ascii="Times New Roman" w:hAnsi="Times New Roman"/>
          <w:b/>
          <w:noProof/>
          <w:color w:val="000000"/>
        </w:rPr>
      </w:pPr>
    </w:p>
    <w:p w14:paraId="78EB6B4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Tuikolongahau Halafihi</w:t>
      </w:r>
    </w:p>
    <w:p w14:paraId="7A80653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CEO, Ministry of Fisheries</w:t>
      </w:r>
    </w:p>
    <w:p w14:paraId="2AB75B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w:t>
      </w:r>
    </w:p>
    <w:p w14:paraId="574C6E1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Nuku'alofa, Tonga</w:t>
      </w:r>
    </w:p>
    <w:p w14:paraId="2A27B69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21-399</w:t>
      </w:r>
    </w:p>
    <w:p w14:paraId="50951AC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supi64t@gmail.com</w:t>
      </w:r>
    </w:p>
    <w:p w14:paraId="0330D5D5" w14:textId="77777777" w:rsidR="006B2F2D" w:rsidRPr="006B2F2D" w:rsidRDefault="006B2F2D" w:rsidP="0054190C">
      <w:pPr>
        <w:adjustRightInd w:val="0"/>
        <w:snapToGrid w:val="0"/>
        <w:spacing w:after="0"/>
        <w:jc w:val="left"/>
        <w:rPr>
          <w:rFonts w:ascii="Times New Roman" w:hAnsi="Times New Roman"/>
          <w:color w:val="000000"/>
        </w:rPr>
      </w:pPr>
    </w:p>
    <w:p w14:paraId="0387ECD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Siola'a Malimali</w:t>
      </w:r>
    </w:p>
    <w:p w14:paraId="1095271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CEO - Fisheries Science Division</w:t>
      </w:r>
    </w:p>
    <w:p w14:paraId="4509259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w:t>
      </w:r>
    </w:p>
    <w:p w14:paraId="0AF409B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 P.O.Box 871, Nuku'alofa, Tonga</w:t>
      </w:r>
    </w:p>
    <w:p w14:paraId="4F24618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676 21399</w:t>
      </w:r>
    </w:p>
    <w:p w14:paraId="41BF5C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s.malimali@tongafish.gov.to</w:t>
      </w:r>
    </w:p>
    <w:p w14:paraId="6548B0C2" w14:textId="77777777" w:rsidR="006B2F2D" w:rsidRPr="006B2F2D" w:rsidRDefault="006B2F2D" w:rsidP="0054190C">
      <w:pPr>
        <w:adjustRightInd w:val="0"/>
        <w:snapToGrid w:val="0"/>
        <w:spacing w:after="0"/>
        <w:jc w:val="left"/>
        <w:rPr>
          <w:rFonts w:ascii="Times New Roman" w:hAnsi="Times New Roman"/>
          <w:color w:val="000000"/>
        </w:rPr>
      </w:pPr>
    </w:p>
    <w:p w14:paraId="30B1FE6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Lavinia Vaipuna</w:t>
      </w:r>
    </w:p>
    <w:p w14:paraId="3779C64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Computer Progrmmer/Incharge of Offshore Section</w:t>
      </w:r>
    </w:p>
    <w:p w14:paraId="55B789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w:t>
      </w:r>
    </w:p>
    <w:p w14:paraId="7D2B5D7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Fisheries, P.O.Box 871, Nuku'alofa, Tonga</w:t>
      </w:r>
    </w:p>
    <w:p w14:paraId="03AC8CB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676 21399</w:t>
      </w:r>
    </w:p>
    <w:p w14:paraId="0D9F526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laviniav@tongafish.gov.to</w:t>
      </w:r>
    </w:p>
    <w:p w14:paraId="3429E26F" w14:textId="77777777" w:rsidR="006B2F2D" w:rsidRPr="006B2F2D" w:rsidRDefault="006B2F2D" w:rsidP="0054190C">
      <w:pPr>
        <w:adjustRightInd w:val="0"/>
        <w:snapToGrid w:val="0"/>
        <w:spacing w:after="0"/>
        <w:jc w:val="left"/>
        <w:rPr>
          <w:rFonts w:ascii="Times New Roman" w:hAnsi="Times New Roman"/>
          <w:color w:val="000000"/>
        </w:rPr>
      </w:pPr>
    </w:p>
    <w:p w14:paraId="45E09710" w14:textId="77777777" w:rsidR="006B2F2D" w:rsidRPr="006B2F2D" w:rsidRDefault="006B2F2D" w:rsidP="0054190C">
      <w:pPr>
        <w:adjustRightInd w:val="0"/>
        <w:snapToGrid w:val="0"/>
        <w:spacing w:after="0"/>
        <w:jc w:val="left"/>
        <w:rPr>
          <w:rFonts w:ascii="Times New Roman" w:hAnsi="Times New Roman"/>
          <w:b/>
          <w:i/>
          <w:color w:val="000000"/>
        </w:rPr>
      </w:pPr>
      <w:r w:rsidRPr="006B2F2D">
        <w:rPr>
          <w:rFonts w:ascii="Times New Roman" w:hAnsi="Times New Roman"/>
          <w:b/>
          <w:i/>
          <w:color w:val="000000"/>
        </w:rPr>
        <w:t>TUVALU</w:t>
      </w:r>
    </w:p>
    <w:p w14:paraId="54101960" w14:textId="77777777" w:rsidR="006B2F2D" w:rsidRPr="006B2F2D" w:rsidRDefault="006B2F2D" w:rsidP="0054190C">
      <w:pPr>
        <w:adjustRightInd w:val="0"/>
        <w:snapToGrid w:val="0"/>
        <w:spacing w:after="0"/>
        <w:jc w:val="left"/>
        <w:rPr>
          <w:rFonts w:ascii="Times New Roman" w:hAnsi="Times New Roman"/>
          <w:b/>
          <w:noProof/>
          <w:color w:val="000000"/>
        </w:rPr>
      </w:pPr>
    </w:p>
    <w:p w14:paraId="08AA6C8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Siouala Malua</w:t>
      </w:r>
    </w:p>
    <w:p w14:paraId="0D12BC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Officer - Licensing &amp; Data</w:t>
      </w:r>
    </w:p>
    <w:p w14:paraId="22E3E56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vaitulu.tupz@gmail.com; sioualam@tuvalufisheries.tv</w:t>
      </w:r>
    </w:p>
    <w:p w14:paraId="1BE4F4C4" w14:textId="77777777" w:rsidR="006B2F2D" w:rsidRPr="006B2F2D" w:rsidRDefault="006B2F2D" w:rsidP="0054190C">
      <w:pPr>
        <w:adjustRightInd w:val="0"/>
        <w:snapToGrid w:val="0"/>
        <w:spacing w:after="0"/>
        <w:jc w:val="left"/>
        <w:rPr>
          <w:rFonts w:ascii="Times New Roman" w:hAnsi="Times New Roman"/>
          <w:color w:val="000000"/>
        </w:rPr>
      </w:pPr>
    </w:p>
    <w:p w14:paraId="398ED43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UNITED STATES OF AMERICA</w:t>
      </w:r>
    </w:p>
    <w:p w14:paraId="376F8FEE" w14:textId="77777777" w:rsidR="006B2F2D" w:rsidRPr="006B2F2D" w:rsidRDefault="006B2F2D" w:rsidP="0054190C">
      <w:pPr>
        <w:adjustRightInd w:val="0"/>
        <w:snapToGrid w:val="0"/>
        <w:spacing w:after="0"/>
        <w:jc w:val="left"/>
        <w:rPr>
          <w:rFonts w:ascii="Times New Roman" w:hAnsi="Times New Roman"/>
          <w:b/>
          <w:noProof/>
          <w:color w:val="000000"/>
        </w:rPr>
      </w:pPr>
    </w:p>
    <w:p w14:paraId="4DF16A6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Keith Bigelow</w:t>
      </w:r>
    </w:p>
    <w:p w14:paraId="418C2CE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Biologist</w:t>
      </w:r>
    </w:p>
    <w:p w14:paraId="39A2EC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PIFSC</w:t>
      </w:r>
    </w:p>
    <w:p w14:paraId="3A49D5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PIFSC, 1845 Wasp Blvd., Bldg 176, Honolulu, HI 96818</w:t>
      </w:r>
    </w:p>
    <w:p w14:paraId="3D85FC1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808 725 5388</w:t>
      </w:r>
    </w:p>
    <w:p w14:paraId="5824FF61" w14:textId="53D13104" w:rsidR="006B2F2D" w:rsidRDefault="00213E61" w:rsidP="0054190C">
      <w:pPr>
        <w:adjustRightInd w:val="0"/>
        <w:snapToGrid w:val="0"/>
        <w:spacing w:after="0"/>
        <w:jc w:val="left"/>
        <w:rPr>
          <w:rFonts w:ascii="Times New Roman" w:hAnsi="Times New Roman"/>
          <w:noProof/>
          <w:color w:val="000000"/>
        </w:rPr>
      </w:pPr>
      <w:r w:rsidRPr="00213E61">
        <w:rPr>
          <w:rFonts w:ascii="Times New Roman" w:hAnsi="Times New Roman"/>
          <w:noProof/>
          <w:color w:val="000000"/>
        </w:rPr>
        <w:t>keith.bigelow@noaa.gov</w:t>
      </w:r>
    </w:p>
    <w:p w14:paraId="35F962CB" w14:textId="77777777" w:rsidR="00213E61" w:rsidRPr="006B2F2D" w:rsidRDefault="00213E61" w:rsidP="0054190C">
      <w:pPr>
        <w:adjustRightInd w:val="0"/>
        <w:snapToGrid w:val="0"/>
        <w:spacing w:after="0"/>
        <w:jc w:val="left"/>
        <w:rPr>
          <w:rFonts w:ascii="Times New Roman" w:hAnsi="Times New Roman"/>
          <w:color w:val="000000"/>
        </w:rPr>
      </w:pPr>
    </w:p>
    <w:p w14:paraId="70CC642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Jon Brodziak</w:t>
      </w:r>
    </w:p>
    <w:p w14:paraId="6C2A51B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Biologist</w:t>
      </w:r>
    </w:p>
    <w:p w14:paraId="2E8E43A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PIFSC</w:t>
      </w:r>
    </w:p>
    <w:p w14:paraId="22C5697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PIFSC, 1845 Wasp Blvd., Bldg 176, Honolulu, HI 96818</w:t>
      </w:r>
    </w:p>
    <w:p w14:paraId="0A6B6B8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808 725 5617</w:t>
      </w:r>
    </w:p>
    <w:p w14:paraId="56099C9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jon.brodziak@noaa.gov</w:t>
      </w:r>
    </w:p>
    <w:p w14:paraId="49CA5388" w14:textId="77777777" w:rsidR="006B2F2D" w:rsidRPr="006B2F2D" w:rsidRDefault="006B2F2D" w:rsidP="0054190C">
      <w:pPr>
        <w:adjustRightInd w:val="0"/>
        <w:snapToGrid w:val="0"/>
        <w:spacing w:after="0"/>
        <w:jc w:val="left"/>
        <w:rPr>
          <w:rFonts w:ascii="Times New Roman" w:hAnsi="Times New Roman"/>
          <w:color w:val="000000"/>
        </w:rPr>
      </w:pPr>
    </w:p>
    <w:p w14:paraId="71F3651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Felipe Carvalho</w:t>
      </w:r>
    </w:p>
    <w:p w14:paraId="217A17A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 Mathematical Statistician</w:t>
      </w:r>
    </w:p>
    <w:p w14:paraId="63E9EB2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PIFSC</w:t>
      </w:r>
    </w:p>
    <w:p w14:paraId="1FF0468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PIFSC, 1845 Wasp Blvd., Bldg 176, Honolulu, HI 96818</w:t>
      </w:r>
    </w:p>
    <w:p w14:paraId="5FCED52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808 725 5605</w:t>
      </w:r>
    </w:p>
    <w:p w14:paraId="1CD41BC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felipe.carvalho@noaa.gov</w:t>
      </w:r>
    </w:p>
    <w:p w14:paraId="103A5645" w14:textId="77777777" w:rsidR="006B2F2D" w:rsidRPr="006B2F2D" w:rsidRDefault="006B2F2D" w:rsidP="0054190C">
      <w:pPr>
        <w:adjustRightInd w:val="0"/>
        <w:snapToGrid w:val="0"/>
        <w:spacing w:after="0"/>
        <w:jc w:val="left"/>
        <w:rPr>
          <w:rFonts w:ascii="Times New Roman" w:hAnsi="Times New Roman"/>
          <w:color w:val="000000"/>
        </w:rPr>
      </w:pPr>
    </w:p>
    <w:p w14:paraId="290C58A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Valerie Post</w:t>
      </w:r>
    </w:p>
    <w:p w14:paraId="59B1D25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Fishery Policy Analyst</w:t>
      </w:r>
    </w:p>
    <w:p w14:paraId="15E00F8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PIRO</w:t>
      </w:r>
    </w:p>
    <w:p w14:paraId="4FBF99E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PIRO, 1845 Wasp Blvd., Bldg 176, Honolulu, HI 96818</w:t>
      </w:r>
    </w:p>
    <w:p w14:paraId="0480558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808 725 5034</w:t>
      </w:r>
    </w:p>
    <w:p w14:paraId="4A5D629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valerie.post@noaa.gov</w:t>
      </w:r>
    </w:p>
    <w:p w14:paraId="7B9B6F06" w14:textId="77777777" w:rsidR="006B2F2D" w:rsidRPr="006B2F2D" w:rsidRDefault="006B2F2D" w:rsidP="0054190C">
      <w:pPr>
        <w:adjustRightInd w:val="0"/>
        <w:snapToGrid w:val="0"/>
        <w:spacing w:after="0"/>
        <w:jc w:val="left"/>
        <w:rPr>
          <w:rFonts w:ascii="Times New Roman" w:hAnsi="Times New Roman"/>
          <w:color w:val="000000"/>
        </w:rPr>
      </w:pPr>
    </w:p>
    <w:p w14:paraId="14FF404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Daniel Curran</w:t>
      </w:r>
    </w:p>
    <w:p w14:paraId="1F51AA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Biologist</w:t>
      </w:r>
    </w:p>
    <w:p w14:paraId="1B04E2A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PIFSC</w:t>
      </w:r>
    </w:p>
    <w:p w14:paraId="2577271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PIFSC, 1845 Wasp Blvd., Bldg 176, Honolulu, HI 96818</w:t>
      </w:r>
    </w:p>
    <w:p w14:paraId="67224B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808 725 5382</w:t>
      </w:r>
    </w:p>
    <w:p w14:paraId="29C4EF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daniel.curran@noaa.gov</w:t>
      </w:r>
    </w:p>
    <w:p w14:paraId="032493F0" w14:textId="77777777" w:rsidR="006B2F2D" w:rsidRPr="006B2F2D" w:rsidRDefault="006B2F2D" w:rsidP="0054190C">
      <w:pPr>
        <w:adjustRightInd w:val="0"/>
        <w:snapToGrid w:val="0"/>
        <w:spacing w:after="0"/>
        <w:jc w:val="left"/>
        <w:rPr>
          <w:rFonts w:ascii="Times New Roman" w:hAnsi="Times New Roman"/>
        </w:rPr>
      </w:pPr>
    </w:p>
    <w:p w14:paraId="2D4C058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Melanie Hutchinson</w:t>
      </w:r>
    </w:p>
    <w:p w14:paraId="587CCD6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Marine Researcher</w:t>
      </w:r>
    </w:p>
    <w:p w14:paraId="46E0021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JIMAR UH</w:t>
      </w:r>
    </w:p>
    <w:p w14:paraId="1ABC1B5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IRC NMFS/ PIFSC, 1845 Wasp Blvd., Bldg 176, Honolulu, HI 96818</w:t>
      </w:r>
    </w:p>
    <w:p w14:paraId="3D72D32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808 725 5362</w:t>
      </w:r>
    </w:p>
    <w:p w14:paraId="791AFEC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melanie.hutchinson@noaa.gov</w:t>
      </w:r>
    </w:p>
    <w:p w14:paraId="1BAD8F1C" w14:textId="77777777" w:rsidR="006B2F2D" w:rsidRPr="006B2F2D" w:rsidRDefault="006B2F2D" w:rsidP="0054190C">
      <w:pPr>
        <w:adjustRightInd w:val="0"/>
        <w:snapToGrid w:val="0"/>
        <w:spacing w:after="0"/>
        <w:jc w:val="left"/>
        <w:rPr>
          <w:rFonts w:ascii="Times New Roman" w:hAnsi="Times New Roman"/>
          <w:color w:val="000000"/>
        </w:rPr>
      </w:pPr>
    </w:p>
    <w:p w14:paraId="6C57E51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Eric Kingma</w:t>
      </w:r>
    </w:p>
    <w:p w14:paraId="02FC548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Intl. Fisheries, NEPA, Enforcement Coord.</w:t>
      </w:r>
    </w:p>
    <w:p w14:paraId="2542DF1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WPFMC</w:t>
      </w:r>
    </w:p>
    <w:p w14:paraId="1174288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1164 Bishop St., Ste. 1400, Honolulu, HI 96813</w:t>
      </w:r>
    </w:p>
    <w:p w14:paraId="3042B67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808 522 8141</w:t>
      </w:r>
    </w:p>
    <w:p w14:paraId="0A5F49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eric.kingma@wpcouncil.org</w:t>
      </w:r>
    </w:p>
    <w:p w14:paraId="0491A689" w14:textId="77777777" w:rsidR="006B2F2D" w:rsidRPr="006B2F2D" w:rsidRDefault="006B2F2D" w:rsidP="0054190C">
      <w:pPr>
        <w:adjustRightInd w:val="0"/>
        <w:snapToGrid w:val="0"/>
        <w:spacing w:after="0"/>
        <w:jc w:val="left"/>
        <w:rPr>
          <w:rFonts w:ascii="Times New Roman" w:hAnsi="Times New Roman"/>
          <w:color w:val="000000"/>
        </w:rPr>
      </w:pPr>
    </w:p>
    <w:p w14:paraId="62AE7C8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Steven Teo</w:t>
      </w:r>
    </w:p>
    <w:p w14:paraId="5AEB5D8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Biologist</w:t>
      </w:r>
    </w:p>
    <w:p w14:paraId="127080E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NOAA SWFSC</w:t>
      </w:r>
    </w:p>
    <w:p w14:paraId="010EDF5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8901 La Jolla Shores Drive, La Jolla, CA 92037, USA</w:t>
      </w:r>
    </w:p>
    <w:p w14:paraId="329BAF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858 546 7179</w:t>
      </w:r>
    </w:p>
    <w:p w14:paraId="19A4DA3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steve.teo@noaa.gov</w:t>
      </w:r>
    </w:p>
    <w:p w14:paraId="645510A4" w14:textId="77777777" w:rsidR="006B2F2D" w:rsidRPr="006B2F2D" w:rsidRDefault="006B2F2D" w:rsidP="0054190C">
      <w:pPr>
        <w:adjustRightInd w:val="0"/>
        <w:snapToGrid w:val="0"/>
        <w:spacing w:after="0"/>
        <w:jc w:val="left"/>
        <w:rPr>
          <w:rFonts w:ascii="Times New Roman" w:hAnsi="Times New Roman"/>
          <w:b/>
          <w:noProof/>
          <w:color w:val="000000"/>
        </w:rPr>
      </w:pPr>
    </w:p>
    <w:p w14:paraId="2E6C47C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Randi Thomas</w:t>
      </w:r>
    </w:p>
    <w:p w14:paraId="0B0B21A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45177E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American Tunaboat Association</w:t>
      </w:r>
    </w:p>
    <w:p w14:paraId="31639FB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One Tuna Lane, San Diego, CA  92101</w:t>
      </w:r>
    </w:p>
    <w:p w14:paraId="55F32CC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410 303 6048</w:t>
      </w:r>
    </w:p>
    <w:p w14:paraId="6D09034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rthomas@rptadvisors.com</w:t>
      </w:r>
    </w:p>
    <w:p w14:paraId="0DD00E8B" w14:textId="77777777" w:rsidR="006B2F2D" w:rsidRPr="006B2F2D" w:rsidRDefault="006B2F2D" w:rsidP="0054190C">
      <w:pPr>
        <w:adjustRightInd w:val="0"/>
        <w:snapToGrid w:val="0"/>
        <w:spacing w:after="0"/>
        <w:jc w:val="left"/>
        <w:rPr>
          <w:rFonts w:ascii="Times New Roman" w:hAnsi="Times New Roman"/>
          <w:color w:val="000000"/>
        </w:rPr>
      </w:pPr>
    </w:p>
    <w:p w14:paraId="01CAAA1D"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VANUATU</w:t>
      </w:r>
    </w:p>
    <w:p w14:paraId="56ECD62D" w14:textId="77777777" w:rsidR="006B2F2D" w:rsidRPr="006B2F2D" w:rsidRDefault="006B2F2D" w:rsidP="0054190C">
      <w:pPr>
        <w:adjustRightInd w:val="0"/>
        <w:snapToGrid w:val="0"/>
        <w:spacing w:after="0"/>
        <w:jc w:val="left"/>
        <w:rPr>
          <w:rFonts w:ascii="Times New Roman" w:hAnsi="Times New Roman"/>
          <w:b/>
          <w:noProof/>
          <w:color w:val="000000"/>
        </w:rPr>
      </w:pPr>
    </w:p>
    <w:p w14:paraId="56E16CA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Tony Taleo</w:t>
      </w:r>
    </w:p>
    <w:p w14:paraId="2112B15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Data Officer</w:t>
      </w:r>
    </w:p>
    <w:p w14:paraId="6529380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Vanuatu Fisheries</w:t>
      </w:r>
    </w:p>
    <w:p w14:paraId="795863C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PMB 9045 Port Vila, Vanuatu</w:t>
      </w:r>
    </w:p>
    <w:p w14:paraId="4EF98CD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Mob: (678) 5463595; Work (678) 23119</w:t>
      </w:r>
    </w:p>
    <w:p w14:paraId="569CADA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ttaleo@vanuatu.gov.vu</w:t>
      </w:r>
    </w:p>
    <w:p w14:paraId="53BEDD8C" w14:textId="77777777" w:rsidR="006B2F2D" w:rsidRPr="006B2F2D" w:rsidRDefault="006B2F2D" w:rsidP="0054190C">
      <w:pPr>
        <w:adjustRightInd w:val="0"/>
        <w:snapToGrid w:val="0"/>
        <w:spacing w:after="0"/>
        <w:jc w:val="left"/>
        <w:rPr>
          <w:rFonts w:ascii="Times New Roman" w:hAnsi="Times New Roman"/>
          <w:color w:val="000000"/>
        </w:rPr>
      </w:pPr>
    </w:p>
    <w:p w14:paraId="5C4623B1" w14:textId="77777777" w:rsidR="006B2F2D" w:rsidRPr="006B2F2D" w:rsidRDefault="006B2F2D" w:rsidP="0054190C">
      <w:pPr>
        <w:adjustRightInd w:val="0"/>
        <w:snapToGrid w:val="0"/>
        <w:spacing w:after="0"/>
        <w:jc w:val="left"/>
        <w:rPr>
          <w:rFonts w:ascii="Times New Roman" w:hAnsi="Times New Roman"/>
          <w:b/>
          <w:noProof/>
          <w:color w:val="000000"/>
        </w:rPr>
      </w:pPr>
      <w:r w:rsidRPr="006B2F2D">
        <w:rPr>
          <w:rFonts w:ascii="Times New Roman" w:hAnsi="Times New Roman"/>
          <w:b/>
          <w:noProof/>
          <w:color w:val="000000"/>
        </w:rPr>
        <w:t>PARTICIPATING TERRITORIES</w:t>
      </w:r>
    </w:p>
    <w:p w14:paraId="09D4235B" w14:textId="77777777" w:rsidR="006B2F2D" w:rsidRPr="006B2F2D" w:rsidRDefault="006B2F2D" w:rsidP="0054190C">
      <w:pPr>
        <w:adjustRightInd w:val="0"/>
        <w:snapToGrid w:val="0"/>
        <w:spacing w:after="0"/>
        <w:jc w:val="left"/>
        <w:rPr>
          <w:rFonts w:ascii="Times New Roman" w:hAnsi="Times New Roman"/>
          <w:b/>
          <w:noProof/>
          <w:color w:val="000000"/>
        </w:rPr>
      </w:pPr>
    </w:p>
    <w:p w14:paraId="2A5D1CAC"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AMERICAN SAMOA</w:t>
      </w:r>
    </w:p>
    <w:p w14:paraId="5121B851" w14:textId="77777777" w:rsidR="006B2F2D" w:rsidRPr="006B2F2D" w:rsidRDefault="006B2F2D" w:rsidP="0054190C">
      <w:pPr>
        <w:adjustRightInd w:val="0"/>
        <w:snapToGrid w:val="0"/>
        <w:spacing w:after="0"/>
        <w:jc w:val="left"/>
        <w:rPr>
          <w:rFonts w:ascii="Times New Roman" w:hAnsi="Times New Roman"/>
          <w:b/>
          <w:noProof/>
          <w:color w:val="000000"/>
        </w:rPr>
      </w:pPr>
    </w:p>
    <w:p w14:paraId="15A8E05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Domingo Ochavillo</w:t>
      </w:r>
    </w:p>
    <w:p w14:paraId="0AB3D03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ochavill@gmail.com</w:t>
      </w:r>
    </w:p>
    <w:p w14:paraId="2F486B15" w14:textId="77777777" w:rsidR="006B2F2D" w:rsidRPr="006B2F2D" w:rsidRDefault="006B2F2D" w:rsidP="0054190C">
      <w:pPr>
        <w:adjustRightInd w:val="0"/>
        <w:snapToGrid w:val="0"/>
        <w:spacing w:after="0"/>
        <w:jc w:val="left"/>
        <w:rPr>
          <w:rFonts w:ascii="Times New Roman" w:hAnsi="Times New Roman"/>
          <w:color w:val="000000"/>
        </w:rPr>
      </w:pPr>
    </w:p>
    <w:p w14:paraId="0840E3F1"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FRENCH POLYNESIA</w:t>
      </w:r>
    </w:p>
    <w:p w14:paraId="3C7549D3" w14:textId="77777777" w:rsidR="006B2F2D" w:rsidRPr="006B2F2D" w:rsidRDefault="006B2F2D" w:rsidP="0054190C">
      <w:pPr>
        <w:adjustRightInd w:val="0"/>
        <w:snapToGrid w:val="0"/>
        <w:spacing w:after="0"/>
        <w:jc w:val="left"/>
        <w:rPr>
          <w:rFonts w:ascii="Times New Roman" w:hAnsi="Times New Roman"/>
          <w:b/>
          <w:noProof/>
          <w:color w:val="000000"/>
        </w:rPr>
      </w:pPr>
    </w:p>
    <w:p w14:paraId="7A9E031C"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Soehnlen Marie</w:t>
      </w:r>
    </w:p>
    <w:p w14:paraId="1AEA32C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Officer</w:t>
      </w:r>
    </w:p>
    <w:p w14:paraId="25A9A0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Direction des ressources marines et minières (Marine and Mining Resources Authority)</w:t>
      </w:r>
    </w:p>
    <w:p w14:paraId="7785FE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BP 20 - 98713 Papeete Tahiti French Polynesia</w:t>
      </w:r>
    </w:p>
    <w:p w14:paraId="6A73772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+689 40 502550</w:t>
      </w:r>
    </w:p>
    <w:p w14:paraId="6AAE14E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marie.soehnlen@drm.gov.pf</w:t>
      </w:r>
    </w:p>
    <w:p w14:paraId="33652C60" w14:textId="77777777" w:rsidR="006B2F2D" w:rsidRPr="006B2F2D" w:rsidRDefault="006B2F2D" w:rsidP="0054190C">
      <w:pPr>
        <w:adjustRightInd w:val="0"/>
        <w:snapToGrid w:val="0"/>
        <w:spacing w:after="0"/>
        <w:jc w:val="left"/>
        <w:rPr>
          <w:rFonts w:ascii="Times New Roman" w:hAnsi="Times New Roman"/>
          <w:color w:val="000000"/>
        </w:rPr>
      </w:pPr>
    </w:p>
    <w:p w14:paraId="4B6430C5"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NEW CALEDONIA</w:t>
      </w:r>
    </w:p>
    <w:p w14:paraId="5DAFE3DC" w14:textId="77777777" w:rsidR="006B2F2D" w:rsidRPr="006B2F2D" w:rsidRDefault="006B2F2D" w:rsidP="0054190C">
      <w:pPr>
        <w:adjustRightInd w:val="0"/>
        <w:snapToGrid w:val="0"/>
        <w:spacing w:after="0"/>
        <w:jc w:val="left"/>
        <w:rPr>
          <w:rFonts w:ascii="Times New Roman" w:hAnsi="Times New Roman"/>
          <w:b/>
          <w:noProof/>
          <w:color w:val="000000"/>
        </w:rPr>
      </w:pPr>
    </w:p>
    <w:p w14:paraId="3FC5572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Manuel Ducrocq</w:t>
      </w:r>
    </w:p>
    <w:p w14:paraId="10AD19A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Head</w:t>
      </w:r>
    </w:p>
    <w:p w14:paraId="5BBF0FF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Fishery and Environment Department Maritime Affairs</w:t>
      </w:r>
    </w:p>
    <w:p w14:paraId="4BD52657" w14:textId="77777777" w:rsidR="006B2F2D" w:rsidRPr="006B2F2D" w:rsidRDefault="006B2F2D" w:rsidP="0054190C">
      <w:pPr>
        <w:adjustRightInd w:val="0"/>
        <w:snapToGrid w:val="0"/>
        <w:spacing w:after="0"/>
        <w:jc w:val="left"/>
        <w:rPr>
          <w:rFonts w:ascii="Times New Roman" w:hAnsi="Times New Roman"/>
          <w:noProof/>
          <w:color w:val="000000"/>
        </w:rPr>
      </w:pPr>
      <w:r w:rsidRPr="006B2F2D">
        <w:rPr>
          <w:rFonts w:ascii="Times New Roman" w:hAnsi="Times New Roman"/>
          <w:noProof/>
          <w:color w:val="000000"/>
        </w:rPr>
        <w:t xml:space="preserve">2 bis rue felix russeil 98845 Noumea, </w:t>
      </w:r>
    </w:p>
    <w:p w14:paraId="4B2CB1B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New Caledonia</w:t>
      </w:r>
    </w:p>
    <w:p w14:paraId="0CABB39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+687 270693</w:t>
      </w:r>
    </w:p>
    <w:p w14:paraId="3214B0F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manuel.ducrocq@gouv.nc</w:t>
      </w:r>
    </w:p>
    <w:p w14:paraId="5ED503A3" w14:textId="77777777" w:rsidR="006B2F2D" w:rsidRPr="006B2F2D" w:rsidRDefault="006B2F2D" w:rsidP="0054190C">
      <w:pPr>
        <w:adjustRightInd w:val="0"/>
        <w:snapToGrid w:val="0"/>
        <w:spacing w:after="0"/>
        <w:jc w:val="left"/>
        <w:rPr>
          <w:rFonts w:ascii="Times New Roman" w:hAnsi="Times New Roman"/>
          <w:color w:val="000000"/>
        </w:rPr>
      </w:pPr>
    </w:p>
    <w:p w14:paraId="2CF9683F"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TOKELAU</w:t>
      </w:r>
    </w:p>
    <w:p w14:paraId="7720FF2B" w14:textId="77777777" w:rsidR="006B2F2D" w:rsidRPr="006B2F2D" w:rsidRDefault="006B2F2D" w:rsidP="0054190C">
      <w:pPr>
        <w:adjustRightInd w:val="0"/>
        <w:snapToGrid w:val="0"/>
        <w:spacing w:after="0"/>
        <w:jc w:val="left"/>
        <w:rPr>
          <w:rFonts w:ascii="Times New Roman" w:hAnsi="Times New Roman"/>
          <w:b/>
          <w:noProof/>
          <w:color w:val="000000"/>
        </w:rPr>
      </w:pPr>
    </w:p>
    <w:p w14:paraId="47E9FCF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Feleti Tulafono</w:t>
      </w:r>
    </w:p>
    <w:p w14:paraId="769B9D8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Offshore Fisheries Officer</w:t>
      </w:r>
    </w:p>
    <w:p w14:paraId="4AF7042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EDNRE</w:t>
      </w:r>
    </w:p>
    <w:p w14:paraId="016845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Fakaofo, Tokelau</w:t>
      </w:r>
    </w:p>
    <w:p w14:paraId="1830FCD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+690 23113 / 23134</w:t>
      </w:r>
    </w:p>
    <w:p w14:paraId="2A5FEB7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ftulafono@gmail.com</w:t>
      </w:r>
    </w:p>
    <w:p w14:paraId="3CD91E24" w14:textId="77777777" w:rsidR="006B2F2D" w:rsidRPr="006B2F2D" w:rsidRDefault="006B2F2D" w:rsidP="0054190C">
      <w:pPr>
        <w:adjustRightInd w:val="0"/>
        <w:snapToGrid w:val="0"/>
        <w:spacing w:after="0"/>
        <w:jc w:val="left"/>
        <w:rPr>
          <w:rFonts w:ascii="Times New Roman" w:hAnsi="Times New Roman"/>
          <w:color w:val="000000"/>
        </w:rPr>
      </w:pPr>
    </w:p>
    <w:p w14:paraId="70662E78" w14:textId="77777777" w:rsidR="006B2F2D" w:rsidRPr="006B2F2D" w:rsidRDefault="006B2F2D" w:rsidP="0054190C">
      <w:pPr>
        <w:adjustRightInd w:val="0"/>
        <w:snapToGrid w:val="0"/>
        <w:spacing w:after="0"/>
        <w:jc w:val="left"/>
        <w:rPr>
          <w:rFonts w:ascii="Times New Roman" w:hAnsi="Times New Roman"/>
          <w:b/>
          <w:noProof/>
          <w:color w:val="000000"/>
        </w:rPr>
      </w:pPr>
      <w:r w:rsidRPr="006B2F2D">
        <w:rPr>
          <w:rFonts w:ascii="Times New Roman" w:hAnsi="Times New Roman"/>
          <w:b/>
          <w:noProof/>
          <w:color w:val="000000"/>
        </w:rPr>
        <w:t>COOPERATING NON MEMBER</w:t>
      </w:r>
    </w:p>
    <w:p w14:paraId="1B119C98" w14:textId="77777777" w:rsidR="006B2F2D" w:rsidRPr="006B2F2D" w:rsidRDefault="006B2F2D" w:rsidP="0054190C">
      <w:pPr>
        <w:adjustRightInd w:val="0"/>
        <w:snapToGrid w:val="0"/>
        <w:spacing w:after="0"/>
        <w:jc w:val="left"/>
        <w:rPr>
          <w:rFonts w:ascii="Times New Roman" w:hAnsi="Times New Roman"/>
          <w:b/>
          <w:noProof/>
          <w:color w:val="000000"/>
        </w:rPr>
      </w:pPr>
    </w:p>
    <w:p w14:paraId="0DB13562"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VIETNAM</w:t>
      </w:r>
    </w:p>
    <w:p w14:paraId="6259B2FC" w14:textId="77777777" w:rsidR="006B2F2D" w:rsidRPr="006B2F2D" w:rsidRDefault="006B2F2D" w:rsidP="0054190C">
      <w:pPr>
        <w:adjustRightInd w:val="0"/>
        <w:snapToGrid w:val="0"/>
        <w:spacing w:after="0"/>
        <w:jc w:val="left"/>
        <w:rPr>
          <w:rFonts w:ascii="Times New Roman" w:hAnsi="Times New Roman"/>
          <w:b/>
          <w:i/>
          <w:noProof/>
          <w:color w:val="000000"/>
        </w:rPr>
      </w:pPr>
    </w:p>
    <w:p w14:paraId="26346B3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Pham Viet Anh</w:t>
      </w:r>
    </w:p>
    <w:p w14:paraId="440174D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Directorate of Fisheries</w:t>
      </w:r>
    </w:p>
    <w:p w14:paraId="06EB685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Agriculture and Rural Development</w:t>
      </w:r>
    </w:p>
    <w:p w14:paraId="100EB97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+84 4377 5082</w:t>
      </w:r>
    </w:p>
    <w:p w14:paraId="1FED8DE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phvietanh2003@gmail.com</w:t>
      </w:r>
    </w:p>
    <w:p w14:paraId="7769ACEF" w14:textId="77777777" w:rsidR="006B2F2D" w:rsidRPr="006B2F2D" w:rsidRDefault="006B2F2D" w:rsidP="0054190C">
      <w:pPr>
        <w:adjustRightInd w:val="0"/>
        <w:snapToGrid w:val="0"/>
        <w:spacing w:after="0"/>
        <w:jc w:val="left"/>
        <w:rPr>
          <w:rFonts w:ascii="Times New Roman" w:hAnsi="Times New Roman"/>
        </w:rPr>
      </w:pPr>
    </w:p>
    <w:p w14:paraId="2C1C3AB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Vu Viet Ha</w:t>
      </w:r>
    </w:p>
    <w:p w14:paraId="520676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Research Institute for Marine Fisheries (RIMF)</w:t>
      </w:r>
    </w:p>
    <w:p w14:paraId="5D0A24E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Ministry of Agriculture and Rural Development</w:t>
      </w:r>
    </w:p>
    <w:p w14:paraId="69372D2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+84 2253 500885</w:t>
      </w:r>
    </w:p>
    <w:p w14:paraId="04CC0C9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havuviet@gmail.com</w:t>
      </w:r>
    </w:p>
    <w:p w14:paraId="230B7AAF" w14:textId="77777777" w:rsidR="006B2F2D" w:rsidRPr="006B2F2D" w:rsidRDefault="006B2F2D" w:rsidP="0054190C">
      <w:pPr>
        <w:adjustRightInd w:val="0"/>
        <w:snapToGrid w:val="0"/>
        <w:spacing w:after="0"/>
        <w:jc w:val="left"/>
        <w:rPr>
          <w:rFonts w:ascii="Times New Roman" w:hAnsi="Times New Roman"/>
          <w:color w:val="000000"/>
        </w:rPr>
      </w:pPr>
    </w:p>
    <w:p w14:paraId="0A6E5B27" w14:textId="77777777" w:rsidR="006B2F2D" w:rsidRPr="006B2F2D" w:rsidRDefault="006B2F2D" w:rsidP="0054190C">
      <w:pPr>
        <w:adjustRightInd w:val="0"/>
        <w:snapToGrid w:val="0"/>
        <w:spacing w:after="0"/>
        <w:jc w:val="left"/>
        <w:rPr>
          <w:rFonts w:ascii="Times New Roman" w:hAnsi="Times New Roman"/>
          <w:b/>
          <w:noProof/>
          <w:color w:val="000000"/>
        </w:rPr>
      </w:pPr>
      <w:r w:rsidRPr="006B2F2D">
        <w:rPr>
          <w:rFonts w:ascii="Times New Roman" w:hAnsi="Times New Roman"/>
          <w:b/>
          <w:noProof/>
          <w:color w:val="000000"/>
        </w:rPr>
        <w:t>OBSERVERS</w:t>
      </w:r>
    </w:p>
    <w:p w14:paraId="46AB96E6" w14:textId="77777777" w:rsidR="006B2F2D" w:rsidRPr="006B2F2D" w:rsidRDefault="006B2F2D" w:rsidP="0054190C">
      <w:pPr>
        <w:adjustRightInd w:val="0"/>
        <w:snapToGrid w:val="0"/>
        <w:spacing w:after="0"/>
        <w:jc w:val="left"/>
        <w:rPr>
          <w:rFonts w:ascii="Times New Roman" w:hAnsi="Times New Roman"/>
          <w:b/>
          <w:noProof/>
          <w:color w:val="000000"/>
        </w:rPr>
      </w:pPr>
    </w:p>
    <w:p w14:paraId="3FC8C41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AMERICAN TUNABOAT ASSOCIATION (ATA)</w:t>
      </w:r>
    </w:p>
    <w:p w14:paraId="14171AE5" w14:textId="77777777" w:rsidR="006B2F2D" w:rsidRPr="006B2F2D" w:rsidRDefault="006B2F2D" w:rsidP="0054190C">
      <w:pPr>
        <w:adjustRightInd w:val="0"/>
        <w:snapToGrid w:val="0"/>
        <w:spacing w:after="0"/>
        <w:jc w:val="left"/>
        <w:rPr>
          <w:rFonts w:ascii="Times New Roman" w:hAnsi="Times New Roman"/>
          <w:b/>
          <w:noProof/>
          <w:color w:val="000000"/>
        </w:rPr>
      </w:pPr>
    </w:p>
    <w:p w14:paraId="556F7EA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Raymond Clarke</w:t>
      </w:r>
    </w:p>
    <w:p w14:paraId="315BE1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Vice President</w:t>
      </w:r>
    </w:p>
    <w:p w14:paraId="2CF83A7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South Pacific Tuna cORP</w:t>
      </w:r>
    </w:p>
    <w:p w14:paraId="49E6AAA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808-722-0486</w:t>
      </w:r>
    </w:p>
    <w:p w14:paraId="312D01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rclarke@sopactuna.com</w:t>
      </w:r>
    </w:p>
    <w:p w14:paraId="26AA5C4E" w14:textId="77777777" w:rsidR="006B2F2D" w:rsidRPr="006B2F2D" w:rsidRDefault="006B2F2D" w:rsidP="0054190C">
      <w:pPr>
        <w:adjustRightInd w:val="0"/>
        <w:snapToGrid w:val="0"/>
        <w:spacing w:after="0"/>
        <w:jc w:val="left"/>
        <w:rPr>
          <w:rFonts w:ascii="Times New Roman" w:hAnsi="Times New Roman"/>
          <w:color w:val="000000"/>
        </w:rPr>
      </w:pPr>
    </w:p>
    <w:p w14:paraId="70A3DF78"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BIRD LIFE INTERNATIONAL</w:t>
      </w:r>
    </w:p>
    <w:p w14:paraId="59C0F534" w14:textId="77777777" w:rsidR="006B2F2D" w:rsidRPr="006B2F2D" w:rsidRDefault="006B2F2D" w:rsidP="0054190C">
      <w:pPr>
        <w:adjustRightInd w:val="0"/>
        <w:snapToGrid w:val="0"/>
        <w:spacing w:after="0"/>
        <w:jc w:val="left"/>
        <w:rPr>
          <w:rFonts w:ascii="Times New Roman" w:hAnsi="Times New Roman"/>
          <w:b/>
          <w:noProof/>
          <w:color w:val="000000"/>
        </w:rPr>
      </w:pPr>
    </w:p>
    <w:p w14:paraId="5A8BBA6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Karen Baird</w:t>
      </w:r>
    </w:p>
    <w:p w14:paraId="3D7B24E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Regional Coordinator Oceania, BirdLife International Marine Programme</w:t>
      </w:r>
    </w:p>
    <w:p w14:paraId="3843E58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BirdLife International</w:t>
      </w:r>
    </w:p>
    <w:p w14:paraId="1FC9083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400 Leigh Road, RD 5</w:t>
      </w:r>
    </w:p>
    <w:p w14:paraId="7E4D0B3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+64 9 4226868</w:t>
      </w:r>
    </w:p>
    <w:p w14:paraId="6CB3D94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k.baird@forestandbird.org.nz</w:t>
      </w:r>
    </w:p>
    <w:p w14:paraId="4AA45223" w14:textId="77777777" w:rsidR="006B2F2D" w:rsidRPr="006B2F2D" w:rsidRDefault="006B2F2D" w:rsidP="0054190C">
      <w:pPr>
        <w:adjustRightInd w:val="0"/>
        <w:snapToGrid w:val="0"/>
        <w:spacing w:after="0"/>
        <w:jc w:val="left"/>
        <w:rPr>
          <w:rFonts w:ascii="Times New Roman" w:hAnsi="Times New Roman"/>
          <w:color w:val="000000"/>
        </w:rPr>
      </w:pPr>
    </w:p>
    <w:p w14:paraId="1CEFE99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Liam Kokaua</w:t>
      </w:r>
    </w:p>
    <w:p w14:paraId="3AE167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Project Officer</w:t>
      </w:r>
    </w:p>
    <w:p w14:paraId="743D261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BirdLife</w:t>
      </w:r>
    </w:p>
    <w:p w14:paraId="68EB0B6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649, Avarua, Rarotonga, Cook Islands</w:t>
      </w:r>
    </w:p>
    <w:p w14:paraId="1C227B5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+682 21144</w:t>
      </w:r>
    </w:p>
    <w:p w14:paraId="71E18B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l.kokaua@tiscookislands.org</w:t>
      </w:r>
    </w:p>
    <w:p w14:paraId="74B816A1" w14:textId="77777777" w:rsidR="006B2F2D" w:rsidRPr="006B2F2D" w:rsidRDefault="006B2F2D" w:rsidP="0054190C">
      <w:pPr>
        <w:adjustRightInd w:val="0"/>
        <w:snapToGrid w:val="0"/>
        <w:spacing w:after="0"/>
        <w:jc w:val="left"/>
        <w:rPr>
          <w:rFonts w:ascii="Times New Roman" w:hAnsi="Times New Roman"/>
          <w:color w:val="000000"/>
        </w:rPr>
      </w:pPr>
    </w:p>
    <w:p w14:paraId="554913E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Kelvin Passfield</w:t>
      </w:r>
    </w:p>
    <w:p w14:paraId="6F8D50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Technical Director</w:t>
      </w:r>
    </w:p>
    <w:p w14:paraId="1B5CA27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Te Ipukarea Society (Birdlife International Cook Islands partner)</w:t>
      </w:r>
    </w:p>
    <w:p w14:paraId="4BD169C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649, Rarotonga, Cook Islands</w:t>
      </w:r>
    </w:p>
    <w:p w14:paraId="3BD2BF4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682 21144</w:t>
      </w:r>
    </w:p>
    <w:p w14:paraId="1F008FB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k.passfield@tiscookislands.org</w:t>
      </w:r>
    </w:p>
    <w:p w14:paraId="73960431" w14:textId="77777777" w:rsidR="006B2F2D" w:rsidRPr="006B2F2D" w:rsidRDefault="006B2F2D" w:rsidP="0054190C">
      <w:pPr>
        <w:adjustRightInd w:val="0"/>
        <w:snapToGrid w:val="0"/>
        <w:spacing w:after="0"/>
        <w:jc w:val="left"/>
        <w:rPr>
          <w:rFonts w:ascii="Times New Roman" w:hAnsi="Times New Roman"/>
          <w:b/>
          <w:noProof/>
          <w:color w:val="000000"/>
        </w:rPr>
      </w:pPr>
    </w:p>
    <w:p w14:paraId="5D2BCC2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Alanna Smith</w:t>
      </w:r>
    </w:p>
    <w:p w14:paraId="7443D3D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Project Officer</w:t>
      </w:r>
    </w:p>
    <w:p w14:paraId="69232A4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Te Ipukarea Society</w:t>
      </w:r>
    </w:p>
    <w:p w14:paraId="051B09E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649 Rarotonga Cook Islands</w:t>
      </w:r>
    </w:p>
    <w:p w14:paraId="795841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+(682)21144</w:t>
      </w:r>
    </w:p>
    <w:p w14:paraId="49D3EB1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a.smith@tiscookislands.org</w:t>
      </w:r>
    </w:p>
    <w:p w14:paraId="61EF87A2" w14:textId="77777777" w:rsidR="006B2F2D" w:rsidRPr="006B2F2D" w:rsidRDefault="006B2F2D" w:rsidP="0054190C">
      <w:pPr>
        <w:adjustRightInd w:val="0"/>
        <w:snapToGrid w:val="0"/>
        <w:spacing w:after="0"/>
        <w:jc w:val="left"/>
        <w:rPr>
          <w:rFonts w:ascii="Times New Roman" w:hAnsi="Times New Roman"/>
          <w:color w:val="000000"/>
        </w:rPr>
      </w:pPr>
    </w:p>
    <w:p w14:paraId="3D33325C"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PACIFIC ISLANDS FORUM FISHERIES AGENCY (FFA)</w:t>
      </w:r>
    </w:p>
    <w:p w14:paraId="701FCB76" w14:textId="77777777" w:rsidR="006B2F2D" w:rsidRPr="006B2F2D" w:rsidRDefault="006B2F2D" w:rsidP="0054190C">
      <w:pPr>
        <w:adjustRightInd w:val="0"/>
        <w:snapToGrid w:val="0"/>
        <w:spacing w:after="0"/>
        <w:jc w:val="left"/>
        <w:rPr>
          <w:rFonts w:ascii="Times New Roman" w:hAnsi="Times New Roman"/>
          <w:b/>
          <w:noProof/>
          <w:color w:val="000000"/>
        </w:rPr>
      </w:pPr>
    </w:p>
    <w:p w14:paraId="0ECD581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Wez Norris</w:t>
      </w:r>
    </w:p>
    <w:p w14:paraId="76BA40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Deputy Director-General</w:t>
      </w:r>
    </w:p>
    <w:p w14:paraId="623A110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68ACA68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427DEA4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7391801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wez.norris@ffa.int</w:t>
      </w:r>
    </w:p>
    <w:p w14:paraId="2FEB7AC0" w14:textId="77777777" w:rsidR="006B2F2D" w:rsidRPr="006B2F2D" w:rsidRDefault="006B2F2D" w:rsidP="0054190C">
      <w:pPr>
        <w:adjustRightInd w:val="0"/>
        <w:snapToGrid w:val="0"/>
        <w:spacing w:after="0"/>
        <w:jc w:val="left"/>
        <w:rPr>
          <w:rFonts w:ascii="Times New Roman" w:hAnsi="Times New Roman"/>
          <w:color w:val="000000"/>
        </w:rPr>
      </w:pPr>
    </w:p>
    <w:p w14:paraId="77D0D86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Tim Adams</w:t>
      </w:r>
    </w:p>
    <w:p w14:paraId="220B2AF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 Fisheries Management</w:t>
      </w:r>
    </w:p>
    <w:p w14:paraId="217CBC2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494BA76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76629FF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40A0B13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tim.adams@ffa.int</w:t>
      </w:r>
    </w:p>
    <w:p w14:paraId="6FBC1C17" w14:textId="77777777" w:rsidR="006B2F2D" w:rsidRPr="006B2F2D" w:rsidRDefault="006B2F2D" w:rsidP="0054190C">
      <w:pPr>
        <w:adjustRightInd w:val="0"/>
        <w:snapToGrid w:val="0"/>
        <w:spacing w:after="0"/>
        <w:jc w:val="left"/>
        <w:rPr>
          <w:rFonts w:ascii="Times New Roman" w:hAnsi="Times New Roman"/>
          <w:color w:val="000000"/>
        </w:rPr>
      </w:pPr>
    </w:p>
    <w:p w14:paraId="1E8EA1A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Alice McDonald</w:t>
      </w:r>
    </w:p>
    <w:p w14:paraId="60DB805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Advisor</w:t>
      </w:r>
    </w:p>
    <w:p w14:paraId="5FD693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45EBE4B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05B1C89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10687A8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alice.mcdonald@ffa.int</w:t>
      </w:r>
    </w:p>
    <w:p w14:paraId="13327A8C" w14:textId="77777777" w:rsidR="006B2F2D" w:rsidRPr="006B2F2D" w:rsidRDefault="006B2F2D" w:rsidP="0054190C">
      <w:pPr>
        <w:adjustRightInd w:val="0"/>
        <w:snapToGrid w:val="0"/>
        <w:spacing w:after="0"/>
        <w:jc w:val="left"/>
        <w:rPr>
          <w:rFonts w:ascii="Times New Roman" w:hAnsi="Times New Roman"/>
          <w:color w:val="000000"/>
        </w:rPr>
      </w:pPr>
    </w:p>
    <w:p w14:paraId="129401F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Brian Kumasi</w:t>
      </w:r>
    </w:p>
    <w:p w14:paraId="531CF21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Advisor</w:t>
      </w:r>
    </w:p>
    <w:p w14:paraId="187F67F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6AC551B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2EDDB10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09DD2CA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brian.kumasi@ffa.int</w:t>
      </w:r>
    </w:p>
    <w:p w14:paraId="050653EB" w14:textId="77777777" w:rsidR="006B2F2D" w:rsidRPr="006B2F2D" w:rsidRDefault="006B2F2D" w:rsidP="0054190C">
      <w:pPr>
        <w:adjustRightInd w:val="0"/>
        <w:snapToGrid w:val="0"/>
        <w:spacing w:after="0"/>
        <w:jc w:val="left"/>
        <w:rPr>
          <w:rFonts w:ascii="Times New Roman" w:hAnsi="Times New Roman"/>
        </w:rPr>
      </w:pPr>
    </w:p>
    <w:p w14:paraId="5ECE04A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David Power</w:t>
      </w:r>
    </w:p>
    <w:p w14:paraId="20959A4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Adviser</w:t>
      </w:r>
    </w:p>
    <w:p w14:paraId="264BF87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4B88F92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60CB1EE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6B6DD75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david.power@ffa.int</w:t>
      </w:r>
    </w:p>
    <w:p w14:paraId="6FEBFB40" w14:textId="77777777" w:rsidR="006B2F2D" w:rsidRPr="006B2F2D" w:rsidRDefault="006B2F2D" w:rsidP="0054190C">
      <w:pPr>
        <w:adjustRightInd w:val="0"/>
        <w:snapToGrid w:val="0"/>
        <w:spacing w:after="0"/>
        <w:jc w:val="left"/>
        <w:rPr>
          <w:rFonts w:ascii="Times New Roman" w:hAnsi="Times New Roman"/>
          <w:b/>
          <w:noProof/>
          <w:color w:val="000000"/>
        </w:rPr>
      </w:pPr>
    </w:p>
    <w:p w14:paraId="4B12B8D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Pamela Maru</w:t>
      </w:r>
    </w:p>
    <w:p w14:paraId="2848F96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Adviser</w:t>
      </w:r>
    </w:p>
    <w:p w14:paraId="129599B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103720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2DF4327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0C4024C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pamela.maru@ffa.int</w:t>
      </w:r>
    </w:p>
    <w:p w14:paraId="13D0505F" w14:textId="77777777" w:rsidR="006B2F2D" w:rsidRPr="006B2F2D" w:rsidRDefault="006B2F2D" w:rsidP="0054190C">
      <w:pPr>
        <w:adjustRightInd w:val="0"/>
        <w:snapToGrid w:val="0"/>
        <w:spacing w:after="0"/>
        <w:jc w:val="left"/>
        <w:rPr>
          <w:rFonts w:ascii="Times New Roman" w:hAnsi="Times New Roman"/>
          <w:color w:val="000000"/>
        </w:rPr>
      </w:pPr>
    </w:p>
    <w:p w14:paraId="39A8111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Shunji Fujiwara</w:t>
      </w:r>
    </w:p>
    <w:p w14:paraId="7FA3C11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Tuna Industrial Advisor</w:t>
      </w:r>
    </w:p>
    <w:p w14:paraId="4833A29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7FF151D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67DDC74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4231BE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shunji.fujiwara@ffa.int</w:t>
      </w:r>
    </w:p>
    <w:p w14:paraId="09710B60" w14:textId="77777777" w:rsidR="006B2F2D" w:rsidRPr="006B2F2D" w:rsidRDefault="006B2F2D" w:rsidP="0054190C">
      <w:pPr>
        <w:adjustRightInd w:val="0"/>
        <w:snapToGrid w:val="0"/>
        <w:spacing w:after="0"/>
        <w:jc w:val="left"/>
        <w:rPr>
          <w:rFonts w:ascii="Times New Roman" w:hAnsi="Times New Roman"/>
          <w:color w:val="000000"/>
        </w:rPr>
      </w:pPr>
    </w:p>
    <w:p w14:paraId="50CE19F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Samasoni Sauni</w:t>
      </w:r>
    </w:p>
    <w:p w14:paraId="0DC8275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Adviser</w:t>
      </w:r>
    </w:p>
    <w:p w14:paraId="529A67C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088B62E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665F1C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69C4058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samasoni.sauni@ffa.int</w:t>
      </w:r>
    </w:p>
    <w:p w14:paraId="2014C79D" w14:textId="77777777" w:rsidR="006B2F2D" w:rsidRPr="006B2F2D" w:rsidRDefault="006B2F2D" w:rsidP="0054190C">
      <w:pPr>
        <w:adjustRightInd w:val="0"/>
        <w:snapToGrid w:val="0"/>
        <w:spacing w:after="0"/>
        <w:jc w:val="left"/>
        <w:rPr>
          <w:rFonts w:ascii="Times New Roman" w:hAnsi="Times New Roman"/>
          <w:color w:val="000000"/>
        </w:rPr>
      </w:pPr>
    </w:p>
    <w:p w14:paraId="583A950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Wetjens Dimmlich</w:t>
      </w:r>
    </w:p>
    <w:p w14:paraId="5A73C97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Management Adviser</w:t>
      </w:r>
    </w:p>
    <w:p w14:paraId="2705B71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214E092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49C1290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124FDCE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wetjens.dimmlich@ffa.int</w:t>
      </w:r>
    </w:p>
    <w:p w14:paraId="1CDAE203" w14:textId="77777777" w:rsidR="006B2F2D" w:rsidRPr="006B2F2D" w:rsidRDefault="006B2F2D" w:rsidP="0054190C">
      <w:pPr>
        <w:adjustRightInd w:val="0"/>
        <w:snapToGrid w:val="0"/>
        <w:spacing w:after="0"/>
        <w:jc w:val="left"/>
        <w:rPr>
          <w:rFonts w:ascii="Times New Roman" w:hAnsi="Times New Roman"/>
          <w:color w:val="000000"/>
        </w:rPr>
      </w:pPr>
    </w:p>
    <w:p w14:paraId="141D613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Chris Reid</w:t>
      </w:r>
    </w:p>
    <w:p w14:paraId="462813F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Chief Economist</w:t>
      </w:r>
    </w:p>
    <w:p w14:paraId="0A92A40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36AC5ED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0DBF28F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79932A7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chris.reid@ffa.int</w:t>
      </w:r>
    </w:p>
    <w:p w14:paraId="1DD069C0" w14:textId="77777777" w:rsidR="006B2F2D" w:rsidRPr="006B2F2D" w:rsidRDefault="006B2F2D" w:rsidP="0054190C">
      <w:pPr>
        <w:adjustRightInd w:val="0"/>
        <w:snapToGrid w:val="0"/>
        <w:spacing w:after="0"/>
        <w:jc w:val="left"/>
        <w:rPr>
          <w:rFonts w:ascii="Times New Roman" w:hAnsi="Times New Roman"/>
          <w:color w:val="000000"/>
        </w:rPr>
      </w:pPr>
    </w:p>
    <w:p w14:paraId="5F75BAD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Maggie Skirtun</w:t>
      </w:r>
    </w:p>
    <w:p w14:paraId="428DF75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Economist</w:t>
      </w:r>
    </w:p>
    <w:p w14:paraId="5B569CA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Islands Forum Fisheries Agency</w:t>
      </w:r>
    </w:p>
    <w:p w14:paraId="24C4503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FFA Road, West Kola'a Ridge, PO Box 629, Honiara, Solomon Islands</w:t>
      </w:r>
    </w:p>
    <w:p w14:paraId="1A45310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+677 21124</w:t>
      </w:r>
    </w:p>
    <w:p w14:paraId="6B75DE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maggie.skirtun@ffa.int</w:t>
      </w:r>
    </w:p>
    <w:p w14:paraId="23F756EA" w14:textId="77777777" w:rsidR="006B2F2D" w:rsidRPr="006B2F2D" w:rsidRDefault="006B2F2D" w:rsidP="0054190C">
      <w:pPr>
        <w:adjustRightInd w:val="0"/>
        <w:snapToGrid w:val="0"/>
        <w:spacing w:after="0"/>
        <w:jc w:val="left"/>
        <w:rPr>
          <w:rFonts w:ascii="Times New Roman" w:hAnsi="Times New Roman"/>
          <w:b/>
          <w:noProof/>
          <w:color w:val="000000"/>
        </w:rPr>
      </w:pPr>
    </w:p>
    <w:p w14:paraId="62CE16DD"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FOOD AND AGRICULTURAL ORGANIZATION OF THE UNITED NATION (FAO)</w:t>
      </w:r>
    </w:p>
    <w:p w14:paraId="174FFD8B" w14:textId="77777777" w:rsidR="006B2F2D" w:rsidRPr="006B2F2D" w:rsidRDefault="006B2F2D" w:rsidP="0054190C">
      <w:pPr>
        <w:adjustRightInd w:val="0"/>
        <w:snapToGrid w:val="0"/>
        <w:spacing w:after="0"/>
        <w:jc w:val="left"/>
        <w:rPr>
          <w:rFonts w:ascii="Times New Roman" w:hAnsi="Times New Roman"/>
          <w:b/>
          <w:noProof/>
          <w:color w:val="000000"/>
        </w:rPr>
      </w:pPr>
    </w:p>
    <w:p w14:paraId="72BE8E7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Nicolas Gutierrez</w:t>
      </w:r>
    </w:p>
    <w:p w14:paraId="136D5F2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Fishery Resources Officer</w:t>
      </w:r>
    </w:p>
    <w:p w14:paraId="65E90E4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Food and Agricultural Organization of the United Nation (FAO)</w:t>
      </w:r>
    </w:p>
    <w:p w14:paraId="38D6685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VIale delle Terme di Caracalla, Rome 00153 Italy</w:t>
      </w:r>
    </w:p>
    <w:p w14:paraId="146E305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nicolas.gutierrez@fao.org</w:t>
      </w:r>
    </w:p>
    <w:p w14:paraId="624260A9" w14:textId="77777777" w:rsidR="006B2F2D" w:rsidRPr="006B2F2D" w:rsidRDefault="006B2F2D" w:rsidP="0054190C">
      <w:pPr>
        <w:adjustRightInd w:val="0"/>
        <w:snapToGrid w:val="0"/>
        <w:spacing w:after="0"/>
        <w:jc w:val="left"/>
        <w:rPr>
          <w:rFonts w:ascii="Times New Roman" w:hAnsi="Times New Roman"/>
          <w:color w:val="000000"/>
        </w:rPr>
      </w:pPr>
    </w:p>
    <w:p w14:paraId="27831D6B"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GREENPEACE</w:t>
      </w:r>
    </w:p>
    <w:p w14:paraId="6C0C6C88" w14:textId="77777777" w:rsidR="006B2F2D" w:rsidRPr="006B2F2D" w:rsidRDefault="006B2F2D" w:rsidP="0054190C">
      <w:pPr>
        <w:adjustRightInd w:val="0"/>
        <w:snapToGrid w:val="0"/>
        <w:spacing w:after="0"/>
        <w:jc w:val="left"/>
        <w:rPr>
          <w:rFonts w:ascii="Times New Roman" w:hAnsi="Times New Roman"/>
          <w:b/>
          <w:noProof/>
          <w:color w:val="000000"/>
        </w:rPr>
      </w:pPr>
    </w:p>
    <w:p w14:paraId="33AC955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Cat Dorey</w:t>
      </w:r>
    </w:p>
    <w:p w14:paraId="7EEB09A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Science Adviser &amp; Campaigner – Tuna Project</w:t>
      </w:r>
    </w:p>
    <w:p w14:paraId="19DDD84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Greenpeace</w:t>
      </w:r>
    </w:p>
    <w:p w14:paraId="6EBE23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Greenpeace Australia-Pacific, Level 2, 33 Mountain St, Ultimo, Sydney, NSW 2007, Australia.</w:t>
      </w:r>
    </w:p>
    <w:p w14:paraId="0F5A84A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+61 (0) 2 9263 0359 M1: +61 (0) 425 368 323</w:t>
      </w:r>
    </w:p>
    <w:p w14:paraId="1EA0861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cat.dorey@greenpeace.org</w:t>
      </w:r>
    </w:p>
    <w:p w14:paraId="0F44DE66" w14:textId="77777777" w:rsidR="006B2F2D" w:rsidRPr="006B2F2D" w:rsidRDefault="006B2F2D" w:rsidP="0054190C">
      <w:pPr>
        <w:adjustRightInd w:val="0"/>
        <w:snapToGrid w:val="0"/>
        <w:spacing w:after="0"/>
        <w:jc w:val="left"/>
        <w:rPr>
          <w:rFonts w:ascii="Times New Roman" w:hAnsi="Times New Roman"/>
          <w:color w:val="000000"/>
        </w:rPr>
      </w:pPr>
    </w:p>
    <w:p w14:paraId="6014B1D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Vince Aureflor A. Cinches</w:t>
      </w:r>
    </w:p>
    <w:p w14:paraId="14F672B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Oceans Campaigner</w:t>
      </w:r>
    </w:p>
    <w:p w14:paraId="4D9AF35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Greenpeace</w:t>
      </w:r>
    </w:p>
    <w:p w14:paraId="4C76919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rm 201 JGS Building, Scout Tuazon, cor. Scout Lazcano, Brgy. Laging Handa, Quezon City, Philippines, 1103</w:t>
      </w:r>
    </w:p>
    <w:p w14:paraId="7BBD570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+639498891336</w:t>
      </w:r>
    </w:p>
    <w:p w14:paraId="29BF9DD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vcinches@greenpeace.org</w:t>
      </w:r>
    </w:p>
    <w:p w14:paraId="37168709" w14:textId="77777777" w:rsidR="006B2F2D" w:rsidRPr="006B2F2D" w:rsidRDefault="006B2F2D" w:rsidP="0054190C">
      <w:pPr>
        <w:adjustRightInd w:val="0"/>
        <w:snapToGrid w:val="0"/>
        <w:spacing w:after="0"/>
        <w:jc w:val="left"/>
        <w:rPr>
          <w:rFonts w:ascii="Times New Roman" w:hAnsi="Times New Roman"/>
        </w:rPr>
      </w:pPr>
    </w:p>
    <w:p w14:paraId="764746DF"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INTER-AMERICAN TROPICAL TUNA COMMISSION (IATTC)</w:t>
      </w:r>
    </w:p>
    <w:p w14:paraId="2776DAB7" w14:textId="77777777" w:rsidR="006B2F2D" w:rsidRPr="006B2F2D" w:rsidRDefault="006B2F2D" w:rsidP="0054190C">
      <w:pPr>
        <w:adjustRightInd w:val="0"/>
        <w:snapToGrid w:val="0"/>
        <w:spacing w:after="0"/>
        <w:jc w:val="left"/>
        <w:rPr>
          <w:rFonts w:ascii="Times New Roman" w:hAnsi="Times New Roman"/>
          <w:b/>
          <w:noProof/>
          <w:color w:val="000000"/>
        </w:rPr>
      </w:pPr>
    </w:p>
    <w:p w14:paraId="15B1622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Kurt Schaefer</w:t>
      </w:r>
    </w:p>
    <w:p w14:paraId="510ED9B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Scientist</w:t>
      </w:r>
    </w:p>
    <w:p w14:paraId="41C41F9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Inter-American Tropical Tuna Commission</w:t>
      </w:r>
    </w:p>
    <w:p w14:paraId="1BFDE92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8901 La Jolla Shores Drive, La Jolla, CA 92037, USA</w:t>
      </w:r>
    </w:p>
    <w:p w14:paraId="76E7826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858 546 7159</w:t>
      </w:r>
    </w:p>
    <w:p w14:paraId="2A83349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kschaefer@iattc.org</w:t>
      </w:r>
    </w:p>
    <w:p w14:paraId="06863A8A" w14:textId="77777777" w:rsidR="006B2F2D" w:rsidRPr="006B2F2D" w:rsidRDefault="006B2F2D" w:rsidP="0054190C">
      <w:pPr>
        <w:adjustRightInd w:val="0"/>
        <w:snapToGrid w:val="0"/>
        <w:spacing w:after="0"/>
        <w:jc w:val="left"/>
        <w:rPr>
          <w:rFonts w:ascii="Times New Roman" w:hAnsi="Times New Roman"/>
          <w:color w:val="000000"/>
        </w:rPr>
      </w:pPr>
    </w:p>
    <w:p w14:paraId="668068E4"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INTERNATIONAL SEAFOOD SUSTAINABILITY FOUNDATION (ISSF)</w:t>
      </w:r>
    </w:p>
    <w:p w14:paraId="6744EBD6" w14:textId="77777777" w:rsidR="006B2F2D" w:rsidRPr="006B2F2D" w:rsidRDefault="006B2F2D" w:rsidP="0054190C">
      <w:pPr>
        <w:adjustRightInd w:val="0"/>
        <w:snapToGrid w:val="0"/>
        <w:spacing w:after="0"/>
        <w:jc w:val="left"/>
        <w:rPr>
          <w:rFonts w:ascii="Times New Roman" w:hAnsi="Times New Roman"/>
          <w:b/>
          <w:noProof/>
          <w:color w:val="000000"/>
        </w:rPr>
      </w:pPr>
    </w:p>
    <w:p w14:paraId="5A1857F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Victor Restrepo</w:t>
      </w:r>
    </w:p>
    <w:p w14:paraId="72F490A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Vice-President for Science</w:t>
      </w:r>
    </w:p>
    <w:p w14:paraId="2B5E274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International Seafood Sustainability Foundation (ISSF)</w:t>
      </w:r>
    </w:p>
    <w:p w14:paraId="56162CC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1440 G Street NW, Washington D.C. 20005, USA</w:t>
      </w:r>
    </w:p>
    <w:p w14:paraId="2BC1BC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1 703-226-8101</w:t>
      </w:r>
    </w:p>
    <w:p w14:paraId="4265353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vrestrepo@iss-foundation.org</w:t>
      </w:r>
    </w:p>
    <w:p w14:paraId="3FB6BC72" w14:textId="77777777" w:rsidR="006B2F2D" w:rsidRPr="006B2F2D" w:rsidRDefault="006B2F2D" w:rsidP="0054190C">
      <w:pPr>
        <w:adjustRightInd w:val="0"/>
        <w:snapToGrid w:val="0"/>
        <w:spacing w:after="0"/>
        <w:jc w:val="left"/>
        <w:rPr>
          <w:rFonts w:ascii="Times New Roman" w:hAnsi="Times New Roman"/>
          <w:color w:val="000000"/>
        </w:rPr>
      </w:pPr>
    </w:p>
    <w:p w14:paraId="60682FDD"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MARINE STEWARDSHIP COUNCIL (MSC)</w:t>
      </w:r>
    </w:p>
    <w:p w14:paraId="180111F2" w14:textId="77777777" w:rsidR="006B2F2D" w:rsidRPr="006B2F2D" w:rsidRDefault="006B2F2D" w:rsidP="0054190C">
      <w:pPr>
        <w:adjustRightInd w:val="0"/>
        <w:snapToGrid w:val="0"/>
        <w:spacing w:after="0"/>
        <w:jc w:val="left"/>
        <w:rPr>
          <w:rFonts w:ascii="Times New Roman" w:hAnsi="Times New Roman"/>
          <w:b/>
          <w:noProof/>
          <w:color w:val="000000"/>
        </w:rPr>
      </w:pPr>
    </w:p>
    <w:p w14:paraId="7C1A308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Adrian Gutteridge</w:t>
      </w:r>
    </w:p>
    <w:p w14:paraId="13C48D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Assessment Manager</w:t>
      </w:r>
    </w:p>
    <w:p w14:paraId="7663F5A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Marine Stewardship Council</w:t>
      </w:r>
    </w:p>
    <w:p w14:paraId="73D4D2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6/202 Nicholson Pde, Cronulla, 2230, NSW, Australia</w:t>
      </w:r>
    </w:p>
    <w:p w14:paraId="46988A1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+ 61 2 9527 6883</w:t>
      </w:r>
    </w:p>
    <w:p w14:paraId="64F76C8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adrian.gutteridge@msc.org</w:t>
      </w:r>
    </w:p>
    <w:p w14:paraId="030A4EE8" w14:textId="77777777" w:rsidR="006B2F2D" w:rsidRPr="006B2F2D" w:rsidRDefault="006B2F2D" w:rsidP="0054190C">
      <w:pPr>
        <w:adjustRightInd w:val="0"/>
        <w:snapToGrid w:val="0"/>
        <w:spacing w:after="0"/>
        <w:jc w:val="left"/>
        <w:rPr>
          <w:rFonts w:ascii="Times New Roman" w:hAnsi="Times New Roman"/>
          <w:color w:val="000000"/>
        </w:rPr>
      </w:pPr>
    </w:p>
    <w:p w14:paraId="3D81DD0B"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THE PEW CHARITABLE TRUSTS (PEW)</w:t>
      </w:r>
    </w:p>
    <w:p w14:paraId="3A09C2C5" w14:textId="77777777" w:rsidR="006B2F2D" w:rsidRPr="006B2F2D" w:rsidRDefault="006B2F2D" w:rsidP="0054190C">
      <w:pPr>
        <w:adjustRightInd w:val="0"/>
        <w:snapToGrid w:val="0"/>
        <w:spacing w:after="0"/>
        <w:jc w:val="left"/>
        <w:rPr>
          <w:rFonts w:ascii="Times New Roman" w:hAnsi="Times New Roman"/>
          <w:b/>
          <w:noProof/>
          <w:color w:val="000000"/>
        </w:rPr>
      </w:pPr>
    </w:p>
    <w:p w14:paraId="2381CCE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Amanda Nickson</w:t>
      </w:r>
    </w:p>
    <w:p w14:paraId="459E320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Director-Global Tuna Conservation</w:t>
      </w:r>
    </w:p>
    <w:p w14:paraId="60F2F3C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The Pew Charitable Trusts</w:t>
      </w:r>
    </w:p>
    <w:p w14:paraId="637F68C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901 E Street NW</w:t>
      </w:r>
    </w:p>
    <w:p w14:paraId="29E325F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202.674.9829</w:t>
      </w:r>
    </w:p>
    <w:p w14:paraId="0A34F4E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anickson@pewtrusts.org</w:t>
      </w:r>
    </w:p>
    <w:p w14:paraId="2CA4699C" w14:textId="77777777" w:rsidR="006B2F2D" w:rsidRPr="006B2F2D" w:rsidRDefault="006B2F2D" w:rsidP="0054190C">
      <w:pPr>
        <w:adjustRightInd w:val="0"/>
        <w:snapToGrid w:val="0"/>
        <w:spacing w:after="0"/>
        <w:jc w:val="left"/>
        <w:rPr>
          <w:rFonts w:ascii="Times New Roman" w:hAnsi="Times New Roman"/>
          <w:color w:val="000000"/>
        </w:rPr>
      </w:pPr>
    </w:p>
    <w:p w14:paraId="3A744CC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Dave Gershman</w:t>
      </w:r>
    </w:p>
    <w:p w14:paraId="1AB2569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Officer</w:t>
      </w:r>
    </w:p>
    <w:p w14:paraId="46B0D91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The Pew Charitable Trusts</w:t>
      </w:r>
    </w:p>
    <w:p w14:paraId="09841E7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901 E Street NW, Washington DC 20004, United States</w:t>
      </w:r>
    </w:p>
    <w:p w14:paraId="2C91AB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202-540-6406</w:t>
      </w:r>
    </w:p>
    <w:p w14:paraId="6B693E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dgershman@pewtrusts.org</w:t>
      </w:r>
    </w:p>
    <w:p w14:paraId="3F96256D" w14:textId="77777777" w:rsidR="006B2F2D" w:rsidRPr="006B2F2D" w:rsidRDefault="006B2F2D" w:rsidP="0054190C">
      <w:pPr>
        <w:adjustRightInd w:val="0"/>
        <w:snapToGrid w:val="0"/>
        <w:spacing w:after="0"/>
        <w:jc w:val="left"/>
        <w:rPr>
          <w:rFonts w:ascii="Times New Roman" w:hAnsi="Times New Roman"/>
          <w:color w:val="000000"/>
        </w:rPr>
      </w:pPr>
    </w:p>
    <w:p w14:paraId="7E26917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Glen Holmes</w:t>
      </w:r>
    </w:p>
    <w:p w14:paraId="28A6D43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Officer</w:t>
      </w:r>
    </w:p>
    <w:p w14:paraId="23287A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The Pew Charitable Trusts</w:t>
      </w:r>
    </w:p>
    <w:p w14:paraId="62F7353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+61419791532</w:t>
      </w:r>
    </w:p>
    <w:p w14:paraId="40C2185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gholmes@pewtrusts.org</w:t>
      </w:r>
    </w:p>
    <w:p w14:paraId="712C7767" w14:textId="77777777" w:rsidR="006B2F2D" w:rsidRPr="006B2F2D" w:rsidRDefault="006B2F2D" w:rsidP="0054190C">
      <w:pPr>
        <w:adjustRightInd w:val="0"/>
        <w:snapToGrid w:val="0"/>
        <w:spacing w:after="0"/>
        <w:jc w:val="left"/>
        <w:rPr>
          <w:rFonts w:ascii="Times New Roman" w:hAnsi="Times New Roman"/>
          <w:color w:val="000000"/>
        </w:rPr>
      </w:pPr>
    </w:p>
    <w:p w14:paraId="51ED944A"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PARTIES TO THE NAURU AGREEMENT (PNA)</w:t>
      </w:r>
    </w:p>
    <w:p w14:paraId="225ECE0D" w14:textId="77777777" w:rsidR="006B2F2D" w:rsidRPr="006B2F2D" w:rsidRDefault="006B2F2D" w:rsidP="0054190C">
      <w:pPr>
        <w:adjustRightInd w:val="0"/>
        <w:snapToGrid w:val="0"/>
        <w:spacing w:after="0"/>
        <w:jc w:val="left"/>
        <w:rPr>
          <w:rFonts w:ascii="Times New Roman" w:hAnsi="Times New Roman"/>
          <w:b/>
          <w:noProof/>
          <w:color w:val="000000"/>
        </w:rPr>
      </w:pPr>
    </w:p>
    <w:p w14:paraId="2A13832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Les Clark</w:t>
      </w:r>
    </w:p>
    <w:p w14:paraId="499BD62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Advisor</w:t>
      </w:r>
    </w:p>
    <w:p w14:paraId="7A742FB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PNA</w:t>
      </w:r>
    </w:p>
    <w:p w14:paraId="5658A3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85 Innes Road, Christchurch, 8052, New Zealand</w:t>
      </w:r>
    </w:p>
    <w:p w14:paraId="218376B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64 3 3562892</w:t>
      </w:r>
    </w:p>
    <w:p w14:paraId="4B6E926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les@rayfishresearch.com</w:t>
      </w:r>
    </w:p>
    <w:p w14:paraId="6BF2D17B" w14:textId="77777777" w:rsidR="006B2F2D" w:rsidRPr="006B2F2D" w:rsidRDefault="006B2F2D" w:rsidP="0054190C">
      <w:pPr>
        <w:adjustRightInd w:val="0"/>
        <w:snapToGrid w:val="0"/>
        <w:spacing w:after="0"/>
        <w:jc w:val="left"/>
        <w:rPr>
          <w:rFonts w:ascii="Times New Roman" w:hAnsi="Times New Roman"/>
          <w:color w:val="000000"/>
        </w:rPr>
      </w:pPr>
    </w:p>
    <w:p w14:paraId="5D5B3CA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Penihulo Lopati</w:t>
      </w:r>
    </w:p>
    <w:p w14:paraId="10323B1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VMS/VDS Officer</w:t>
      </w:r>
    </w:p>
    <w:p w14:paraId="7210CCB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PNA</w:t>
      </w:r>
    </w:p>
    <w:p w14:paraId="0989BA7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Majuro, RMI</w:t>
      </w:r>
    </w:p>
    <w:p w14:paraId="03C3D73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penihulo@pnatuna.com</w:t>
      </w:r>
    </w:p>
    <w:p w14:paraId="0B249E0C" w14:textId="77777777" w:rsidR="006B2F2D" w:rsidRPr="006B2F2D" w:rsidRDefault="006B2F2D" w:rsidP="0054190C">
      <w:pPr>
        <w:adjustRightInd w:val="0"/>
        <w:snapToGrid w:val="0"/>
        <w:spacing w:after="0"/>
        <w:jc w:val="left"/>
        <w:rPr>
          <w:rFonts w:ascii="Times New Roman" w:hAnsi="Times New Roman"/>
          <w:b/>
          <w:noProof/>
          <w:color w:val="000000"/>
        </w:rPr>
      </w:pPr>
    </w:p>
    <w:p w14:paraId="16CFDAE6"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THE PACIFIC COMMUNITY (SPC)</w:t>
      </w:r>
    </w:p>
    <w:p w14:paraId="3F0D674C" w14:textId="77777777" w:rsidR="006B2F2D" w:rsidRPr="006B2F2D" w:rsidRDefault="006B2F2D" w:rsidP="0054190C">
      <w:pPr>
        <w:adjustRightInd w:val="0"/>
        <w:snapToGrid w:val="0"/>
        <w:spacing w:after="0"/>
        <w:jc w:val="left"/>
        <w:rPr>
          <w:rFonts w:ascii="Times New Roman" w:hAnsi="Times New Roman"/>
          <w:b/>
          <w:noProof/>
          <w:color w:val="000000"/>
        </w:rPr>
      </w:pPr>
    </w:p>
    <w:p w14:paraId="00409BD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John Hampton</w:t>
      </w:r>
    </w:p>
    <w:p w14:paraId="49A82B2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Chief Scientist &amp; Deputy Director FAME (Oceanic Fisheries)</w:t>
      </w:r>
    </w:p>
    <w:p w14:paraId="538D388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6BBECA2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115EAAC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77C9DE4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johnh@spc.int</w:t>
      </w:r>
    </w:p>
    <w:p w14:paraId="1660D855" w14:textId="77777777" w:rsidR="006B2F2D" w:rsidRPr="006B2F2D" w:rsidRDefault="006B2F2D" w:rsidP="0054190C">
      <w:pPr>
        <w:adjustRightInd w:val="0"/>
        <w:snapToGrid w:val="0"/>
        <w:spacing w:after="0"/>
        <w:jc w:val="left"/>
        <w:rPr>
          <w:rFonts w:ascii="Times New Roman" w:hAnsi="Times New Roman"/>
          <w:color w:val="000000"/>
        </w:rPr>
      </w:pPr>
    </w:p>
    <w:p w14:paraId="1C57F18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Graham Pilling</w:t>
      </w:r>
    </w:p>
    <w:p w14:paraId="74D86CF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Fisheries Scientist, Stock Assessment and Modelling section</w:t>
      </w:r>
    </w:p>
    <w:p w14:paraId="2DD8A1F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6ACB163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0C1F20E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213D31B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grahamp@spc.int</w:t>
      </w:r>
    </w:p>
    <w:p w14:paraId="43A98C2E" w14:textId="77777777" w:rsidR="006B2F2D" w:rsidRPr="006B2F2D" w:rsidRDefault="006B2F2D" w:rsidP="0054190C">
      <w:pPr>
        <w:adjustRightInd w:val="0"/>
        <w:snapToGrid w:val="0"/>
        <w:spacing w:after="0"/>
        <w:jc w:val="left"/>
        <w:rPr>
          <w:rFonts w:ascii="Times New Roman" w:hAnsi="Times New Roman"/>
        </w:rPr>
      </w:pPr>
    </w:p>
    <w:p w14:paraId="5A7391D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Neville Smith</w:t>
      </w:r>
    </w:p>
    <w:p w14:paraId="1EAF73E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Fisheries Scientist, Fisheries &amp; Ecosystem Monitoring &amp; Analysis section</w:t>
      </w:r>
    </w:p>
    <w:p w14:paraId="4BFE034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6AD010D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4B22A00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0A61447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nevilles@spc.int</w:t>
      </w:r>
    </w:p>
    <w:p w14:paraId="508C7DF8" w14:textId="77777777" w:rsidR="006B2F2D" w:rsidRPr="006B2F2D" w:rsidRDefault="006B2F2D" w:rsidP="0054190C">
      <w:pPr>
        <w:adjustRightInd w:val="0"/>
        <w:snapToGrid w:val="0"/>
        <w:spacing w:after="0"/>
        <w:jc w:val="left"/>
        <w:rPr>
          <w:rFonts w:ascii="Times New Roman" w:hAnsi="Times New Roman"/>
          <w:color w:val="000000"/>
        </w:rPr>
      </w:pPr>
    </w:p>
    <w:p w14:paraId="38C96CC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Peter Williams</w:t>
      </w:r>
    </w:p>
    <w:p w14:paraId="225F1EC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Principal Fisheries Scientist, Data Management section</w:t>
      </w:r>
    </w:p>
    <w:p w14:paraId="362BB3B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459B73D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77B8B81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047ACC7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peterw@spc.int</w:t>
      </w:r>
    </w:p>
    <w:p w14:paraId="76025B46" w14:textId="77777777" w:rsidR="006B2F2D" w:rsidRPr="006B2F2D" w:rsidRDefault="006B2F2D" w:rsidP="0054190C">
      <w:pPr>
        <w:adjustRightInd w:val="0"/>
        <w:snapToGrid w:val="0"/>
        <w:spacing w:after="0"/>
        <w:jc w:val="left"/>
        <w:rPr>
          <w:rFonts w:ascii="Times New Roman" w:hAnsi="Times New Roman"/>
          <w:color w:val="000000"/>
        </w:rPr>
      </w:pPr>
    </w:p>
    <w:p w14:paraId="5374842A"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Yukio Takeuchi</w:t>
      </w:r>
    </w:p>
    <w:p w14:paraId="37FF232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Scientist (Stock Assessment)</w:t>
      </w:r>
    </w:p>
    <w:p w14:paraId="51F3D46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122923D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4F513C4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7A81968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yukiot@spc.int</w:t>
      </w:r>
    </w:p>
    <w:p w14:paraId="5879929C" w14:textId="77777777" w:rsidR="006B2F2D" w:rsidRPr="006B2F2D" w:rsidRDefault="006B2F2D" w:rsidP="0054190C">
      <w:pPr>
        <w:adjustRightInd w:val="0"/>
        <w:snapToGrid w:val="0"/>
        <w:spacing w:after="0"/>
        <w:jc w:val="left"/>
        <w:rPr>
          <w:rFonts w:ascii="Times New Roman" w:hAnsi="Times New Roman"/>
          <w:color w:val="000000"/>
        </w:rPr>
      </w:pPr>
    </w:p>
    <w:p w14:paraId="4AFA606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Laura Tremblay Boyer</w:t>
      </w:r>
    </w:p>
    <w:p w14:paraId="0250772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Scientist (Stock Assessment)</w:t>
      </w:r>
    </w:p>
    <w:p w14:paraId="63F7EE0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3974759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43CFFEE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1D7347C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lauratb@spc.int</w:t>
      </w:r>
    </w:p>
    <w:p w14:paraId="6A955EEE" w14:textId="77777777" w:rsidR="006B2F2D" w:rsidRPr="006B2F2D" w:rsidRDefault="006B2F2D" w:rsidP="0054190C">
      <w:pPr>
        <w:adjustRightInd w:val="0"/>
        <w:snapToGrid w:val="0"/>
        <w:spacing w:after="0"/>
        <w:jc w:val="left"/>
        <w:rPr>
          <w:rFonts w:ascii="Times New Roman" w:hAnsi="Times New Roman"/>
          <w:b/>
          <w:noProof/>
          <w:color w:val="000000"/>
        </w:rPr>
      </w:pPr>
    </w:p>
    <w:p w14:paraId="7F67AEC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Stephen Brouwer</w:t>
      </w:r>
    </w:p>
    <w:p w14:paraId="47A995E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scientist (National and Sub-Regional Team Leader)</w:t>
      </w:r>
    </w:p>
    <w:p w14:paraId="4FE7EDC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0F99834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0F4DCCB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36B2D8A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stephenb@spc.int</w:t>
      </w:r>
    </w:p>
    <w:p w14:paraId="062F4309" w14:textId="77777777" w:rsidR="006B2F2D" w:rsidRPr="006B2F2D" w:rsidRDefault="006B2F2D" w:rsidP="0054190C">
      <w:pPr>
        <w:adjustRightInd w:val="0"/>
        <w:snapToGrid w:val="0"/>
        <w:spacing w:after="0"/>
        <w:jc w:val="left"/>
        <w:rPr>
          <w:rFonts w:ascii="Times New Roman" w:hAnsi="Times New Roman"/>
          <w:color w:val="000000"/>
        </w:rPr>
      </w:pPr>
    </w:p>
    <w:p w14:paraId="5E2B701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Sam McKechnie</w:t>
      </w:r>
    </w:p>
    <w:p w14:paraId="4378B2B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Scientist (Stock Assessment)</w:t>
      </w:r>
    </w:p>
    <w:p w14:paraId="086D20C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5D9017C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7BED668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5D82B06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samm@spc.int</w:t>
      </w:r>
    </w:p>
    <w:p w14:paraId="79B5CF74" w14:textId="77777777" w:rsidR="006B2F2D" w:rsidRPr="006B2F2D" w:rsidRDefault="006B2F2D" w:rsidP="0054190C">
      <w:pPr>
        <w:adjustRightInd w:val="0"/>
        <w:snapToGrid w:val="0"/>
        <w:spacing w:after="0"/>
        <w:jc w:val="left"/>
        <w:rPr>
          <w:rFonts w:ascii="Times New Roman" w:hAnsi="Times New Roman"/>
          <w:color w:val="000000"/>
        </w:rPr>
      </w:pPr>
    </w:p>
    <w:p w14:paraId="4EE4A14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Robert Scott</w:t>
      </w:r>
    </w:p>
    <w:p w14:paraId="340B2E1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Scientist (Stock Assessment)</w:t>
      </w:r>
    </w:p>
    <w:p w14:paraId="2BF38B9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OFP, SPC</w:t>
      </w:r>
    </w:p>
    <w:p w14:paraId="393EB68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35EE673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15FA659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robertsc@spc.int</w:t>
      </w:r>
    </w:p>
    <w:p w14:paraId="42187666" w14:textId="77777777" w:rsidR="006B2F2D" w:rsidRPr="006B2F2D" w:rsidRDefault="006B2F2D" w:rsidP="0054190C">
      <w:pPr>
        <w:adjustRightInd w:val="0"/>
        <w:snapToGrid w:val="0"/>
        <w:spacing w:after="0"/>
        <w:jc w:val="left"/>
        <w:rPr>
          <w:rFonts w:ascii="Times New Roman" w:hAnsi="Times New Roman"/>
          <w:color w:val="000000"/>
        </w:rPr>
      </w:pPr>
    </w:p>
    <w:p w14:paraId="3F82FC6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Joel Rice</w:t>
      </w:r>
    </w:p>
    <w:p w14:paraId="1F19AAA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36B3803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1F4B5BE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Joel Rice Consulting, Saint Paul, Minnesota, USA</w:t>
      </w:r>
    </w:p>
    <w:p w14:paraId="2911B28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26FA46A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joelrice@uw.edu</w:t>
      </w:r>
    </w:p>
    <w:p w14:paraId="6A742557" w14:textId="77777777" w:rsidR="006B2F2D" w:rsidRPr="006B2F2D" w:rsidRDefault="006B2F2D" w:rsidP="0054190C">
      <w:pPr>
        <w:adjustRightInd w:val="0"/>
        <w:snapToGrid w:val="0"/>
        <w:spacing w:after="0"/>
        <w:jc w:val="left"/>
        <w:rPr>
          <w:rFonts w:ascii="Times New Roman" w:hAnsi="Times New Roman"/>
          <w:color w:val="000000"/>
        </w:rPr>
      </w:pPr>
    </w:p>
    <w:p w14:paraId="04C963C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Lauriane Escalle</w:t>
      </w:r>
    </w:p>
    <w:p w14:paraId="3D06B09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Fisheries Scientist</w:t>
      </w:r>
    </w:p>
    <w:p w14:paraId="44B0CFF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w:t>
      </w:r>
    </w:p>
    <w:p w14:paraId="4E272B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SPC, B.P. D5, 98848 Noumea Cedex, New Caledonia</w:t>
      </w:r>
    </w:p>
    <w:p w14:paraId="4FB8946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+687 262000</w:t>
      </w:r>
    </w:p>
    <w:p w14:paraId="77226E5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laurianee@spc.int</w:t>
      </w:r>
    </w:p>
    <w:p w14:paraId="7EF0C70A" w14:textId="77777777" w:rsidR="006B2F2D" w:rsidRPr="006B2F2D" w:rsidRDefault="006B2F2D" w:rsidP="0054190C">
      <w:pPr>
        <w:adjustRightInd w:val="0"/>
        <w:snapToGrid w:val="0"/>
        <w:spacing w:after="0"/>
        <w:jc w:val="left"/>
        <w:rPr>
          <w:rFonts w:ascii="Times New Roman" w:hAnsi="Times New Roman"/>
          <w:color w:val="000000"/>
        </w:rPr>
      </w:pPr>
    </w:p>
    <w:p w14:paraId="7610C1F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Tom Peatman</w:t>
      </w:r>
    </w:p>
    <w:p w14:paraId="7BEF14B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Senior Fisheries Scientist</w:t>
      </w:r>
    </w:p>
    <w:p w14:paraId="1DFBDDB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Pacific Community (SPC)</w:t>
      </w:r>
    </w:p>
    <w:p w14:paraId="6276B3B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95 Promenade Roger Laroque, BP D5, 98848 Noumea, New Caledonia</w:t>
      </w:r>
    </w:p>
    <w:p w14:paraId="7ED855D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+ 687 26 20 00</w:t>
      </w:r>
    </w:p>
    <w:p w14:paraId="4C619FA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thomasp@spc.int</w:t>
      </w:r>
    </w:p>
    <w:p w14:paraId="58358F78" w14:textId="77777777" w:rsidR="006B2F2D" w:rsidRPr="006B2F2D" w:rsidRDefault="006B2F2D" w:rsidP="0054190C">
      <w:pPr>
        <w:adjustRightInd w:val="0"/>
        <w:snapToGrid w:val="0"/>
        <w:spacing w:after="0"/>
        <w:jc w:val="left"/>
        <w:rPr>
          <w:rFonts w:ascii="Times New Roman" w:hAnsi="Times New Roman"/>
          <w:b/>
          <w:noProof/>
          <w:color w:val="000000"/>
        </w:rPr>
      </w:pPr>
    </w:p>
    <w:p w14:paraId="19CDE056"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SUSTAINABLE FISHERIES PARTNERSHIP (SFP)</w:t>
      </w:r>
    </w:p>
    <w:p w14:paraId="0A2412BF" w14:textId="77777777" w:rsidR="006B2F2D" w:rsidRPr="006B2F2D" w:rsidRDefault="006B2F2D" w:rsidP="0054190C">
      <w:pPr>
        <w:adjustRightInd w:val="0"/>
        <w:snapToGrid w:val="0"/>
        <w:spacing w:after="0"/>
        <w:jc w:val="left"/>
        <w:rPr>
          <w:rFonts w:ascii="Times New Roman" w:hAnsi="Times New Roman"/>
          <w:b/>
          <w:noProof/>
          <w:color w:val="000000"/>
        </w:rPr>
      </w:pPr>
    </w:p>
    <w:p w14:paraId="24EFD22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Geoff Tingley</w:t>
      </w:r>
    </w:p>
    <w:p w14:paraId="1F5DCE7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Fishery Technical Director</w:t>
      </w:r>
    </w:p>
    <w:p w14:paraId="6CC5F90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Sustainable Fisheries Partnership</w:t>
      </w:r>
    </w:p>
    <w:p w14:paraId="01EF66E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New Zealand</w:t>
      </w:r>
    </w:p>
    <w:p w14:paraId="584C3C6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+64 21 047 8587</w:t>
      </w:r>
    </w:p>
    <w:p w14:paraId="7FB739D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geoff.tingley@sustainablefish.org</w:t>
      </w:r>
    </w:p>
    <w:p w14:paraId="333354A3" w14:textId="77777777" w:rsidR="006B2F2D" w:rsidRPr="006B2F2D" w:rsidRDefault="006B2F2D" w:rsidP="0054190C">
      <w:pPr>
        <w:adjustRightInd w:val="0"/>
        <w:snapToGrid w:val="0"/>
        <w:spacing w:after="0"/>
        <w:jc w:val="left"/>
        <w:rPr>
          <w:rFonts w:ascii="Times New Roman" w:hAnsi="Times New Roman"/>
          <w:color w:val="000000"/>
        </w:rPr>
      </w:pPr>
    </w:p>
    <w:p w14:paraId="5342AF08"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WORLD WIDE FUND FOR NATURE (WWF)</w:t>
      </w:r>
    </w:p>
    <w:p w14:paraId="40419A20" w14:textId="77777777" w:rsidR="006B2F2D" w:rsidRPr="006B2F2D" w:rsidRDefault="006B2F2D" w:rsidP="0054190C">
      <w:pPr>
        <w:adjustRightInd w:val="0"/>
        <w:snapToGrid w:val="0"/>
        <w:spacing w:after="0"/>
        <w:jc w:val="left"/>
        <w:rPr>
          <w:rFonts w:ascii="Times New Roman" w:hAnsi="Times New Roman"/>
          <w:b/>
          <w:noProof/>
          <w:color w:val="000000"/>
        </w:rPr>
      </w:pPr>
    </w:p>
    <w:p w14:paraId="2FC29DC2"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Bubba Cook</w:t>
      </w:r>
    </w:p>
    <w:p w14:paraId="582AF70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WWF WCP Tuna Programme Manager</w:t>
      </w:r>
    </w:p>
    <w:p w14:paraId="0354132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World Wide Fund for Nature</w:t>
      </w:r>
    </w:p>
    <w:p w14:paraId="4B6E79F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PO Box 6237, Marion Square, Wellington, New Zealand</w:t>
      </w:r>
    </w:p>
    <w:p w14:paraId="684982D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+64278330537</w:t>
      </w:r>
    </w:p>
    <w:p w14:paraId="672D9D5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acook@wwf.panda.org</w:t>
      </w:r>
    </w:p>
    <w:p w14:paraId="5BF90823" w14:textId="77777777" w:rsidR="006B2F2D" w:rsidRPr="006B2F2D" w:rsidRDefault="006B2F2D" w:rsidP="0054190C">
      <w:pPr>
        <w:adjustRightInd w:val="0"/>
        <w:snapToGrid w:val="0"/>
        <w:spacing w:after="0"/>
        <w:jc w:val="left"/>
        <w:rPr>
          <w:rFonts w:ascii="Times New Roman" w:hAnsi="Times New Roman"/>
          <w:color w:val="000000"/>
        </w:rPr>
      </w:pPr>
    </w:p>
    <w:p w14:paraId="7BBA0D2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Ian Campbell</w:t>
      </w:r>
    </w:p>
    <w:p w14:paraId="2B97038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Global Shark and Ray Progamme Manager</w:t>
      </w:r>
    </w:p>
    <w:p w14:paraId="5B6F4FF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WWF</w:t>
      </w:r>
    </w:p>
    <w:p w14:paraId="585CD07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4 Ma'afu Street</w:t>
      </w:r>
    </w:p>
    <w:p w14:paraId="7BB53A9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7661955</w:t>
      </w:r>
    </w:p>
    <w:p w14:paraId="7296A8B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icampbell@wwf.panda.org</w:t>
      </w:r>
    </w:p>
    <w:p w14:paraId="18D49010" w14:textId="77777777" w:rsidR="006B2F2D" w:rsidRPr="006B2F2D" w:rsidRDefault="006B2F2D" w:rsidP="0054190C">
      <w:pPr>
        <w:adjustRightInd w:val="0"/>
        <w:snapToGrid w:val="0"/>
        <w:spacing w:after="0"/>
        <w:jc w:val="left"/>
        <w:rPr>
          <w:rFonts w:ascii="Times New Roman" w:hAnsi="Times New Roman"/>
          <w:color w:val="000000"/>
        </w:rPr>
      </w:pPr>
    </w:p>
    <w:p w14:paraId="2DA7863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Nicole Lowrey</w:t>
      </w:r>
    </w:p>
    <w:p w14:paraId="0ED49BA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Tuna Fisheries Officer, Solomon Islands</w:t>
      </w:r>
    </w:p>
    <w:p w14:paraId="0D6383C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WWF</w:t>
      </w:r>
    </w:p>
    <w:p w14:paraId="3DC3085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WWF-Pacific Solomon Islands, Honiara Hotel Building, Honiara, Solomon Islands</w:t>
      </w:r>
    </w:p>
    <w:p w14:paraId="7E22C68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+6777225007</w:t>
      </w:r>
    </w:p>
    <w:p w14:paraId="1727A8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nlowrey@wwfpacific.org</w:t>
      </w:r>
    </w:p>
    <w:p w14:paraId="67742C17" w14:textId="77777777" w:rsidR="006B2F2D" w:rsidRPr="006B2F2D" w:rsidRDefault="006B2F2D" w:rsidP="0054190C">
      <w:pPr>
        <w:adjustRightInd w:val="0"/>
        <w:snapToGrid w:val="0"/>
        <w:spacing w:after="0"/>
        <w:jc w:val="left"/>
        <w:rPr>
          <w:rFonts w:ascii="Times New Roman" w:hAnsi="Times New Roman"/>
          <w:color w:val="000000"/>
        </w:rPr>
      </w:pPr>
    </w:p>
    <w:p w14:paraId="6ECC62CB"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WCPFC SECRETARIAT</w:t>
      </w:r>
    </w:p>
    <w:p w14:paraId="31F6E9ED" w14:textId="77777777" w:rsidR="006B2F2D" w:rsidRPr="006B2F2D" w:rsidRDefault="006B2F2D" w:rsidP="0054190C">
      <w:pPr>
        <w:adjustRightInd w:val="0"/>
        <w:snapToGrid w:val="0"/>
        <w:spacing w:after="0"/>
        <w:jc w:val="left"/>
        <w:rPr>
          <w:rFonts w:ascii="Times New Roman" w:hAnsi="Times New Roman"/>
          <w:b/>
          <w:noProof/>
          <w:color w:val="000000"/>
        </w:rPr>
      </w:pPr>
    </w:p>
    <w:p w14:paraId="6878FD6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Feleti P. Teo</w:t>
      </w:r>
    </w:p>
    <w:p w14:paraId="049DCC6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Executive Director</w:t>
      </w:r>
    </w:p>
    <w:p w14:paraId="34B86F6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22969B4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06D0035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751C961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feleti.teo@wcpfc.int</w:t>
      </w:r>
    </w:p>
    <w:p w14:paraId="64B7C640" w14:textId="77777777" w:rsidR="006B2F2D" w:rsidRPr="006B2F2D" w:rsidRDefault="006B2F2D" w:rsidP="0054190C">
      <w:pPr>
        <w:adjustRightInd w:val="0"/>
        <w:snapToGrid w:val="0"/>
        <w:spacing w:after="0"/>
        <w:jc w:val="left"/>
        <w:rPr>
          <w:rFonts w:ascii="Times New Roman" w:hAnsi="Times New Roman"/>
          <w:color w:val="000000"/>
        </w:rPr>
      </w:pPr>
    </w:p>
    <w:p w14:paraId="793D7ED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SungKwon Soh</w:t>
      </w:r>
    </w:p>
    <w:p w14:paraId="4738903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Science Manager</w:t>
      </w:r>
    </w:p>
    <w:p w14:paraId="6000929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1103E50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5D75E5E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0F02B1A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sungkwon.soh@wcpfc.int</w:t>
      </w:r>
    </w:p>
    <w:p w14:paraId="756542FB" w14:textId="77777777" w:rsidR="006B2F2D" w:rsidRPr="006B2F2D" w:rsidRDefault="006B2F2D" w:rsidP="0054190C">
      <w:pPr>
        <w:adjustRightInd w:val="0"/>
        <w:snapToGrid w:val="0"/>
        <w:spacing w:after="0"/>
        <w:jc w:val="left"/>
        <w:rPr>
          <w:rFonts w:ascii="Times New Roman" w:hAnsi="Times New Roman"/>
          <w:b/>
          <w:noProof/>
          <w:color w:val="000000"/>
        </w:rPr>
      </w:pPr>
    </w:p>
    <w:p w14:paraId="48C77AB0"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Aaron Nighswander</w:t>
      </w:r>
    </w:p>
    <w:p w14:paraId="27BA942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Finance and Administrative Manager</w:t>
      </w:r>
    </w:p>
    <w:p w14:paraId="3BD3147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2BC58AE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546D853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089BB67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aaron.nighswander@wcpfc.int</w:t>
      </w:r>
    </w:p>
    <w:p w14:paraId="58B4C5C1" w14:textId="77777777" w:rsidR="006B2F2D" w:rsidRPr="006B2F2D" w:rsidRDefault="006B2F2D" w:rsidP="0054190C">
      <w:pPr>
        <w:adjustRightInd w:val="0"/>
        <w:snapToGrid w:val="0"/>
        <w:spacing w:after="0"/>
        <w:jc w:val="left"/>
        <w:rPr>
          <w:rFonts w:ascii="Times New Roman" w:hAnsi="Times New Roman"/>
          <w:color w:val="000000"/>
        </w:rPr>
      </w:pPr>
    </w:p>
    <w:p w14:paraId="2A136FF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Lara Manarangi-Trott</w:t>
      </w:r>
    </w:p>
    <w:p w14:paraId="46BBB51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Compliance Manager</w:t>
      </w:r>
    </w:p>
    <w:p w14:paraId="2A201DE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2D29321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2073752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0861EFA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lara.manarangi-trott@wcpfc.int</w:t>
      </w:r>
    </w:p>
    <w:p w14:paraId="303379AA" w14:textId="77777777" w:rsidR="006B2F2D" w:rsidRPr="006B2F2D" w:rsidRDefault="006B2F2D" w:rsidP="0054190C">
      <w:pPr>
        <w:adjustRightInd w:val="0"/>
        <w:snapToGrid w:val="0"/>
        <w:spacing w:after="0"/>
        <w:jc w:val="left"/>
        <w:rPr>
          <w:rFonts w:ascii="Times New Roman" w:hAnsi="Times New Roman"/>
          <w:color w:val="000000"/>
        </w:rPr>
      </w:pPr>
    </w:p>
    <w:p w14:paraId="41CF37BD"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Sam Taufao</w:t>
      </w:r>
    </w:p>
    <w:p w14:paraId="459A245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IT Manager</w:t>
      </w:r>
    </w:p>
    <w:p w14:paraId="4571709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2BF9B0F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2506D89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12AFB8B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sam.taufao@wcpfc.int</w:t>
      </w:r>
    </w:p>
    <w:p w14:paraId="7A4D8C6E" w14:textId="77777777" w:rsidR="006B2F2D" w:rsidRPr="006B2F2D" w:rsidRDefault="006B2F2D" w:rsidP="0054190C">
      <w:pPr>
        <w:adjustRightInd w:val="0"/>
        <w:snapToGrid w:val="0"/>
        <w:spacing w:after="0"/>
        <w:jc w:val="left"/>
        <w:rPr>
          <w:rFonts w:ascii="Times New Roman" w:hAnsi="Times New Roman"/>
          <w:color w:val="000000"/>
        </w:rPr>
      </w:pPr>
    </w:p>
    <w:p w14:paraId="0C115D4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Anthony Beeching</w:t>
      </w:r>
    </w:p>
    <w:p w14:paraId="11338C3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Assistant Science Manager</w:t>
      </w:r>
    </w:p>
    <w:p w14:paraId="0196C84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108E7C1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453BB44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1E80146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anthony.beeching@wcpfc.int</w:t>
      </w:r>
    </w:p>
    <w:p w14:paraId="329B4DF2" w14:textId="77777777" w:rsidR="006B2F2D" w:rsidRPr="006B2F2D" w:rsidRDefault="006B2F2D" w:rsidP="0054190C">
      <w:pPr>
        <w:adjustRightInd w:val="0"/>
        <w:snapToGrid w:val="0"/>
        <w:spacing w:after="0"/>
        <w:jc w:val="left"/>
        <w:rPr>
          <w:rFonts w:ascii="Times New Roman" w:hAnsi="Times New Roman"/>
        </w:rPr>
      </w:pPr>
    </w:p>
    <w:p w14:paraId="0B09FBEF"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Karl Staisch</w:t>
      </w:r>
    </w:p>
    <w:p w14:paraId="1912AA1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Observer Programme Coordinator</w:t>
      </w:r>
    </w:p>
    <w:p w14:paraId="7C13D28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1F814CC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3E6B5B2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3795312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karl.staisch@wcpfc.int</w:t>
      </w:r>
    </w:p>
    <w:p w14:paraId="718C59CB" w14:textId="77777777" w:rsidR="006B2F2D" w:rsidRPr="006B2F2D" w:rsidRDefault="006B2F2D" w:rsidP="0054190C">
      <w:pPr>
        <w:adjustRightInd w:val="0"/>
        <w:snapToGrid w:val="0"/>
        <w:spacing w:after="0"/>
        <w:jc w:val="left"/>
        <w:rPr>
          <w:rFonts w:ascii="Times New Roman" w:hAnsi="Times New Roman"/>
          <w:color w:val="000000"/>
        </w:rPr>
      </w:pPr>
    </w:p>
    <w:p w14:paraId="305DC7C5"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‘Ana Taholo</w:t>
      </w:r>
    </w:p>
    <w:p w14:paraId="18C5902F"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Assistant Compliance Manager</w:t>
      </w:r>
    </w:p>
    <w:p w14:paraId="6E3916B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1F295AC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108D28B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1260B25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ana.taholo@wcpfc.int</w:t>
      </w:r>
    </w:p>
    <w:p w14:paraId="22A607ED" w14:textId="77777777" w:rsidR="006B2F2D" w:rsidRPr="006B2F2D" w:rsidRDefault="006B2F2D" w:rsidP="0054190C">
      <w:pPr>
        <w:adjustRightInd w:val="0"/>
        <w:snapToGrid w:val="0"/>
        <w:spacing w:after="0"/>
        <w:jc w:val="left"/>
        <w:rPr>
          <w:rFonts w:ascii="Times New Roman" w:hAnsi="Times New Roman"/>
          <w:color w:val="000000"/>
        </w:rPr>
      </w:pPr>
    </w:p>
    <w:p w14:paraId="568AC68B"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Shelley Clarke</w:t>
      </w:r>
    </w:p>
    <w:p w14:paraId="24EFAC3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ABNJ Project Technical Coordinator - Sharks &amp; Bycatch</w:t>
      </w:r>
    </w:p>
    <w:p w14:paraId="19AEC58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60DB7B3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5F12E44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72CBE52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shelley.clarke@wcpfc.int</w:t>
      </w:r>
    </w:p>
    <w:p w14:paraId="132240CA" w14:textId="77777777" w:rsidR="006B2F2D" w:rsidRPr="006B2F2D" w:rsidRDefault="006B2F2D" w:rsidP="0054190C">
      <w:pPr>
        <w:adjustRightInd w:val="0"/>
        <w:snapToGrid w:val="0"/>
        <w:spacing w:after="0"/>
        <w:jc w:val="left"/>
        <w:rPr>
          <w:rFonts w:ascii="Times New Roman" w:hAnsi="Times New Roman"/>
          <w:b/>
          <w:noProof/>
          <w:color w:val="000000"/>
        </w:rPr>
      </w:pPr>
    </w:p>
    <w:p w14:paraId="241C4D6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Lucille Martinez</w:t>
      </w:r>
    </w:p>
    <w:p w14:paraId="6CD1BE2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Adminstrative Officer</w:t>
      </w:r>
    </w:p>
    <w:p w14:paraId="4578F3A6"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4C280F8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37E8A14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72802EE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lucille.martinez@wcpfc.int</w:t>
      </w:r>
    </w:p>
    <w:p w14:paraId="3A955041" w14:textId="77777777" w:rsidR="006B2F2D" w:rsidRPr="006B2F2D" w:rsidRDefault="006B2F2D" w:rsidP="0054190C">
      <w:pPr>
        <w:adjustRightInd w:val="0"/>
        <w:snapToGrid w:val="0"/>
        <w:spacing w:after="0"/>
        <w:jc w:val="left"/>
        <w:rPr>
          <w:rFonts w:ascii="Times New Roman" w:hAnsi="Times New Roman"/>
          <w:color w:val="000000"/>
        </w:rPr>
      </w:pPr>
    </w:p>
    <w:p w14:paraId="0D34A7C1"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Arlene Takesy</w:t>
      </w:r>
    </w:p>
    <w:p w14:paraId="38145E4C"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Executive Assistant</w:t>
      </w:r>
    </w:p>
    <w:p w14:paraId="0072528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Western and Central Pacific Fisheries Commission</w:t>
      </w:r>
    </w:p>
    <w:p w14:paraId="3CD461A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Kaselehlie Street, Pohnpei FM  96941</w:t>
      </w:r>
    </w:p>
    <w:p w14:paraId="3AB40DE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691 320-1993</w:t>
      </w:r>
    </w:p>
    <w:p w14:paraId="2885427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arlene.takesy@wcpfc.int</w:t>
      </w:r>
    </w:p>
    <w:p w14:paraId="1B546F68" w14:textId="77777777" w:rsidR="006B2F2D" w:rsidRPr="006B2F2D" w:rsidRDefault="006B2F2D" w:rsidP="0054190C">
      <w:pPr>
        <w:adjustRightInd w:val="0"/>
        <w:snapToGrid w:val="0"/>
        <w:spacing w:after="0"/>
        <w:jc w:val="left"/>
        <w:rPr>
          <w:rFonts w:ascii="Times New Roman" w:hAnsi="Times New Roman"/>
          <w:color w:val="000000"/>
        </w:rPr>
      </w:pPr>
    </w:p>
    <w:p w14:paraId="1142B2E3"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Penelope Ridings</w:t>
      </w:r>
    </w:p>
    <w:p w14:paraId="46D57A9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Legal Advisor</w:t>
      </w:r>
    </w:p>
    <w:p w14:paraId="06CCE1A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pennyridings@yahoo.com</w:t>
      </w:r>
    </w:p>
    <w:p w14:paraId="7CFA761F" w14:textId="77777777" w:rsidR="006B2F2D" w:rsidRPr="006B2F2D" w:rsidRDefault="006B2F2D" w:rsidP="0054190C">
      <w:pPr>
        <w:adjustRightInd w:val="0"/>
        <w:snapToGrid w:val="0"/>
        <w:spacing w:after="0"/>
        <w:jc w:val="left"/>
        <w:rPr>
          <w:rFonts w:ascii="Times New Roman" w:hAnsi="Times New Roman"/>
          <w:color w:val="000000"/>
        </w:rPr>
      </w:pPr>
    </w:p>
    <w:p w14:paraId="2F928005" w14:textId="77777777" w:rsidR="006B2F2D" w:rsidRPr="006B2F2D" w:rsidRDefault="006B2F2D" w:rsidP="0054190C">
      <w:pPr>
        <w:adjustRightInd w:val="0"/>
        <w:snapToGrid w:val="0"/>
        <w:spacing w:after="0"/>
        <w:jc w:val="left"/>
        <w:rPr>
          <w:rFonts w:ascii="Times New Roman" w:hAnsi="Times New Roman"/>
          <w:b/>
          <w:i/>
          <w:noProof/>
          <w:color w:val="000000"/>
        </w:rPr>
      </w:pPr>
      <w:r w:rsidRPr="006B2F2D">
        <w:rPr>
          <w:rFonts w:ascii="Times New Roman" w:hAnsi="Times New Roman"/>
          <w:b/>
          <w:i/>
          <w:noProof/>
          <w:color w:val="000000"/>
        </w:rPr>
        <w:t>CONSULTANTS</w:t>
      </w:r>
    </w:p>
    <w:p w14:paraId="224603EE" w14:textId="77777777" w:rsidR="006B2F2D" w:rsidRPr="006B2F2D" w:rsidRDefault="006B2F2D" w:rsidP="0054190C">
      <w:pPr>
        <w:adjustRightInd w:val="0"/>
        <w:snapToGrid w:val="0"/>
        <w:spacing w:after="0"/>
        <w:jc w:val="left"/>
        <w:rPr>
          <w:rFonts w:ascii="Times New Roman" w:hAnsi="Times New Roman"/>
          <w:b/>
          <w:noProof/>
          <w:color w:val="000000"/>
        </w:rPr>
      </w:pPr>
    </w:p>
    <w:p w14:paraId="73117934"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Lyn Goldsworthy</w:t>
      </w:r>
    </w:p>
    <w:p w14:paraId="0063C57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Rapporteur</w:t>
      </w:r>
    </w:p>
    <w:p w14:paraId="0E9C212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lyngolds@icloud.com</w:t>
      </w:r>
    </w:p>
    <w:p w14:paraId="16B0BFB8" w14:textId="77777777" w:rsidR="006B2F2D" w:rsidRPr="006B2F2D" w:rsidRDefault="006B2F2D" w:rsidP="0054190C">
      <w:pPr>
        <w:adjustRightInd w:val="0"/>
        <w:snapToGrid w:val="0"/>
        <w:spacing w:after="0"/>
        <w:jc w:val="left"/>
        <w:rPr>
          <w:rFonts w:ascii="Times New Roman" w:hAnsi="Times New Roman"/>
          <w:color w:val="000000"/>
        </w:rPr>
      </w:pPr>
    </w:p>
    <w:p w14:paraId="15B7C2E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Melissa Idiens</w:t>
      </w:r>
    </w:p>
    <w:p w14:paraId="45BDDC44"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Rapporteur</w:t>
      </w:r>
    </w:p>
    <w:p w14:paraId="1FB7E465"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melissa.Idiens@maritimez.govt.nz</w:t>
      </w:r>
    </w:p>
    <w:p w14:paraId="6CC1AB83" w14:textId="77777777" w:rsidR="006B2F2D" w:rsidRPr="006B2F2D" w:rsidRDefault="006B2F2D" w:rsidP="0054190C">
      <w:pPr>
        <w:adjustRightInd w:val="0"/>
        <w:snapToGrid w:val="0"/>
        <w:spacing w:after="0"/>
        <w:jc w:val="left"/>
        <w:rPr>
          <w:rFonts w:ascii="Times New Roman" w:hAnsi="Times New Roman"/>
          <w:color w:val="000000"/>
        </w:rPr>
      </w:pPr>
    </w:p>
    <w:p w14:paraId="5CDDC2F7"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Patrick Lehodey</w:t>
      </w:r>
    </w:p>
    <w:p w14:paraId="428D59A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Head of Marine Ecosystem Department</w:t>
      </w:r>
    </w:p>
    <w:p w14:paraId="43B5CA1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Collecte Localisation Satellites</w:t>
      </w:r>
    </w:p>
    <w:p w14:paraId="3016AD7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11 rue Hermes 31520 Ramonville St Agne France</w:t>
      </w:r>
    </w:p>
    <w:p w14:paraId="7108C72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+33 561 393 770</w:t>
      </w:r>
    </w:p>
    <w:p w14:paraId="78CC1939"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plehodey@cls.fr</w:t>
      </w:r>
    </w:p>
    <w:p w14:paraId="48F090A0" w14:textId="77777777" w:rsidR="006B2F2D" w:rsidRPr="006B2F2D" w:rsidRDefault="006B2F2D" w:rsidP="0054190C">
      <w:pPr>
        <w:adjustRightInd w:val="0"/>
        <w:snapToGrid w:val="0"/>
        <w:spacing w:after="0"/>
        <w:jc w:val="left"/>
        <w:rPr>
          <w:rFonts w:ascii="Times New Roman" w:hAnsi="Times New Roman"/>
          <w:color w:val="000000"/>
        </w:rPr>
      </w:pPr>
    </w:p>
    <w:p w14:paraId="4FE919C6"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Dale Withington</w:t>
      </w:r>
    </w:p>
    <w:p w14:paraId="3C8E9DF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464FE3A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Kota Kina balu, Soba Malaysia</w:t>
      </w:r>
    </w:p>
    <w:p w14:paraId="01DE4BDA"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+60 3 759 6141</w:t>
      </w:r>
    </w:p>
    <w:p w14:paraId="4810A22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drwithing@yahoo.com</w:t>
      </w:r>
    </w:p>
    <w:p w14:paraId="412A1966" w14:textId="77777777" w:rsidR="006B2F2D" w:rsidRPr="006B2F2D" w:rsidRDefault="006B2F2D" w:rsidP="0054190C">
      <w:pPr>
        <w:adjustRightInd w:val="0"/>
        <w:snapToGrid w:val="0"/>
        <w:spacing w:after="0"/>
        <w:jc w:val="left"/>
        <w:rPr>
          <w:rFonts w:ascii="Times New Roman" w:hAnsi="Times New Roman"/>
        </w:rPr>
      </w:pPr>
    </w:p>
    <w:p w14:paraId="071D3D5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Antony Lewis</w:t>
      </w:r>
    </w:p>
    <w:p w14:paraId="07C7F46D"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1CF8B2B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WCPFC</w:t>
      </w:r>
    </w:p>
    <w:p w14:paraId="0BEC19E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37/22 Riverview Terrace Indooroopilly Brisbane Q 4068 Australia</w:t>
      </w:r>
    </w:p>
    <w:p w14:paraId="7BA97D9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+617 38787126</w:t>
      </w:r>
    </w:p>
    <w:p w14:paraId="3043F42E"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al069175@bigpond.net.au</w:t>
      </w:r>
    </w:p>
    <w:p w14:paraId="1AEDAF74" w14:textId="77777777" w:rsidR="006B2F2D" w:rsidRPr="006B2F2D" w:rsidRDefault="006B2F2D" w:rsidP="0054190C">
      <w:pPr>
        <w:adjustRightInd w:val="0"/>
        <w:snapToGrid w:val="0"/>
        <w:spacing w:after="0"/>
        <w:jc w:val="left"/>
        <w:rPr>
          <w:rFonts w:ascii="Times New Roman" w:hAnsi="Times New Roman"/>
          <w:b/>
          <w:noProof/>
          <w:color w:val="000000"/>
        </w:rPr>
      </w:pPr>
    </w:p>
    <w:p w14:paraId="2B70B368"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Simon Hoyle</w:t>
      </w:r>
    </w:p>
    <w:p w14:paraId="1D9F747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0943273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NIWA</w:t>
      </w:r>
    </w:p>
    <w:p w14:paraId="704313E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217 Akersten St, Port Nelson, Nelson 7010, New Zealand</w:t>
      </w:r>
    </w:p>
    <w:p w14:paraId="585EAED3"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+64 225 998846</w:t>
      </w:r>
    </w:p>
    <w:p w14:paraId="4365B9E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simon.hoyle@niwa.co.nz</w:t>
      </w:r>
    </w:p>
    <w:p w14:paraId="3098D5CA" w14:textId="77777777" w:rsidR="006B2F2D" w:rsidRPr="006B2F2D" w:rsidRDefault="006B2F2D" w:rsidP="0054190C">
      <w:pPr>
        <w:adjustRightInd w:val="0"/>
        <w:snapToGrid w:val="0"/>
        <w:spacing w:after="0"/>
        <w:jc w:val="left"/>
        <w:rPr>
          <w:rFonts w:ascii="Times New Roman" w:hAnsi="Times New Roman"/>
          <w:color w:val="000000"/>
        </w:rPr>
      </w:pPr>
    </w:p>
    <w:p w14:paraId="724E732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noProof/>
          <w:color w:val="000000"/>
        </w:rPr>
        <w:t>Charles T.T Edwards</w:t>
      </w:r>
    </w:p>
    <w:p w14:paraId="46A5B2E2"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Consultant</w:t>
      </w:r>
    </w:p>
    <w:p w14:paraId="5DCC55A7"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NIWA</w:t>
      </w:r>
    </w:p>
    <w:p w14:paraId="02FEC170"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30 Evans Bay Parade, Wellington New Zealand</w:t>
      </w:r>
    </w:p>
    <w:p w14:paraId="024F8A08"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noProof/>
          <w:color w:val="000000"/>
        </w:rPr>
        <w:t>charles.edwards@niwa.co.nz</w:t>
      </w:r>
    </w:p>
    <w:p w14:paraId="406F0C0E" w14:textId="77777777" w:rsidR="006B2F2D" w:rsidRPr="006B2F2D" w:rsidRDefault="006B2F2D" w:rsidP="0054190C">
      <w:pPr>
        <w:adjustRightInd w:val="0"/>
        <w:snapToGrid w:val="0"/>
        <w:spacing w:after="0"/>
        <w:jc w:val="left"/>
        <w:rPr>
          <w:rFonts w:ascii="Times New Roman" w:hAnsi="Times New Roman"/>
          <w:color w:val="000000"/>
        </w:rPr>
      </w:pPr>
    </w:p>
    <w:p w14:paraId="7F2E59EE" w14:textId="77777777" w:rsidR="006B2F2D" w:rsidRPr="006B2F2D" w:rsidRDefault="006B2F2D" w:rsidP="0054190C">
      <w:pPr>
        <w:adjustRightInd w:val="0"/>
        <w:snapToGrid w:val="0"/>
        <w:spacing w:after="0"/>
        <w:jc w:val="left"/>
        <w:rPr>
          <w:rFonts w:ascii="Times New Roman" w:hAnsi="Times New Roman"/>
          <w:b/>
          <w:i/>
          <w:color w:val="000000"/>
        </w:rPr>
      </w:pPr>
      <w:r w:rsidRPr="006B2F2D">
        <w:rPr>
          <w:rFonts w:ascii="Times New Roman" w:hAnsi="Times New Roman"/>
          <w:b/>
          <w:i/>
          <w:color w:val="000000"/>
        </w:rPr>
        <w:t>COOK ISLANDS SUPPORT TEAM</w:t>
      </w:r>
    </w:p>
    <w:p w14:paraId="303D0AC1" w14:textId="77777777" w:rsidR="006B2F2D" w:rsidRPr="006B2F2D" w:rsidRDefault="006B2F2D" w:rsidP="0054190C">
      <w:pPr>
        <w:adjustRightInd w:val="0"/>
        <w:snapToGrid w:val="0"/>
        <w:spacing w:after="0"/>
        <w:jc w:val="left"/>
        <w:rPr>
          <w:rFonts w:ascii="Times New Roman" w:hAnsi="Times New Roman"/>
          <w:color w:val="000000"/>
        </w:rPr>
      </w:pPr>
    </w:p>
    <w:p w14:paraId="30D25B5E"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color w:val="000000"/>
        </w:rPr>
        <w:t>Dione Wigmore</w:t>
      </w:r>
    </w:p>
    <w:p w14:paraId="1107E30B"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color w:val="000000"/>
        </w:rPr>
        <w:t>Ministry of Marine Resources</w:t>
      </w:r>
    </w:p>
    <w:p w14:paraId="769DD1D1" w14:textId="77777777" w:rsidR="006B2F2D" w:rsidRPr="006B2F2D" w:rsidRDefault="006B2F2D" w:rsidP="0054190C">
      <w:pPr>
        <w:adjustRightInd w:val="0"/>
        <w:snapToGrid w:val="0"/>
        <w:spacing w:after="0"/>
        <w:jc w:val="left"/>
        <w:rPr>
          <w:rFonts w:ascii="Times New Roman" w:hAnsi="Times New Roman"/>
          <w:color w:val="000000"/>
        </w:rPr>
      </w:pPr>
      <w:r w:rsidRPr="006B2F2D">
        <w:rPr>
          <w:rFonts w:ascii="Times New Roman" w:hAnsi="Times New Roman"/>
          <w:color w:val="000000"/>
        </w:rPr>
        <w:t>d.wigmore@mmr.gov.ck</w:t>
      </w:r>
    </w:p>
    <w:p w14:paraId="1F87414E" w14:textId="77777777" w:rsidR="006B2F2D" w:rsidRPr="006B2F2D" w:rsidRDefault="006B2F2D" w:rsidP="0054190C">
      <w:pPr>
        <w:adjustRightInd w:val="0"/>
        <w:snapToGrid w:val="0"/>
        <w:spacing w:after="0"/>
        <w:jc w:val="left"/>
        <w:rPr>
          <w:rFonts w:ascii="Times New Roman" w:hAnsi="Times New Roman"/>
          <w:b/>
          <w:color w:val="000000"/>
        </w:rPr>
      </w:pPr>
    </w:p>
    <w:p w14:paraId="22E102E9" w14:textId="77777777" w:rsidR="006B2F2D" w:rsidRPr="006B2F2D" w:rsidRDefault="006B2F2D" w:rsidP="0054190C">
      <w:pPr>
        <w:adjustRightInd w:val="0"/>
        <w:snapToGrid w:val="0"/>
        <w:spacing w:after="0"/>
        <w:jc w:val="left"/>
        <w:rPr>
          <w:rFonts w:ascii="Times New Roman" w:hAnsi="Times New Roman"/>
          <w:b/>
          <w:color w:val="000000"/>
        </w:rPr>
      </w:pPr>
      <w:r w:rsidRPr="006B2F2D">
        <w:rPr>
          <w:rFonts w:ascii="Times New Roman" w:hAnsi="Times New Roman"/>
          <w:b/>
          <w:color w:val="000000"/>
        </w:rPr>
        <w:t>Ruiruia David</w:t>
      </w:r>
    </w:p>
    <w:p w14:paraId="2D39799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10FB5521" w14:textId="4BF9203C"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r.david@mmr.gov.ck</w:t>
      </w:r>
    </w:p>
    <w:p w14:paraId="14FD8558" w14:textId="77777777" w:rsidR="006B2F2D" w:rsidRPr="006B2F2D" w:rsidRDefault="006B2F2D" w:rsidP="006B2F2D">
      <w:pPr>
        <w:adjustRightInd w:val="0"/>
        <w:snapToGrid w:val="0"/>
        <w:spacing w:after="0"/>
        <w:rPr>
          <w:rFonts w:ascii="Times New Roman" w:hAnsi="Times New Roman"/>
          <w:b/>
          <w:color w:val="000000"/>
        </w:rPr>
      </w:pPr>
    </w:p>
    <w:p w14:paraId="5CF136D7"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color w:val="000000"/>
        </w:rPr>
        <w:t>Johanna Taripo</w:t>
      </w:r>
    </w:p>
    <w:p w14:paraId="2CD1C6F3"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06CA20E3" w14:textId="7495F981"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j.taripo@mmr.gov.ck</w:t>
      </w:r>
    </w:p>
    <w:p w14:paraId="135C5851" w14:textId="77777777" w:rsidR="006B2F2D" w:rsidRPr="006B2F2D" w:rsidRDefault="006B2F2D" w:rsidP="006B2F2D">
      <w:pPr>
        <w:adjustRightInd w:val="0"/>
        <w:snapToGrid w:val="0"/>
        <w:spacing w:after="0"/>
        <w:rPr>
          <w:rFonts w:ascii="Times New Roman" w:hAnsi="Times New Roman"/>
          <w:b/>
          <w:color w:val="000000"/>
        </w:rPr>
      </w:pPr>
    </w:p>
    <w:p w14:paraId="58B4E993"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color w:val="000000"/>
        </w:rPr>
        <w:t>Teina Tuatai</w:t>
      </w:r>
    </w:p>
    <w:p w14:paraId="2F71978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33CFCC52" w14:textId="4B21AEC6"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t.tuatai@mmr.gov.ck</w:t>
      </w:r>
    </w:p>
    <w:p w14:paraId="45DE464C" w14:textId="77777777" w:rsidR="006B2F2D" w:rsidRPr="006B2F2D" w:rsidRDefault="006B2F2D" w:rsidP="006B2F2D">
      <w:pPr>
        <w:adjustRightInd w:val="0"/>
        <w:snapToGrid w:val="0"/>
        <w:spacing w:after="0"/>
        <w:rPr>
          <w:rFonts w:ascii="Times New Roman" w:hAnsi="Times New Roman"/>
          <w:b/>
          <w:color w:val="000000"/>
        </w:rPr>
      </w:pPr>
    </w:p>
    <w:p w14:paraId="7B3BA9A6"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color w:val="000000"/>
        </w:rPr>
        <w:t>Alice Mitchell</w:t>
      </w:r>
    </w:p>
    <w:p w14:paraId="3AE82F8E"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787523CA" w14:textId="5A665E7B"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a.mitchell@mmr.gov.ck</w:t>
      </w:r>
    </w:p>
    <w:p w14:paraId="40EAE7FB" w14:textId="77777777" w:rsidR="006B2F2D" w:rsidRPr="006B2F2D" w:rsidRDefault="006B2F2D" w:rsidP="006B2F2D">
      <w:pPr>
        <w:adjustRightInd w:val="0"/>
        <w:snapToGrid w:val="0"/>
        <w:spacing w:after="0"/>
        <w:rPr>
          <w:rFonts w:ascii="Times New Roman" w:hAnsi="Times New Roman"/>
          <w:b/>
          <w:color w:val="000000"/>
        </w:rPr>
      </w:pPr>
    </w:p>
    <w:p w14:paraId="0ED25BBB"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color w:val="000000"/>
        </w:rPr>
        <w:t>Tuane Turua</w:t>
      </w:r>
    </w:p>
    <w:p w14:paraId="3715DCB7"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5CC132C5" w14:textId="7ED6B168"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t.turua@mmr.gov.ck</w:t>
      </w:r>
    </w:p>
    <w:p w14:paraId="7AC584AF" w14:textId="77777777" w:rsidR="006B2F2D" w:rsidRPr="006B2F2D" w:rsidRDefault="006B2F2D" w:rsidP="006B2F2D">
      <w:pPr>
        <w:adjustRightInd w:val="0"/>
        <w:snapToGrid w:val="0"/>
        <w:spacing w:after="0"/>
        <w:rPr>
          <w:rFonts w:ascii="Times New Roman" w:hAnsi="Times New Roman"/>
          <w:b/>
          <w:color w:val="000000"/>
        </w:rPr>
      </w:pPr>
    </w:p>
    <w:p w14:paraId="0680149B" w14:textId="77777777" w:rsidR="006B2F2D" w:rsidRPr="006B2F2D" w:rsidRDefault="006B2F2D" w:rsidP="006B2F2D">
      <w:pPr>
        <w:adjustRightInd w:val="0"/>
        <w:snapToGrid w:val="0"/>
        <w:spacing w:after="0"/>
        <w:rPr>
          <w:rFonts w:ascii="Times New Roman" w:hAnsi="Times New Roman"/>
          <w:b/>
          <w:color w:val="000000"/>
        </w:rPr>
      </w:pPr>
      <w:r w:rsidRPr="006B2F2D">
        <w:rPr>
          <w:rFonts w:ascii="Times New Roman" w:hAnsi="Times New Roman"/>
          <w:b/>
          <w:color w:val="000000"/>
        </w:rPr>
        <w:t>Preslea Pokino</w:t>
      </w:r>
    </w:p>
    <w:p w14:paraId="7AA3287D" w14:textId="77777777" w:rsidR="006B2F2D" w:rsidRPr="006B2F2D" w:rsidRDefault="006B2F2D" w:rsidP="006B2F2D">
      <w:pPr>
        <w:adjustRightInd w:val="0"/>
        <w:snapToGrid w:val="0"/>
        <w:spacing w:after="0"/>
        <w:rPr>
          <w:rFonts w:ascii="Times New Roman" w:hAnsi="Times New Roman"/>
          <w:color w:val="000000"/>
        </w:rPr>
      </w:pPr>
      <w:r w:rsidRPr="006B2F2D">
        <w:rPr>
          <w:rFonts w:ascii="Times New Roman" w:hAnsi="Times New Roman"/>
          <w:color w:val="000000"/>
        </w:rPr>
        <w:t>Ministry of Marine Resources</w:t>
      </w:r>
    </w:p>
    <w:p w14:paraId="60554DBA" w14:textId="03A1D41E" w:rsidR="006B2F2D" w:rsidRPr="006B2F2D" w:rsidRDefault="006B2F2D" w:rsidP="006B2F2D">
      <w:pPr>
        <w:adjustRightInd w:val="0"/>
        <w:snapToGrid w:val="0"/>
        <w:spacing w:after="0"/>
        <w:rPr>
          <w:rFonts w:ascii="Times New Roman" w:hAnsi="Times New Roman"/>
          <w:b/>
          <w:lang w:eastAsia="ko-KR"/>
        </w:rPr>
      </w:pPr>
      <w:r w:rsidRPr="0054190C">
        <w:rPr>
          <w:rFonts w:ascii="Times New Roman" w:hAnsi="Times New Roman"/>
        </w:rPr>
        <w:t>p.pokino@mmr.gov.ck</w:t>
      </w:r>
    </w:p>
    <w:p w14:paraId="4393BE40" w14:textId="77777777" w:rsidR="006B2F2D" w:rsidRPr="006B2F2D" w:rsidRDefault="006B2F2D" w:rsidP="006B2F2D">
      <w:pPr>
        <w:adjustRightInd w:val="0"/>
        <w:snapToGrid w:val="0"/>
        <w:spacing w:after="0"/>
        <w:rPr>
          <w:rFonts w:ascii="Times New Roman" w:hAnsi="Times New Roman"/>
          <w:b/>
          <w:color w:val="000000"/>
        </w:rPr>
      </w:pPr>
    </w:p>
    <w:p w14:paraId="5B4B41A3" w14:textId="77777777" w:rsidR="006B2F2D" w:rsidRDefault="006B2F2D" w:rsidP="006B2F2D">
      <w:pPr>
        <w:adjustRightInd w:val="0"/>
        <w:snapToGrid w:val="0"/>
        <w:spacing w:after="0"/>
        <w:rPr>
          <w:rFonts w:ascii="Times New Roman" w:hAnsi="Times New Roman"/>
          <w:color w:val="000000"/>
        </w:rPr>
        <w:sectPr w:rsidR="006B2F2D" w:rsidSect="00C06F80">
          <w:type w:val="continuous"/>
          <w:pgSz w:w="12240" w:h="15840" w:code="1"/>
          <w:pgMar w:top="1440" w:right="1440" w:bottom="1440" w:left="1440" w:header="706" w:footer="706" w:gutter="0"/>
          <w:cols w:num="2" w:space="708"/>
          <w:docGrid w:linePitch="360"/>
        </w:sectPr>
      </w:pPr>
    </w:p>
    <w:p w14:paraId="7C2166D0" w14:textId="6A5AB3DE" w:rsidR="00213E61" w:rsidRDefault="00213E61" w:rsidP="00213E61">
      <w:pPr>
        <w:autoSpaceDE w:val="0"/>
        <w:autoSpaceDN w:val="0"/>
        <w:adjustRightInd w:val="0"/>
        <w:snapToGrid w:val="0"/>
        <w:spacing w:after="0"/>
        <w:jc w:val="right"/>
        <w:rPr>
          <w:rFonts w:ascii="Times New Roman" w:hAnsi="Times New Roman"/>
          <w:b/>
          <w:bCs/>
          <w:lang w:val="en-AU" w:eastAsia="en-NZ"/>
        </w:rPr>
      </w:pPr>
      <w:r>
        <w:rPr>
          <w:rFonts w:ascii="Times New Roman" w:hAnsi="Times New Roman"/>
          <w:b/>
          <w:bCs/>
          <w:lang w:val="en-AU" w:eastAsia="en-NZ"/>
        </w:rPr>
        <w:t>Attachment B</w:t>
      </w:r>
    </w:p>
    <w:p w14:paraId="28722F20" w14:textId="77777777" w:rsidR="00213E61" w:rsidRDefault="00213E61" w:rsidP="00213E61">
      <w:pPr>
        <w:autoSpaceDE w:val="0"/>
        <w:autoSpaceDN w:val="0"/>
        <w:adjustRightInd w:val="0"/>
        <w:snapToGrid w:val="0"/>
        <w:spacing w:after="0"/>
        <w:jc w:val="center"/>
        <w:rPr>
          <w:rFonts w:ascii="Times New Roman" w:hAnsi="Times New Roman"/>
          <w:b/>
          <w:bCs/>
          <w:lang w:val="en-AU" w:eastAsia="en-NZ"/>
        </w:rPr>
      </w:pPr>
    </w:p>
    <w:p w14:paraId="3F86B851" w14:textId="77777777" w:rsidR="00213E61" w:rsidRPr="00213E61" w:rsidRDefault="00213E61" w:rsidP="00213E61">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 xml:space="preserve">Highly Migratory </w:t>
      </w:r>
      <w:r w:rsidRPr="00213E61">
        <w:rPr>
          <w:rFonts w:ascii="Times New Roman" w:hAnsi="Times New Roman"/>
          <w:b/>
          <w:bCs/>
          <w:lang w:val="en-AU" w:eastAsia="en-NZ"/>
        </w:rPr>
        <w:t>Fish Stocks in the Western and Central Pacific Ocean</w:t>
      </w:r>
    </w:p>
    <w:p w14:paraId="2E59BF2A" w14:textId="77777777" w:rsidR="00213E61" w:rsidRPr="00213E61" w:rsidRDefault="00213E61" w:rsidP="00213E61">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 xml:space="preserve">Scientific Committee </w:t>
      </w:r>
    </w:p>
    <w:p w14:paraId="44076987" w14:textId="77777777" w:rsidR="00213E61" w:rsidRPr="00213E61" w:rsidRDefault="00213E61" w:rsidP="00213E61">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Thirteenth Regular Session</w:t>
      </w:r>
    </w:p>
    <w:p w14:paraId="6B682D84" w14:textId="77777777" w:rsidR="00213E61" w:rsidRPr="00213E61" w:rsidRDefault="00213E61" w:rsidP="00213E61">
      <w:pPr>
        <w:autoSpaceDE w:val="0"/>
        <w:autoSpaceDN w:val="0"/>
        <w:adjustRightInd w:val="0"/>
        <w:snapToGrid w:val="0"/>
        <w:spacing w:after="0"/>
        <w:jc w:val="center"/>
        <w:rPr>
          <w:rFonts w:ascii="Times New Roman" w:hAnsi="Times New Roman"/>
          <w:bCs/>
          <w:lang w:val="en-AU" w:eastAsia="en-NZ"/>
        </w:rPr>
      </w:pPr>
      <w:r w:rsidRPr="00213E61">
        <w:rPr>
          <w:rFonts w:ascii="Times New Roman" w:hAnsi="Times New Roman"/>
          <w:bCs/>
          <w:lang w:val="en-AU" w:eastAsia="en-NZ"/>
        </w:rPr>
        <w:t>Rarotonga, Cook Islands</w:t>
      </w:r>
      <w:r w:rsidRPr="00213E61">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213E61" w:rsidRPr="00213E61" w14:paraId="23A19970" w14:textId="77777777" w:rsidTr="0021261B">
        <w:tc>
          <w:tcPr>
            <w:tcW w:w="9576" w:type="dxa"/>
            <w:tcBorders>
              <w:top w:val="single" w:sz="12" w:space="0" w:color="auto"/>
              <w:left w:val="nil"/>
              <w:bottom w:val="single" w:sz="12" w:space="0" w:color="auto"/>
              <w:right w:val="nil"/>
            </w:tcBorders>
            <w:hideMark/>
          </w:tcPr>
          <w:p w14:paraId="4C39975C" w14:textId="77777777" w:rsidR="00213E61" w:rsidRPr="00213E61" w:rsidRDefault="00213E61" w:rsidP="00213E61">
            <w:pPr>
              <w:adjustRightInd w:val="0"/>
              <w:snapToGrid w:val="0"/>
              <w:spacing w:after="0"/>
              <w:jc w:val="center"/>
              <w:rPr>
                <w:rFonts w:ascii="Times New Roman" w:hAnsi="Times New Roman"/>
              </w:rPr>
            </w:pPr>
            <w:r w:rsidRPr="00213E61">
              <w:rPr>
                <w:rFonts w:ascii="Times New Roman" w:hAnsi="Times New Roman"/>
              </w:rPr>
              <w:t>Opening Statement  by the Honourable Mark Brown</w:t>
            </w:r>
          </w:p>
          <w:p w14:paraId="221969C0" w14:textId="69C63F24" w:rsidR="00213E61" w:rsidRPr="00213E61" w:rsidRDefault="00213E61" w:rsidP="00213E61">
            <w:pPr>
              <w:spacing w:after="0"/>
              <w:jc w:val="center"/>
              <w:rPr>
                <w:rFonts w:ascii="Times New Roman" w:hAnsi="Times New Roman"/>
              </w:rPr>
            </w:pPr>
            <w:r w:rsidRPr="00213E61">
              <w:rPr>
                <w:rFonts w:ascii="Times New Roman" w:hAnsi="Times New Roman"/>
              </w:rPr>
              <w:t>Minister of Finance and Acting Minister of Marine Resources</w:t>
            </w:r>
          </w:p>
          <w:p w14:paraId="16A71A1D" w14:textId="43FAAEA3" w:rsidR="00213E61" w:rsidRPr="00213E61" w:rsidRDefault="00213E61" w:rsidP="00213E61">
            <w:pPr>
              <w:adjustRightInd w:val="0"/>
              <w:snapToGrid w:val="0"/>
              <w:spacing w:after="0"/>
              <w:jc w:val="center"/>
              <w:rPr>
                <w:rFonts w:ascii="Times New Roman" w:eastAsia="맑은 고딕" w:hAnsi="Times New Roman"/>
                <w:b/>
                <w:lang w:val="en-AU" w:eastAsia="ko-KR"/>
              </w:rPr>
            </w:pPr>
            <w:r w:rsidRPr="00213E61">
              <w:rPr>
                <w:rFonts w:ascii="Times New Roman" w:hAnsi="Times New Roman"/>
              </w:rPr>
              <w:t>Government of the Cook Islands</w:t>
            </w:r>
          </w:p>
        </w:tc>
      </w:tr>
    </w:tbl>
    <w:p w14:paraId="6E717961" w14:textId="77777777" w:rsidR="006D6624" w:rsidRPr="00213E61" w:rsidRDefault="006D6624" w:rsidP="006B2F2D">
      <w:pPr>
        <w:autoSpaceDE w:val="0"/>
        <w:autoSpaceDN w:val="0"/>
        <w:adjustRightInd w:val="0"/>
        <w:snapToGrid w:val="0"/>
        <w:spacing w:after="0"/>
        <w:rPr>
          <w:rFonts w:ascii="Times New Roman" w:hAnsi="Times New Roman"/>
          <w:lang w:val="en-AU"/>
        </w:rPr>
      </w:pPr>
    </w:p>
    <w:p w14:paraId="34B34D33" w14:textId="77777777" w:rsidR="00213E61" w:rsidRDefault="00213E61" w:rsidP="006B2F2D">
      <w:pPr>
        <w:autoSpaceDE w:val="0"/>
        <w:autoSpaceDN w:val="0"/>
        <w:adjustRightInd w:val="0"/>
        <w:snapToGrid w:val="0"/>
        <w:spacing w:after="0"/>
        <w:rPr>
          <w:rFonts w:ascii="Times New Roman" w:hAnsi="Times New Roman"/>
          <w:lang w:val="en-AU"/>
        </w:rPr>
      </w:pPr>
    </w:p>
    <w:p w14:paraId="5A5640FD" w14:textId="77777777" w:rsidR="006D56C4" w:rsidRDefault="006D56C4" w:rsidP="006D56C4">
      <w:pPr>
        <w:adjustRightInd w:val="0"/>
        <w:snapToGrid w:val="0"/>
        <w:spacing w:after="0"/>
        <w:rPr>
          <w:rFonts w:ascii="Times New Roman" w:hAnsi="Times New Roman"/>
        </w:rPr>
      </w:pPr>
      <w:r w:rsidRPr="004B47CB">
        <w:rPr>
          <w:rFonts w:ascii="Times New Roman" w:hAnsi="Times New Roman"/>
        </w:rPr>
        <w:t>Mr Feleti Teo, Executive Director for the Western and Centr</w:t>
      </w:r>
      <w:r>
        <w:rPr>
          <w:rFonts w:ascii="Times New Roman" w:hAnsi="Times New Roman"/>
        </w:rPr>
        <w:t xml:space="preserve">al Pacific Fisheries Commission, </w:t>
      </w:r>
      <w:r w:rsidRPr="004B47CB">
        <w:rPr>
          <w:rFonts w:ascii="Times New Roman" w:hAnsi="Times New Roman"/>
        </w:rPr>
        <w:t>Ms Berry, Chairperson for the Scientific Committee</w:t>
      </w:r>
      <w:r>
        <w:rPr>
          <w:rFonts w:ascii="Times New Roman" w:hAnsi="Times New Roman"/>
        </w:rPr>
        <w:t xml:space="preserve">, </w:t>
      </w:r>
      <w:r w:rsidRPr="004B47CB">
        <w:rPr>
          <w:rFonts w:ascii="Times New Roman" w:hAnsi="Times New Roman"/>
        </w:rPr>
        <w:t>Representatives of the WCPFC Member Countries</w:t>
      </w:r>
      <w:r>
        <w:rPr>
          <w:rFonts w:ascii="Times New Roman" w:hAnsi="Times New Roman"/>
        </w:rPr>
        <w:t xml:space="preserve">, </w:t>
      </w:r>
      <w:r w:rsidRPr="004B47CB">
        <w:rPr>
          <w:rFonts w:ascii="Times New Roman" w:hAnsi="Times New Roman"/>
        </w:rPr>
        <w:t>Representatives of Regional and International organisations</w:t>
      </w:r>
      <w:r>
        <w:rPr>
          <w:rFonts w:ascii="Times New Roman" w:hAnsi="Times New Roman"/>
        </w:rPr>
        <w:t xml:space="preserve">, </w:t>
      </w:r>
      <w:r w:rsidRPr="004B47CB">
        <w:rPr>
          <w:rFonts w:ascii="Times New Roman" w:hAnsi="Times New Roman"/>
        </w:rPr>
        <w:t>Representatives of Observer Organisations</w:t>
      </w:r>
      <w:r>
        <w:rPr>
          <w:rFonts w:ascii="Times New Roman" w:hAnsi="Times New Roman"/>
        </w:rPr>
        <w:t xml:space="preserve">, </w:t>
      </w:r>
      <w:r w:rsidRPr="004B47CB">
        <w:rPr>
          <w:rFonts w:ascii="Times New Roman" w:hAnsi="Times New Roman"/>
        </w:rPr>
        <w:t>The WCPFC Secretariat</w:t>
      </w:r>
      <w:r>
        <w:rPr>
          <w:rFonts w:ascii="Times New Roman" w:hAnsi="Times New Roman"/>
        </w:rPr>
        <w:t xml:space="preserve">, </w:t>
      </w:r>
      <w:r w:rsidRPr="004B47CB">
        <w:rPr>
          <w:rFonts w:ascii="Times New Roman" w:hAnsi="Times New Roman"/>
        </w:rPr>
        <w:t>I also acknowledge the Aronga Mana of this land of Tupapa Maraerenga</w:t>
      </w:r>
      <w:r>
        <w:rPr>
          <w:rFonts w:ascii="Times New Roman" w:hAnsi="Times New Roman"/>
        </w:rPr>
        <w:t xml:space="preserve">, and </w:t>
      </w:r>
      <w:r w:rsidRPr="004B47CB">
        <w:rPr>
          <w:rFonts w:ascii="Times New Roman" w:hAnsi="Times New Roman"/>
        </w:rPr>
        <w:t>Ladies and Gentlemen a warm Kia Orana to you all,</w:t>
      </w:r>
    </w:p>
    <w:p w14:paraId="3A081A14" w14:textId="77777777" w:rsidR="006D56C4" w:rsidRPr="004B47CB" w:rsidRDefault="006D56C4" w:rsidP="006D56C4">
      <w:pPr>
        <w:adjustRightInd w:val="0"/>
        <w:snapToGrid w:val="0"/>
        <w:spacing w:after="0"/>
        <w:rPr>
          <w:rFonts w:ascii="Times New Roman" w:hAnsi="Times New Roman"/>
        </w:rPr>
      </w:pPr>
    </w:p>
    <w:p w14:paraId="63DD47E2"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On behalf of the Government of the Cook Islands, it is my sincere honour to welcome you all to the Cook Islands.</w:t>
      </w:r>
    </w:p>
    <w:p w14:paraId="3B1B820B"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Our Prime Minister, the Hon. Henry Puna and Minister for Marine Resources </w:t>
      </w:r>
      <w:proofErr w:type="gramStart"/>
      <w:r w:rsidRPr="004B47CB">
        <w:rPr>
          <w:rFonts w:ascii="Times New Roman" w:hAnsi="Times New Roman"/>
        </w:rPr>
        <w:t>is</w:t>
      </w:r>
      <w:proofErr w:type="gramEnd"/>
      <w:r w:rsidRPr="004B47CB">
        <w:rPr>
          <w:rFonts w:ascii="Times New Roman" w:hAnsi="Times New Roman"/>
        </w:rPr>
        <w:t xml:space="preserve"> unable to be with us today and so on his behalf I also extend to you all his best wishes and a warm Cook Islands welcome.</w:t>
      </w:r>
    </w:p>
    <w:p w14:paraId="2958AAC7"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If I recall correctly, the last occasion to which the Cook Islands hosted the WCPFC was during the preparatory meetings for the Convention in 2003. </w:t>
      </w:r>
    </w:p>
    <w:p w14:paraId="499C5269"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Therefore, standing before you today, in itself, is a milestone for the Cook Islands, as we mark the first occasion for our small nation to formally host a gathering of the WCPFC. </w:t>
      </w:r>
    </w:p>
    <w:p w14:paraId="0D124FE1" w14:textId="77777777" w:rsidR="006D56C4" w:rsidRDefault="006D56C4" w:rsidP="006D56C4">
      <w:pPr>
        <w:adjustRightInd w:val="0"/>
        <w:snapToGrid w:val="0"/>
        <w:spacing w:after="0"/>
        <w:rPr>
          <w:rFonts w:ascii="Times New Roman" w:hAnsi="Times New Roman"/>
        </w:rPr>
      </w:pPr>
      <w:r w:rsidRPr="004B47CB">
        <w:rPr>
          <w:rFonts w:ascii="Times New Roman" w:hAnsi="Times New Roman"/>
        </w:rPr>
        <w:t>And may I briefly acknowledge also the efforts of those managers and scientists whom have gone before us in preparing the way forward,and various organisations whom today are lead  our gathering here at this meeting.</w:t>
      </w:r>
    </w:p>
    <w:p w14:paraId="128F1407" w14:textId="77777777" w:rsidR="006D56C4" w:rsidRPr="004B47CB" w:rsidRDefault="006D56C4" w:rsidP="006D56C4">
      <w:pPr>
        <w:adjustRightInd w:val="0"/>
        <w:snapToGrid w:val="0"/>
        <w:spacing w:after="0"/>
        <w:rPr>
          <w:rFonts w:ascii="Times New Roman" w:hAnsi="Times New Roman"/>
        </w:rPr>
      </w:pPr>
    </w:p>
    <w:p w14:paraId="1600073E"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Today begins the Thirteenth Regular Session of the Scientific Committee for the WCPFC. </w:t>
      </w:r>
    </w:p>
    <w:p w14:paraId="1A229FEE"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Today, you will continue the pursuit of understanding the complex array of biological and technological factors that underpin the migratory fisheries of the Western and Central Pacific Ocean.</w:t>
      </w:r>
    </w:p>
    <w:p w14:paraId="3D5E2F19"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Over the course of the next week and a half, you will also debate critical matters such as the status of the key fisheries, stock assessments, data and statistics, harvest strategies, ecosystems and by-catch mitigation and future research priorities.</w:t>
      </w:r>
    </w:p>
    <w:p w14:paraId="6141B06A"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Your deliberations will provide the scientific advice upon which conservation and management measures are layered and provide the beacons that will guide the Regular Session of the Commission.</w:t>
      </w:r>
    </w:p>
    <w:p w14:paraId="3019C6A6"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The significance of your mission cannot be understated: </w:t>
      </w:r>
    </w:p>
    <w:p w14:paraId="67E6969C"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Twenty per cent of the area of the world is under your domain, encompassing colossal stocks of fisheries and marine species. Annually, billions of dollars of international trade, revenue and economy will be affected. At stake are thousands if not millions of peoples for whom their livelihoods and subsistence are intertwined.</w:t>
      </w:r>
    </w:p>
    <w:p w14:paraId="142CC361"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Fortunately you can take solace in the collective backing of the global community. At the United Nation’s Oceans Conference in June this year, our Leaders put out a Call to Action in support of your mission.</w:t>
      </w:r>
    </w:p>
    <w:p w14:paraId="14501883" w14:textId="77777777" w:rsidR="006D56C4" w:rsidRDefault="006D56C4" w:rsidP="006D56C4">
      <w:pPr>
        <w:adjustRightInd w:val="0"/>
        <w:snapToGrid w:val="0"/>
        <w:spacing w:after="0"/>
        <w:rPr>
          <w:rFonts w:ascii="Times New Roman" w:hAnsi="Times New Roman"/>
        </w:rPr>
      </w:pPr>
      <w:r w:rsidRPr="004B47CB">
        <w:rPr>
          <w:rFonts w:ascii="Times New Roman" w:hAnsi="Times New Roman"/>
        </w:rPr>
        <w:t>Each of us has an opportunity to contribute in our own way.</w:t>
      </w:r>
    </w:p>
    <w:p w14:paraId="5FC91CE0" w14:textId="77777777" w:rsidR="006D56C4" w:rsidRPr="004B47CB" w:rsidRDefault="006D56C4" w:rsidP="006D56C4">
      <w:pPr>
        <w:adjustRightInd w:val="0"/>
        <w:snapToGrid w:val="0"/>
        <w:spacing w:after="0"/>
        <w:rPr>
          <w:rFonts w:ascii="Times New Roman" w:hAnsi="Times New Roman"/>
        </w:rPr>
      </w:pPr>
    </w:p>
    <w:p w14:paraId="41659B8F"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Here in the Cook Islands we are steadfastly proud of being stewards of our marine heritage and large ocean state status. We are determined to demonstrate that even the smallest of island states should not shy away from its responsibilities of stewardship in this space.</w:t>
      </w:r>
    </w:p>
    <w:p w14:paraId="720DA326"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This we have demonstrated through our commitment in </w:t>
      </w:r>
      <w:r w:rsidRPr="004B47CB">
        <w:rPr>
          <w:rFonts w:ascii="Times New Roman" w:hAnsi="Times New Roman"/>
          <w:i/>
        </w:rPr>
        <w:t>Marae Moana</w:t>
      </w:r>
      <w:r w:rsidRPr="004B47CB">
        <w:rPr>
          <w:rFonts w:ascii="Times New Roman" w:hAnsi="Times New Roman"/>
        </w:rPr>
        <w:t xml:space="preserve"> (Marine Park) legislation recently adopted in Parliament. This enactment is a commitment in ensuring the integration of </w:t>
      </w:r>
      <w:proofErr w:type="gramStart"/>
      <w:r w:rsidRPr="004B47CB">
        <w:rPr>
          <w:rFonts w:ascii="Times New Roman" w:hAnsi="Times New Roman"/>
        </w:rPr>
        <w:t>all of our</w:t>
      </w:r>
      <w:proofErr w:type="gramEnd"/>
      <w:r w:rsidRPr="004B47CB">
        <w:rPr>
          <w:rFonts w:ascii="Times New Roman" w:hAnsi="Times New Roman"/>
        </w:rPr>
        <w:t xml:space="preserve"> ocean related policies and governance mechanisms to conserve the resources for future generations, protecting the integrity of our environment and striving to meet best international practices where-ever possible.</w:t>
      </w:r>
    </w:p>
    <w:p w14:paraId="1038DFB8"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This underlying commitment to sustainable fisheries management has been a longstanding mantra of our own Government and today this is being successfully discharged in our EEZ fisheries through efforts such as our albacore tuna longline Quota Management System.</w:t>
      </w:r>
    </w:p>
    <w:p w14:paraId="70EB5382"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As the Minister for Finance, I am also pleased to note that our investments in sustainable fisheries have been well rewarded through substantial income to the Government and the people of the Cook Islands. </w:t>
      </w:r>
    </w:p>
    <w:p w14:paraId="0EEF8EE0" w14:textId="77777777" w:rsidR="006D56C4" w:rsidRPr="004B47CB" w:rsidRDefault="006D56C4" w:rsidP="006D56C4">
      <w:pPr>
        <w:adjustRightInd w:val="0"/>
        <w:snapToGrid w:val="0"/>
        <w:spacing w:after="0"/>
        <w:rPr>
          <w:rFonts w:ascii="Times New Roman" w:hAnsi="Times New Roman"/>
        </w:rPr>
      </w:pPr>
      <w:proofErr w:type="gramStart"/>
      <w:r w:rsidRPr="004B47CB">
        <w:rPr>
          <w:rFonts w:ascii="Times New Roman" w:hAnsi="Times New Roman"/>
        </w:rPr>
        <w:t>Though I am mindful that none of these enduring achievements would have been possible without good science.</w:t>
      </w:r>
      <w:proofErr w:type="gramEnd"/>
      <w:r w:rsidRPr="004B47CB">
        <w:rPr>
          <w:rFonts w:ascii="Times New Roman" w:hAnsi="Times New Roman"/>
        </w:rPr>
        <w:t xml:space="preserve"> And we recognise that this morning, gathered amongst us are some of the world’s most eminent fisheries scientists.  To you, your peers and understudies; may I say how grateful we are for your life’s dedication and quest for </w:t>
      </w:r>
      <w:proofErr w:type="gramStart"/>
      <w:r w:rsidRPr="004B47CB">
        <w:rPr>
          <w:rFonts w:ascii="Times New Roman" w:hAnsi="Times New Roman"/>
        </w:rPr>
        <w:t>knowledge.</w:t>
      </w:r>
      <w:proofErr w:type="gramEnd"/>
    </w:p>
    <w:p w14:paraId="1748E964" w14:textId="77777777" w:rsidR="006D56C4" w:rsidRPr="004B47CB" w:rsidRDefault="006D56C4" w:rsidP="006D56C4">
      <w:pPr>
        <w:adjustRightInd w:val="0"/>
        <w:snapToGrid w:val="0"/>
        <w:spacing w:after="0"/>
        <w:rPr>
          <w:rFonts w:ascii="Times New Roman" w:hAnsi="Times New Roman"/>
        </w:rPr>
      </w:pPr>
      <w:proofErr w:type="gramStart"/>
      <w:r w:rsidRPr="004B47CB">
        <w:rPr>
          <w:rFonts w:ascii="Times New Roman" w:hAnsi="Times New Roman"/>
        </w:rPr>
        <w:t>This bring</w:t>
      </w:r>
      <w:proofErr w:type="gramEnd"/>
      <w:r w:rsidRPr="004B47CB">
        <w:rPr>
          <w:rFonts w:ascii="Times New Roman" w:hAnsi="Times New Roman"/>
        </w:rPr>
        <w:t xml:space="preserve"> us to the Western and Central Pacific Fisheries Commission, which has now become a model for other Regional Fisheries Management Organisations to emulate. </w:t>
      </w:r>
    </w:p>
    <w:p w14:paraId="632E55C7"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The necessary interplay of scientific advice with compliance and management bodies of the organisation have led to an agency that has set the bar high for decision making processes.</w:t>
      </w:r>
    </w:p>
    <w:p w14:paraId="039D92D5" w14:textId="77777777" w:rsidR="006D56C4" w:rsidRDefault="006D56C4" w:rsidP="006D56C4">
      <w:pPr>
        <w:adjustRightInd w:val="0"/>
        <w:snapToGrid w:val="0"/>
        <w:spacing w:after="0"/>
        <w:rPr>
          <w:rFonts w:ascii="Times New Roman" w:hAnsi="Times New Roman"/>
        </w:rPr>
      </w:pPr>
      <w:r w:rsidRPr="004B47CB">
        <w:rPr>
          <w:rFonts w:ascii="Times New Roman" w:hAnsi="Times New Roman"/>
        </w:rPr>
        <w:t>I congratulate you all for this achievement.</w:t>
      </w:r>
    </w:p>
    <w:p w14:paraId="4F169932" w14:textId="77777777" w:rsidR="006D56C4" w:rsidRPr="004B47CB" w:rsidRDefault="006D56C4" w:rsidP="006D56C4">
      <w:pPr>
        <w:adjustRightInd w:val="0"/>
        <w:snapToGrid w:val="0"/>
        <w:spacing w:after="0"/>
        <w:rPr>
          <w:rFonts w:ascii="Times New Roman" w:hAnsi="Times New Roman"/>
        </w:rPr>
      </w:pPr>
    </w:p>
    <w:p w14:paraId="30FFE643"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As you go about your deliberations please also take the time out to enjoy our small island paradise. Our Tourism Corporation have kindly provided visitor packs from which we invite you to discover our beaches and lagoon snorkelling, indulge in culinary delights and café lifestyles, best sunset views and vibrant nightlife spots, and learn about our rich culture and history.</w:t>
      </w:r>
    </w:p>
    <w:p w14:paraId="64315CAC" w14:textId="77777777" w:rsidR="006D56C4" w:rsidRDefault="006D56C4" w:rsidP="006D56C4">
      <w:pPr>
        <w:adjustRightInd w:val="0"/>
        <w:snapToGrid w:val="0"/>
        <w:spacing w:after="0"/>
        <w:rPr>
          <w:rFonts w:ascii="Times New Roman" w:hAnsi="Times New Roman"/>
        </w:rPr>
      </w:pPr>
      <w:r w:rsidRPr="004B47CB">
        <w:rPr>
          <w:rFonts w:ascii="Times New Roman" w:hAnsi="Times New Roman"/>
        </w:rPr>
        <w:t xml:space="preserve">Thank you also to the WCPFC secretariat, the ministries of culture and marine resources and all whom contributed to making this event possible. </w:t>
      </w:r>
    </w:p>
    <w:p w14:paraId="54BD2580" w14:textId="77777777" w:rsidR="006D56C4" w:rsidRPr="004B47CB" w:rsidRDefault="006D56C4" w:rsidP="006D56C4">
      <w:pPr>
        <w:adjustRightInd w:val="0"/>
        <w:snapToGrid w:val="0"/>
        <w:spacing w:after="0"/>
        <w:rPr>
          <w:rFonts w:ascii="Times New Roman" w:hAnsi="Times New Roman"/>
        </w:rPr>
      </w:pPr>
    </w:p>
    <w:p w14:paraId="7754725E"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 xml:space="preserve">In conclusion, I am mindful that our people are also your </w:t>
      </w:r>
      <w:proofErr w:type="gramStart"/>
      <w:r w:rsidRPr="004B47CB">
        <w:rPr>
          <w:rFonts w:ascii="Times New Roman" w:hAnsi="Times New Roman"/>
        </w:rPr>
        <w:t>constituents,</w:t>
      </w:r>
      <w:proofErr w:type="gramEnd"/>
      <w:r w:rsidRPr="004B47CB">
        <w:rPr>
          <w:rFonts w:ascii="Times New Roman" w:hAnsi="Times New Roman"/>
        </w:rPr>
        <w:t xml:space="preserve"> your efforts through the Scientific Committee will sustain us in protecting our special way of life for generations to come</w:t>
      </w:r>
    </w:p>
    <w:p w14:paraId="7DB47C4D" w14:textId="77777777" w:rsidR="006D56C4" w:rsidRPr="004B47CB" w:rsidRDefault="006D56C4" w:rsidP="006D56C4">
      <w:pPr>
        <w:adjustRightInd w:val="0"/>
        <w:snapToGrid w:val="0"/>
        <w:spacing w:after="0"/>
        <w:rPr>
          <w:rFonts w:ascii="Times New Roman" w:hAnsi="Times New Roman"/>
        </w:rPr>
      </w:pPr>
      <w:r w:rsidRPr="004B47CB">
        <w:rPr>
          <w:rFonts w:ascii="Times New Roman" w:hAnsi="Times New Roman"/>
        </w:rPr>
        <w:t>Thank you, God Bless and Meitaki Maata</w:t>
      </w:r>
    </w:p>
    <w:p w14:paraId="1011956E" w14:textId="77777777" w:rsidR="006D56C4" w:rsidRPr="004B47CB" w:rsidRDefault="006D56C4" w:rsidP="006D56C4">
      <w:pPr>
        <w:adjustRightInd w:val="0"/>
        <w:snapToGrid w:val="0"/>
        <w:spacing w:after="0"/>
        <w:rPr>
          <w:rFonts w:ascii="Times New Roman" w:hAnsi="Times New Roman"/>
        </w:rPr>
      </w:pPr>
    </w:p>
    <w:p w14:paraId="55BBA2C3" w14:textId="0D9E4F64" w:rsidR="006D56C4" w:rsidRDefault="006D56C4">
      <w:pPr>
        <w:spacing w:after="0"/>
        <w:jc w:val="left"/>
        <w:rPr>
          <w:rFonts w:ascii="Times New Roman" w:hAnsi="Times New Roman"/>
        </w:rPr>
      </w:pPr>
      <w:r>
        <w:rPr>
          <w:rFonts w:ascii="Times New Roman" w:hAnsi="Times New Roman"/>
        </w:rPr>
        <w:br w:type="page"/>
      </w:r>
    </w:p>
    <w:p w14:paraId="5CDEECE2" w14:textId="4866C65F" w:rsidR="006D56C4" w:rsidRDefault="006D56C4" w:rsidP="006D56C4">
      <w:pPr>
        <w:autoSpaceDE w:val="0"/>
        <w:autoSpaceDN w:val="0"/>
        <w:adjustRightInd w:val="0"/>
        <w:snapToGrid w:val="0"/>
        <w:spacing w:after="0"/>
        <w:jc w:val="right"/>
        <w:rPr>
          <w:rFonts w:ascii="Times New Roman" w:hAnsi="Times New Roman"/>
          <w:b/>
          <w:bCs/>
          <w:lang w:val="en-AU" w:eastAsia="en-NZ"/>
        </w:rPr>
      </w:pPr>
      <w:r>
        <w:rPr>
          <w:rFonts w:ascii="Times New Roman" w:hAnsi="Times New Roman"/>
          <w:b/>
          <w:bCs/>
          <w:lang w:val="en-AU" w:eastAsia="en-NZ"/>
        </w:rPr>
        <w:t>Attachment C</w:t>
      </w:r>
    </w:p>
    <w:p w14:paraId="6F32785C" w14:textId="77777777" w:rsidR="006D56C4" w:rsidRDefault="006D56C4" w:rsidP="006D56C4">
      <w:pPr>
        <w:autoSpaceDE w:val="0"/>
        <w:autoSpaceDN w:val="0"/>
        <w:adjustRightInd w:val="0"/>
        <w:snapToGrid w:val="0"/>
        <w:spacing w:after="0"/>
        <w:jc w:val="center"/>
        <w:rPr>
          <w:rFonts w:ascii="Times New Roman" w:hAnsi="Times New Roman"/>
          <w:b/>
          <w:bCs/>
          <w:lang w:val="en-AU" w:eastAsia="en-NZ"/>
        </w:rPr>
      </w:pPr>
    </w:p>
    <w:p w14:paraId="7E404E97"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 xml:space="preserve">Highly Migratory </w:t>
      </w:r>
      <w:r w:rsidRPr="00213E61">
        <w:rPr>
          <w:rFonts w:ascii="Times New Roman" w:hAnsi="Times New Roman"/>
          <w:b/>
          <w:bCs/>
          <w:lang w:val="en-AU" w:eastAsia="en-NZ"/>
        </w:rPr>
        <w:t>Fish Stocks in the Western and Central Pacific Ocean</w:t>
      </w:r>
    </w:p>
    <w:p w14:paraId="0413E9B9"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 xml:space="preserve">Scientific Committee </w:t>
      </w:r>
    </w:p>
    <w:p w14:paraId="0AFA2338"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Thirteenth Regular Session</w:t>
      </w:r>
    </w:p>
    <w:p w14:paraId="3925D9FC" w14:textId="77777777" w:rsidR="006D56C4" w:rsidRPr="00213E61" w:rsidRDefault="006D56C4" w:rsidP="006D56C4">
      <w:pPr>
        <w:autoSpaceDE w:val="0"/>
        <w:autoSpaceDN w:val="0"/>
        <w:adjustRightInd w:val="0"/>
        <w:snapToGrid w:val="0"/>
        <w:spacing w:after="0"/>
        <w:jc w:val="center"/>
        <w:rPr>
          <w:rFonts w:ascii="Times New Roman" w:hAnsi="Times New Roman"/>
          <w:bCs/>
          <w:lang w:val="en-AU" w:eastAsia="en-NZ"/>
        </w:rPr>
      </w:pPr>
      <w:r w:rsidRPr="00213E61">
        <w:rPr>
          <w:rFonts w:ascii="Times New Roman" w:hAnsi="Times New Roman"/>
          <w:bCs/>
          <w:lang w:val="en-AU" w:eastAsia="en-NZ"/>
        </w:rPr>
        <w:t>Rarotonga, Cook Islands</w:t>
      </w:r>
      <w:r w:rsidRPr="00213E61">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6D56C4" w:rsidRPr="00213E61" w14:paraId="4D46001F" w14:textId="77777777" w:rsidTr="0021261B">
        <w:tc>
          <w:tcPr>
            <w:tcW w:w="9576" w:type="dxa"/>
            <w:tcBorders>
              <w:top w:val="single" w:sz="12" w:space="0" w:color="auto"/>
              <w:left w:val="nil"/>
              <w:bottom w:val="single" w:sz="12" w:space="0" w:color="auto"/>
              <w:right w:val="nil"/>
            </w:tcBorders>
            <w:hideMark/>
          </w:tcPr>
          <w:p w14:paraId="59173F90" w14:textId="1BAB7F0B" w:rsidR="006D56C4" w:rsidRDefault="006D56C4" w:rsidP="0021261B">
            <w:pPr>
              <w:adjustRightInd w:val="0"/>
              <w:snapToGrid w:val="0"/>
              <w:spacing w:after="0"/>
              <w:jc w:val="center"/>
              <w:rPr>
                <w:rFonts w:ascii="Times New Roman" w:hAnsi="Times New Roman"/>
                <w:b/>
              </w:rPr>
            </w:pPr>
            <w:r w:rsidRPr="006D56C4">
              <w:rPr>
                <w:rFonts w:ascii="Times New Roman" w:hAnsi="Times New Roman"/>
                <w:b/>
              </w:rPr>
              <w:t>Opening Remar</w:t>
            </w:r>
            <w:r>
              <w:rPr>
                <w:rFonts w:ascii="Times New Roman" w:hAnsi="Times New Roman"/>
                <w:b/>
              </w:rPr>
              <w:t>ks by WCPFC Executive Director</w:t>
            </w:r>
          </w:p>
          <w:p w14:paraId="37FF03EA" w14:textId="6BEE6A40" w:rsidR="006D56C4" w:rsidRPr="006D56C4" w:rsidRDefault="006D56C4" w:rsidP="0021261B">
            <w:pPr>
              <w:adjustRightInd w:val="0"/>
              <w:snapToGrid w:val="0"/>
              <w:spacing w:after="0"/>
              <w:jc w:val="center"/>
              <w:rPr>
                <w:rFonts w:ascii="Times New Roman" w:eastAsia="맑은 고딕" w:hAnsi="Times New Roman"/>
                <w:b/>
                <w:lang w:val="en-AU" w:eastAsia="ko-KR"/>
              </w:rPr>
            </w:pPr>
            <w:r w:rsidRPr="006D56C4">
              <w:rPr>
                <w:rFonts w:ascii="Times New Roman" w:hAnsi="Times New Roman"/>
                <w:b/>
              </w:rPr>
              <w:t>Mr Feleti P Teo</w:t>
            </w:r>
          </w:p>
        </w:tc>
      </w:tr>
    </w:tbl>
    <w:p w14:paraId="117F967B" w14:textId="77777777" w:rsidR="006D56C4" w:rsidRPr="00213E61" w:rsidRDefault="006D56C4" w:rsidP="006D56C4">
      <w:pPr>
        <w:autoSpaceDE w:val="0"/>
        <w:autoSpaceDN w:val="0"/>
        <w:adjustRightInd w:val="0"/>
        <w:snapToGrid w:val="0"/>
        <w:spacing w:after="0"/>
        <w:rPr>
          <w:rFonts w:ascii="Times New Roman" w:hAnsi="Times New Roman"/>
          <w:lang w:val="en-AU"/>
        </w:rPr>
      </w:pPr>
    </w:p>
    <w:p w14:paraId="66BCB1C4" w14:textId="77777777" w:rsidR="006D56C4" w:rsidRDefault="006D56C4" w:rsidP="006D56C4">
      <w:pPr>
        <w:autoSpaceDE w:val="0"/>
        <w:autoSpaceDN w:val="0"/>
        <w:adjustRightInd w:val="0"/>
        <w:snapToGrid w:val="0"/>
        <w:spacing w:after="0"/>
        <w:rPr>
          <w:rFonts w:ascii="Times New Roman" w:hAnsi="Times New Roman"/>
          <w:lang w:val="en-AU"/>
        </w:rPr>
      </w:pPr>
    </w:p>
    <w:p w14:paraId="067A66C2" w14:textId="77777777" w:rsidR="006D56C4" w:rsidRPr="00D511CB" w:rsidRDefault="006D56C4" w:rsidP="006D56C4">
      <w:pPr>
        <w:pStyle w:val="NoSpacing"/>
        <w:jc w:val="both"/>
        <w:rPr>
          <w:rFonts w:ascii="Times New Roman" w:hAnsi="Times New Roman" w:cs="Times New Roman"/>
        </w:rPr>
      </w:pPr>
      <w:proofErr w:type="gramStart"/>
      <w:r w:rsidRPr="00D511CB">
        <w:rPr>
          <w:rFonts w:ascii="Times New Roman" w:hAnsi="Times New Roman" w:cs="Times New Roman"/>
        </w:rPr>
        <w:t>Kia orana and a very good morning to you all.</w:t>
      </w:r>
      <w:proofErr w:type="gramEnd"/>
    </w:p>
    <w:p w14:paraId="20C4CEEF" w14:textId="77777777" w:rsidR="006D56C4" w:rsidRPr="00D511CB" w:rsidRDefault="006D56C4" w:rsidP="006D56C4">
      <w:pPr>
        <w:pStyle w:val="NoSpacing"/>
        <w:jc w:val="both"/>
        <w:rPr>
          <w:rFonts w:ascii="Times New Roman" w:hAnsi="Times New Roman" w:cs="Times New Roman"/>
        </w:rPr>
      </w:pPr>
    </w:p>
    <w:p w14:paraId="394371FA"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Thank you for the honor to make a few brief remarks at this opening session.</w:t>
      </w:r>
    </w:p>
    <w:p w14:paraId="6B7864C6" w14:textId="77777777" w:rsidR="006D56C4" w:rsidRPr="00D511CB" w:rsidRDefault="006D56C4" w:rsidP="006D56C4">
      <w:pPr>
        <w:pStyle w:val="NoSpacing"/>
        <w:jc w:val="both"/>
        <w:rPr>
          <w:rFonts w:ascii="Times New Roman" w:hAnsi="Times New Roman" w:cs="Times New Roman"/>
        </w:rPr>
      </w:pPr>
    </w:p>
    <w:p w14:paraId="04BF01C9"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To our Gracious Host Hon Minister Mark Brown and the government and good people of the Cook Islands, thank you for your warm and generous hospitality.  </w:t>
      </w:r>
    </w:p>
    <w:p w14:paraId="2EB42741" w14:textId="77777777" w:rsidR="006D56C4" w:rsidRPr="00D511CB" w:rsidRDefault="006D56C4" w:rsidP="006D56C4">
      <w:pPr>
        <w:pStyle w:val="NoSpacing"/>
        <w:jc w:val="both"/>
        <w:rPr>
          <w:rFonts w:ascii="Times New Roman" w:hAnsi="Times New Roman" w:cs="Times New Roman"/>
        </w:rPr>
      </w:pPr>
    </w:p>
    <w:p w14:paraId="5052BB09"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The last meeting associated with the Western and Central Pacific Fisheries Commission (WCPFC) that the Cook Islands hosted in this very venue was in September, 2003. I refer to that meeting as “associated with the Commission” because it preceded the established of the Commission in 2004. It was a preparatory meeting, the fifth in a series of meetings preparing for the establishment of the Commission. The Commission, of course, came into being (legally) on 19</w:t>
      </w:r>
      <w:r w:rsidRPr="00D511CB">
        <w:rPr>
          <w:rFonts w:ascii="Times New Roman" w:hAnsi="Times New Roman" w:cs="Times New Roman"/>
          <w:vertAlign w:val="superscript"/>
        </w:rPr>
        <w:t>th</w:t>
      </w:r>
      <w:r w:rsidRPr="00D511CB">
        <w:rPr>
          <w:rFonts w:ascii="Times New Roman" w:hAnsi="Times New Roman" w:cs="Times New Roman"/>
        </w:rPr>
        <w:t xml:space="preserve"> June, 2004 and its inaugural annual meeting was in December, that same year.   </w:t>
      </w:r>
    </w:p>
    <w:p w14:paraId="10DE1A9E" w14:textId="77777777" w:rsidR="006D56C4" w:rsidRPr="00D511CB" w:rsidRDefault="006D56C4" w:rsidP="006D56C4">
      <w:pPr>
        <w:pStyle w:val="NoSpacing"/>
        <w:jc w:val="both"/>
        <w:rPr>
          <w:rFonts w:ascii="Times New Roman" w:hAnsi="Times New Roman" w:cs="Times New Roman"/>
        </w:rPr>
      </w:pPr>
    </w:p>
    <w:p w14:paraId="33AFEAC7" w14:textId="77777777" w:rsidR="006D56C4" w:rsidRPr="00D511CB" w:rsidRDefault="006D56C4" w:rsidP="006D56C4">
      <w:pPr>
        <w:pStyle w:val="NoSpacing"/>
        <w:jc w:val="both"/>
        <w:rPr>
          <w:rFonts w:ascii="Times New Roman" w:hAnsi="Times New Roman" w:cs="Times New Roman"/>
        </w:rPr>
      </w:pPr>
      <w:proofErr w:type="gramStart"/>
      <w:r w:rsidRPr="00D511CB">
        <w:rPr>
          <w:rFonts w:ascii="Times New Roman" w:hAnsi="Times New Roman" w:cs="Times New Roman"/>
        </w:rPr>
        <w:t>Hon Minister Brown thank you for availing your time from your heavy schedule to be here this morning and to officiate and open this 13</w:t>
      </w:r>
      <w:r w:rsidRPr="00D511CB">
        <w:rPr>
          <w:rFonts w:ascii="Times New Roman" w:hAnsi="Times New Roman" w:cs="Times New Roman"/>
          <w:vertAlign w:val="superscript"/>
        </w:rPr>
        <w:t>th</w:t>
      </w:r>
      <w:r w:rsidRPr="00D511CB">
        <w:rPr>
          <w:rFonts w:ascii="Times New Roman" w:hAnsi="Times New Roman" w:cs="Times New Roman"/>
        </w:rPr>
        <w:t xml:space="preserve"> session of the Scientific Committee.</w:t>
      </w:r>
      <w:proofErr w:type="gramEnd"/>
      <w:r w:rsidRPr="00D511CB">
        <w:rPr>
          <w:rFonts w:ascii="Times New Roman" w:hAnsi="Times New Roman" w:cs="Times New Roman"/>
        </w:rPr>
        <w:t xml:space="preserve"> I know you have just returned the other day from your other commitments offshore. And thank you particularly for your inspiring remarks and for sharing your perspectives on the work of this Committee and the Commission in general. </w:t>
      </w:r>
    </w:p>
    <w:p w14:paraId="7ECEA3CA" w14:textId="77777777" w:rsidR="006D56C4" w:rsidRPr="00D511CB" w:rsidRDefault="006D56C4" w:rsidP="006D56C4">
      <w:pPr>
        <w:pStyle w:val="NoSpacing"/>
        <w:jc w:val="both"/>
        <w:rPr>
          <w:rFonts w:ascii="Times New Roman" w:hAnsi="Times New Roman" w:cs="Times New Roman"/>
        </w:rPr>
      </w:pPr>
    </w:p>
    <w:p w14:paraId="586E71DF" w14:textId="77777777" w:rsidR="006D56C4" w:rsidRPr="00D511CB" w:rsidRDefault="006D56C4" w:rsidP="006D56C4">
      <w:pPr>
        <w:pStyle w:val="NoSpacing"/>
        <w:jc w:val="both"/>
        <w:rPr>
          <w:rFonts w:ascii="Times New Roman" w:hAnsi="Times New Roman" w:cs="Times New Roman"/>
        </w:rPr>
      </w:pPr>
      <w:proofErr w:type="gramStart"/>
      <w:r w:rsidRPr="00D511CB">
        <w:rPr>
          <w:rFonts w:ascii="Times New Roman" w:hAnsi="Times New Roman" w:cs="Times New Roman"/>
        </w:rPr>
        <w:t>Madam Chair of the Scientific Committee Ms Berry Muller thank you for your leadership and your services.</w:t>
      </w:r>
      <w:proofErr w:type="gramEnd"/>
      <w:r w:rsidRPr="00D511CB">
        <w:rPr>
          <w:rFonts w:ascii="Times New Roman" w:hAnsi="Times New Roman" w:cs="Times New Roman"/>
        </w:rPr>
        <w:t xml:space="preserve"> You have already indicated to the meeting of Heads of Delegations yesterday that you will be unable to continue in this role after this meeting, so in advance of </w:t>
      </w:r>
      <w:proofErr w:type="gramStart"/>
      <w:r w:rsidRPr="00D511CB">
        <w:rPr>
          <w:rFonts w:ascii="Times New Roman" w:hAnsi="Times New Roman" w:cs="Times New Roman"/>
        </w:rPr>
        <w:t>your</w:t>
      </w:r>
      <w:proofErr w:type="gramEnd"/>
      <w:r w:rsidRPr="00D511CB">
        <w:rPr>
          <w:rFonts w:ascii="Times New Roman" w:hAnsi="Times New Roman" w:cs="Times New Roman"/>
        </w:rPr>
        <w:t xml:space="preserve"> leaving this role at the end of this meeting I commend you and wish to register with you the Commission’s profound gratitude and appreciation.</w:t>
      </w:r>
    </w:p>
    <w:p w14:paraId="20134AA9" w14:textId="77777777" w:rsidR="006D56C4" w:rsidRPr="00D511CB" w:rsidRDefault="006D56C4" w:rsidP="006D56C4">
      <w:pPr>
        <w:pStyle w:val="NoSpacing"/>
        <w:jc w:val="both"/>
        <w:rPr>
          <w:rFonts w:ascii="Times New Roman" w:hAnsi="Times New Roman" w:cs="Times New Roman"/>
        </w:rPr>
      </w:pPr>
    </w:p>
    <w:p w14:paraId="1F23F649"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I acknowledge the presence of distinguished delegates, representatives of Commission members, cooperating non-members, participating territories and observers. </w:t>
      </w:r>
    </w:p>
    <w:p w14:paraId="41AC0D89" w14:textId="77777777" w:rsidR="006D56C4" w:rsidRPr="00D511CB" w:rsidRDefault="006D56C4" w:rsidP="006D56C4">
      <w:pPr>
        <w:pStyle w:val="NoSpacing"/>
        <w:jc w:val="both"/>
        <w:rPr>
          <w:rFonts w:ascii="Times New Roman" w:hAnsi="Times New Roman" w:cs="Times New Roman"/>
        </w:rPr>
      </w:pPr>
    </w:p>
    <w:p w14:paraId="00901166" w14:textId="77777777" w:rsidR="006D56C4" w:rsidRPr="00D511CB" w:rsidRDefault="006D56C4" w:rsidP="006D56C4">
      <w:pPr>
        <w:pStyle w:val="NoSpacing"/>
        <w:jc w:val="both"/>
        <w:rPr>
          <w:rFonts w:ascii="Times New Roman" w:hAnsi="Times New Roman" w:cs="Times New Roman"/>
        </w:rPr>
      </w:pPr>
      <w:proofErr w:type="gramStart"/>
      <w:r w:rsidRPr="00D511CB">
        <w:rPr>
          <w:rFonts w:ascii="Times New Roman" w:hAnsi="Times New Roman" w:cs="Times New Roman"/>
        </w:rPr>
        <w:t>And ladies and gentlemen.</w:t>
      </w:r>
      <w:proofErr w:type="gramEnd"/>
    </w:p>
    <w:p w14:paraId="31F81441" w14:textId="77777777" w:rsidR="006D56C4" w:rsidRPr="00D511CB" w:rsidRDefault="006D56C4" w:rsidP="006D56C4">
      <w:pPr>
        <w:pStyle w:val="NoSpacing"/>
        <w:jc w:val="both"/>
        <w:rPr>
          <w:rFonts w:ascii="Times New Roman" w:hAnsi="Times New Roman" w:cs="Times New Roman"/>
        </w:rPr>
      </w:pPr>
    </w:p>
    <w:p w14:paraId="152DBCD0"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Much has been said already, so I will keep my comments brief. </w:t>
      </w:r>
    </w:p>
    <w:p w14:paraId="16B12336" w14:textId="77777777" w:rsidR="006D56C4" w:rsidRPr="00D511CB" w:rsidRDefault="006D56C4" w:rsidP="006D56C4">
      <w:pPr>
        <w:pStyle w:val="NoSpacing"/>
        <w:jc w:val="both"/>
        <w:rPr>
          <w:rFonts w:ascii="Times New Roman" w:hAnsi="Times New Roman" w:cs="Times New Roman"/>
        </w:rPr>
      </w:pPr>
    </w:p>
    <w:p w14:paraId="24A08DD2"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The agenda for this meeting as in previous meetings of this Committee is very substantial. It in a way reflective of the extensive and critical role entrusted to this Committee. </w:t>
      </w:r>
    </w:p>
    <w:p w14:paraId="3E6D8027" w14:textId="77777777" w:rsidR="006D56C4" w:rsidRPr="00D511CB" w:rsidRDefault="006D56C4" w:rsidP="006D56C4">
      <w:pPr>
        <w:pStyle w:val="NoSpacing"/>
        <w:jc w:val="both"/>
        <w:rPr>
          <w:rFonts w:ascii="Times New Roman" w:hAnsi="Times New Roman" w:cs="Times New Roman"/>
        </w:rPr>
      </w:pPr>
    </w:p>
    <w:p w14:paraId="09DA259C"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As dictated by the Convention establishing the Commission, the Commission must base its work and decisions on the best scientific information and advice available. So the work of this body is at the core of the work of the Commission. The Commission looks to this Committee to give it the targeted scientific advice that will enable it to inform its decisions on the necessary management measures that will accomplish its fundamental which is </w:t>
      </w:r>
      <w:proofErr w:type="gramStart"/>
      <w:r w:rsidRPr="00D511CB">
        <w:rPr>
          <w:rFonts w:ascii="Times New Roman" w:hAnsi="Times New Roman" w:cs="Times New Roman"/>
        </w:rPr>
        <w:t>“ to</w:t>
      </w:r>
      <w:proofErr w:type="gramEnd"/>
      <w:r w:rsidRPr="00D511CB">
        <w:rPr>
          <w:rFonts w:ascii="Times New Roman" w:hAnsi="Times New Roman" w:cs="Times New Roman"/>
        </w:rPr>
        <w:t xml:space="preserve"> ensure through effective management the long-term conservation and sustainable use of the fish stocks that fall under the management competence of the Commission”.</w:t>
      </w:r>
    </w:p>
    <w:p w14:paraId="10E18DD8" w14:textId="77777777" w:rsidR="006D56C4" w:rsidRPr="00D511CB" w:rsidRDefault="006D56C4" w:rsidP="006D56C4">
      <w:pPr>
        <w:pStyle w:val="NoSpacing"/>
        <w:jc w:val="both"/>
        <w:rPr>
          <w:rFonts w:ascii="Times New Roman" w:hAnsi="Times New Roman" w:cs="Times New Roman"/>
        </w:rPr>
      </w:pPr>
    </w:p>
    <w:p w14:paraId="380B457A"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In that context, some of the work you will undertake this week and next will be </w:t>
      </w:r>
      <w:proofErr w:type="gramStart"/>
      <w:r w:rsidRPr="00D511CB">
        <w:rPr>
          <w:rFonts w:ascii="Times New Roman" w:hAnsi="Times New Roman" w:cs="Times New Roman"/>
        </w:rPr>
        <w:t>key</w:t>
      </w:r>
      <w:proofErr w:type="gramEnd"/>
      <w:r w:rsidRPr="00D511CB">
        <w:rPr>
          <w:rFonts w:ascii="Times New Roman" w:hAnsi="Times New Roman" w:cs="Times New Roman"/>
        </w:rPr>
        <w:t xml:space="preserve"> to progressing some of the key outstanding priorities of the Commission. </w:t>
      </w:r>
    </w:p>
    <w:p w14:paraId="23752107" w14:textId="77777777" w:rsidR="006D56C4" w:rsidRPr="00D511CB" w:rsidRDefault="006D56C4" w:rsidP="006D56C4">
      <w:pPr>
        <w:pStyle w:val="NoSpacing"/>
        <w:jc w:val="both"/>
        <w:rPr>
          <w:rFonts w:ascii="Times New Roman" w:hAnsi="Times New Roman" w:cs="Times New Roman"/>
        </w:rPr>
      </w:pPr>
    </w:p>
    <w:p w14:paraId="5F80DCDD"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As delegates know, the Commission is convening a dedicated negotiation session the week after this Committee meeting in Honolulu to progress the draft Bridging Management Measure on Tropical Tuna from 22 – 24 of this month. This is </w:t>
      </w:r>
      <w:proofErr w:type="gramStart"/>
      <w:r w:rsidRPr="00D511CB">
        <w:rPr>
          <w:rFonts w:ascii="Times New Roman" w:hAnsi="Times New Roman" w:cs="Times New Roman"/>
        </w:rPr>
        <w:t>a</w:t>
      </w:r>
      <w:proofErr w:type="gramEnd"/>
      <w:r w:rsidRPr="00D511CB">
        <w:rPr>
          <w:rFonts w:ascii="Times New Roman" w:hAnsi="Times New Roman" w:cs="Times New Roman"/>
        </w:rPr>
        <w:t xml:space="preserve"> apriority as the current measure on tropical tunas is expiring at the end of this year, and a replacement measure is required. </w:t>
      </w:r>
    </w:p>
    <w:p w14:paraId="6DA5E386" w14:textId="77777777" w:rsidR="006D56C4" w:rsidRPr="00D511CB" w:rsidRDefault="006D56C4" w:rsidP="006D56C4">
      <w:pPr>
        <w:pStyle w:val="NoSpacing"/>
        <w:jc w:val="both"/>
        <w:rPr>
          <w:rFonts w:ascii="Times New Roman" w:hAnsi="Times New Roman" w:cs="Times New Roman"/>
        </w:rPr>
      </w:pPr>
    </w:p>
    <w:p w14:paraId="10167256"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Your deliberations and recommendations on the outcomes of the stock assessments for bigeye tuna and yellowfin tuna stocks will be </w:t>
      </w:r>
      <w:proofErr w:type="gramStart"/>
      <w:r w:rsidRPr="00D511CB">
        <w:rPr>
          <w:rFonts w:ascii="Times New Roman" w:hAnsi="Times New Roman" w:cs="Times New Roman"/>
        </w:rPr>
        <w:t>key</w:t>
      </w:r>
      <w:proofErr w:type="gramEnd"/>
      <w:r w:rsidRPr="00D511CB">
        <w:rPr>
          <w:rFonts w:ascii="Times New Roman" w:hAnsi="Times New Roman" w:cs="Times New Roman"/>
        </w:rPr>
        <w:t xml:space="preserve"> to the work of the Commission in developing and adopting the replacement or successor measure for the management of the tropical tunas. So, the Commission Chair Madam Rhea Moss-Christian asked me to convey to this Committee the need for your advice and recommendations on those stock assessment outcomes to be clear and helpful in informing the discussions necessary to the further development of the draft Bridging Measure on Tropical Tunas. The plan is to progress the development of the draft measure on tropical tuna with the view to have it adopted at the annual Commission meeting in manila, Philippines in December of this year. </w:t>
      </w:r>
    </w:p>
    <w:p w14:paraId="482CFAE0" w14:textId="77777777" w:rsidR="006D56C4" w:rsidRPr="00D511CB" w:rsidRDefault="006D56C4" w:rsidP="006D56C4">
      <w:pPr>
        <w:pStyle w:val="NoSpacing"/>
        <w:jc w:val="both"/>
        <w:rPr>
          <w:rFonts w:ascii="Times New Roman" w:hAnsi="Times New Roman" w:cs="Times New Roman"/>
        </w:rPr>
      </w:pPr>
    </w:p>
    <w:p w14:paraId="00A12E9B"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May I take this opportunity to ask Commission members who have not yet inform the Secretariat of their delegation to the Honolulu meeting to do so as a matter of </w:t>
      </w:r>
      <w:proofErr w:type="gramStart"/>
      <w:r w:rsidRPr="00D511CB">
        <w:rPr>
          <w:rFonts w:ascii="Times New Roman" w:hAnsi="Times New Roman" w:cs="Times New Roman"/>
        </w:rPr>
        <w:t>urgency.</w:t>
      </w:r>
      <w:proofErr w:type="gramEnd"/>
    </w:p>
    <w:p w14:paraId="4285B1DF" w14:textId="77777777" w:rsidR="006D56C4" w:rsidRPr="00D511CB" w:rsidRDefault="006D56C4" w:rsidP="006D56C4">
      <w:pPr>
        <w:pStyle w:val="NoSpacing"/>
        <w:jc w:val="both"/>
        <w:rPr>
          <w:rFonts w:ascii="Times New Roman" w:hAnsi="Times New Roman" w:cs="Times New Roman"/>
        </w:rPr>
      </w:pPr>
    </w:p>
    <w:p w14:paraId="1E058F62"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The work of the Commission in developing harvest strategies for the key tuna stocks remains a Commission priority. And this is evident in the way the different elements of those strategies are embedded into your agenda. The Commission will look to this Committee’s advice and clear guidance on how to progress the development of those elements and the advancement of those harvest strategies. Harvest strategy has been acknowledged by the Commission as the most viable and robust approach to fisheries management tool but it will take time and intense resources to develop.</w:t>
      </w:r>
    </w:p>
    <w:p w14:paraId="565A5999" w14:textId="77777777" w:rsidR="006D56C4" w:rsidRPr="00D511CB" w:rsidRDefault="006D56C4" w:rsidP="006D56C4">
      <w:pPr>
        <w:pStyle w:val="NoSpacing"/>
        <w:jc w:val="both"/>
        <w:rPr>
          <w:rFonts w:ascii="Times New Roman" w:hAnsi="Times New Roman" w:cs="Times New Roman"/>
        </w:rPr>
      </w:pPr>
    </w:p>
    <w:p w14:paraId="632C28DB"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It is with the harvest strategy in mind that the draft measure for tropical tuna to be negotiated in Honolulu in two week time is framed as a bridging measure, providing that bridge between the current tropical tuna measure and the harvest strategy framework to be developed to manage those stocks in the future.       </w:t>
      </w:r>
    </w:p>
    <w:p w14:paraId="30285770" w14:textId="77777777" w:rsidR="006D56C4" w:rsidRPr="00D511CB" w:rsidRDefault="006D56C4" w:rsidP="006D56C4">
      <w:pPr>
        <w:pStyle w:val="NoSpacing"/>
        <w:jc w:val="both"/>
        <w:rPr>
          <w:rFonts w:ascii="Times New Roman" w:hAnsi="Times New Roman" w:cs="Times New Roman"/>
        </w:rPr>
      </w:pPr>
    </w:p>
    <w:p w14:paraId="16AF4386"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 xml:space="preserve">The other priority the Commission identified that I wish to draw attention to is the development of a comprehensive management measure for sharks, including manta and mobula rays. Although this work is intended to culminate in the adoption of a comprehensive measure in 2018 the work must commence well in advance of that target timeline. I am glad that this Committee will start considering this matter at this meeting and I wish to recognize the ground work undertaken by Dr Shelley Clarke on this matter and I hope that the Committee will be able to provide firm guidance in </w:t>
      </w:r>
      <w:proofErr w:type="gramStart"/>
      <w:r w:rsidRPr="00D511CB">
        <w:rPr>
          <w:rFonts w:ascii="Times New Roman" w:hAnsi="Times New Roman" w:cs="Times New Roman"/>
        </w:rPr>
        <w:t>progressing</w:t>
      </w:r>
      <w:proofErr w:type="gramEnd"/>
      <w:r w:rsidRPr="00D511CB">
        <w:rPr>
          <w:rFonts w:ascii="Times New Roman" w:hAnsi="Times New Roman" w:cs="Times New Roman"/>
        </w:rPr>
        <w:t xml:space="preserve"> this body of work.</w:t>
      </w:r>
    </w:p>
    <w:p w14:paraId="5CBE2B5E" w14:textId="77777777" w:rsidR="006D56C4" w:rsidRPr="00D511CB" w:rsidRDefault="006D56C4" w:rsidP="006D56C4">
      <w:pPr>
        <w:pStyle w:val="NoSpacing"/>
        <w:jc w:val="both"/>
        <w:rPr>
          <w:rFonts w:ascii="Times New Roman" w:hAnsi="Times New Roman" w:cs="Times New Roman"/>
        </w:rPr>
      </w:pPr>
    </w:p>
    <w:p w14:paraId="06929E20"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As I mentioned earlier, your agenda for this week and next is substantial and there are many other key issues for your consideration. But I thought I should highlight those three Commission priorities that so depend critically on your clear scientific advice and recommendations.</w:t>
      </w:r>
    </w:p>
    <w:p w14:paraId="41C8F775" w14:textId="77777777" w:rsidR="006D56C4" w:rsidRPr="00D511CB" w:rsidRDefault="006D56C4" w:rsidP="006D56C4">
      <w:pPr>
        <w:pStyle w:val="NoSpacing"/>
        <w:jc w:val="both"/>
        <w:rPr>
          <w:rFonts w:ascii="Times New Roman" w:hAnsi="Times New Roman" w:cs="Times New Roman"/>
        </w:rPr>
      </w:pPr>
    </w:p>
    <w:p w14:paraId="55CA286E"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In closing I wish to acknowledge the tireless work and the high-quality services of the Commission science services provider; the SPC Oceanic Fisheries Programme ably led by Dr John Hampton. I also thank the Theme Conveners and the scientists from Commission members and observers who contributed so ably to the work of this Committee and the Commission.</w:t>
      </w:r>
    </w:p>
    <w:p w14:paraId="477DF780" w14:textId="77777777" w:rsidR="006D56C4" w:rsidRPr="00D511CB" w:rsidRDefault="006D56C4" w:rsidP="006D56C4">
      <w:pPr>
        <w:pStyle w:val="NoSpacing"/>
        <w:jc w:val="both"/>
        <w:rPr>
          <w:rFonts w:ascii="Times New Roman" w:hAnsi="Times New Roman" w:cs="Times New Roman"/>
        </w:rPr>
      </w:pPr>
    </w:p>
    <w:p w14:paraId="468CC6C9"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I wish you well in your deliberations.</w:t>
      </w:r>
    </w:p>
    <w:p w14:paraId="21B2EC55" w14:textId="77777777" w:rsidR="006D56C4" w:rsidRPr="00D511CB" w:rsidRDefault="006D56C4" w:rsidP="006D56C4">
      <w:pPr>
        <w:pStyle w:val="NoSpacing"/>
        <w:jc w:val="both"/>
        <w:rPr>
          <w:rFonts w:ascii="Times New Roman" w:hAnsi="Times New Roman" w:cs="Times New Roman"/>
        </w:rPr>
      </w:pPr>
    </w:p>
    <w:p w14:paraId="68212E27" w14:textId="77777777" w:rsidR="006D56C4" w:rsidRPr="00D511CB" w:rsidRDefault="006D56C4" w:rsidP="006D56C4">
      <w:pPr>
        <w:pStyle w:val="NoSpacing"/>
        <w:jc w:val="both"/>
        <w:rPr>
          <w:rFonts w:ascii="Times New Roman" w:hAnsi="Times New Roman" w:cs="Times New Roman"/>
        </w:rPr>
      </w:pPr>
      <w:r w:rsidRPr="00D511CB">
        <w:rPr>
          <w:rFonts w:ascii="Times New Roman" w:hAnsi="Times New Roman" w:cs="Times New Roman"/>
        </w:rPr>
        <w:t>Thank you.</w:t>
      </w:r>
    </w:p>
    <w:p w14:paraId="0D586C2C" w14:textId="1F3E8D00" w:rsidR="006D56C4" w:rsidRDefault="006D56C4">
      <w:pPr>
        <w:spacing w:after="0"/>
        <w:jc w:val="left"/>
        <w:rPr>
          <w:rFonts w:ascii="Times New Roman" w:hAnsi="Times New Roman"/>
          <w:lang w:val="en-AU"/>
        </w:rPr>
      </w:pPr>
      <w:r>
        <w:rPr>
          <w:rFonts w:ascii="Times New Roman" w:hAnsi="Times New Roman"/>
          <w:lang w:val="en-AU"/>
        </w:rPr>
        <w:br w:type="page"/>
      </w:r>
    </w:p>
    <w:p w14:paraId="39FCBC12" w14:textId="3CCA0567" w:rsidR="006D56C4" w:rsidRDefault="006D56C4" w:rsidP="006D56C4">
      <w:pPr>
        <w:autoSpaceDE w:val="0"/>
        <w:autoSpaceDN w:val="0"/>
        <w:adjustRightInd w:val="0"/>
        <w:snapToGrid w:val="0"/>
        <w:spacing w:after="0"/>
        <w:jc w:val="right"/>
        <w:rPr>
          <w:rFonts w:ascii="Times New Roman" w:hAnsi="Times New Roman"/>
          <w:b/>
          <w:bCs/>
          <w:lang w:val="en-AU" w:eastAsia="en-NZ"/>
        </w:rPr>
      </w:pPr>
      <w:r>
        <w:rPr>
          <w:rFonts w:ascii="Times New Roman" w:hAnsi="Times New Roman"/>
          <w:b/>
          <w:bCs/>
          <w:lang w:val="en-AU" w:eastAsia="en-NZ"/>
        </w:rPr>
        <w:t>Attachment D</w:t>
      </w:r>
    </w:p>
    <w:p w14:paraId="2FC7D9CE" w14:textId="77777777" w:rsidR="006D56C4" w:rsidRDefault="006D56C4" w:rsidP="006D56C4">
      <w:pPr>
        <w:autoSpaceDE w:val="0"/>
        <w:autoSpaceDN w:val="0"/>
        <w:adjustRightInd w:val="0"/>
        <w:snapToGrid w:val="0"/>
        <w:spacing w:after="0"/>
        <w:jc w:val="center"/>
        <w:rPr>
          <w:rFonts w:ascii="Times New Roman" w:hAnsi="Times New Roman"/>
          <w:b/>
          <w:bCs/>
          <w:lang w:val="en-AU" w:eastAsia="en-NZ"/>
        </w:rPr>
      </w:pPr>
    </w:p>
    <w:p w14:paraId="20FB7075"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 xml:space="preserve">Highly Migratory </w:t>
      </w:r>
      <w:r w:rsidRPr="00213E61">
        <w:rPr>
          <w:rFonts w:ascii="Times New Roman" w:hAnsi="Times New Roman"/>
          <w:b/>
          <w:bCs/>
          <w:lang w:val="en-AU" w:eastAsia="en-NZ"/>
        </w:rPr>
        <w:t>Fish Stocks in the Western and Central Pacific Ocean</w:t>
      </w:r>
    </w:p>
    <w:p w14:paraId="6915E9F4"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 xml:space="preserve">Scientific Committee </w:t>
      </w:r>
    </w:p>
    <w:p w14:paraId="08BD315A"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Thirteenth Regular Session</w:t>
      </w:r>
    </w:p>
    <w:p w14:paraId="5D1AF8E6" w14:textId="77777777" w:rsidR="006D56C4" w:rsidRPr="00213E61" w:rsidRDefault="006D56C4" w:rsidP="006D56C4">
      <w:pPr>
        <w:autoSpaceDE w:val="0"/>
        <w:autoSpaceDN w:val="0"/>
        <w:adjustRightInd w:val="0"/>
        <w:snapToGrid w:val="0"/>
        <w:spacing w:after="0"/>
        <w:jc w:val="center"/>
        <w:rPr>
          <w:rFonts w:ascii="Times New Roman" w:hAnsi="Times New Roman"/>
          <w:bCs/>
          <w:lang w:val="en-AU" w:eastAsia="en-NZ"/>
        </w:rPr>
      </w:pPr>
      <w:r w:rsidRPr="00213E61">
        <w:rPr>
          <w:rFonts w:ascii="Times New Roman" w:hAnsi="Times New Roman"/>
          <w:bCs/>
          <w:lang w:val="en-AU" w:eastAsia="en-NZ"/>
        </w:rPr>
        <w:t>Rarotonga, Cook Islands</w:t>
      </w:r>
      <w:r w:rsidRPr="00213E61">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6D56C4" w:rsidRPr="006D56C4" w14:paraId="3CC4B1E7" w14:textId="77777777" w:rsidTr="0021261B">
        <w:tc>
          <w:tcPr>
            <w:tcW w:w="9576" w:type="dxa"/>
            <w:tcBorders>
              <w:top w:val="single" w:sz="12" w:space="0" w:color="auto"/>
              <w:left w:val="nil"/>
              <w:bottom w:val="single" w:sz="12" w:space="0" w:color="auto"/>
              <w:right w:val="nil"/>
            </w:tcBorders>
            <w:hideMark/>
          </w:tcPr>
          <w:p w14:paraId="0F153CA8" w14:textId="4004045C" w:rsidR="006D56C4" w:rsidRPr="006D56C4" w:rsidRDefault="006D56C4" w:rsidP="006D56C4">
            <w:pPr>
              <w:adjustRightInd w:val="0"/>
              <w:snapToGrid w:val="0"/>
              <w:spacing w:after="0"/>
              <w:jc w:val="center"/>
              <w:rPr>
                <w:rFonts w:ascii="Times New Roman" w:eastAsia="맑은 고딕" w:hAnsi="Times New Roman"/>
                <w:b/>
                <w:lang w:val="en-AU" w:eastAsia="ko-KR"/>
              </w:rPr>
            </w:pPr>
            <w:r w:rsidRPr="006D56C4">
              <w:rPr>
                <w:rFonts w:ascii="Times New Roman" w:eastAsia="맑은 고딕" w:hAnsi="Times New Roman"/>
                <w:b/>
                <w:lang w:val="en-AU" w:eastAsia="ko-KR"/>
              </w:rPr>
              <w:t>Agenda</w:t>
            </w:r>
          </w:p>
        </w:tc>
      </w:tr>
    </w:tbl>
    <w:p w14:paraId="60E9BF96" w14:textId="77777777" w:rsidR="006D56C4" w:rsidRPr="006D56C4" w:rsidRDefault="006D56C4" w:rsidP="006D56C4">
      <w:pPr>
        <w:autoSpaceDE w:val="0"/>
        <w:autoSpaceDN w:val="0"/>
        <w:adjustRightInd w:val="0"/>
        <w:snapToGrid w:val="0"/>
        <w:spacing w:after="0"/>
        <w:rPr>
          <w:rFonts w:ascii="Times New Roman" w:hAnsi="Times New Roman"/>
          <w:lang w:val="en-AU"/>
        </w:rPr>
      </w:pPr>
    </w:p>
    <w:p w14:paraId="0267C113" w14:textId="77777777" w:rsidR="006D56C4" w:rsidRPr="006D56C4" w:rsidRDefault="006D56C4" w:rsidP="006D56C4">
      <w:pPr>
        <w:autoSpaceDE w:val="0"/>
        <w:autoSpaceDN w:val="0"/>
        <w:adjustRightInd w:val="0"/>
        <w:snapToGrid w:val="0"/>
        <w:spacing w:after="0"/>
        <w:rPr>
          <w:rFonts w:ascii="Times New Roman" w:hAnsi="Times New Roman"/>
          <w:lang w:val="en-AU"/>
        </w:rPr>
      </w:pPr>
    </w:p>
    <w:p w14:paraId="6BE26155" w14:textId="77777777" w:rsidR="006D56C4" w:rsidRPr="006D56C4" w:rsidRDefault="006D56C4" w:rsidP="0074425A">
      <w:pPr>
        <w:numPr>
          <w:ilvl w:val="0"/>
          <w:numId w:val="58"/>
        </w:numPr>
        <w:adjustRightInd w:val="0"/>
        <w:snapToGrid w:val="0"/>
        <w:spacing w:after="0"/>
        <w:rPr>
          <w:rFonts w:ascii="Times New Roman" w:hAnsi="Times New Roman"/>
          <w:b/>
        </w:rPr>
      </w:pPr>
      <w:r w:rsidRPr="006D56C4">
        <w:rPr>
          <w:rFonts w:ascii="Times New Roman" w:hAnsi="Times New Roman"/>
          <w:b/>
        </w:rPr>
        <w:t>OPENING OF THE MEETING</w:t>
      </w:r>
    </w:p>
    <w:p w14:paraId="66BCE387" w14:textId="77777777" w:rsidR="006D56C4" w:rsidRPr="006D56C4" w:rsidRDefault="006D56C4" w:rsidP="006D56C4">
      <w:pPr>
        <w:adjustRightInd w:val="0"/>
        <w:snapToGrid w:val="0"/>
        <w:spacing w:after="0"/>
        <w:rPr>
          <w:rFonts w:ascii="Times New Roman" w:eastAsia="바탕" w:hAnsi="Times New Roman"/>
          <w:lang w:eastAsia="ko-KR"/>
        </w:rPr>
      </w:pPr>
    </w:p>
    <w:p w14:paraId="7771903A"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Welcome address</w:t>
      </w:r>
    </w:p>
    <w:p w14:paraId="5AB6E745"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 xml:space="preserve">Meeting arrangements </w:t>
      </w:r>
    </w:p>
    <w:p w14:paraId="35D338FB"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Issues arising from the Commission</w:t>
      </w:r>
    </w:p>
    <w:p w14:paraId="033DB2C7"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Adoption of agenda</w:t>
      </w:r>
    </w:p>
    <w:p w14:paraId="71003B9B"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 xml:space="preserve">Reporting arrangements </w:t>
      </w:r>
    </w:p>
    <w:p w14:paraId="30FB95CF" w14:textId="77777777" w:rsidR="006D56C4" w:rsidRPr="006D56C4" w:rsidRDefault="006D56C4" w:rsidP="0074425A">
      <w:pPr>
        <w:numPr>
          <w:ilvl w:val="1"/>
          <w:numId w:val="59"/>
        </w:numPr>
        <w:adjustRightInd w:val="0"/>
        <w:snapToGrid w:val="0"/>
        <w:spacing w:after="0"/>
        <w:rPr>
          <w:rFonts w:ascii="Times New Roman" w:hAnsi="Times New Roman"/>
          <w:b/>
        </w:rPr>
      </w:pPr>
      <w:r w:rsidRPr="006D56C4">
        <w:rPr>
          <w:rFonts w:ascii="Times New Roman" w:hAnsi="Times New Roman"/>
          <w:b/>
        </w:rPr>
        <w:t xml:space="preserve">Intersessional activities of the Scientific Committee </w:t>
      </w:r>
    </w:p>
    <w:p w14:paraId="3EAEF134" w14:textId="77777777" w:rsidR="006D56C4" w:rsidRPr="006D56C4" w:rsidRDefault="006D56C4" w:rsidP="006D56C4">
      <w:pPr>
        <w:adjustRightInd w:val="0"/>
        <w:snapToGrid w:val="0"/>
        <w:spacing w:after="0"/>
        <w:rPr>
          <w:rFonts w:ascii="Times New Roman" w:hAnsi="Times New Roman"/>
          <w:lang w:eastAsia="ko-KR"/>
        </w:rPr>
      </w:pPr>
    </w:p>
    <w:p w14:paraId="58682AE9" w14:textId="77777777" w:rsidR="006D56C4" w:rsidRPr="006D56C4" w:rsidRDefault="006D56C4" w:rsidP="0074425A">
      <w:pPr>
        <w:numPr>
          <w:ilvl w:val="0"/>
          <w:numId w:val="58"/>
        </w:numPr>
        <w:adjustRightInd w:val="0"/>
        <w:snapToGrid w:val="0"/>
        <w:spacing w:after="0"/>
        <w:rPr>
          <w:rFonts w:ascii="Times New Roman" w:hAnsi="Times New Roman"/>
          <w:b/>
        </w:rPr>
      </w:pPr>
      <w:r w:rsidRPr="006D56C4">
        <w:rPr>
          <w:rFonts w:ascii="Times New Roman" w:hAnsi="Times New Roman"/>
          <w:b/>
        </w:rPr>
        <w:t>REVIEW OF FISHERIES</w:t>
      </w:r>
    </w:p>
    <w:p w14:paraId="2F431060" w14:textId="77777777" w:rsidR="006D56C4" w:rsidRPr="006D56C4" w:rsidRDefault="006D56C4" w:rsidP="006D56C4">
      <w:pPr>
        <w:adjustRightInd w:val="0"/>
        <w:snapToGrid w:val="0"/>
        <w:spacing w:after="0"/>
        <w:rPr>
          <w:rFonts w:ascii="Times New Roman" w:hAnsi="Times New Roman"/>
        </w:rPr>
      </w:pPr>
    </w:p>
    <w:p w14:paraId="3AD803A6" w14:textId="77777777" w:rsidR="006D56C4" w:rsidRPr="006D56C4" w:rsidRDefault="006D56C4" w:rsidP="006D56C4">
      <w:pPr>
        <w:numPr>
          <w:ilvl w:val="1"/>
          <w:numId w:val="20"/>
        </w:numPr>
        <w:adjustRightInd w:val="0"/>
        <w:snapToGrid w:val="0"/>
        <w:spacing w:after="0"/>
        <w:rPr>
          <w:rFonts w:ascii="Times New Roman" w:hAnsi="Times New Roman"/>
          <w:b/>
        </w:rPr>
      </w:pPr>
      <w:r w:rsidRPr="006D56C4">
        <w:rPr>
          <w:rFonts w:ascii="Times New Roman" w:hAnsi="Times New Roman"/>
          <w:b/>
        </w:rPr>
        <w:t xml:space="preserve">Overview of Western and Central Pacific Ocean (WCPO) fisheries  </w:t>
      </w:r>
    </w:p>
    <w:p w14:paraId="0C10C9CE" w14:textId="77777777" w:rsidR="006D56C4" w:rsidRPr="006D56C4" w:rsidRDefault="006D56C4" w:rsidP="006D56C4">
      <w:pPr>
        <w:numPr>
          <w:ilvl w:val="1"/>
          <w:numId w:val="20"/>
        </w:numPr>
        <w:adjustRightInd w:val="0"/>
        <w:snapToGrid w:val="0"/>
        <w:spacing w:after="0"/>
        <w:rPr>
          <w:rFonts w:ascii="Times New Roman" w:hAnsi="Times New Roman"/>
          <w:b/>
        </w:rPr>
      </w:pPr>
      <w:r w:rsidRPr="006D56C4">
        <w:rPr>
          <w:rFonts w:ascii="Times New Roman" w:hAnsi="Times New Roman"/>
          <w:b/>
        </w:rPr>
        <w:t xml:space="preserve">Overview of Eastern Pacific Ocean (EPO) fisheries </w:t>
      </w:r>
    </w:p>
    <w:p w14:paraId="7B1A96C9" w14:textId="77777777" w:rsidR="006D56C4" w:rsidRPr="006D56C4" w:rsidRDefault="006D56C4" w:rsidP="006D56C4">
      <w:pPr>
        <w:numPr>
          <w:ilvl w:val="1"/>
          <w:numId w:val="20"/>
        </w:numPr>
        <w:adjustRightInd w:val="0"/>
        <w:snapToGrid w:val="0"/>
        <w:spacing w:after="0"/>
        <w:rPr>
          <w:rFonts w:ascii="Times New Roman" w:hAnsi="Times New Roman"/>
          <w:b/>
        </w:rPr>
      </w:pPr>
      <w:r w:rsidRPr="006D56C4">
        <w:rPr>
          <w:rFonts w:ascii="Times New Roman" w:hAnsi="Times New Roman"/>
          <w:b/>
        </w:rPr>
        <w:t>Annual Report</w:t>
      </w:r>
      <w:r w:rsidRPr="006D56C4">
        <w:rPr>
          <w:rFonts w:ascii="Times New Roman" w:hAnsi="Times New Roman"/>
          <w:b/>
          <w:lang w:eastAsia="ko-KR"/>
        </w:rPr>
        <w:t xml:space="preserve"> –</w:t>
      </w:r>
      <w:r w:rsidRPr="006D56C4">
        <w:rPr>
          <w:rFonts w:ascii="Times New Roman" w:hAnsi="Times New Roman"/>
          <w:b/>
        </w:rPr>
        <w:t xml:space="preserve"> Part 1 from Members, Cooperating Non-Members, and Participating Territories </w:t>
      </w:r>
    </w:p>
    <w:p w14:paraId="46178AA4" w14:textId="77777777" w:rsidR="006D56C4" w:rsidRPr="006D56C4" w:rsidRDefault="006D56C4" w:rsidP="006D56C4">
      <w:pPr>
        <w:numPr>
          <w:ilvl w:val="1"/>
          <w:numId w:val="20"/>
        </w:numPr>
        <w:adjustRightInd w:val="0"/>
        <w:snapToGrid w:val="0"/>
        <w:spacing w:after="0"/>
        <w:rPr>
          <w:rFonts w:ascii="Times New Roman" w:hAnsi="Times New Roman"/>
          <w:b/>
        </w:rPr>
      </w:pPr>
      <w:r w:rsidRPr="006D56C4">
        <w:rPr>
          <w:rFonts w:ascii="Times New Roman" w:hAnsi="Times New Roman"/>
          <w:b/>
        </w:rPr>
        <w:t>Reports from regional fisheries bodies and other organizations</w:t>
      </w:r>
    </w:p>
    <w:p w14:paraId="102E8588" w14:textId="77777777" w:rsidR="006D56C4" w:rsidRPr="006D56C4" w:rsidRDefault="006D56C4" w:rsidP="006D56C4">
      <w:pPr>
        <w:adjustRightInd w:val="0"/>
        <w:snapToGrid w:val="0"/>
        <w:spacing w:after="0"/>
        <w:rPr>
          <w:rFonts w:ascii="Times New Roman" w:hAnsi="Times New Roman"/>
          <w:lang w:eastAsia="ko-KR"/>
        </w:rPr>
      </w:pPr>
    </w:p>
    <w:p w14:paraId="63C55E9D" w14:textId="77777777" w:rsidR="006D56C4" w:rsidRPr="006D56C4" w:rsidRDefault="006D56C4" w:rsidP="0074425A">
      <w:pPr>
        <w:numPr>
          <w:ilvl w:val="0"/>
          <w:numId w:val="58"/>
        </w:numPr>
        <w:adjustRightInd w:val="0"/>
        <w:snapToGrid w:val="0"/>
        <w:spacing w:after="0"/>
        <w:rPr>
          <w:rFonts w:ascii="Times New Roman" w:hAnsi="Times New Roman"/>
          <w:b/>
        </w:rPr>
      </w:pPr>
      <w:r w:rsidRPr="006D56C4">
        <w:rPr>
          <w:rFonts w:ascii="Times New Roman" w:hAnsi="Times New Roman"/>
          <w:b/>
        </w:rPr>
        <w:t>DATA AND STATISTICS THEME</w:t>
      </w:r>
    </w:p>
    <w:p w14:paraId="25CB8D52" w14:textId="77777777" w:rsidR="006D56C4" w:rsidRPr="006D56C4" w:rsidRDefault="006D56C4" w:rsidP="006D56C4">
      <w:pPr>
        <w:adjustRightInd w:val="0"/>
        <w:snapToGrid w:val="0"/>
        <w:spacing w:after="0"/>
        <w:rPr>
          <w:rFonts w:ascii="Times New Roman" w:hAnsi="Times New Roman"/>
          <w:b/>
        </w:rPr>
      </w:pPr>
    </w:p>
    <w:p w14:paraId="0CF945EE" w14:textId="77777777" w:rsidR="006D56C4" w:rsidRPr="006D56C4" w:rsidRDefault="006D56C4" w:rsidP="0074425A">
      <w:pPr>
        <w:pStyle w:val="ListParagraph"/>
        <w:numPr>
          <w:ilvl w:val="1"/>
          <w:numId w:val="72"/>
        </w:numPr>
        <w:adjustRightInd w:val="0"/>
        <w:snapToGrid w:val="0"/>
        <w:ind w:left="720" w:hanging="720"/>
        <w:contextualSpacing w:val="0"/>
        <w:rPr>
          <w:rFonts w:ascii="Times New Roman" w:hAnsi="Times New Roman"/>
          <w:b/>
        </w:rPr>
      </w:pPr>
      <w:r w:rsidRPr="006D56C4">
        <w:rPr>
          <w:rFonts w:ascii="Times New Roman" w:hAnsi="Times New Roman"/>
          <w:b/>
        </w:rPr>
        <w:t>Data gaps</w:t>
      </w:r>
    </w:p>
    <w:p w14:paraId="51FC6558"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bCs/>
        </w:rPr>
      </w:pPr>
      <w:r w:rsidRPr="006D56C4">
        <w:rPr>
          <w:rFonts w:ascii="Times New Roman" w:hAnsi="Times New Roman"/>
          <w:bCs/>
        </w:rPr>
        <w:t>Data gaps of the Commission</w:t>
      </w:r>
    </w:p>
    <w:p w14:paraId="5AC8CF69"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bCs/>
        </w:rPr>
      </w:pPr>
      <w:r w:rsidRPr="006D56C4">
        <w:rPr>
          <w:rFonts w:ascii="Times New Roman" w:hAnsi="Times New Roman"/>
          <w:bCs/>
        </w:rPr>
        <w:t>Species composition of purse-seine catches</w:t>
      </w:r>
      <w:r w:rsidRPr="006D56C4">
        <w:rPr>
          <w:rFonts w:ascii="Times New Roman" w:hAnsi="Times New Roman"/>
          <w:bCs/>
          <w:lang w:eastAsia="ko-KR"/>
        </w:rPr>
        <w:t xml:space="preserve"> (Project 60)</w:t>
      </w:r>
    </w:p>
    <w:p w14:paraId="64C9E54E" w14:textId="77777777" w:rsidR="006D56C4" w:rsidRPr="006D56C4" w:rsidRDefault="006D56C4" w:rsidP="0074425A">
      <w:pPr>
        <w:pStyle w:val="Default"/>
        <w:numPr>
          <w:ilvl w:val="2"/>
          <w:numId w:val="72"/>
        </w:numPr>
        <w:adjustRightInd w:val="0"/>
        <w:snapToGrid w:val="0"/>
        <w:jc w:val="left"/>
        <w:rPr>
          <w:rFonts w:ascii="Times New Roman" w:eastAsia="바탕" w:hAnsi="Times New Roman" w:cs="Times New Roman"/>
          <w:bCs/>
          <w:color w:val="auto"/>
          <w:sz w:val="22"/>
          <w:szCs w:val="22"/>
          <w:lang w:eastAsia="ko-KR"/>
        </w:rPr>
      </w:pPr>
      <w:r w:rsidRPr="006D56C4">
        <w:rPr>
          <w:rFonts w:ascii="Times New Roman" w:eastAsia="바탕" w:hAnsi="Times New Roman" w:cs="Times New Roman"/>
          <w:bCs/>
          <w:color w:val="auto"/>
          <w:sz w:val="22"/>
          <w:szCs w:val="22"/>
          <w:lang w:eastAsia="ko-KR"/>
        </w:rPr>
        <w:t>Potential use of cannery receipt data for the work of the WCPFC</w:t>
      </w:r>
    </w:p>
    <w:p w14:paraId="306ECC56" w14:textId="77777777" w:rsidR="006D56C4" w:rsidRPr="006D56C4" w:rsidRDefault="006D56C4" w:rsidP="0074425A">
      <w:pPr>
        <w:pStyle w:val="Default"/>
        <w:numPr>
          <w:ilvl w:val="2"/>
          <w:numId w:val="72"/>
        </w:numPr>
        <w:adjustRightInd w:val="0"/>
        <w:snapToGrid w:val="0"/>
        <w:jc w:val="left"/>
        <w:rPr>
          <w:rFonts w:ascii="Times New Roman" w:eastAsia="바탕" w:hAnsi="Times New Roman" w:cs="Times New Roman"/>
          <w:bCs/>
          <w:color w:val="auto"/>
          <w:sz w:val="22"/>
          <w:szCs w:val="22"/>
          <w:lang w:eastAsia="ko-KR"/>
        </w:rPr>
      </w:pPr>
      <w:r w:rsidRPr="006D56C4">
        <w:rPr>
          <w:rFonts w:ascii="Times New Roman" w:eastAsia="바탕" w:hAnsi="Times New Roman" w:cs="Times New Roman"/>
          <w:bCs/>
          <w:color w:val="auto"/>
          <w:sz w:val="22"/>
          <w:szCs w:val="22"/>
          <w:lang w:eastAsia="ko-KR"/>
        </w:rPr>
        <w:t>Estimates of purse seine bycatch</w:t>
      </w:r>
    </w:p>
    <w:p w14:paraId="25A1C168" w14:textId="77777777" w:rsidR="006D56C4" w:rsidRPr="006D56C4" w:rsidRDefault="006D56C4" w:rsidP="0074425A">
      <w:pPr>
        <w:pStyle w:val="ListParagraph"/>
        <w:numPr>
          <w:ilvl w:val="1"/>
          <w:numId w:val="72"/>
        </w:numPr>
        <w:adjustRightInd w:val="0"/>
        <w:snapToGrid w:val="0"/>
        <w:ind w:left="720" w:hanging="720"/>
        <w:contextualSpacing w:val="0"/>
        <w:rPr>
          <w:rFonts w:ascii="Times New Roman" w:hAnsi="Times New Roman"/>
          <w:b/>
        </w:rPr>
      </w:pPr>
      <w:r w:rsidRPr="006D56C4">
        <w:rPr>
          <w:rFonts w:ascii="Times New Roman" w:hAnsi="Times New Roman"/>
          <w:b/>
        </w:rPr>
        <w:t xml:space="preserve">FAD </w:t>
      </w:r>
      <w:r w:rsidRPr="006D56C4">
        <w:rPr>
          <w:rFonts w:ascii="Times New Roman" w:hAnsi="Times New Roman"/>
          <w:b/>
          <w:lang w:eastAsia="ko-KR"/>
        </w:rPr>
        <w:t>data m</w:t>
      </w:r>
      <w:r w:rsidRPr="006D56C4">
        <w:rPr>
          <w:rFonts w:ascii="Times New Roman" w:hAnsi="Times New Roman"/>
          <w:b/>
        </w:rPr>
        <w:t xml:space="preserve">anagement </w:t>
      </w:r>
    </w:p>
    <w:p w14:paraId="4985752B"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rPr>
      </w:pPr>
      <w:r w:rsidRPr="006D56C4">
        <w:rPr>
          <w:rFonts w:ascii="Times New Roman" w:hAnsi="Times New Roman"/>
          <w:lang w:eastAsia="ko-KR"/>
        </w:rPr>
        <w:t>Additional FAD data fields to be provided by vessel operators</w:t>
      </w:r>
      <w:r w:rsidRPr="006D56C4" w:rsidDel="002D0572">
        <w:rPr>
          <w:rFonts w:ascii="Times New Roman" w:hAnsi="Times New Roman"/>
          <w:lang w:eastAsia="ko-KR"/>
        </w:rPr>
        <w:t xml:space="preserve"> </w:t>
      </w:r>
    </w:p>
    <w:p w14:paraId="1FECC9EA"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rPr>
      </w:pPr>
      <w:r w:rsidRPr="006D56C4">
        <w:rPr>
          <w:rFonts w:ascii="Times New Roman" w:hAnsi="Times New Roman"/>
          <w:lang w:eastAsia="ko-KR"/>
        </w:rPr>
        <w:t>FAD marking and monitoring</w:t>
      </w:r>
    </w:p>
    <w:p w14:paraId="5A0AE0EF" w14:textId="77777777" w:rsidR="006D56C4" w:rsidRPr="006D56C4" w:rsidRDefault="006D56C4" w:rsidP="0074425A">
      <w:pPr>
        <w:pStyle w:val="ListParagraph"/>
        <w:numPr>
          <w:ilvl w:val="1"/>
          <w:numId w:val="72"/>
        </w:numPr>
        <w:adjustRightInd w:val="0"/>
        <w:snapToGrid w:val="0"/>
        <w:ind w:left="720" w:hanging="720"/>
        <w:contextualSpacing w:val="0"/>
        <w:rPr>
          <w:rFonts w:ascii="Times New Roman" w:hAnsi="Times New Roman"/>
          <w:b/>
        </w:rPr>
      </w:pPr>
      <w:r w:rsidRPr="006D56C4">
        <w:rPr>
          <w:rFonts w:ascii="Times New Roman" w:hAnsi="Times New Roman"/>
          <w:b/>
        </w:rPr>
        <w:t>Regional Observer Programme</w:t>
      </w:r>
    </w:p>
    <w:p w14:paraId="6E64233D"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bCs/>
          <w:lang w:eastAsia="ko-KR"/>
        </w:rPr>
      </w:pPr>
      <w:r w:rsidRPr="006D56C4">
        <w:rPr>
          <w:rFonts w:ascii="Times New Roman" w:hAnsi="Times New Roman"/>
          <w:bCs/>
          <w:lang w:eastAsia="ko-KR"/>
        </w:rPr>
        <w:t xml:space="preserve">ROP longline coverage </w:t>
      </w:r>
    </w:p>
    <w:p w14:paraId="12A8C304" w14:textId="77777777" w:rsidR="006D56C4" w:rsidRPr="006D56C4" w:rsidRDefault="006D56C4" w:rsidP="0074425A">
      <w:pPr>
        <w:pStyle w:val="ListParagraph"/>
        <w:numPr>
          <w:ilvl w:val="2"/>
          <w:numId w:val="72"/>
        </w:numPr>
        <w:adjustRightInd w:val="0"/>
        <w:snapToGrid w:val="0"/>
        <w:contextualSpacing w:val="0"/>
        <w:rPr>
          <w:rFonts w:ascii="Times New Roman" w:hAnsi="Times New Roman"/>
          <w:bCs/>
          <w:lang w:eastAsia="ko-KR"/>
        </w:rPr>
      </w:pPr>
      <w:r w:rsidRPr="006D56C4">
        <w:rPr>
          <w:rFonts w:ascii="Times New Roman" w:hAnsi="Times New Roman"/>
          <w:bCs/>
          <w:lang w:eastAsia="ko-KR"/>
        </w:rPr>
        <w:t xml:space="preserve">Review of </w:t>
      </w:r>
      <w:r w:rsidRPr="006D56C4">
        <w:rPr>
          <w:rFonts w:ascii="Times New Roman" w:hAnsi="Times New Roman"/>
        </w:rPr>
        <w:t xml:space="preserve">ROP minimum standards data fields  </w:t>
      </w:r>
    </w:p>
    <w:p w14:paraId="6F4E1A7C" w14:textId="77777777" w:rsidR="006D56C4" w:rsidRPr="006D56C4" w:rsidRDefault="006D56C4" w:rsidP="0074425A">
      <w:pPr>
        <w:pStyle w:val="ListParagraph"/>
        <w:numPr>
          <w:ilvl w:val="1"/>
          <w:numId w:val="72"/>
        </w:numPr>
        <w:adjustRightInd w:val="0"/>
        <w:snapToGrid w:val="0"/>
        <w:ind w:left="0" w:firstLine="0"/>
        <w:contextualSpacing w:val="0"/>
        <w:rPr>
          <w:rFonts w:ascii="Times New Roman" w:hAnsi="Times New Roman"/>
          <w:b/>
        </w:rPr>
      </w:pPr>
      <w:r w:rsidRPr="006D56C4">
        <w:rPr>
          <w:rFonts w:ascii="Times New Roman" w:hAnsi="Times New Roman"/>
          <w:b/>
        </w:rPr>
        <w:t>Electronic Reporting outcomes from WCPFC13</w:t>
      </w:r>
    </w:p>
    <w:p w14:paraId="225B036E" w14:textId="77777777" w:rsidR="006D56C4" w:rsidRPr="006D56C4" w:rsidRDefault="006D56C4" w:rsidP="0074425A">
      <w:pPr>
        <w:pStyle w:val="ListParagraph"/>
        <w:numPr>
          <w:ilvl w:val="1"/>
          <w:numId w:val="72"/>
        </w:numPr>
        <w:adjustRightInd w:val="0"/>
        <w:snapToGrid w:val="0"/>
        <w:ind w:left="0" w:firstLine="0"/>
        <w:contextualSpacing w:val="0"/>
        <w:rPr>
          <w:rFonts w:ascii="Times New Roman" w:hAnsi="Times New Roman"/>
          <w:b/>
          <w:bCs/>
          <w:lang w:eastAsia="ko-KR"/>
        </w:rPr>
      </w:pPr>
      <w:r w:rsidRPr="006D56C4">
        <w:rPr>
          <w:rFonts w:ascii="Times New Roman" w:hAnsi="Times New Roman"/>
          <w:b/>
          <w:bCs/>
          <w:lang w:eastAsia="ko-KR"/>
        </w:rPr>
        <w:t>Economic data</w:t>
      </w:r>
    </w:p>
    <w:p w14:paraId="189F5A85" w14:textId="77777777" w:rsidR="006D56C4" w:rsidRPr="006D56C4" w:rsidRDefault="006D56C4" w:rsidP="006D56C4">
      <w:pPr>
        <w:adjustRightInd w:val="0"/>
        <w:snapToGrid w:val="0"/>
        <w:spacing w:after="0"/>
        <w:rPr>
          <w:rFonts w:ascii="Times New Roman" w:hAnsi="Times New Roman"/>
          <w:bCs/>
          <w:lang w:eastAsia="ko-KR"/>
        </w:rPr>
      </w:pPr>
    </w:p>
    <w:p w14:paraId="346065B3" w14:textId="77777777" w:rsidR="006D56C4" w:rsidRPr="006D56C4" w:rsidRDefault="006D56C4" w:rsidP="0074425A">
      <w:pPr>
        <w:numPr>
          <w:ilvl w:val="0"/>
          <w:numId w:val="58"/>
        </w:numPr>
        <w:adjustRightInd w:val="0"/>
        <w:snapToGrid w:val="0"/>
        <w:spacing w:after="0"/>
        <w:rPr>
          <w:rFonts w:ascii="Times New Roman" w:hAnsi="Times New Roman"/>
          <w:b/>
        </w:rPr>
      </w:pPr>
      <w:r w:rsidRPr="006D56C4">
        <w:rPr>
          <w:rFonts w:ascii="Times New Roman" w:hAnsi="Times New Roman"/>
          <w:b/>
        </w:rPr>
        <w:t xml:space="preserve">STOCK ASSESSMENT THEME </w:t>
      </w:r>
    </w:p>
    <w:p w14:paraId="712A6582" w14:textId="77777777" w:rsidR="006D56C4" w:rsidRPr="006D56C4" w:rsidRDefault="006D56C4" w:rsidP="006D56C4">
      <w:pPr>
        <w:adjustRightInd w:val="0"/>
        <w:snapToGrid w:val="0"/>
        <w:spacing w:after="0"/>
        <w:rPr>
          <w:rFonts w:ascii="Times New Roman" w:eastAsia="바탕" w:hAnsi="Times New Roman"/>
          <w:lang w:eastAsia="ko-KR"/>
        </w:rPr>
      </w:pPr>
    </w:p>
    <w:p w14:paraId="02851222" w14:textId="77777777" w:rsidR="006D56C4" w:rsidRPr="006D56C4" w:rsidRDefault="006D56C4" w:rsidP="0074425A">
      <w:pPr>
        <w:pStyle w:val="ListParagraph"/>
        <w:numPr>
          <w:ilvl w:val="1"/>
          <w:numId w:val="73"/>
        </w:numPr>
        <w:adjustRightInd w:val="0"/>
        <w:snapToGrid w:val="0"/>
        <w:ind w:left="720" w:hanging="720"/>
        <w:contextualSpacing w:val="0"/>
        <w:rPr>
          <w:rFonts w:ascii="Times New Roman" w:eastAsia="바탕" w:hAnsi="Times New Roman"/>
          <w:b/>
          <w:bCs/>
          <w:lang w:eastAsia="ko-KR"/>
        </w:rPr>
      </w:pPr>
      <w:r w:rsidRPr="006D56C4">
        <w:rPr>
          <w:rFonts w:ascii="Times New Roman" w:eastAsia="바탕" w:hAnsi="Times New Roman"/>
          <w:b/>
          <w:bCs/>
          <w:lang w:eastAsia="ko-KR"/>
        </w:rPr>
        <w:t>WCPO tunas</w:t>
      </w:r>
    </w:p>
    <w:p w14:paraId="46155707"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WCPO bigeye tuna (</w:t>
      </w:r>
      <w:r w:rsidRPr="006D56C4">
        <w:rPr>
          <w:rFonts w:ascii="Times New Roman" w:eastAsia="바탕" w:hAnsi="Times New Roman"/>
          <w:b/>
          <w:bCs/>
          <w:i/>
          <w:lang w:eastAsia="ko-KR"/>
        </w:rPr>
        <w:t>Thunnus obesus</w:t>
      </w:r>
      <w:r w:rsidRPr="006D56C4">
        <w:rPr>
          <w:rFonts w:ascii="Times New Roman" w:eastAsia="바탕" w:hAnsi="Times New Roman"/>
          <w:b/>
          <w:bCs/>
          <w:lang w:eastAsia="ko-KR"/>
        </w:rPr>
        <w:t>)</w:t>
      </w:r>
    </w:p>
    <w:p w14:paraId="3BB8759F"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2E852995" w14:textId="5ED9D410" w:rsidR="006D56C4" w:rsidRPr="006D56C4" w:rsidRDefault="006D56C4" w:rsidP="006D56C4">
      <w:pPr>
        <w:pStyle w:val="ListParagraph"/>
        <w:numPr>
          <w:ilvl w:val="2"/>
          <w:numId w:val="20"/>
        </w:numPr>
        <w:tabs>
          <w:tab w:val="clear" w:pos="720"/>
        </w:tabs>
        <w:adjustRightInd w:val="0"/>
        <w:snapToGrid w:val="0"/>
        <w:ind w:left="1080" w:hanging="360"/>
        <w:contextualSpacing w:val="0"/>
        <w:rPr>
          <w:rFonts w:ascii="Times New Roman" w:eastAsia="바탕" w:hAnsi="Times New Roman"/>
          <w:lang w:eastAsia="ko-KR"/>
        </w:rPr>
      </w:pPr>
      <w:r w:rsidRPr="006D56C4">
        <w:rPr>
          <w:rFonts w:ascii="Times New Roman" w:eastAsia="MS Mincho" w:hAnsi="Times New Roman"/>
          <w:lang w:eastAsia="ja-JP"/>
        </w:rPr>
        <w:t>Project 35 and relevant  researc</w:t>
      </w:r>
      <w:r w:rsidR="00444E27">
        <w:rPr>
          <w:rFonts w:ascii="Times New Roman" w:eastAsia="MS Mincho" w:hAnsi="Times New Roman"/>
          <w:lang w:eastAsia="ja-JP"/>
        </w:rPr>
        <w:t>h</w:t>
      </w:r>
    </w:p>
    <w:p w14:paraId="45990448" w14:textId="77777777" w:rsidR="006D56C4" w:rsidRPr="006D56C4" w:rsidRDefault="006D56C4" w:rsidP="006D56C4">
      <w:pPr>
        <w:pStyle w:val="ListParagraph"/>
        <w:numPr>
          <w:ilvl w:val="2"/>
          <w:numId w:val="20"/>
        </w:numPr>
        <w:tabs>
          <w:tab w:val="clear" w:pos="720"/>
        </w:tabs>
        <w:adjustRightInd w:val="0"/>
        <w:snapToGrid w:val="0"/>
        <w:ind w:left="1080" w:hanging="360"/>
        <w:contextualSpacing w:val="0"/>
        <w:rPr>
          <w:rFonts w:ascii="Times New Roman" w:eastAsia="바탕" w:hAnsi="Times New Roman"/>
          <w:lang w:eastAsia="ko-KR"/>
        </w:rPr>
      </w:pPr>
      <w:r w:rsidRPr="006D56C4">
        <w:rPr>
          <w:rFonts w:ascii="Times New Roman" w:eastAsia="맑은 고딕" w:hAnsi="Times New Roman"/>
          <w:bCs/>
          <w:lang w:eastAsia="ko-KR"/>
        </w:rPr>
        <w:t>Improvement of MULTIFAN-CL software for stock assessments</w:t>
      </w:r>
    </w:p>
    <w:p w14:paraId="1A461F1E" w14:textId="77777777" w:rsidR="006D56C4" w:rsidRPr="006D56C4" w:rsidRDefault="006D56C4" w:rsidP="006D56C4">
      <w:pPr>
        <w:pStyle w:val="ListParagraph"/>
        <w:numPr>
          <w:ilvl w:val="2"/>
          <w:numId w:val="20"/>
        </w:numPr>
        <w:tabs>
          <w:tab w:val="clear" w:pos="720"/>
        </w:tabs>
        <w:adjustRightInd w:val="0"/>
        <w:snapToGrid w:val="0"/>
        <w:ind w:left="1080" w:hanging="360"/>
        <w:contextualSpacing w:val="0"/>
        <w:rPr>
          <w:rFonts w:ascii="Times New Roman" w:eastAsia="바탕" w:hAnsi="Times New Roman"/>
          <w:lang w:eastAsia="ko-KR"/>
        </w:rPr>
      </w:pPr>
      <w:r w:rsidRPr="006D56C4">
        <w:rPr>
          <w:rFonts w:ascii="Times New Roman" w:eastAsia="바탕" w:hAnsi="Times New Roman"/>
          <w:lang w:eastAsia="ko-KR"/>
        </w:rPr>
        <w:t>Review of 2017 bigeye tuna stock assessment</w:t>
      </w:r>
    </w:p>
    <w:p w14:paraId="0F247707"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04F6F2B5" w14:textId="77777777" w:rsidR="006D56C4" w:rsidRPr="006D56C4" w:rsidRDefault="006D56C4" w:rsidP="0074425A">
      <w:pPr>
        <w:pStyle w:val="ListParagraph"/>
        <w:numPr>
          <w:ilvl w:val="0"/>
          <w:numId w:val="7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Stock status and trends </w:t>
      </w:r>
    </w:p>
    <w:p w14:paraId="10C9AED9" w14:textId="77777777" w:rsidR="006D56C4" w:rsidRPr="006D56C4" w:rsidRDefault="006D56C4" w:rsidP="0074425A">
      <w:pPr>
        <w:pStyle w:val="ListParagraph"/>
        <w:numPr>
          <w:ilvl w:val="0"/>
          <w:numId w:val="7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24456AF0"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WCPO yellowfin tuna (</w:t>
      </w:r>
      <w:r w:rsidRPr="006D56C4">
        <w:rPr>
          <w:rFonts w:ascii="Times New Roman" w:eastAsia="바탕" w:hAnsi="Times New Roman"/>
          <w:b/>
          <w:bCs/>
          <w:i/>
          <w:lang w:eastAsia="ko-KR"/>
        </w:rPr>
        <w:t>Thunnus albacares</w:t>
      </w:r>
      <w:r w:rsidRPr="006D56C4">
        <w:rPr>
          <w:rFonts w:ascii="Times New Roman" w:eastAsia="바탕" w:hAnsi="Times New Roman"/>
          <w:b/>
          <w:bCs/>
          <w:lang w:eastAsia="ko-KR"/>
        </w:rPr>
        <w:t>)</w:t>
      </w:r>
    </w:p>
    <w:p w14:paraId="16244432"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0858DED3" w14:textId="77777777" w:rsidR="006D56C4" w:rsidRPr="006D56C4" w:rsidRDefault="006D56C4" w:rsidP="0074425A">
      <w:pPr>
        <w:pStyle w:val="ListParagraph"/>
        <w:numPr>
          <w:ilvl w:val="0"/>
          <w:numId w:val="88"/>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2017 yellowfin tuna stock assessment</w:t>
      </w:r>
    </w:p>
    <w:p w14:paraId="54690205"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5B7F4A96" w14:textId="77777777" w:rsidR="006D56C4" w:rsidRPr="006D56C4" w:rsidRDefault="006D56C4" w:rsidP="0074425A">
      <w:pPr>
        <w:pStyle w:val="ListParagraph"/>
        <w:numPr>
          <w:ilvl w:val="0"/>
          <w:numId w:val="7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3D5D555A" w14:textId="77777777" w:rsidR="006D56C4" w:rsidRPr="006D56C4" w:rsidRDefault="006D56C4" w:rsidP="0074425A">
      <w:pPr>
        <w:pStyle w:val="ListParagraph"/>
        <w:numPr>
          <w:ilvl w:val="0"/>
          <w:numId w:val="7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0A03703"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WCPO skipjack tuna (</w:t>
      </w:r>
      <w:r w:rsidRPr="006D56C4">
        <w:rPr>
          <w:rFonts w:ascii="Times New Roman" w:eastAsia="바탕" w:hAnsi="Times New Roman"/>
          <w:b/>
          <w:bCs/>
          <w:i/>
          <w:lang w:eastAsia="ko-KR"/>
        </w:rPr>
        <w:t>Katsuwonus pelamis</w:t>
      </w:r>
      <w:r w:rsidRPr="006D56C4">
        <w:rPr>
          <w:rFonts w:ascii="Times New Roman" w:eastAsia="바탕" w:hAnsi="Times New Roman"/>
          <w:b/>
          <w:bCs/>
          <w:lang w:eastAsia="ko-KR"/>
        </w:rPr>
        <w:t>)</w:t>
      </w:r>
    </w:p>
    <w:p w14:paraId="5D6B3558"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74EA6734" w14:textId="77777777" w:rsidR="006D56C4" w:rsidRPr="006D56C4" w:rsidRDefault="006D56C4" w:rsidP="0074425A">
      <w:pPr>
        <w:pStyle w:val="ListParagraph"/>
        <w:numPr>
          <w:ilvl w:val="0"/>
          <w:numId w:val="89"/>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Update of skipjack tuna stock assessment information</w:t>
      </w:r>
    </w:p>
    <w:p w14:paraId="5F8627DB"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Project 67 (Skipjack fishery impacts on </w:t>
      </w:r>
      <w:r w:rsidRPr="006D56C4">
        <w:rPr>
          <w:rFonts w:ascii="Times New Roman" w:eastAsia="맑은 고딕" w:hAnsi="Times New Roman"/>
          <w:lang w:eastAsia="ko-KR"/>
        </w:rPr>
        <w:t>the margins of the Convention Area)</w:t>
      </w:r>
    </w:p>
    <w:p w14:paraId="38B3E10A"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67CD065C" w14:textId="77777777" w:rsidR="006D56C4" w:rsidRPr="006D56C4" w:rsidRDefault="006D56C4" w:rsidP="0074425A">
      <w:pPr>
        <w:pStyle w:val="ListParagraph"/>
        <w:numPr>
          <w:ilvl w:val="0"/>
          <w:numId w:val="9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3F79ED6F" w14:textId="77777777" w:rsidR="006D56C4" w:rsidRPr="006D56C4" w:rsidRDefault="006D56C4" w:rsidP="0074425A">
      <w:pPr>
        <w:pStyle w:val="ListParagraph"/>
        <w:numPr>
          <w:ilvl w:val="0"/>
          <w:numId w:val="9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3969863"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South Pacific albacore tuna (</w:t>
      </w:r>
      <w:r w:rsidRPr="006D56C4">
        <w:rPr>
          <w:rFonts w:ascii="Times New Roman" w:eastAsia="바탕" w:hAnsi="Times New Roman"/>
          <w:b/>
          <w:bCs/>
          <w:i/>
          <w:lang w:eastAsia="ko-KR"/>
        </w:rPr>
        <w:t>Thunnus alalunga</w:t>
      </w:r>
      <w:r w:rsidRPr="006D56C4">
        <w:rPr>
          <w:rFonts w:ascii="Times New Roman" w:eastAsia="바탕" w:hAnsi="Times New Roman"/>
          <w:b/>
          <w:bCs/>
          <w:lang w:eastAsia="ko-KR"/>
        </w:rPr>
        <w:t>)</w:t>
      </w:r>
    </w:p>
    <w:p w14:paraId="0360D85F"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35597626" w14:textId="77777777" w:rsidR="006D56C4" w:rsidRPr="006D56C4" w:rsidRDefault="006D56C4" w:rsidP="0074425A">
      <w:pPr>
        <w:pStyle w:val="ListParagraph"/>
        <w:numPr>
          <w:ilvl w:val="1"/>
          <w:numId w:val="97"/>
        </w:numPr>
        <w:adjustRightInd w:val="0"/>
        <w:snapToGrid w:val="0"/>
        <w:ind w:left="1080"/>
        <w:contextualSpacing w:val="0"/>
        <w:rPr>
          <w:rFonts w:ascii="Times New Roman" w:eastAsia="바탕" w:hAnsi="Times New Roman"/>
          <w:lang w:eastAsia="ko-KR"/>
        </w:rPr>
      </w:pPr>
      <w:r w:rsidRPr="006D56C4">
        <w:rPr>
          <w:rFonts w:ascii="Times New Roman" w:eastAsia="바탕" w:hAnsi="Times New Roman"/>
          <w:lang w:eastAsia="ko-KR"/>
        </w:rPr>
        <w:t>Update of South Pacific albacore tuna stock assessment information</w:t>
      </w:r>
    </w:p>
    <w:p w14:paraId="44166E24"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2B8C28DB" w14:textId="77777777" w:rsidR="006D56C4" w:rsidRPr="006D56C4" w:rsidRDefault="006D56C4" w:rsidP="0074425A">
      <w:pPr>
        <w:pStyle w:val="ListParagraph"/>
        <w:numPr>
          <w:ilvl w:val="0"/>
          <w:numId w:val="76"/>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3B0821DD" w14:textId="77777777" w:rsidR="006D56C4" w:rsidRPr="006D56C4" w:rsidRDefault="006D56C4" w:rsidP="0074425A">
      <w:pPr>
        <w:pStyle w:val="ListParagraph"/>
        <w:numPr>
          <w:ilvl w:val="0"/>
          <w:numId w:val="76"/>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207FFFD" w14:textId="77777777" w:rsidR="006D56C4" w:rsidRPr="006D56C4" w:rsidRDefault="006D56C4" w:rsidP="0074425A">
      <w:pPr>
        <w:pStyle w:val="ListParagraph"/>
        <w:numPr>
          <w:ilvl w:val="1"/>
          <w:numId w:val="94"/>
        </w:numPr>
        <w:adjustRightInd w:val="0"/>
        <w:snapToGrid w:val="0"/>
        <w:ind w:left="720" w:hanging="720"/>
        <w:contextualSpacing w:val="0"/>
        <w:rPr>
          <w:rFonts w:ascii="Times New Roman" w:eastAsia="바탕" w:hAnsi="Times New Roman"/>
          <w:b/>
          <w:bCs/>
          <w:lang w:eastAsia="ko-KR"/>
        </w:rPr>
      </w:pPr>
      <w:r w:rsidRPr="006D56C4">
        <w:rPr>
          <w:rFonts w:ascii="Times New Roman" w:eastAsia="바탕" w:hAnsi="Times New Roman"/>
          <w:b/>
          <w:bCs/>
          <w:lang w:eastAsia="ko-KR"/>
        </w:rPr>
        <w:t xml:space="preserve">Northern stocks </w:t>
      </w:r>
    </w:p>
    <w:p w14:paraId="47F46B8B"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North Pacific albacore (</w:t>
      </w:r>
      <w:r w:rsidRPr="006D56C4">
        <w:rPr>
          <w:rFonts w:ascii="Times New Roman" w:eastAsia="바탕" w:hAnsi="Times New Roman"/>
          <w:b/>
          <w:bCs/>
          <w:i/>
          <w:lang w:eastAsia="ko-KR"/>
        </w:rPr>
        <w:t>Thunnus alalunga</w:t>
      </w:r>
      <w:r w:rsidRPr="006D56C4">
        <w:rPr>
          <w:rFonts w:ascii="Times New Roman" w:eastAsia="바탕" w:hAnsi="Times New Roman"/>
          <w:b/>
          <w:bCs/>
          <w:lang w:eastAsia="ko-KR"/>
        </w:rPr>
        <w:t xml:space="preserve">) </w:t>
      </w:r>
    </w:p>
    <w:p w14:paraId="06CE9D26"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3F6F72A0" w14:textId="77777777" w:rsidR="006D56C4" w:rsidRPr="006D56C4" w:rsidRDefault="006D56C4" w:rsidP="0074425A">
      <w:pPr>
        <w:pStyle w:val="ListParagraph"/>
        <w:numPr>
          <w:ilvl w:val="0"/>
          <w:numId w:val="98"/>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2017 North Pacific albacore</w:t>
      </w:r>
      <w:r w:rsidRPr="006D56C4">
        <w:rPr>
          <w:rFonts w:ascii="Times New Roman" w:eastAsia="바탕" w:hAnsi="Times New Roman"/>
          <w:b/>
          <w:bCs/>
          <w:lang w:eastAsia="ko-KR"/>
        </w:rPr>
        <w:t xml:space="preserve"> </w:t>
      </w:r>
      <w:r w:rsidRPr="006D56C4">
        <w:rPr>
          <w:rFonts w:ascii="Times New Roman" w:eastAsia="바탕" w:hAnsi="Times New Roman"/>
          <w:lang w:eastAsia="ko-KR"/>
        </w:rPr>
        <w:t xml:space="preserve">stock assessment </w:t>
      </w:r>
    </w:p>
    <w:p w14:paraId="318D4A54"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14694911" w14:textId="77777777" w:rsidR="006D56C4" w:rsidRPr="006D56C4" w:rsidRDefault="006D56C4" w:rsidP="0074425A">
      <w:pPr>
        <w:pStyle w:val="ListParagraph"/>
        <w:numPr>
          <w:ilvl w:val="0"/>
          <w:numId w:val="8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2624CEC5" w14:textId="77777777" w:rsidR="006D56C4" w:rsidRPr="006D56C4" w:rsidRDefault="006D56C4" w:rsidP="0074425A">
      <w:pPr>
        <w:pStyle w:val="ListParagraph"/>
        <w:numPr>
          <w:ilvl w:val="0"/>
          <w:numId w:val="8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6D1D1AE1"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Pacific bluefin tuna (</w:t>
      </w:r>
      <w:r w:rsidRPr="006D56C4">
        <w:rPr>
          <w:rFonts w:ascii="Times New Roman" w:eastAsia="바탕" w:hAnsi="Times New Roman"/>
          <w:b/>
          <w:bCs/>
          <w:i/>
          <w:lang w:eastAsia="ko-KR"/>
        </w:rPr>
        <w:t>Thunnus orientalis</w:t>
      </w:r>
      <w:r w:rsidRPr="006D56C4">
        <w:rPr>
          <w:rFonts w:ascii="Times New Roman" w:eastAsia="바탕" w:hAnsi="Times New Roman"/>
          <w:b/>
          <w:bCs/>
          <w:lang w:eastAsia="ko-KR"/>
        </w:rPr>
        <w:t xml:space="preserve">) </w:t>
      </w:r>
    </w:p>
    <w:p w14:paraId="109D163D"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756AD63B"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1EA99EDB" w14:textId="77777777" w:rsidR="006D56C4" w:rsidRPr="006D56C4" w:rsidRDefault="006D56C4" w:rsidP="0074425A">
      <w:pPr>
        <w:pStyle w:val="ListParagraph"/>
        <w:numPr>
          <w:ilvl w:val="0"/>
          <w:numId w:val="8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6C3FEFFA" w14:textId="77777777" w:rsidR="006D56C4" w:rsidRPr="006D56C4" w:rsidRDefault="006D56C4" w:rsidP="0074425A">
      <w:pPr>
        <w:pStyle w:val="ListParagraph"/>
        <w:numPr>
          <w:ilvl w:val="0"/>
          <w:numId w:val="8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6BE64167" w14:textId="77777777" w:rsidR="006D56C4" w:rsidRPr="006D56C4" w:rsidRDefault="006D56C4" w:rsidP="0074425A">
      <w:pPr>
        <w:pStyle w:val="ListParagraph"/>
        <w:numPr>
          <w:ilvl w:val="2"/>
          <w:numId w:val="94"/>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North Pacific swordfish (</w:t>
      </w:r>
      <w:r w:rsidRPr="006D56C4">
        <w:rPr>
          <w:rFonts w:ascii="Times New Roman" w:eastAsia="바탕" w:hAnsi="Times New Roman"/>
          <w:b/>
          <w:bCs/>
          <w:i/>
          <w:lang w:eastAsia="ko-KR"/>
        </w:rPr>
        <w:t>Xiphias gladius</w:t>
      </w:r>
      <w:r w:rsidRPr="006D56C4">
        <w:rPr>
          <w:rFonts w:ascii="Times New Roman" w:eastAsia="바탕" w:hAnsi="Times New Roman"/>
          <w:b/>
          <w:bCs/>
          <w:lang w:eastAsia="ko-KR"/>
        </w:rPr>
        <w:t>)</w:t>
      </w:r>
    </w:p>
    <w:p w14:paraId="7B6808B9"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6123883B" w14:textId="77777777" w:rsidR="006D56C4" w:rsidRPr="006D56C4" w:rsidRDefault="006D56C4" w:rsidP="0074425A">
      <w:pPr>
        <w:pStyle w:val="ListParagraph"/>
        <w:numPr>
          <w:ilvl w:val="3"/>
          <w:numId w:val="9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2B2E3659" w14:textId="77777777" w:rsidR="006D56C4" w:rsidRPr="006D56C4" w:rsidRDefault="006D56C4" w:rsidP="0074425A">
      <w:pPr>
        <w:pStyle w:val="ListParagraph"/>
        <w:numPr>
          <w:ilvl w:val="0"/>
          <w:numId w:val="82"/>
        </w:numPr>
        <w:adjustRightInd w:val="0"/>
        <w:snapToGrid w:val="0"/>
        <w:ind w:left="108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26E7B1ED" w14:textId="77777777" w:rsidR="006D56C4" w:rsidRPr="006D56C4" w:rsidRDefault="006D56C4" w:rsidP="0074425A">
      <w:pPr>
        <w:pStyle w:val="ListParagraph"/>
        <w:numPr>
          <w:ilvl w:val="0"/>
          <w:numId w:val="82"/>
        </w:numPr>
        <w:adjustRightInd w:val="0"/>
        <w:snapToGrid w:val="0"/>
        <w:ind w:left="108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CAD9C03" w14:textId="77777777" w:rsidR="006D56C4" w:rsidRPr="006D56C4" w:rsidRDefault="006D56C4" w:rsidP="0074425A">
      <w:pPr>
        <w:pStyle w:val="ListParagraph"/>
        <w:numPr>
          <w:ilvl w:val="1"/>
          <w:numId w:val="94"/>
        </w:numPr>
        <w:adjustRightInd w:val="0"/>
        <w:snapToGrid w:val="0"/>
        <w:ind w:left="720" w:hanging="720"/>
        <w:contextualSpacing w:val="0"/>
        <w:rPr>
          <w:rFonts w:ascii="Times New Roman" w:eastAsia="바탕" w:hAnsi="Times New Roman"/>
          <w:b/>
          <w:bCs/>
          <w:lang w:eastAsia="ko-KR"/>
        </w:rPr>
      </w:pPr>
      <w:r w:rsidRPr="006D56C4">
        <w:rPr>
          <w:rFonts w:ascii="Times New Roman" w:hAnsi="Times New Roman"/>
          <w:b/>
        </w:rPr>
        <w:t>WCPO sharks</w:t>
      </w:r>
    </w:p>
    <w:p w14:paraId="3B46F050" w14:textId="77777777" w:rsidR="006D56C4" w:rsidRPr="006D56C4" w:rsidRDefault="006D56C4" w:rsidP="0074425A">
      <w:pPr>
        <w:pStyle w:val="ListParagraph"/>
        <w:numPr>
          <w:ilvl w:val="0"/>
          <w:numId w:val="93"/>
        </w:numPr>
        <w:adjustRightInd w:val="0"/>
        <w:snapToGrid w:val="0"/>
        <w:contextualSpacing w:val="0"/>
        <w:rPr>
          <w:rFonts w:ascii="Times New Roman" w:hAnsi="Times New Roman"/>
          <w:b/>
          <w:vanish/>
        </w:rPr>
      </w:pPr>
    </w:p>
    <w:p w14:paraId="2B7E0302" w14:textId="77777777" w:rsidR="006D56C4" w:rsidRPr="006D56C4" w:rsidRDefault="006D56C4" w:rsidP="0074425A">
      <w:pPr>
        <w:pStyle w:val="ListParagraph"/>
        <w:numPr>
          <w:ilvl w:val="2"/>
          <w:numId w:val="93"/>
        </w:numPr>
        <w:adjustRightInd w:val="0"/>
        <w:snapToGrid w:val="0"/>
        <w:contextualSpacing w:val="0"/>
        <w:rPr>
          <w:rFonts w:ascii="Times New Roman" w:hAnsi="Times New Roman"/>
          <w:b/>
        </w:rPr>
      </w:pPr>
      <w:r w:rsidRPr="006D56C4">
        <w:rPr>
          <w:rFonts w:ascii="Times New Roman" w:hAnsi="Times New Roman"/>
          <w:b/>
        </w:rPr>
        <w:t xml:space="preserve">Review of shark </w:t>
      </w:r>
      <w:r w:rsidRPr="006D56C4">
        <w:rPr>
          <w:rFonts w:ascii="Times New Roman" w:hAnsi="Times New Roman"/>
          <w:b/>
          <w:lang w:eastAsia="ko-KR"/>
        </w:rPr>
        <w:t>researches</w:t>
      </w:r>
    </w:p>
    <w:p w14:paraId="1C462451" w14:textId="77777777" w:rsidR="006D56C4" w:rsidRPr="006D56C4" w:rsidRDefault="006D56C4" w:rsidP="0074425A">
      <w:pPr>
        <w:pStyle w:val="ListParagraph"/>
        <w:numPr>
          <w:ilvl w:val="2"/>
          <w:numId w:val="93"/>
        </w:numPr>
        <w:adjustRightInd w:val="0"/>
        <w:snapToGrid w:val="0"/>
        <w:contextualSpacing w:val="0"/>
        <w:rPr>
          <w:rFonts w:ascii="Times New Roman" w:hAnsi="Times New Roman"/>
          <w:b/>
        </w:rPr>
      </w:pPr>
      <w:r w:rsidRPr="006D56C4">
        <w:rPr>
          <w:rFonts w:ascii="Times New Roman" w:hAnsi="Times New Roman"/>
          <w:b/>
        </w:rPr>
        <w:t>Oceanic whitetip shark</w:t>
      </w:r>
      <w:r w:rsidRPr="006D56C4">
        <w:rPr>
          <w:rFonts w:ascii="Times New Roman" w:hAnsi="Times New Roman"/>
          <w:b/>
          <w:lang w:eastAsia="ko-KR"/>
        </w:rPr>
        <w:t xml:space="preserve"> </w:t>
      </w:r>
      <w:r w:rsidRPr="006D56C4">
        <w:rPr>
          <w:rFonts w:ascii="Times New Roman" w:hAnsi="Times New Roman"/>
          <w:b/>
        </w:rPr>
        <w:t>(</w:t>
      </w:r>
      <w:r w:rsidRPr="006D56C4">
        <w:rPr>
          <w:rFonts w:ascii="Times New Roman" w:hAnsi="Times New Roman"/>
          <w:b/>
          <w:i/>
        </w:rPr>
        <w:t>Carcharhinus longimanus</w:t>
      </w:r>
      <w:r w:rsidRPr="006D56C4">
        <w:rPr>
          <w:rFonts w:ascii="Times New Roman" w:hAnsi="Times New Roman"/>
          <w:b/>
        </w:rPr>
        <w:t>)</w:t>
      </w:r>
    </w:p>
    <w:p w14:paraId="49EC00EE" w14:textId="77777777" w:rsidR="006D56C4" w:rsidRPr="006D56C4" w:rsidRDefault="006D56C4" w:rsidP="0074425A">
      <w:pPr>
        <w:pStyle w:val="ListParagraph"/>
        <w:numPr>
          <w:ilvl w:val="3"/>
          <w:numId w:val="93"/>
        </w:numPr>
        <w:adjustRightInd w:val="0"/>
        <w:snapToGrid w:val="0"/>
        <w:contextualSpacing w:val="0"/>
        <w:rPr>
          <w:rFonts w:ascii="Times New Roman" w:hAnsi="Times New Roman"/>
          <w:bCs/>
        </w:rPr>
      </w:pPr>
      <w:r w:rsidRPr="006D56C4">
        <w:rPr>
          <w:rFonts w:ascii="Times New Roman" w:hAnsi="Times New Roman"/>
          <w:bCs/>
        </w:rPr>
        <w:t>Review of research and information</w:t>
      </w:r>
    </w:p>
    <w:p w14:paraId="7DEC8B91"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hAnsi="Times New Roman"/>
          <w:bCs/>
        </w:rPr>
        <w:t>Provision of scientific information</w:t>
      </w:r>
    </w:p>
    <w:p w14:paraId="76B32319" w14:textId="77777777" w:rsidR="006D56C4" w:rsidRPr="006D56C4" w:rsidRDefault="006D56C4" w:rsidP="0074425A">
      <w:pPr>
        <w:pStyle w:val="ListParagraph"/>
        <w:numPr>
          <w:ilvl w:val="0"/>
          <w:numId w:val="83"/>
        </w:numPr>
        <w:adjustRightInd w:val="0"/>
        <w:snapToGrid w:val="0"/>
        <w:contextualSpacing w:val="0"/>
        <w:rPr>
          <w:rFonts w:ascii="Times New Roman" w:eastAsia="바탕" w:hAnsi="Times New Roman"/>
          <w:lang w:eastAsia="ko-KR"/>
        </w:rPr>
      </w:pPr>
      <w:r w:rsidRPr="006D56C4">
        <w:rPr>
          <w:rFonts w:ascii="Times New Roman" w:hAnsi="Times New Roman"/>
          <w:bCs/>
        </w:rPr>
        <w:t xml:space="preserve">Status and trends </w:t>
      </w:r>
    </w:p>
    <w:p w14:paraId="515665CD" w14:textId="77777777" w:rsidR="006D56C4" w:rsidRPr="006D56C4" w:rsidRDefault="006D56C4" w:rsidP="0074425A">
      <w:pPr>
        <w:pStyle w:val="ListParagraph"/>
        <w:numPr>
          <w:ilvl w:val="0"/>
          <w:numId w:val="83"/>
        </w:numPr>
        <w:adjustRightInd w:val="0"/>
        <w:snapToGrid w:val="0"/>
        <w:contextualSpacing w:val="0"/>
        <w:rPr>
          <w:rFonts w:ascii="Times New Roman" w:eastAsia="바탕" w:hAnsi="Times New Roman"/>
          <w:lang w:eastAsia="ko-KR"/>
        </w:rPr>
      </w:pPr>
      <w:r w:rsidRPr="006D56C4">
        <w:rPr>
          <w:rFonts w:ascii="Times New Roman" w:hAnsi="Times New Roman"/>
          <w:bCs/>
        </w:rPr>
        <w:t xml:space="preserve">Management advice and implications </w:t>
      </w:r>
    </w:p>
    <w:p w14:paraId="7A8C3CB7"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Silky shark (</w:t>
      </w:r>
      <w:r w:rsidRPr="006D56C4">
        <w:rPr>
          <w:rFonts w:ascii="Times New Roman" w:eastAsia="바탕" w:hAnsi="Times New Roman"/>
          <w:b/>
          <w:bCs/>
          <w:i/>
          <w:lang w:eastAsia="ko-KR"/>
        </w:rPr>
        <w:t>Carcharhinus falciformis</w:t>
      </w:r>
      <w:r w:rsidRPr="006D56C4">
        <w:rPr>
          <w:rFonts w:ascii="Times New Roman" w:eastAsia="바탕" w:hAnsi="Times New Roman"/>
          <w:b/>
          <w:bCs/>
          <w:lang w:eastAsia="ko-KR"/>
        </w:rPr>
        <w:t>)</w:t>
      </w:r>
    </w:p>
    <w:p w14:paraId="7102311D"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7C23104E"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68357A64" w14:textId="77777777" w:rsidR="006D56C4" w:rsidRPr="006D56C4" w:rsidRDefault="006D56C4" w:rsidP="0074425A">
      <w:pPr>
        <w:pStyle w:val="ListParagraph"/>
        <w:numPr>
          <w:ilvl w:val="0"/>
          <w:numId w:val="8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66A54A7B" w14:textId="77777777" w:rsidR="006D56C4" w:rsidRPr="006D56C4" w:rsidRDefault="006D56C4" w:rsidP="0074425A">
      <w:pPr>
        <w:pStyle w:val="ListParagraph"/>
        <w:numPr>
          <w:ilvl w:val="0"/>
          <w:numId w:val="84"/>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6E27500F"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South Pacific blue shark (</w:t>
      </w:r>
      <w:r w:rsidRPr="006D56C4">
        <w:rPr>
          <w:rFonts w:ascii="Times New Roman" w:eastAsia="바탕" w:hAnsi="Times New Roman"/>
          <w:b/>
          <w:bCs/>
          <w:i/>
          <w:lang w:eastAsia="ko-KR"/>
        </w:rPr>
        <w:t>Prionace glauca</w:t>
      </w:r>
      <w:r w:rsidRPr="006D56C4">
        <w:rPr>
          <w:rFonts w:ascii="Times New Roman" w:eastAsia="바탕" w:hAnsi="Times New Roman"/>
          <w:b/>
          <w:bCs/>
          <w:lang w:eastAsia="ko-KR"/>
        </w:rPr>
        <w:t>)</w:t>
      </w:r>
    </w:p>
    <w:p w14:paraId="7537478E"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64C11961"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5EF795BF" w14:textId="77777777" w:rsidR="006D56C4" w:rsidRPr="006D56C4" w:rsidRDefault="006D56C4" w:rsidP="0074425A">
      <w:pPr>
        <w:pStyle w:val="ListParagraph"/>
        <w:numPr>
          <w:ilvl w:val="0"/>
          <w:numId w:val="86"/>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5B38B5B9" w14:textId="77777777" w:rsidR="006D56C4" w:rsidRPr="006D56C4" w:rsidRDefault="006D56C4" w:rsidP="0074425A">
      <w:pPr>
        <w:pStyle w:val="ListParagraph"/>
        <w:numPr>
          <w:ilvl w:val="0"/>
          <w:numId w:val="86"/>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29A06548"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North Pacific blue shark (</w:t>
      </w:r>
      <w:r w:rsidRPr="006D56C4">
        <w:rPr>
          <w:rFonts w:ascii="Times New Roman" w:eastAsia="바탕" w:hAnsi="Times New Roman"/>
          <w:b/>
          <w:bCs/>
          <w:i/>
          <w:lang w:eastAsia="ko-KR"/>
        </w:rPr>
        <w:t>Prionace glauca</w:t>
      </w:r>
      <w:r w:rsidRPr="006D56C4">
        <w:rPr>
          <w:rFonts w:ascii="Times New Roman" w:eastAsia="바탕" w:hAnsi="Times New Roman"/>
          <w:b/>
          <w:bCs/>
          <w:lang w:eastAsia="ko-KR"/>
        </w:rPr>
        <w:t>)</w:t>
      </w:r>
    </w:p>
    <w:p w14:paraId="095A444A"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66FA8925" w14:textId="77777777" w:rsidR="006D56C4" w:rsidRPr="006D56C4" w:rsidRDefault="006D56C4" w:rsidP="0074425A">
      <w:pPr>
        <w:pStyle w:val="ListParagraph"/>
        <w:numPr>
          <w:ilvl w:val="0"/>
          <w:numId w:val="92"/>
        </w:numPr>
        <w:autoSpaceDE w:val="0"/>
        <w:autoSpaceDN w:val="0"/>
        <w:adjustRightInd w:val="0"/>
        <w:snapToGrid w:val="0"/>
        <w:contextualSpacing w:val="0"/>
        <w:jc w:val="left"/>
        <w:rPr>
          <w:rFonts w:ascii="Times New Roman" w:eastAsia="바탕" w:hAnsi="Times New Roman"/>
          <w:lang w:eastAsia="ko-KR"/>
        </w:rPr>
      </w:pPr>
      <w:r w:rsidRPr="006D56C4">
        <w:rPr>
          <w:rFonts w:ascii="Times New Roman" w:eastAsia="바탕" w:hAnsi="Times New Roman"/>
          <w:lang w:eastAsia="ko-KR"/>
        </w:rPr>
        <w:t>Review of 2017 North Pacific blue shark</w:t>
      </w:r>
      <w:r w:rsidRPr="006D56C4">
        <w:rPr>
          <w:rFonts w:ascii="Times New Roman" w:eastAsia="바탕" w:hAnsi="Times New Roman"/>
          <w:b/>
          <w:bCs/>
          <w:lang w:eastAsia="ko-KR"/>
        </w:rPr>
        <w:t xml:space="preserve"> </w:t>
      </w:r>
      <w:r w:rsidRPr="006D56C4">
        <w:rPr>
          <w:rFonts w:ascii="Times New Roman" w:eastAsia="바탕" w:hAnsi="Times New Roman"/>
          <w:lang w:eastAsia="ko-KR"/>
        </w:rPr>
        <w:t>stock assessment</w:t>
      </w:r>
    </w:p>
    <w:p w14:paraId="346C4E79"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3A0B3F5D" w14:textId="77777777" w:rsidR="006D56C4" w:rsidRPr="006D56C4" w:rsidRDefault="006D56C4" w:rsidP="0074425A">
      <w:pPr>
        <w:pStyle w:val="ListParagraph"/>
        <w:numPr>
          <w:ilvl w:val="0"/>
          <w:numId w:val="87"/>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5C8AB098" w14:textId="77777777" w:rsidR="006D56C4" w:rsidRPr="006D56C4" w:rsidRDefault="006D56C4" w:rsidP="0074425A">
      <w:pPr>
        <w:pStyle w:val="ListParagraph"/>
        <w:numPr>
          <w:ilvl w:val="0"/>
          <w:numId w:val="87"/>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FA5A0F1"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North Pacific shortfin mako</w:t>
      </w:r>
      <w:r w:rsidRPr="006D56C4">
        <w:rPr>
          <w:rFonts w:ascii="Times New Roman" w:hAnsi="Times New Roman"/>
          <w:b/>
          <w:lang w:eastAsia="ko-KR"/>
        </w:rPr>
        <w:t xml:space="preserve"> </w:t>
      </w:r>
      <w:r w:rsidRPr="006D56C4">
        <w:rPr>
          <w:rFonts w:ascii="Times New Roman" w:eastAsia="MS Mincho" w:hAnsi="Times New Roman"/>
          <w:b/>
          <w:lang w:eastAsia="ja-JP"/>
        </w:rPr>
        <w:t>(</w:t>
      </w:r>
      <w:r w:rsidRPr="006D56C4">
        <w:rPr>
          <w:rFonts w:ascii="Times New Roman" w:eastAsia="MS Mincho" w:hAnsi="Times New Roman"/>
          <w:b/>
          <w:i/>
          <w:lang w:eastAsia="ja-JP"/>
        </w:rPr>
        <w:t>Isurus oxyrinchus</w:t>
      </w:r>
      <w:r w:rsidRPr="006D56C4">
        <w:rPr>
          <w:rFonts w:ascii="Times New Roman" w:eastAsia="MS Mincho" w:hAnsi="Times New Roman"/>
          <w:b/>
          <w:lang w:eastAsia="ja-JP"/>
        </w:rPr>
        <w:t>)</w:t>
      </w:r>
    </w:p>
    <w:p w14:paraId="201C22B5"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bCs/>
          <w:lang w:eastAsia="ko-KR"/>
        </w:rPr>
      </w:pPr>
      <w:r w:rsidRPr="006D56C4">
        <w:rPr>
          <w:rFonts w:ascii="Times New Roman" w:eastAsia="바탕" w:hAnsi="Times New Roman"/>
          <w:bCs/>
          <w:lang w:eastAsia="ko-KR"/>
        </w:rPr>
        <w:t>Review of research and information</w:t>
      </w:r>
      <w:r w:rsidRPr="006D56C4" w:rsidDel="000B636C">
        <w:rPr>
          <w:rFonts w:ascii="Times New Roman" w:eastAsia="바탕" w:hAnsi="Times New Roman"/>
          <w:bCs/>
          <w:lang w:eastAsia="ko-KR"/>
        </w:rPr>
        <w:t xml:space="preserve"> </w:t>
      </w:r>
    </w:p>
    <w:p w14:paraId="726C3578"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hAnsi="Times New Roman"/>
          <w:b/>
          <w:lang w:eastAsia="ko-KR"/>
        </w:rPr>
        <w:t xml:space="preserve">Pacific </w:t>
      </w:r>
      <w:r w:rsidRPr="006D56C4">
        <w:rPr>
          <w:rFonts w:ascii="Times New Roman" w:hAnsi="Times New Roman"/>
          <w:b/>
        </w:rPr>
        <w:t>bigeye thresher shark</w:t>
      </w:r>
      <w:r w:rsidRPr="006D56C4">
        <w:rPr>
          <w:rFonts w:ascii="Times New Roman" w:hAnsi="Times New Roman"/>
          <w:b/>
          <w:lang w:eastAsia="ko-KR"/>
        </w:rPr>
        <w:t xml:space="preserve"> (</w:t>
      </w:r>
      <w:r w:rsidRPr="006D56C4">
        <w:rPr>
          <w:rFonts w:ascii="Times New Roman" w:hAnsi="Times New Roman"/>
          <w:b/>
          <w:i/>
          <w:iCs/>
        </w:rPr>
        <w:t>Alopias superciliosus</w:t>
      </w:r>
      <w:r w:rsidRPr="006D56C4">
        <w:rPr>
          <w:rFonts w:ascii="Times New Roman" w:hAnsi="Times New Roman"/>
          <w:b/>
          <w:iCs/>
          <w:lang w:eastAsia="ko-KR"/>
        </w:rPr>
        <w:t>)</w:t>
      </w:r>
    </w:p>
    <w:p w14:paraId="3C4C33E1"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bCs/>
          <w:lang w:eastAsia="ko-KR"/>
        </w:rPr>
      </w:pPr>
      <w:r w:rsidRPr="006D56C4">
        <w:rPr>
          <w:rFonts w:ascii="Times New Roman" w:eastAsia="바탕" w:hAnsi="Times New Roman"/>
          <w:bCs/>
          <w:lang w:eastAsia="ko-KR"/>
        </w:rPr>
        <w:t>Review of research and information</w:t>
      </w:r>
    </w:p>
    <w:p w14:paraId="526F1F2C" w14:textId="77777777" w:rsidR="006D56C4" w:rsidRPr="006D56C4" w:rsidRDefault="006D56C4" w:rsidP="0074425A">
      <w:pPr>
        <w:pStyle w:val="ListParagraph"/>
        <w:numPr>
          <w:ilvl w:val="3"/>
          <w:numId w:val="93"/>
        </w:numPr>
        <w:adjustRightInd w:val="0"/>
        <w:snapToGrid w:val="0"/>
        <w:contextualSpacing w:val="0"/>
        <w:rPr>
          <w:rFonts w:ascii="Times New Roman" w:hAnsi="Times New Roman"/>
          <w:bCs/>
          <w:lang w:eastAsia="ko-KR"/>
        </w:rPr>
      </w:pPr>
      <w:r w:rsidRPr="006D56C4">
        <w:rPr>
          <w:rFonts w:ascii="Times New Roman" w:hAnsi="Times New Roman"/>
          <w:bCs/>
          <w:lang w:eastAsia="ko-KR"/>
        </w:rPr>
        <w:t>Provision of scientific information</w:t>
      </w:r>
    </w:p>
    <w:p w14:paraId="0C0BAC0F" w14:textId="77777777" w:rsidR="006D56C4" w:rsidRPr="006D56C4" w:rsidRDefault="006D56C4" w:rsidP="0074425A">
      <w:pPr>
        <w:pStyle w:val="ListParagraph"/>
        <w:numPr>
          <w:ilvl w:val="0"/>
          <w:numId w:val="10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36D48375" w14:textId="77777777" w:rsidR="006D56C4" w:rsidRPr="006D56C4" w:rsidRDefault="006D56C4" w:rsidP="0074425A">
      <w:pPr>
        <w:pStyle w:val="ListParagraph"/>
        <w:numPr>
          <w:ilvl w:val="0"/>
          <w:numId w:val="100"/>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11C3E856" w14:textId="77777777" w:rsidR="006D56C4" w:rsidRPr="006D56C4" w:rsidRDefault="006D56C4" w:rsidP="0074425A">
      <w:pPr>
        <w:pStyle w:val="ListParagraph"/>
        <w:numPr>
          <w:ilvl w:val="2"/>
          <w:numId w:val="93"/>
        </w:numPr>
        <w:adjustRightInd w:val="0"/>
        <w:snapToGrid w:val="0"/>
        <w:contextualSpacing w:val="0"/>
        <w:rPr>
          <w:rFonts w:ascii="Times New Roman" w:eastAsia="바탕" w:hAnsi="Times New Roman"/>
          <w:b/>
          <w:bCs/>
          <w:lang w:eastAsia="ko-KR"/>
        </w:rPr>
      </w:pPr>
      <w:r w:rsidRPr="006D56C4">
        <w:rPr>
          <w:rFonts w:ascii="Times New Roman" w:hAnsi="Times New Roman"/>
          <w:b/>
          <w:lang w:eastAsia="ko-KR"/>
        </w:rPr>
        <w:t>P</w:t>
      </w:r>
      <w:r w:rsidRPr="006D56C4">
        <w:rPr>
          <w:rFonts w:ascii="Times New Roman" w:hAnsi="Times New Roman"/>
          <w:b/>
        </w:rPr>
        <w:t>orbeagle shark</w:t>
      </w:r>
      <w:r w:rsidRPr="006D56C4">
        <w:rPr>
          <w:rFonts w:ascii="Times New Roman" w:hAnsi="Times New Roman"/>
          <w:b/>
          <w:lang w:eastAsia="ko-KR"/>
        </w:rPr>
        <w:t xml:space="preserve"> (</w:t>
      </w:r>
      <w:r w:rsidRPr="006D56C4">
        <w:rPr>
          <w:rFonts w:ascii="Times New Roman" w:hAnsi="Times New Roman"/>
          <w:b/>
          <w:i/>
          <w:iCs/>
          <w:color w:val="222222"/>
          <w:shd w:val="clear" w:color="auto" w:fill="FFFFFF"/>
        </w:rPr>
        <w:t>Lamna nasus</w:t>
      </w:r>
      <w:r w:rsidRPr="006D56C4">
        <w:rPr>
          <w:rFonts w:ascii="Times New Roman" w:hAnsi="Times New Roman"/>
          <w:b/>
          <w:iCs/>
          <w:lang w:eastAsia="ko-KR"/>
        </w:rPr>
        <w:t>)</w:t>
      </w:r>
    </w:p>
    <w:p w14:paraId="23B4F400" w14:textId="77777777" w:rsidR="006D56C4" w:rsidRPr="006D56C4" w:rsidRDefault="006D56C4" w:rsidP="0074425A">
      <w:pPr>
        <w:pStyle w:val="ListParagraph"/>
        <w:numPr>
          <w:ilvl w:val="3"/>
          <w:numId w:val="93"/>
        </w:numPr>
        <w:adjustRightInd w:val="0"/>
        <w:snapToGrid w:val="0"/>
        <w:contextualSpacing w:val="0"/>
        <w:rPr>
          <w:rFonts w:ascii="Times New Roman" w:eastAsia="바탕" w:hAnsi="Times New Roman"/>
          <w:bCs/>
          <w:lang w:eastAsia="ko-KR"/>
        </w:rPr>
      </w:pPr>
      <w:r w:rsidRPr="006D56C4">
        <w:rPr>
          <w:rFonts w:ascii="Times New Roman" w:eastAsia="바탕" w:hAnsi="Times New Roman"/>
          <w:bCs/>
          <w:lang w:eastAsia="ko-KR"/>
        </w:rPr>
        <w:t>Review of research and information</w:t>
      </w:r>
    </w:p>
    <w:p w14:paraId="700165C9" w14:textId="77777777" w:rsidR="006D56C4" w:rsidRPr="006D56C4" w:rsidRDefault="006D56C4" w:rsidP="0074425A">
      <w:pPr>
        <w:pStyle w:val="ListParagraph"/>
        <w:numPr>
          <w:ilvl w:val="3"/>
          <w:numId w:val="93"/>
        </w:numPr>
        <w:adjustRightInd w:val="0"/>
        <w:snapToGrid w:val="0"/>
        <w:contextualSpacing w:val="0"/>
        <w:rPr>
          <w:rFonts w:ascii="Times New Roman" w:hAnsi="Times New Roman"/>
          <w:bCs/>
          <w:lang w:eastAsia="ko-KR"/>
        </w:rPr>
      </w:pPr>
      <w:r w:rsidRPr="006D56C4">
        <w:rPr>
          <w:rFonts w:ascii="Times New Roman" w:hAnsi="Times New Roman"/>
          <w:bCs/>
          <w:lang w:eastAsia="ko-KR"/>
        </w:rPr>
        <w:t>Provision of scientific information</w:t>
      </w:r>
    </w:p>
    <w:p w14:paraId="00AABC4C" w14:textId="77777777" w:rsidR="006D56C4" w:rsidRPr="006D56C4" w:rsidRDefault="006D56C4" w:rsidP="0074425A">
      <w:pPr>
        <w:pStyle w:val="ListParagraph"/>
        <w:numPr>
          <w:ilvl w:val="0"/>
          <w:numId w:val="10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31064EDB" w14:textId="77777777" w:rsidR="006D56C4" w:rsidRPr="006D56C4" w:rsidRDefault="006D56C4" w:rsidP="0074425A">
      <w:pPr>
        <w:pStyle w:val="ListParagraph"/>
        <w:numPr>
          <w:ilvl w:val="0"/>
          <w:numId w:val="10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5A0BF795" w14:textId="77777777" w:rsidR="006D56C4" w:rsidRPr="006D56C4" w:rsidRDefault="006D56C4" w:rsidP="0074425A">
      <w:pPr>
        <w:pStyle w:val="ListParagraph"/>
        <w:numPr>
          <w:ilvl w:val="1"/>
          <w:numId w:val="93"/>
        </w:numPr>
        <w:adjustRightInd w:val="0"/>
        <w:snapToGrid w:val="0"/>
        <w:ind w:left="720" w:hanging="720"/>
        <w:contextualSpacing w:val="0"/>
        <w:rPr>
          <w:rFonts w:ascii="Times New Roman" w:eastAsia="바탕" w:hAnsi="Times New Roman"/>
          <w:b/>
          <w:bCs/>
          <w:lang w:eastAsia="ko-KR"/>
        </w:rPr>
      </w:pPr>
      <w:r w:rsidRPr="006D56C4">
        <w:rPr>
          <w:rFonts w:ascii="Times New Roman" w:eastAsia="바탕" w:hAnsi="Times New Roman"/>
          <w:b/>
          <w:bCs/>
          <w:lang w:eastAsia="ko-KR"/>
        </w:rPr>
        <w:t>WCPO billfishes</w:t>
      </w:r>
    </w:p>
    <w:p w14:paraId="1825F42C" w14:textId="77777777" w:rsidR="006D56C4" w:rsidRPr="006D56C4" w:rsidRDefault="006D56C4" w:rsidP="0074425A">
      <w:pPr>
        <w:pStyle w:val="ListParagraph"/>
        <w:numPr>
          <w:ilvl w:val="2"/>
          <w:numId w:val="95"/>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South Pacific swordfish (</w:t>
      </w:r>
      <w:r w:rsidRPr="006D56C4">
        <w:rPr>
          <w:rFonts w:ascii="Times New Roman" w:eastAsia="바탕" w:hAnsi="Times New Roman"/>
          <w:b/>
          <w:bCs/>
          <w:i/>
          <w:lang w:eastAsia="ko-KR"/>
        </w:rPr>
        <w:t>Xiphias gladius</w:t>
      </w:r>
      <w:r w:rsidRPr="006D56C4">
        <w:rPr>
          <w:rFonts w:ascii="Times New Roman" w:eastAsia="바탕" w:hAnsi="Times New Roman"/>
          <w:b/>
          <w:bCs/>
          <w:lang w:eastAsia="ko-KR"/>
        </w:rPr>
        <w:t xml:space="preserve">) </w:t>
      </w:r>
    </w:p>
    <w:p w14:paraId="03150079"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57BFD62E" w14:textId="77777777" w:rsidR="006D56C4" w:rsidRPr="006D56C4" w:rsidRDefault="006D56C4" w:rsidP="0074425A">
      <w:pPr>
        <w:pStyle w:val="ListParagraph"/>
        <w:numPr>
          <w:ilvl w:val="1"/>
          <w:numId w:val="86"/>
        </w:numPr>
        <w:adjustRightInd w:val="0"/>
        <w:snapToGrid w:val="0"/>
        <w:ind w:left="1080"/>
        <w:contextualSpacing w:val="0"/>
        <w:rPr>
          <w:rFonts w:ascii="Times New Roman" w:eastAsia="바탕" w:hAnsi="Times New Roman"/>
          <w:lang w:eastAsia="ko-KR"/>
        </w:rPr>
      </w:pPr>
      <w:r w:rsidRPr="006D56C4">
        <w:rPr>
          <w:rFonts w:ascii="Times New Roman" w:hAnsi="Times New Roman"/>
        </w:rPr>
        <w:t xml:space="preserve">Review of 2017 </w:t>
      </w:r>
      <w:r w:rsidRPr="006D56C4">
        <w:rPr>
          <w:rFonts w:ascii="Times New Roman" w:eastAsia="바탕" w:hAnsi="Times New Roman"/>
          <w:lang w:eastAsia="ko-KR"/>
        </w:rPr>
        <w:t>South Pacific swordfish</w:t>
      </w:r>
      <w:r w:rsidRPr="006D56C4">
        <w:rPr>
          <w:rFonts w:ascii="Times New Roman" w:eastAsia="바탕" w:hAnsi="Times New Roman"/>
          <w:b/>
          <w:bCs/>
          <w:lang w:eastAsia="ko-KR"/>
        </w:rPr>
        <w:t xml:space="preserve"> </w:t>
      </w:r>
      <w:r w:rsidRPr="006D56C4">
        <w:rPr>
          <w:rFonts w:ascii="Times New Roman" w:hAnsi="Times New Roman"/>
        </w:rPr>
        <w:t>stock assessment</w:t>
      </w:r>
    </w:p>
    <w:p w14:paraId="758893B4"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13974DF0" w14:textId="77777777" w:rsidR="006D56C4" w:rsidRPr="006D56C4" w:rsidRDefault="006D56C4" w:rsidP="0074425A">
      <w:pPr>
        <w:pStyle w:val="ListParagraph"/>
        <w:numPr>
          <w:ilvl w:val="0"/>
          <w:numId w:val="77"/>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2E95B918" w14:textId="77777777" w:rsidR="006D56C4" w:rsidRPr="006D56C4" w:rsidRDefault="006D56C4" w:rsidP="0074425A">
      <w:pPr>
        <w:pStyle w:val="ListParagraph"/>
        <w:numPr>
          <w:ilvl w:val="0"/>
          <w:numId w:val="77"/>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40EA9D71" w14:textId="77777777" w:rsidR="006D56C4" w:rsidRPr="006D56C4" w:rsidRDefault="006D56C4" w:rsidP="0074425A">
      <w:pPr>
        <w:pStyle w:val="ListParagraph"/>
        <w:numPr>
          <w:ilvl w:val="2"/>
          <w:numId w:val="95"/>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Southwest Pacific striped marlin (</w:t>
      </w:r>
      <w:r w:rsidRPr="006D56C4">
        <w:rPr>
          <w:rFonts w:ascii="Times New Roman" w:eastAsia="바탕" w:hAnsi="Times New Roman"/>
          <w:b/>
          <w:bCs/>
          <w:i/>
          <w:lang w:eastAsia="ko-KR"/>
        </w:rPr>
        <w:t>Kajikia audax</w:t>
      </w:r>
      <w:r w:rsidRPr="006D56C4">
        <w:rPr>
          <w:rFonts w:ascii="Times New Roman" w:eastAsia="바탕" w:hAnsi="Times New Roman"/>
          <w:b/>
          <w:bCs/>
          <w:lang w:eastAsia="ko-KR"/>
        </w:rPr>
        <w:t>)</w:t>
      </w:r>
    </w:p>
    <w:p w14:paraId="03A6DC16"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3355D7EA"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7F48EE04" w14:textId="77777777" w:rsidR="006D56C4" w:rsidRPr="006D56C4" w:rsidRDefault="006D56C4" w:rsidP="0074425A">
      <w:pPr>
        <w:pStyle w:val="ListParagraph"/>
        <w:numPr>
          <w:ilvl w:val="0"/>
          <w:numId w:val="78"/>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2BE010A2" w14:textId="77777777" w:rsidR="006D56C4" w:rsidRPr="006D56C4" w:rsidRDefault="006D56C4" w:rsidP="0074425A">
      <w:pPr>
        <w:pStyle w:val="ListParagraph"/>
        <w:numPr>
          <w:ilvl w:val="0"/>
          <w:numId w:val="78"/>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00AB3953" w14:textId="77777777" w:rsidR="006D56C4" w:rsidRPr="006D56C4" w:rsidRDefault="006D56C4" w:rsidP="0074425A">
      <w:pPr>
        <w:pStyle w:val="ListParagraph"/>
        <w:numPr>
          <w:ilvl w:val="2"/>
          <w:numId w:val="95"/>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bCs/>
          <w:lang w:eastAsia="ko-KR"/>
        </w:rPr>
        <w:t>North Pacific striped marlin (</w:t>
      </w:r>
      <w:r w:rsidRPr="006D56C4">
        <w:rPr>
          <w:rFonts w:ascii="Times New Roman" w:eastAsia="바탕" w:hAnsi="Times New Roman"/>
          <w:b/>
          <w:bCs/>
          <w:i/>
          <w:lang w:eastAsia="ko-KR"/>
        </w:rPr>
        <w:t>Kajikia audax</w:t>
      </w:r>
      <w:r w:rsidRPr="006D56C4">
        <w:rPr>
          <w:rFonts w:ascii="Times New Roman" w:eastAsia="바탕" w:hAnsi="Times New Roman"/>
          <w:b/>
          <w:bCs/>
          <w:lang w:eastAsia="ko-KR"/>
        </w:rPr>
        <w:t>)</w:t>
      </w:r>
    </w:p>
    <w:p w14:paraId="43C2D1BC"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23F4F610"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07907DD0" w14:textId="77777777" w:rsidR="006D56C4" w:rsidRPr="006D56C4" w:rsidRDefault="006D56C4" w:rsidP="0074425A">
      <w:pPr>
        <w:pStyle w:val="ListParagraph"/>
        <w:numPr>
          <w:ilvl w:val="0"/>
          <w:numId w:val="79"/>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4D37384E" w14:textId="77777777" w:rsidR="006D56C4" w:rsidRPr="006D56C4" w:rsidRDefault="006D56C4" w:rsidP="0074425A">
      <w:pPr>
        <w:pStyle w:val="ListParagraph"/>
        <w:numPr>
          <w:ilvl w:val="0"/>
          <w:numId w:val="79"/>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5A77D476" w14:textId="77777777" w:rsidR="006D56C4" w:rsidRPr="006D56C4" w:rsidRDefault="006D56C4" w:rsidP="0074425A">
      <w:pPr>
        <w:pStyle w:val="ListParagraph"/>
        <w:numPr>
          <w:ilvl w:val="2"/>
          <w:numId w:val="95"/>
        </w:numPr>
        <w:adjustRightInd w:val="0"/>
        <w:snapToGrid w:val="0"/>
        <w:contextualSpacing w:val="0"/>
        <w:rPr>
          <w:rFonts w:ascii="Times New Roman" w:eastAsia="바탕" w:hAnsi="Times New Roman"/>
          <w:b/>
          <w:bCs/>
          <w:lang w:eastAsia="ko-KR"/>
        </w:rPr>
      </w:pPr>
      <w:r w:rsidRPr="006D56C4">
        <w:rPr>
          <w:rFonts w:ascii="Times New Roman" w:eastAsia="바탕" w:hAnsi="Times New Roman"/>
          <w:b/>
          <w:lang w:val="en-AU" w:eastAsia="ko-KR"/>
        </w:rPr>
        <w:t>Pacific blue marlin</w:t>
      </w:r>
      <w:r w:rsidRPr="006D56C4">
        <w:rPr>
          <w:rFonts w:ascii="Times New Roman" w:eastAsia="바탕" w:hAnsi="Times New Roman"/>
          <w:b/>
          <w:bCs/>
          <w:lang w:eastAsia="ko-KR"/>
        </w:rPr>
        <w:t xml:space="preserve">  (</w:t>
      </w:r>
      <w:r w:rsidRPr="006D56C4">
        <w:rPr>
          <w:rFonts w:ascii="Times New Roman" w:eastAsia="바탕" w:hAnsi="Times New Roman"/>
          <w:b/>
          <w:bCs/>
          <w:i/>
          <w:lang w:eastAsia="ko-KR"/>
        </w:rPr>
        <w:t>Makaira nigricans</w:t>
      </w:r>
      <w:r w:rsidRPr="006D56C4">
        <w:rPr>
          <w:rFonts w:ascii="Times New Roman" w:eastAsia="바탕" w:hAnsi="Times New Roman"/>
          <w:b/>
          <w:bCs/>
          <w:lang w:eastAsia="ko-KR"/>
        </w:rPr>
        <w:t xml:space="preserve">) </w:t>
      </w:r>
    </w:p>
    <w:p w14:paraId="421EA1B0"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Review of research and information</w:t>
      </w:r>
    </w:p>
    <w:p w14:paraId="2C2DA937" w14:textId="77777777" w:rsidR="006D56C4" w:rsidRPr="006D56C4" w:rsidRDefault="006D56C4" w:rsidP="0074425A">
      <w:pPr>
        <w:pStyle w:val="ListParagraph"/>
        <w:numPr>
          <w:ilvl w:val="3"/>
          <w:numId w:val="95"/>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Provision of scientific information</w:t>
      </w:r>
    </w:p>
    <w:p w14:paraId="6EC1795F" w14:textId="77777777" w:rsidR="006D56C4" w:rsidRPr="006D56C4" w:rsidRDefault="006D56C4" w:rsidP="0074425A">
      <w:pPr>
        <w:pStyle w:val="ListParagraph"/>
        <w:numPr>
          <w:ilvl w:val="0"/>
          <w:numId w:val="9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Status and trends </w:t>
      </w:r>
    </w:p>
    <w:p w14:paraId="0F5A1BEA" w14:textId="77777777" w:rsidR="006D56C4" w:rsidRPr="006D56C4" w:rsidRDefault="006D56C4" w:rsidP="0074425A">
      <w:pPr>
        <w:pStyle w:val="ListParagraph"/>
        <w:numPr>
          <w:ilvl w:val="0"/>
          <w:numId w:val="91"/>
        </w:numPr>
        <w:adjustRightInd w:val="0"/>
        <w:snapToGrid w:val="0"/>
        <w:contextualSpacing w:val="0"/>
        <w:rPr>
          <w:rFonts w:ascii="Times New Roman" w:eastAsia="바탕" w:hAnsi="Times New Roman"/>
          <w:lang w:eastAsia="ko-KR"/>
        </w:rPr>
      </w:pPr>
      <w:r w:rsidRPr="006D56C4">
        <w:rPr>
          <w:rFonts w:ascii="Times New Roman" w:eastAsia="바탕" w:hAnsi="Times New Roman"/>
          <w:lang w:eastAsia="ko-KR"/>
        </w:rPr>
        <w:t xml:space="preserve">Management advice and implications </w:t>
      </w:r>
    </w:p>
    <w:p w14:paraId="0EED90CA" w14:textId="77777777" w:rsidR="006D56C4" w:rsidRPr="006D56C4" w:rsidRDefault="006D56C4" w:rsidP="006D56C4">
      <w:pPr>
        <w:pStyle w:val="ListParagraph"/>
        <w:adjustRightInd w:val="0"/>
        <w:snapToGrid w:val="0"/>
        <w:contextualSpacing w:val="0"/>
        <w:rPr>
          <w:rFonts w:ascii="Times New Roman" w:eastAsia="바탕" w:hAnsi="Times New Roman"/>
          <w:b/>
          <w:bCs/>
          <w:lang w:eastAsia="ko-KR"/>
        </w:rPr>
      </w:pPr>
    </w:p>
    <w:p w14:paraId="4AD85260" w14:textId="77777777" w:rsidR="006D56C4" w:rsidRPr="006D56C4" w:rsidRDefault="006D56C4" w:rsidP="0074425A">
      <w:pPr>
        <w:pStyle w:val="ListParagraph"/>
        <w:numPr>
          <w:ilvl w:val="0"/>
          <w:numId w:val="67"/>
        </w:numPr>
        <w:adjustRightInd w:val="0"/>
        <w:snapToGrid w:val="0"/>
        <w:ind w:left="2160"/>
        <w:contextualSpacing w:val="0"/>
        <w:rPr>
          <w:rFonts w:ascii="Times New Roman" w:hAnsi="Times New Roman"/>
          <w:b/>
          <w:vanish/>
        </w:rPr>
      </w:pPr>
    </w:p>
    <w:p w14:paraId="67DD012B" w14:textId="77777777" w:rsidR="006D56C4" w:rsidRPr="006D56C4" w:rsidRDefault="006D56C4" w:rsidP="0074425A">
      <w:pPr>
        <w:numPr>
          <w:ilvl w:val="0"/>
          <w:numId w:val="67"/>
        </w:numPr>
        <w:adjustRightInd w:val="0"/>
        <w:snapToGrid w:val="0"/>
        <w:spacing w:after="0"/>
        <w:ind w:left="2160"/>
        <w:rPr>
          <w:rFonts w:ascii="Times New Roman" w:hAnsi="Times New Roman"/>
          <w:b/>
        </w:rPr>
      </w:pPr>
      <w:r w:rsidRPr="006D56C4">
        <w:rPr>
          <w:rFonts w:ascii="Times New Roman" w:hAnsi="Times New Roman"/>
          <w:b/>
        </w:rPr>
        <w:t>MANAGEMENT ISSUES THEME</w:t>
      </w:r>
    </w:p>
    <w:p w14:paraId="2482B5B9" w14:textId="77777777" w:rsidR="006D56C4" w:rsidRPr="006D56C4" w:rsidRDefault="006D56C4" w:rsidP="006D56C4">
      <w:pPr>
        <w:adjustRightInd w:val="0"/>
        <w:snapToGrid w:val="0"/>
        <w:spacing w:after="0"/>
        <w:rPr>
          <w:rFonts w:ascii="Times New Roman" w:hAnsi="Times New Roman"/>
          <w:b/>
        </w:rPr>
      </w:pPr>
    </w:p>
    <w:p w14:paraId="458251A6" w14:textId="77777777" w:rsidR="006D56C4" w:rsidRPr="006D56C4" w:rsidRDefault="006D56C4" w:rsidP="0074425A">
      <w:pPr>
        <w:pStyle w:val="ListParagraph"/>
        <w:numPr>
          <w:ilvl w:val="0"/>
          <w:numId w:val="60"/>
        </w:numPr>
        <w:adjustRightInd w:val="0"/>
        <w:snapToGrid w:val="0"/>
        <w:contextualSpacing w:val="0"/>
        <w:rPr>
          <w:rFonts w:ascii="Times New Roman" w:hAnsi="Times New Roman"/>
          <w:b/>
          <w:vanish/>
        </w:rPr>
      </w:pPr>
    </w:p>
    <w:p w14:paraId="3383262C" w14:textId="77777777" w:rsidR="006D56C4" w:rsidRPr="006D56C4" w:rsidRDefault="006D56C4" w:rsidP="0074425A">
      <w:pPr>
        <w:pStyle w:val="ListParagraph"/>
        <w:numPr>
          <w:ilvl w:val="0"/>
          <w:numId w:val="60"/>
        </w:numPr>
        <w:adjustRightInd w:val="0"/>
        <w:snapToGrid w:val="0"/>
        <w:contextualSpacing w:val="0"/>
        <w:rPr>
          <w:rFonts w:ascii="Times New Roman" w:hAnsi="Times New Roman"/>
          <w:b/>
          <w:vanish/>
        </w:rPr>
      </w:pPr>
    </w:p>
    <w:p w14:paraId="495C29CB" w14:textId="77777777" w:rsidR="006D56C4" w:rsidRPr="006D56C4" w:rsidRDefault="006D56C4" w:rsidP="0074425A">
      <w:pPr>
        <w:numPr>
          <w:ilvl w:val="1"/>
          <w:numId w:val="60"/>
        </w:numPr>
        <w:adjustRightInd w:val="0"/>
        <w:snapToGrid w:val="0"/>
        <w:spacing w:after="0"/>
        <w:rPr>
          <w:rFonts w:ascii="Times New Roman" w:hAnsi="Times New Roman"/>
          <w:b/>
        </w:rPr>
      </w:pPr>
      <w:r w:rsidRPr="006D56C4">
        <w:rPr>
          <w:rFonts w:ascii="Times New Roman" w:hAnsi="Times New Roman"/>
          <w:b/>
          <w:lang w:eastAsia="ko-KR"/>
        </w:rPr>
        <w:t>Development of harvest strategy framework</w:t>
      </w:r>
    </w:p>
    <w:p w14:paraId="6FBC3958" w14:textId="77777777" w:rsidR="006D56C4" w:rsidRPr="006D56C4" w:rsidRDefault="006D56C4" w:rsidP="0074425A">
      <w:pPr>
        <w:pStyle w:val="ListParagraph"/>
        <w:numPr>
          <w:ilvl w:val="0"/>
          <w:numId w:val="96"/>
        </w:numPr>
        <w:adjustRightInd w:val="0"/>
        <w:snapToGrid w:val="0"/>
        <w:ind w:left="0" w:firstLine="0"/>
        <w:contextualSpacing w:val="0"/>
        <w:rPr>
          <w:rFonts w:ascii="Times New Roman" w:hAnsi="Times New Roman"/>
          <w:lang w:eastAsia="ko-KR"/>
        </w:rPr>
      </w:pPr>
      <w:r w:rsidRPr="006D56C4">
        <w:rPr>
          <w:rFonts w:ascii="Times New Roman" w:hAnsi="Times New Roman"/>
          <w:lang w:eastAsia="ko-KR"/>
        </w:rPr>
        <w:t>Reference points</w:t>
      </w:r>
    </w:p>
    <w:p w14:paraId="22F0D4B0" w14:textId="77777777" w:rsidR="006D56C4" w:rsidRPr="006D56C4" w:rsidRDefault="006D56C4" w:rsidP="0074425A">
      <w:pPr>
        <w:pStyle w:val="ListParagraph"/>
        <w:numPr>
          <w:ilvl w:val="0"/>
          <w:numId w:val="99"/>
        </w:numPr>
        <w:adjustRightInd w:val="0"/>
        <w:snapToGrid w:val="0"/>
        <w:ind w:left="1170"/>
        <w:contextualSpacing w:val="0"/>
        <w:jc w:val="left"/>
        <w:rPr>
          <w:rFonts w:ascii="Times New Roman" w:hAnsi="Times New Roman"/>
          <w:lang w:eastAsia="ko-KR"/>
        </w:rPr>
      </w:pPr>
      <w:r w:rsidRPr="006D56C4">
        <w:rPr>
          <w:rFonts w:ascii="Times New Roman" w:hAnsi="Times New Roman"/>
          <w:lang w:eastAsia="ko-KR"/>
        </w:rPr>
        <w:t>South Pacific albacore</w:t>
      </w:r>
    </w:p>
    <w:p w14:paraId="0C1C3730" w14:textId="77777777" w:rsidR="006D56C4" w:rsidRPr="006D56C4" w:rsidRDefault="006D56C4" w:rsidP="0074425A">
      <w:pPr>
        <w:pStyle w:val="ListParagraph"/>
        <w:numPr>
          <w:ilvl w:val="0"/>
          <w:numId w:val="96"/>
        </w:numPr>
        <w:adjustRightInd w:val="0"/>
        <w:snapToGrid w:val="0"/>
        <w:ind w:left="0" w:firstLine="0"/>
        <w:contextualSpacing w:val="0"/>
        <w:rPr>
          <w:rFonts w:ascii="Times New Roman" w:hAnsi="Times New Roman"/>
          <w:lang w:eastAsia="ko-KR"/>
        </w:rPr>
      </w:pPr>
      <w:r w:rsidRPr="006D56C4">
        <w:rPr>
          <w:rFonts w:ascii="Times New Roman" w:hAnsi="Times New Roman"/>
          <w:lang w:eastAsia="ko-KR"/>
        </w:rPr>
        <w:t>Performance indicators and monitoring strategies</w:t>
      </w:r>
    </w:p>
    <w:p w14:paraId="317DD859" w14:textId="77777777" w:rsidR="006D56C4" w:rsidRPr="006D56C4" w:rsidRDefault="006D56C4" w:rsidP="0074425A">
      <w:pPr>
        <w:pStyle w:val="ListParagraph"/>
        <w:numPr>
          <w:ilvl w:val="0"/>
          <w:numId w:val="96"/>
        </w:numPr>
        <w:adjustRightInd w:val="0"/>
        <w:snapToGrid w:val="0"/>
        <w:ind w:left="0" w:firstLine="0"/>
        <w:contextualSpacing w:val="0"/>
        <w:rPr>
          <w:rFonts w:ascii="Times New Roman" w:hAnsi="Times New Roman"/>
          <w:lang w:eastAsia="ko-KR"/>
        </w:rPr>
      </w:pPr>
      <w:r w:rsidRPr="006D56C4">
        <w:rPr>
          <w:rFonts w:ascii="Times New Roman" w:hAnsi="Times New Roman"/>
          <w:lang w:eastAsia="ko-KR"/>
        </w:rPr>
        <w:t>Harvest control rules and Management Strategy Evaluation</w:t>
      </w:r>
    </w:p>
    <w:p w14:paraId="43E192BE" w14:textId="77777777" w:rsidR="006D56C4" w:rsidRPr="006D56C4" w:rsidRDefault="006D56C4" w:rsidP="0074425A">
      <w:pPr>
        <w:numPr>
          <w:ilvl w:val="1"/>
          <w:numId w:val="60"/>
        </w:numPr>
        <w:adjustRightInd w:val="0"/>
        <w:snapToGrid w:val="0"/>
        <w:spacing w:after="0"/>
        <w:rPr>
          <w:rFonts w:ascii="Times New Roman" w:hAnsi="Times New Roman"/>
          <w:b/>
        </w:rPr>
      </w:pPr>
      <w:r w:rsidRPr="006D56C4">
        <w:rPr>
          <w:rFonts w:ascii="Times New Roman" w:hAnsi="Times New Roman"/>
          <w:b/>
          <w:lang w:eastAsia="ko-KR"/>
        </w:rPr>
        <w:t xml:space="preserve">Management issues related to </w:t>
      </w:r>
      <w:r w:rsidRPr="006D56C4">
        <w:rPr>
          <w:rFonts w:ascii="Times New Roman" w:hAnsi="Times New Roman"/>
          <w:b/>
        </w:rPr>
        <w:t>FAD</w:t>
      </w:r>
      <w:r w:rsidRPr="006D56C4">
        <w:rPr>
          <w:rFonts w:ascii="Times New Roman" w:hAnsi="Times New Roman"/>
          <w:b/>
          <w:lang w:eastAsia="ko-KR"/>
        </w:rPr>
        <w:t>s</w:t>
      </w:r>
      <w:r w:rsidRPr="006D56C4">
        <w:rPr>
          <w:rFonts w:ascii="Times New Roman" w:hAnsi="Times New Roman"/>
          <w:b/>
        </w:rPr>
        <w:t xml:space="preserve"> </w:t>
      </w:r>
    </w:p>
    <w:p w14:paraId="3FC756A5" w14:textId="77777777" w:rsidR="006D56C4" w:rsidRPr="006D56C4" w:rsidRDefault="006D56C4" w:rsidP="0074425A">
      <w:pPr>
        <w:pStyle w:val="ListParagraph"/>
        <w:numPr>
          <w:ilvl w:val="2"/>
          <w:numId w:val="102"/>
        </w:numPr>
        <w:adjustRightInd w:val="0"/>
        <w:snapToGrid w:val="0"/>
        <w:contextualSpacing w:val="0"/>
        <w:rPr>
          <w:rFonts w:ascii="Times New Roman" w:hAnsi="Times New Roman"/>
          <w:lang w:eastAsia="ko-KR"/>
        </w:rPr>
      </w:pPr>
      <w:bookmarkStart w:id="165" w:name="_Toc406882641"/>
      <w:r w:rsidRPr="006D56C4">
        <w:rPr>
          <w:rFonts w:ascii="Times New Roman" w:hAnsi="Times New Roman"/>
          <w:lang w:eastAsia="ko-KR"/>
        </w:rPr>
        <w:t xml:space="preserve">FAD tracking </w:t>
      </w:r>
    </w:p>
    <w:bookmarkEnd w:id="165"/>
    <w:p w14:paraId="5D53C6B1" w14:textId="77777777" w:rsidR="006D56C4" w:rsidRPr="006D56C4" w:rsidRDefault="006D56C4" w:rsidP="0074425A">
      <w:pPr>
        <w:pStyle w:val="ListParagraph"/>
        <w:numPr>
          <w:ilvl w:val="2"/>
          <w:numId w:val="102"/>
        </w:numPr>
        <w:adjustRightInd w:val="0"/>
        <w:snapToGrid w:val="0"/>
        <w:contextualSpacing w:val="0"/>
        <w:rPr>
          <w:rFonts w:ascii="Times New Roman" w:hAnsi="Times New Roman"/>
          <w:lang w:eastAsia="ko-KR"/>
        </w:rPr>
      </w:pPr>
      <w:r w:rsidRPr="006D56C4">
        <w:rPr>
          <w:rFonts w:ascii="Times New Roman" w:hAnsi="Times New Roman"/>
          <w:lang w:eastAsia="ko-KR"/>
        </w:rPr>
        <w:t xml:space="preserve">FAD management </w:t>
      </w:r>
    </w:p>
    <w:p w14:paraId="71FA4A77" w14:textId="77777777" w:rsidR="006D56C4" w:rsidRPr="006D56C4" w:rsidRDefault="006D56C4" w:rsidP="0074425A">
      <w:pPr>
        <w:numPr>
          <w:ilvl w:val="1"/>
          <w:numId w:val="102"/>
        </w:numPr>
        <w:adjustRightInd w:val="0"/>
        <w:snapToGrid w:val="0"/>
        <w:spacing w:after="0"/>
        <w:rPr>
          <w:rFonts w:ascii="Times New Roman" w:hAnsi="Times New Roman"/>
          <w:b/>
        </w:rPr>
      </w:pPr>
      <w:r w:rsidRPr="006D56C4">
        <w:rPr>
          <w:rFonts w:ascii="Times New Roman" w:hAnsi="Times New Roman"/>
          <w:b/>
        </w:rPr>
        <w:t>Implementation of CMM 201</w:t>
      </w:r>
      <w:r w:rsidRPr="006D56C4">
        <w:rPr>
          <w:rFonts w:ascii="Times New Roman" w:hAnsi="Times New Roman"/>
          <w:b/>
          <w:lang w:eastAsia="ko-KR"/>
        </w:rPr>
        <w:t>6</w:t>
      </w:r>
      <w:r w:rsidRPr="006D56C4">
        <w:rPr>
          <w:rFonts w:ascii="Times New Roman" w:hAnsi="Times New Roman"/>
          <w:b/>
        </w:rPr>
        <w:t>-01</w:t>
      </w:r>
    </w:p>
    <w:p w14:paraId="2A07B317" w14:textId="77777777" w:rsidR="006D56C4" w:rsidRPr="006D56C4" w:rsidRDefault="006D56C4" w:rsidP="006D56C4">
      <w:pPr>
        <w:adjustRightInd w:val="0"/>
        <w:snapToGrid w:val="0"/>
        <w:spacing w:after="0"/>
        <w:rPr>
          <w:rFonts w:ascii="Times New Roman" w:hAnsi="Times New Roman"/>
          <w:lang w:eastAsia="ko-KR"/>
        </w:rPr>
      </w:pPr>
    </w:p>
    <w:p w14:paraId="046E3693" w14:textId="77777777" w:rsidR="006D56C4" w:rsidRPr="006D56C4" w:rsidRDefault="006D56C4" w:rsidP="0074425A">
      <w:pPr>
        <w:pStyle w:val="ListParagraph"/>
        <w:numPr>
          <w:ilvl w:val="0"/>
          <w:numId w:val="71"/>
        </w:numPr>
        <w:adjustRightInd w:val="0"/>
        <w:snapToGrid w:val="0"/>
        <w:ind w:left="2160"/>
        <w:contextualSpacing w:val="0"/>
        <w:rPr>
          <w:rFonts w:ascii="Times New Roman" w:hAnsi="Times New Roman"/>
          <w:b/>
          <w:vanish/>
        </w:rPr>
      </w:pPr>
    </w:p>
    <w:p w14:paraId="1330683E"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ECOSYSTEM AND BYCATCH MITIGATION THEME</w:t>
      </w:r>
      <w:r w:rsidRPr="006D56C4">
        <w:rPr>
          <w:rFonts w:ascii="Times New Roman" w:hAnsi="Times New Roman"/>
          <w:b/>
          <w:lang w:eastAsia="ko-KR"/>
        </w:rPr>
        <w:t xml:space="preserve"> </w:t>
      </w:r>
    </w:p>
    <w:p w14:paraId="431BC6E6" w14:textId="77777777" w:rsidR="006D56C4" w:rsidRPr="006D56C4" w:rsidRDefault="006D56C4" w:rsidP="006D56C4">
      <w:pPr>
        <w:adjustRightInd w:val="0"/>
        <w:snapToGrid w:val="0"/>
        <w:spacing w:after="0"/>
        <w:ind w:left="720"/>
        <w:rPr>
          <w:rFonts w:ascii="Times New Roman" w:hAnsi="Times New Roman"/>
          <w:lang w:eastAsia="ko-KR"/>
        </w:rPr>
      </w:pPr>
    </w:p>
    <w:p w14:paraId="1BAA3E1F" w14:textId="77777777" w:rsidR="006D56C4" w:rsidRPr="006D56C4" w:rsidRDefault="006D56C4" w:rsidP="0074425A">
      <w:pPr>
        <w:pStyle w:val="ListParagraph"/>
        <w:numPr>
          <w:ilvl w:val="0"/>
          <w:numId w:val="61"/>
        </w:numPr>
        <w:adjustRightInd w:val="0"/>
        <w:snapToGrid w:val="0"/>
        <w:contextualSpacing w:val="0"/>
        <w:rPr>
          <w:rFonts w:ascii="Times New Roman" w:eastAsia="바탕" w:hAnsi="Times New Roman"/>
          <w:b/>
          <w:vanish/>
          <w:lang w:eastAsia="ko-KR"/>
        </w:rPr>
      </w:pPr>
    </w:p>
    <w:p w14:paraId="6D1DF98F" w14:textId="77777777" w:rsidR="006D56C4" w:rsidRPr="006D56C4" w:rsidRDefault="006D56C4" w:rsidP="0074425A">
      <w:pPr>
        <w:pStyle w:val="ListParagraph"/>
        <w:numPr>
          <w:ilvl w:val="0"/>
          <w:numId w:val="61"/>
        </w:numPr>
        <w:adjustRightInd w:val="0"/>
        <w:snapToGrid w:val="0"/>
        <w:contextualSpacing w:val="0"/>
        <w:rPr>
          <w:rFonts w:ascii="Times New Roman" w:eastAsia="바탕" w:hAnsi="Times New Roman"/>
          <w:b/>
          <w:vanish/>
          <w:lang w:eastAsia="ko-KR"/>
        </w:rPr>
      </w:pPr>
    </w:p>
    <w:p w14:paraId="31FBDC09" w14:textId="77777777" w:rsidR="006D56C4" w:rsidRPr="006D56C4" w:rsidRDefault="006D56C4" w:rsidP="0074425A">
      <w:pPr>
        <w:pStyle w:val="ListParagraph"/>
        <w:numPr>
          <w:ilvl w:val="0"/>
          <w:numId w:val="61"/>
        </w:numPr>
        <w:adjustRightInd w:val="0"/>
        <w:snapToGrid w:val="0"/>
        <w:contextualSpacing w:val="0"/>
        <w:rPr>
          <w:rFonts w:ascii="Times New Roman" w:eastAsia="바탕" w:hAnsi="Times New Roman"/>
          <w:b/>
          <w:vanish/>
          <w:lang w:eastAsia="ko-KR"/>
        </w:rPr>
      </w:pPr>
    </w:p>
    <w:p w14:paraId="26350D21" w14:textId="77777777" w:rsidR="006D56C4" w:rsidRPr="006D56C4" w:rsidRDefault="006D56C4" w:rsidP="0074425A">
      <w:pPr>
        <w:pStyle w:val="ListParagraph"/>
        <w:numPr>
          <w:ilvl w:val="0"/>
          <w:numId w:val="61"/>
        </w:numPr>
        <w:adjustRightInd w:val="0"/>
        <w:snapToGrid w:val="0"/>
        <w:contextualSpacing w:val="0"/>
        <w:rPr>
          <w:rFonts w:ascii="Times New Roman" w:eastAsia="바탕" w:hAnsi="Times New Roman"/>
          <w:b/>
          <w:vanish/>
          <w:lang w:eastAsia="ko-KR"/>
        </w:rPr>
      </w:pPr>
    </w:p>
    <w:p w14:paraId="5C4565E1" w14:textId="77777777" w:rsidR="006D56C4" w:rsidRPr="006D56C4" w:rsidRDefault="006D56C4" w:rsidP="0074425A">
      <w:pPr>
        <w:pStyle w:val="ListParagraph"/>
        <w:numPr>
          <w:ilvl w:val="0"/>
          <w:numId w:val="68"/>
        </w:numPr>
        <w:adjustRightInd w:val="0"/>
        <w:snapToGrid w:val="0"/>
        <w:contextualSpacing w:val="0"/>
        <w:rPr>
          <w:rFonts w:ascii="Times New Roman" w:eastAsia="바탕" w:hAnsi="Times New Roman"/>
          <w:b/>
          <w:vanish/>
          <w:lang w:eastAsia="ko-KR"/>
        </w:rPr>
      </w:pPr>
    </w:p>
    <w:p w14:paraId="6D626019" w14:textId="77777777" w:rsidR="006D56C4" w:rsidRPr="006D56C4" w:rsidRDefault="006D56C4" w:rsidP="0074425A">
      <w:pPr>
        <w:pStyle w:val="ListParagraph"/>
        <w:numPr>
          <w:ilvl w:val="0"/>
          <w:numId w:val="68"/>
        </w:numPr>
        <w:adjustRightInd w:val="0"/>
        <w:snapToGrid w:val="0"/>
        <w:contextualSpacing w:val="0"/>
        <w:rPr>
          <w:rFonts w:ascii="Times New Roman" w:eastAsia="바탕" w:hAnsi="Times New Roman"/>
          <w:b/>
          <w:vanish/>
          <w:lang w:eastAsia="ko-KR"/>
        </w:rPr>
      </w:pPr>
    </w:p>
    <w:p w14:paraId="720D867B" w14:textId="77777777" w:rsidR="006D56C4" w:rsidRPr="006D56C4" w:rsidRDefault="006D56C4" w:rsidP="0074425A">
      <w:pPr>
        <w:numPr>
          <w:ilvl w:val="1"/>
          <w:numId w:val="68"/>
        </w:numPr>
        <w:adjustRightInd w:val="0"/>
        <w:snapToGrid w:val="0"/>
        <w:spacing w:after="0"/>
        <w:ind w:left="360"/>
        <w:rPr>
          <w:rFonts w:ascii="Times New Roman" w:hAnsi="Times New Roman"/>
          <w:b/>
        </w:rPr>
      </w:pPr>
      <w:r w:rsidRPr="006D56C4">
        <w:rPr>
          <w:rFonts w:ascii="Times New Roman" w:eastAsia="바탕" w:hAnsi="Times New Roman"/>
          <w:b/>
          <w:lang w:eastAsia="ko-KR"/>
        </w:rPr>
        <w:t>Ecosystem effects of fishing</w:t>
      </w:r>
    </w:p>
    <w:p w14:paraId="0BED1000" w14:textId="77777777" w:rsidR="006D56C4" w:rsidRPr="006D56C4" w:rsidRDefault="006D56C4" w:rsidP="0074425A">
      <w:pPr>
        <w:pStyle w:val="Default"/>
        <w:numPr>
          <w:ilvl w:val="2"/>
          <w:numId w:val="68"/>
        </w:numPr>
        <w:adjustRightInd w:val="0"/>
        <w:snapToGrid w:val="0"/>
        <w:ind w:left="720"/>
        <w:rPr>
          <w:rFonts w:ascii="Times New Roman" w:hAnsi="Times New Roman" w:cs="Times New Roman"/>
          <w:color w:val="auto"/>
          <w:sz w:val="22"/>
          <w:szCs w:val="22"/>
        </w:rPr>
      </w:pPr>
      <w:r w:rsidRPr="006D56C4">
        <w:rPr>
          <w:rFonts w:ascii="Times New Roman" w:hAnsi="Times New Roman" w:cs="Times New Roman"/>
          <w:sz w:val="22"/>
          <w:szCs w:val="22"/>
          <w:lang w:val="en-NZ" w:eastAsia="ko-KR"/>
        </w:rPr>
        <w:t>SEAPODYM</w:t>
      </w:r>
    </w:p>
    <w:p w14:paraId="208B9875" w14:textId="77777777" w:rsidR="006D56C4" w:rsidRPr="006D56C4" w:rsidRDefault="006D56C4" w:rsidP="0074425A">
      <w:pPr>
        <w:pStyle w:val="Default"/>
        <w:numPr>
          <w:ilvl w:val="2"/>
          <w:numId w:val="68"/>
        </w:numPr>
        <w:adjustRightInd w:val="0"/>
        <w:snapToGrid w:val="0"/>
        <w:ind w:left="720"/>
        <w:rPr>
          <w:rFonts w:ascii="Times New Roman" w:hAnsi="Times New Roman" w:cs="Times New Roman"/>
          <w:color w:val="auto"/>
          <w:sz w:val="22"/>
          <w:szCs w:val="22"/>
        </w:rPr>
      </w:pPr>
      <w:r w:rsidRPr="006D56C4">
        <w:rPr>
          <w:rFonts w:ascii="Times New Roman" w:hAnsi="Times New Roman" w:cs="Times New Roman"/>
          <w:sz w:val="22"/>
          <w:szCs w:val="22"/>
          <w:lang w:val="en-NZ" w:eastAsia="ko-KR"/>
        </w:rPr>
        <w:t>Ecosystem indicators</w:t>
      </w:r>
    </w:p>
    <w:p w14:paraId="26648CC8" w14:textId="77777777" w:rsidR="006D56C4" w:rsidRPr="006D56C4" w:rsidRDefault="006D56C4" w:rsidP="0074425A">
      <w:pPr>
        <w:pStyle w:val="Default"/>
        <w:numPr>
          <w:ilvl w:val="2"/>
          <w:numId w:val="68"/>
        </w:numPr>
        <w:adjustRightInd w:val="0"/>
        <w:snapToGrid w:val="0"/>
        <w:ind w:left="720"/>
        <w:rPr>
          <w:rFonts w:ascii="Times New Roman" w:hAnsi="Times New Roman" w:cs="Times New Roman"/>
          <w:color w:val="auto"/>
          <w:sz w:val="22"/>
          <w:szCs w:val="22"/>
        </w:rPr>
      </w:pPr>
      <w:r w:rsidRPr="006D56C4">
        <w:rPr>
          <w:rFonts w:ascii="Times New Roman" w:hAnsi="Times New Roman" w:cs="Times New Roman"/>
          <w:sz w:val="22"/>
          <w:szCs w:val="22"/>
          <w:lang w:eastAsia="ko-KR"/>
        </w:rPr>
        <w:t xml:space="preserve">FAD impacts </w:t>
      </w:r>
    </w:p>
    <w:p w14:paraId="7A79AB0C" w14:textId="77777777" w:rsidR="006D56C4" w:rsidRPr="006D56C4" w:rsidRDefault="006D56C4" w:rsidP="0074425A">
      <w:pPr>
        <w:pStyle w:val="ListParagraph"/>
        <w:numPr>
          <w:ilvl w:val="3"/>
          <w:numId w:val="68"/>
        </w:numPr>
        <w:adjustRightInd w:val="0"/>
        <w:snapToGrid w:val="0"/>
        <w:ind w:left="709"/>
        <w:contextualSpacing w:val="0"/>
        <w:rPr>
          <w:rFonts w:ascii="Times New Roman" w:hAnsi="Times New Roman"/>
          <w:lang w:eastAsia="ko-KR"/>
        </w:rPr>
      </w:pPr>
      <w:r w:rsidRPr="006D56C4">
        <w:rPr>
          <w:rFonts w:ascii="Times New Roman" w:hAnsi="Times New Roman"/>
          <w:bCs/>
          <w:lang w:eastAsia="ko-KR"/>
        </w:rPr>
        <w:t>Case studies on FADs</w:t>
      </w:r>
    </w:p>
    <w:p w14:paraId="28A3D5C2" w14:textId="77777777" w:rsidR="006D56C4" w:rsidRPr="006D56C4" w:rsidRDefault="006D56C4" w:rsidP="0074425A">
      <w:pPr>
        <w:pStyle w:val="ListParagraph"/>
        <w:numPr>
          <w:ilvl w:val="3"/>
          <w:numId w:val="68"/>
        </w:numPr>
        <w:adjustRightInd w:val="0"/>
        <w:snapToGrid w:val="0"/>
        <w:ind w:left="709"/>
        <w:contextualSpacing w:val="0"/>
        <w:rPr>
          <w:rFonts w:ascii="Times New Roman" w:hAnsi="Times New Roman"/>
          <w:lang w:eastAsia="ko-KR"/>
        </w:rPr>
      </w:pPr>
      <w:r w:rsidRPr="006D56C4">
        <w:rPr>
          <w:rFonts w:ascii="Times New Roman" w:hAnsi="Times New Roman"/>
          <w:lang w:eastAsia="ko-KR"/>
        </w:rPr>
        <w:t>FAD Research Plan</w:t>
      </w:r>
    </w:p>
    <w:p w14:paraId="304C4A9F" w14:textId="77777777" w:rsidR="006D56C4" w:rsidRPr="006D56C4" w:rsidRDefault="006D56C4" w:rsidP="0074425A">
      <w:pPr>
        <w:numPr>
          <w:ilvl w:val="1"/>
          <w:numId w:val="68"/>
        </w:numPr>
        <w:adjustRightInd w:val="0"/>
        <w:snapToGrid w:val="0"/>
        <w:spacing w:after="0"/>
        <w:ind w:left="720" w:hanging="720"/>
        <w:rPr>
          <w:rFonts w:ascii="Times New Roman" w:hAnsi="Times New Roman"/>
          <w:b/>
        </w:rPr>
      </w:pPr>
      <w:r w:rsidRPr="006D56C4">
        <w:rPr>
          <w:rFonts w:ascii="Times New Roman" w:hAnsi="Times New Roman"/>
          <w:b/>
        </w:rPr>
        <w:t xml:space="preserve">Sharks  </w:t>
      </w:r>
    </w:p>
    <w:p w14:paraId="79D772C0" w14:textId="77777777" w:rsidR="006D56C4" w:rsidRPr="006D56C4" w:rsidRDefault="006D56C4" w:rsidP="0074425A">
      <w:pPr>
        <w:numPr>
          <w:ilvl w:val="2"/>
          <w:numId w:val="68"/>
        </w:numPr>
        <w:adjustRightInd w:val="0"/>
        <w:snapToGrid w:val="0"/>
        <w:spacing w:after="0"/>
        <w:ind w:left="720"/>
        <w:rPr>
          <w:rFonts w:ascii="Times New Roman" w:hAnsi="Times New Roman"/>
          <w:bCs/>
        </w:rPr>
      </w:pPr>
      <w:r w:rsidRPr="006D56C4">
        <w:rPr>
          <w:rFonts w:ascii="Times New Roman" w:hAnsi="Times New Roman"/>
          <w:bCs/>
        </w:rPr>
        <w:t xml:space="preserve">Review of </w:t>
      </w:r>
      <w:r w:rsidRPr="006D56C4">
        <w:rPr>
          <w:rFonts w:ascii="Times New Roman" w:hAnsi="Times New Roman"/>
          <w:bCs/>
          <w:lang w:eastAsia="ko-KR"/>
        </w:rPr>
        <w:t>conservation and management measures</w:t>
      </w:r>
      <w:r w:rsidRPr="006D56C4">
        <w:rPr>
          <w:rFonts w:ascii="Times New Roman" w:hAnsi="Times New Roman"/>
          <w:bCs/>
        </w:rPr>
        <w:t xml:space="preserve"> for </w:t>
      </w:r>
      <w:r w:rsidRPr="006D56C4">
        <w:rPr>
          <w:rFonts w:ascii="Times New Roman" w:hAnsi="Times New Roman"/>
          <w:bCs/>
          <w:lang w:eastAsia="ko-KR"/>
        </w:rPr>
        <w:t>s</w:t>
      </w:r>
      <w:r w:rsidRPr="006D56C4">
        <w:rPr>
          <w:rFonts w:ascii="Times New Roman" w:hAnsi="Times New Roman"/>
          <w:bCs/>
        </w:rPr>
        <w:t>harks</w:t>
      </w:r>
    </w:p>
    <w:p w14:paraId="595A2A68" w14:textId="77777777" w:rsidR="006D56C4" w:rsidRPr="006D56C4" w:rsidRDefault="006D56C4" w:rsidP="0074425A">
      <w:pPr>
        <w:pStyle w:val="ListParagraph"/>
        <w:numPr>
          <w:ilvl w:val="3"/>
          <w:numId w:val="68"/>
        </w:numPr>
        <w:adjustRightInd w:val="0"/>
        <w:snapToGrid w:val="0"/>
        <w:ind w:left="720"/>
        <w:contextualSpacing w:val="0"/>
        <w:rPr>
          <w:rFonts w:ascii="Times New Roman" w:hAnsi="Times New Roman"/>
        </w:rPr>
      </w:pPr>
      <w:r w:rsidRPr="006D56C4">
        <w:rPr>
          <w:rFonts w:ascii="Times New Roman" w:hAnsi="Times New Roman"/>
        </w:rPr>
        <w:t>CMM 2010-07 (CMM for Sharks)</w:t>
      </w:r>
    </w:p>
    <w:p w14:paraId="7319BEF4" w14:textId="77777777" w:rsidR="006D56C4" w:rsidRPr="006D56C4" w:rsidRDefault="006D56C4" w:rsidP="0074425A">
      <w:pPr>
        <w:pStyle w:val="ListParagraph"/>
        <w:numPr>
          <w:ilvl w:val="3"/>
          <w:numId w:val="68"/>
        </w:numPr>
        <w:adjustRightInd w:val="0"/>
        <w:snapToGrid w:val="0"/>
        <w:ind w:left="720"/>
        <w:contextualSpacing w:val="0"/>
        <w:rPr>
          <w:rFonts w:ascii="Times New Roman" w:hAnsi="Times New Roman"/>
        </w:rPr>
      </w:pPr>
      <w:r w:rsidRPr="006D56C4">
        <w:rPr>
          <w:rFonts w:ascii="Times New Roman" w:hAnsi="Times New Roman"/>
        </w:rPr>
        <w:t>CMM 2011-04 (CMM for oceanic whitetip shark)</w:t>
      </w:r>
    </w:p>
    <w:p w14:paraId="3DBF9B6A" w14:textId="77777777" w:rsidR="006D56C4" w:rsidRPr="006D56C4" w:rsidRDefault="006D56C4" w:rsidP="0074425A">
      <w:pPr>
        <w:pStyle w:val="ListParagraph"/>
        <w:numPr>
          <w:ilvl w:val="3"/>
          <w:numId w:val="68"/>
        </w:numPr>
        <w:adjustRightInd w:val="0"/>
        <w:snapToGrid w:val="0"/>
        <w:ind w:left="720"/>
        <w:contextualSpacing w:val="0"/>
        <w:rPr>
          <w:rFonts w:ascii="Times New Roman" w:hAnsi="Times New Roman"/>
        </w:rPr>
      </w:pPr>
      <w:r w:rsidRPr="006D56C4">
        <w:rPr>
          <w:rFonts w:ascii="Times New Roman" w:hAnsi="Times New Roman"/>
        </w:rPr>
        <w:t>CMM 2012-04 (CMM for protection of whale sharks from purse seine fishing operations)</w:t>
      </w:r>
    </w:p>
    <w:p w14:paraId="7ABA0640" w14:textId="77777777" w:rsidR="006D56C4" w:rsidRPr="006D56C4" w:rsidRDefault="006D56C4" w:rsidP="0074425A">
      <w:pPr>
        <w:pStyle w:val="ListParagraph"/>
        <w:numPr>
          <w:ilvl w:val="3"/>
          <w:numId w:val="68"/>
        </w:numPr>
        <w:adjustRightInd w:val="0"/>
        <w:snapToGrid w:val="0"/>
        <w:ind w:left="720"/>
        <w:contextualSpacing w:val="0"/>
        <w:rPr>
          <w:rFonts w:ascii="Times New Roman" w:hAnsi="Times New Roman"/>
        </w:rPr>
      </w:pPr>
      <w:r w:rsidRPr="006D56C4">
        <w:rPr>
          <w:rFonts w:ascii="Times New Roman" w:hAnsi="Times New Roman"/>
        </w:rPr>
        <w:t>CMM 2013-08 (CMM for silky sharks)</w:t>
      </w:r>
    </w:p>
    <w:p w14:paraId="4D8EAFCC" w14:textId="77777777" w:rsidR="006D56C4" w:rsidRPr="006D56C4" w:rsidRDefault="006D56C4" w:rsidP="0074425A">
      <w:pPr>
        <w:pStyle w:val="ListParagraph"/>
        <w:numPr>
          <w:ilvl w:val="3"/>
          <w:numId w:val="68"/>
        </w:numPr>
        <w:adjustRightInd w:val="0"/>
        <w:snapToGrid w:val="0"/>
        <w:ind w:left="720"/>
        <w:contextualSpacing w:val="0"/>
        <w:rPr>
          <w:rFonts w:ascii="Times New Roman" w:hAnsi="Times New Roman"/>
        </w:rPr>
      </w:pPr>
      <w:r w:rsidRPr="006D56C4">
        <w:rPr>
          <w:rFonts w:ascii="Times New Roman" w:hAnsi="Times New Roman"/>
          <w:lang w:eastAsia="ko-KR"/>
        </w:rPr>
        <w:t>CMM 2014-05 (CMM for sharks)</w:t>
      </w:r>
    </w:p>
    <w:p w14:paraId="75FB0A2F" w14:textId="77777777" w:rsidR="006D56C4" w:rsidRPr="006D56C4" w:rsidRDefault="006D56C4" w:rsidP="0074425A">
      <w:pPr>
        <w:pStyle w:val="ListParagraph"/>
        <w:numPr>
          <w:ilvl w:val="2"/>
          <w:numId w:val="68"/>
        </w:numPr>
        <w:adjustRightInd w:val="0"/>
        <w:snapToGrid w:val="0"/>
        <w:ind w:left="720"/>
        <w:contextualSpacing w:val="0"/>
        <w:rPr>
          <w:rFonts w:ascii="Times New Roman" w:hAnsi="Times New Roman"/>
          <w:lang w:eastAsia="ko-KR"/>
        </w:rPr>
      </w:pPr>
      <w:r w:rsidRPr="006D56C4">
        <w:rPr>
          <w:rFonts w:ascii="Times New Roman" w:hAnsi="Times New Roman"/>
          <w:lang w:eastAsia="ko-KR"/>
        </w:rPr>
        <w:t>Development of a comprehensive shark and ray measure</w:t>
      </w:r>
    </w:p>
    <w:p w14:paraId="3AC2AE8D" w14:textId="77777777" w:rsidR="006D56C4" w:rsidRPr="006D56C4" w:rsidRDefault="006D56C4" w:rsidP="0074425A">
      <w:pPr>
        <w:pStyle w:val="ListParagraph"/>
        <w:numPr>
          <w:ilvl w:val="2"/>
          <w:numId w:val="68"/>
        </w:numPr>
        <w:adjustRightInd w:val="0"/>
        <w:snapToGrid w:val="0"/>
        <w:ind w:left="720"/>
        <w:contextualSpacing w:val="0"/>
        <w:rPr>
          <w:rFonts w:ascii="Times New Roman" w:hAnsi="Times New Roman"/>
        </w:rPr>
      </w:pPr>
      <w:r w:rsidRPr="006D56C4">
        <w:rPr>
          <w:rFonts w:ascii="Times New Roman" w:hAnsi="Times New Roman"/>
          <w:lang w:eastAsia="ko-KR"/>
        </w:rPr>
        <w:t>Safe release g</w:t>
      </w:r>
      <w:r w:rsidRPr="006D56C4">
        <w:rPr>
          <w:rFonts w:ascii="Times New Roman" w:hAnsi="Times New Roman"/>
        </w:rPr>
        <w:t xml:space="preserve">uidelines </w:t>
      </w:r>
    </w:p>
    <w:p w14:paraId="59AF2C44" w14:textId="77777777" w:rsidR="006D56C4" w:rsidRPr="006D56C4" w:rsidRDefault="006D56C4" w:rsidP="0074425A">
      <w:pPr>
        <w:numPr>
          <w:ilvl w:val="2"/>
          <w:numId w:val="68"/>
        </w:numPr>
        <w:adjustRightInd w:val="0"/>
        <w:snapToGrid w:val="0"/>
        <w:spacing w:after="0"/>
        <w:ind w:left="720"/>
        <w:rPr>
          <w:rFonts w:ascii="Times New Roman" w:hAnsi="Times New Roman"/>
          <w:bCs/>
        </w:rPr>
      </w:pPr>
      <w:r w:rsidRPr="006D56C4">
        <w:rPr>
          <w:rFonts w:ascii="Times New Roman" w:hAnsi="Times New Roman"/>
          <w:bCs/>
        </w:rPr>
        <w:t>Shark Research Plan</w:t>
      </w:r>
    </w:p>
    <w:p w14:paraId="30420CC3" w14:textId="77777777" w:rsidR="006D56C4" w:rsidRPr="006D56C4" w:rsidRDefault="006D56C4" w:rsidP="0074425A">
      <w:pPr>
        <w:pStyle w:val="ListParagraph"/>
        <w:numPr>
          <w:ilvl w:val="2"/>
          <w:numId w:val="61"/>
        </w:numPr>
        <w:tabs>
          <w:tab w:val="clear" w:pos="1440"/>
        </w:tabs>
        <w:adjustRightInd w:val="0"/>
        <w:snapToGrid w:val="0"/>
        <w:ind w:left="1080" w:hanging="360"/>
        <w:contextualSpacing w:val="0"/>
        <w:rPr>
          <w:rFonts w:ascii="Times New Roman" w:hAnsi="Times New Roman"/>
          <w:bCs/>
          <w:lang w:eastAsia="ko-KR"/>
        </w:rPr>
      </w:pPr>
      <w:r w:rsidRPr="006D56C4">
        <w:rPr>
          <w:rFonts w:ascii="Times New Roman" w:hAnsi="Times New Roman"/>
          <w:bCs/>
          <w:lang w:eastAsia="ko-KR"/>
        </w:rPr>
        <w:t xml:space="preserve">Progress of shark research plan </w:t>
      </w:r>
    </w:p>
    <w:p w14:paraId="70F0696E" w14:textId="77777777" w:rsidR="006D56C4" w:rsidRPr="006D56C4" w:rsidRDefault="006D56C4" w:rsidP="0074425A">
      <w:pPr>
        <w:pStyle w:val="ListParagraph"/>
        <w:numPr>
          <w:ilvl w:val="0"/>
          <w:numId w:val="70"/>
        </w:numPr>
        <w:adjustRightInd w:val="0"/>
        <w:snapToGrid w:val="0"/>
        <w:contextualSpacing w:val="0"/>
        <w:rPr>
          <w:rFonts w:ascii="Times New Roman" w:hAnsi="Times New Roman"/>
          <w:b/>
          <w:vanish/>
        </w:rPr>
      </w:pPr>
    </w:p>
    <w:p w14:paraId="5209A3EF" w14:textId="77777777" w:rsidR="006D56C4" w:rsidRPr="006D56C4" w:rsidRDefault="006D56C4" w:rsidP="0074425A">
      <w:pPr>
        <w:pStyle w:val="ListParagraph"/>
        <w:numPr>
          <w:ilvl w:val="0"/>
          <w:numId w:val="70"/>
        </w:numPr>
        <w:adjustRightInd w:val="0"/>
        <w:snapToGrid w:val="0"/>
        <w:contextualSpacing w:val="0"/>
        <w:rPr>
          <w:rFonts w:ascii="Times New Roman" w:hAnsi="Times New Roman"/>
          <w:b/>
          <w:vanish/>
        </w:rPr>
      </w:pPr>
    </w:p>
    <w:p w14:paraId="56E2F525" w14:textId="77777777" w:rsidR="006D56C4" w:rsidRPr="006D56C4" w:rsidRDefault="006D56C4" w:rsidP="0074425A">
      <w:pPr>
        <w:numPr>
          <w:ilvl w:val="1"/>
          <w:numId w:val="70"/>
        </w:numPr>
        <w:adjustRightInd w:val="0"/>
        <w:snapToGrid w:val="0"/>
        <w:spacing w:after="0"/>
        <w:ind w:left="720" w:hanging="720"/>
        <w:rPr>
          <w:rFonts w:ascii="Times New Roman" w:hAnsi="Times New Roman"/>
          <w:b/>
        </w:rPr>
      </w:pPr>
      <w:r w:rsidRPr="006D56C4">
        <w:rPr>
          <w:rFonts w:ascii="Times New Roman" w:hAnsi="Times New Roman"/>
          <w:b/>
        </w:rPr>
        <w:t xml:space="preserve">Seabirds </w:t>
      </w:r>
    </w:p>
    <w:p w14:paraId="5BE366CE" w14:textId="77777777" w:rsidR="006D56C4" w:rsidRPr="006D56C4" w:rsidRDefault="006D56C4" w:rsidP="0074425A">
      <w:pPr>
        <w:numPr>
          <w:ilvl w:val="1"/>
          <w:numId w:val="70"/>
        </w:numPr>
        <w:tabs>
          <w:tab w:val="left" w:pos="720"/>
        </w:tabs>
        <w:adjustRightInd w:val="0"/>
        <w:snapToGrid w:val="0"/>
        <w:spacing w:after="0"/>
        <w:ind w:left="720" w:hanging="720"/>
        <w:rPr>
          <w:rFonts w:ascii="Times New Roman" w:hAnsi="Times New Roman"/>
          <w:b/>
        </w:rPr>
      </w:pPr>
      <w:r w:rsidRPr="006D56C4">
        <w:rPr>
          <w:rFonts w:ascii="Times New Roman" w:hAnsi="Times New Roman"/>
          <w:b/>
        </w:rPr>
        <w:t xml:space="preserve">Sea turtles </w:t>
      </w:r>
      <w:r w:rsidRPr="006D56C4">
        <w:rPr>
          <w:rFonts w:ascii="Times New Roman" w:hAnsi="Times New Roman"/>
          <w:b/>
        </w:rPr>
        <w:tab/>
      </w:r>
    </w:p>
    <w:p w14:paraId="3DEBC8EC" w14:textId="77777777" w:rsidR="006D56C4" w:rsidRPr="006D56C4" w:rsidRDefault="006D56C4" w:rsidP="0074425A">
      <w:pPr>
        <w:pStyle w:val="ListParagraph"/>
        <w:numPr>
          <w:ilvl w:val="1"/>
          <w:numId w:val="70"/>
        </w:numPr>
        <w:adjustRightInd w:val="0"/>
        <w:snapToGrid w:val="0"/>
        <w:ind w:left="720" w:hanging="720"/>
        <w:contextualSpacing w:val="0"/>
        <w:rPr>
          <w:rFonts w:ascii="Times New Roman" w:hAnsi="Times New Roman"/>
          <w:b/>
          <w:bCs/>
          <w:lang w:eastAsia="ko-KR"/>
        </w:rPr>
      </w:pPr>
      <w:r w:rsidRPr="006D56C4">
        <w:rPr>
          <w:rFonts w:ascii="Times New Roman" w:hAnsi="Times New Roman"/>
          <w:b/>
          <w:bCs/>
          <w:lang w:eastAsia="ko-KR"/>
        </w:rPr>
        <w:t>Data exchange</w:t>
      </w:r>
    </w:p>
    <w:p w14:paraId="1987E8A4" w14:textId="77777777" w:rsidR="006D56C4" w:rsidRPr="006D56C4" w:rsidRDefault="006D56C4" w:rsidP="0074425A">
      <w:pPr>
        <w:pStyle w:val="ListParagraph"/>
        <w:numPr>
          <w:ilvl w:val="1"/>
          <w:numId w:val="70"/>
        </w:numPr>
        <w:adjustRightInd w:val="0"/>
        <w:snapToGrid w:val="0"/>
        <w:ind w:left="720" w:hanging="720"/>
        <w:contextualSpacing w:val="0"/>
        <w:rPr>
          <w:rFonts w:ascii="Times New Roman" w:hAnsi="Times New Roman"/>
          <w:b/>
          <w:bCs/>
          <w:lang w:eastAsia="ko-KR"/>
        </w:rPr>
      </w:pPr>
      <w:r w:rsidRPr="006D56C4">
        <w:rPr>
          <w:rFonts w:ascii="Times New Roman" w:hAnsi="Times New Roman"/>
          <w:b/>
          <w:bCs/>
          <w:lang w:eastAsia="ko-KR"/>
        </w:rPr>
        <w:t>Other issues</w:t>
      </w:r>
    </w:p>
    <w:p w14:paraId="499863A5" w14:textId="77777777" w:rsidR="006D56C4" w:rsidRPr="006D56C4" w:rsidRDefault="006D56C4" w:rsidP="006D56C4">
      <w:pPr>
        <w:adjustRightInd w:val="0"/>
        <w:snapToGrid w:val="0"/>
        <w:spacing w:after="0"/>
        <w:ind w:left="720"/>
        <w:rPr>
          <w:rFonts w:ascii="Times New Roman" w:hAnsi="Times New Roman"/>
          <w:lang w:eastAsia="ko-KR"/>
        </w:rPr>
      </w:pPr>
    </w:p>
    <w:p w14:paraId="76338A2E"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OTHER RESEARCH PROJECTS</w:t>
      </w:r>
    </w:p>
    <w:p w14:paraId="3248ED5D" w14:textId="77777777" w:rsidR="006D56C4" w:rsidRPr="006D56C4" w:rsidRDefault="006D56C4" w:rsidP="006D56C4">
      <w:pPr>
        <w:adjustRightInd w:val="0"/>
        <w:snapToGrid w:val="0"/>
        <w:spacing w:after="0"/>
        <w:ind w:left="2160"/>
        <w:rPr>
          <w:rFonts w:ascii="Times New Roman" w:hAnsi="Times New Roman"/>
          <w:b/>
        </w:rPr>
      </w:pPr>
    </w:p>
    <w:p w14:paraId="32C6DCC8" w14:textId="77777777" w:rsidR="006D56C4" w:rsidRPr="006D56C4" w:rsidRDefault="006D56C4" w:rsidP="0074425A">
      <w:pPr>
        <w:pStyle w:val="ListParagraph"/>
        <w:numPr>
          <w:ilvl w:val="1"/>
          <w:numId w:val="85"/>
        </w:numPr>
        <w:adjustRightInd w:val="0"/>
        <w:snapToGrid w:val="0"/>
        <w:ind w:left="720" w:hanging="720"/>
        <w:contextualSpacing w:val="0"/>
        <w:rPr>
          <w:rFonts w:ascii="Times New Roman" w:hAnsi="Times New Roman"/>
          <w:b/>
        </w:rPr>
      </w:pPr>
      <w:r w:rsidRPr="006D56C4">
        <w:rPr>
          <w:rFonts w:ascii="Times New Roman" w:hAnsi="Times New Roman"/>
          <w:b/>
        </w:rPr>
        <w:t xml:space="preserve">West Pacific East Asia Project </w:t>
      </w:r>
    </w:p>
    <w:p w14:paraId="1210AFE3" w14:textId="77777777" w:rsidR="006D56C4" w:rsidRPr="006D56C4" w:rsidRDefault="006D56C4" w:rsidP="0074425A">
      <w:pPr>
        <w:pStyle w:val="ListParagraph"/>
        <w:numPr>
          <w:ilvl w:val="1"/>
          <w:numId w:val="85"/>
        </w:numPr>
        <w:adjustRightInd w:val="0"/>
        <w:snapToGrid w:val="0"/>
        <w:ind w:left="720" w:hanging="720"/>
        <w:contextualSpacing w:val="0"/>
        <w:rPr>
          <w:rFonts w:ascii="Times New Roman" w:hAnsi="Times New Roman"/>
          <w:b/>
        </w:rPr>
      </w:pPr>
      <w:r w:rsidRPr="006D56C4">
        <w:rPr>
          <w:rFonts w:ascii="Times New Roman" w:hAnsi="Times New Roman"/>
          <w:b/>
          <w:bCs/>
        </w:rPr>
        <w:t>Pacific Tuna Tagging Project</w:t>
      </w:r>
      <w:r w:rsidRPr="006D56C4">
        <w:rPr>
          <w:rFonts w:ascii="Times New Roman" w:hAnsi="Times New Roman"/>
          <w:b/>
        </w:rPr>
        <w:t xml:space="preserve">  </w:t>
      </w:r>
    </w:p>
    <w:p w14:paraId="25385907" w14:textId="77777777" w:rsidR="006D56C4" w:rsidRPr="006D56C4" w:rsidRDefault="006D56C4" w:rsidP="0074425A">
      <w:pPr>
        <w:pStyle w:val="ListParagraph"/>
        <w:numPr>
          <w:ilvl w:val="1"/>
          <w:numId w:val="85"/>
        </w:numPr>
        <w:adjustRightInd w:val="0"/>
        <w:snapToGrid w:val="0"/>
        <w:ind w:left="720" w:hanging="720"/>
        <w:contextualSpacing w:val="0"/>
        <w:rPr>
          <w:rFonts w:ascii="Times New Roman" w:hAnsi="Times New Roman"/>
          <w:b/>
          <w:bCs/>
          <w:lang w:eastAsia="ko-KR"/>
        </w:rPr>
      </w:pPr>
      <w:r w:rsidRPr="006D56C4">
        <w:rPr>
          <w:rFonts w:ascii="Times New Roman" w:hAnsi="Times New Roman"/>
          <w:b/>
          <w:bCs/>
          <w:lang w:eastAsia="ko-KR"/>
        </w:rPr>
        <w:t>ABNJ (Common Oceans) Tuna Project-Shark and Bycatch Components</w:t>
      </w:r>
    </w:p>
    <w:p w14:paraId="7DBC38E8" w14:textId="77777777" w:rsidR="006D56C4" w:rsidRPr="006D56C4" w:rsidRDefault="006D56C4" w:rsidP="0074425A">
      <w:pPr>
        <w:pStyle w:val="ListParagraph"/>
        <w:numPr>
          <w:ilvl w:val="1"/>
          <w:numId w:val="85"/>
        </w:numPr>
        <w:adjustRightInd w:val="0"/>
        <w:snapToGrid w:val="0"/>
        <w:ind w:left="0" w:firstLine="0"/>
        <w:contextualSpacing w:val="0"/>
        <w:rPr>
          <w:rFonts w:ascii="Times New Roman" w:hAnsi="Times New Roman"/>
          <w:b/>
          <w:lang w:eastAsia="ko-KR"/>
        </w:rPr>
      </w:pPr>
      <w:r w:rsidRPr="006D56C4">
        <w:rPr>
          <w:rFonts w:ascii="Times New Roman" w:hAnsi="Times New Roman"/>
          <w:b/>
          <w:lang w:eastAsia="ko-KR"/>
        </w:rPr>
        <w:t>WCPFC Tissue Bank (Project 35b)</w:t>
      </w:r>
    </w:p>
    <w:p w14:paraId="38E0148B" w14:textId="77777777" w:rsidR="006D56C4" w:rsidRPr="006D56C4" w:rsidRDefault="006D56C4" w:rsidP="0074425A">
      <w:pPr>
        <w:pStyle w:val="ListParagraph"/>
        <w:numPr>
          <w:ilvl w:val="1"/>
          <w:numId w:val="85"/>
        </w:numPr>
        <w:adjustRightInd w:val="0"/>
        <w:snapToGrid w:val="0"/>
        <w:ind w:left="0" w:firstLine="0"/>
        <w:contextualSpacing w:val="0"/>
        <w:rPr>
          <w:rFonts w:ascii="Times New Roman" w:hAnsi="Times New Roman"/>
          <w:b/>
          <w:lang w:eastAsia="ko-KR"/>
        </w:rPr>
      </w:pPr>
      <w:r w:rsidRPr="006D56C4">
        <w:rPr>
          <w:rFonts w:ascii="Times New Roman" w:hAnsi="Times New Roman"/>
          <w:b/>
          <w:lang w:eastAsia="ko-KR"/>
        </w:rPr>
        <w:t>Other Projects</w:t>
      </w:r>
    </w:p>
    <w:p w14:paraId="0780E082" w14:textId="77777777" w:rsidR="006D56C4" w:rsidRPr="006D56C4" w:rsidRDefault="006D56C4" w:rsidP="006D56C4">
      <w:pPr>
        <w:pStyle w:val="ListParagraph"/>
        <w:adjustRightInd w:val="0"/>
        <w:snapToGrid w:val="0"/>
        <w:contextualSpacing w:val="0"/>
        <w:rPr>
          <w:rFonts w:ascii="Times New Roman" w:hAnsi="Times New Roman"/>
          <w:lang w:eastAsia="ko-KR"/>
        </w:rPr>
      </w:pPr>
    </w:p>
    <w:p w14:paraId="76317DB1"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COOPERATION WITH OTHER ORGANISATIONS</w:t>
      </w:r>
    </w:p>
    <w:p w14:paraId="63AFDE6B" w14:textId="77777777" w:rsidR="006D56C4" w:rsidRPr="006D56C4" w:rsidRDefault="006D56C4" w:rsidP="0074425A">
      <w:pPr>
        <w:pStyle w:val="ListParagraph"/>
        <w:numPr>
          <w:ilvl w:val="0"/>
          <w:numId w:val="63"/>
        </w:numPr>
        <w:adjustRightInd w:val="0"/>
        <w:snapToGrid w:val="0"/>
        <w:contextualSpacing w:val="0"/>
        <w:rPr>
          <w:rFonts w:ascii="Times New Roman" w:hAnsi="Times New Roman"/>
          <w:b/>
          <w:vanish/>
        </w:rPr>
      </w:pPr>
    </w:p>
    <w:p w14:paraId="6CF49718" w14:textId="77777777" w:rsidR="006D56C4" w:rsidRPr="006D56C4" w:rsidRDefault="006D56C4" w:rsidP="0074425A">
      <w:pPr>
        <w:pStyle w:val="ListParagraph"/>
        <w:numPr>
          <w:ilvl w:val="0"/>
          <w:numId w:val="63"/>
        </w:numPr>
        <w:adjustRightInd w:val="0"/>
        <w:snapToGrid w:val="0"/>
        <w:contextualSpacing w:val="0"/>
        <w:rPr>
          <w:rFonts w:ascii="Times New Roman" w:hAnsi="Times New Roman"/>
          <w:b/>
          <w:vanish/>
        </w:rPr>
      </w:pPr>
    </w:p>
    <w:p w14:paraId="7E5566F4" w14:textId="77777777" w:rsidR="006D56C4" w:rsidRPr="006D56C4" w:rsidRDefault="006D56C4" w:rsidP="0074425A">
      <w:pPr>
        <w:pStyle w:val="ListParagraph"/>
        <w:numPr>
          <w:ilvl w:val="0"/>
          <w:numId w:val="63"/>
        </w:numPr>
        <w:adjustRightInd w:val="0"/>
        <w:snapToGrid w:val="0"/>
        <w:contextualSpacing w:val="0"/>
        <w:rPr>
          <w:rFonts w:ascii="Times New Roman" w:hAnsi="Times New Roman"/>
          <w:b/>
          <w:vanish/>
        </w:rPr>
      </w:pPr>
    </w:p>
    <w:p w14:paraId="2D5BACC8" w14:textId="77777777" w:rsidR="006D56C4" w:rsidRPr="006D56C4" w:rsidRDefault="006D56C4" w:rsidP="0074425A">
      <w:pPr>
        <w:pStyle w:val="ListParagraph"/>
        <w:numPr>
          <w:ilvl w:val="0"/>
          <w:numId w:val="63"/>
        </w:numPr>
        <w:adjustRightInd w:val="0"/>
        <w:snapToGrid w:val="0"/>
        <w:contextualSpacing w:val="0"/>
        <w:rPr>
          <w:rFonts w:ascii="Times New Roman" w:hAnsi="Times New Roman"/>
          <w:b/>
          <w:vanish/>
        </w:rPr>
      </w:pPr>
    </w:p>
    <w:p w14:paraId="31003E2A" w14:textId="77777777" w:rsidR="006D56C4" w:rsidRPr="006D56C4" w:rsidRDefault="006D56C4" w:rsidP="0074425A">
      <w:pPr>
        <w:pStyle w:val="ListParagraph"/>
        <w:numPr>
          <w:ilvl w:val="0"/>
          <w:numId w:val="69"/>
        </w:numPr>
        <w:adjustRightInd w:val="0"/>
        <w:snapToGrid w:val="0"/>
        <w:contextualSpacing w:val="0"/>
        <w:rPr>
          <w:rFonts w:ascii="Times New Roman" w:hAnsi="Times New Roman"/>
          <w:b/>
          <w:vanish/>
        </w:rPr>
      </w:pPr>
    </w:p>
    <w:p w14:paraId="715D8C00" w14:textId="77777777" w:rsidR="006D56C4" w:rsidRPr="006D56C4" w:rsidRDefault="006D56C4" w:rsidP="0074425A">
      <w:pPr>
        <w:pStyle w:val="ListParagraph"/>
        <w:numPr>
          <w:ilvl w:val="0"/>
          <w:numId w:val="69"/>
        </w:numPr>
        <w:adjustRightInd w:val="0"/>
        <w:snapToGrid w:val="0"/>
        <w:contextualSpacing w:val="0"/>
        <w:rPr>
          <w:rFonts w:ascii="Times New Roman" w:hAnsi="Times New Roman"/>
          <w:b/>
          <w:vanish/>
        </w:rPr>
      </w:pPr>
    </w:p>
    <w:p w14:paraId="2CD0C56D" w14:textId="77777777" w:rsidR="006D56C4" w:rsidRPr="006D56C4" w:rsidRDefault="006D56C4" w:rsidP="006D56C4">
      <w:pPr>
        <w:adjustRightInd w:val="0"/>
        <w:snapToGrid w:val="0"/>
        <w:spacing w:after="0"/>
        <w:ind w:left="720"/>
        <w:rPr>
          <w:rFonts w:ascii="Times New Roman" w:eastAsia="바탕" w:hAnsi="Times New Roman"/>
          <w:lang w:eastAsia="ko-KR"/>
        </w:rPr>
      </w:pPr>
    </w:p>
    <w:p w14:paraId="6032AFF3"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SPECIAL REQUIREMENTS OF DEVELOPING STATES AND PARTICIPATING TERRITORIES</w:t>
      </w:r>
    </w:p>
    <w:p w14:paraId="1394F6D0"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54CD54DD"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643D912D"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28F764F5"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35E8DD47"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417DB134" w14:textId="77777777" w:rsidR="006D56C4" w:rsidRPr="006D56C4" w:rsidRDefault="006D56C4" w:rsidP="0074425A">
      <w:pPr>
        <w:pStyle w:val="ListParagraph"/>
        <w:numPr>
          <w:ilvl w:val="0"/>
          <w:numId w:val="64"/>
        </w:numPr>
        <w:adjustRightInd w:val="0"/>
        <w:snapToGrid w:val="0"/>
        <w:contextualSpacing w:val="0"/>
        <w:rPr>
          <w:rFonts w:ascii="Times New Roman" w:hAnsi="Times New Roman"/>
          <w:b/>
          <w:vanish/>
        </w:rPr>
      </w:pPr>
    </w:p>
    <w:p w14:paraId="0E03EB84" w14:textId="77777777" w:rsidR="006D56C4" w:rsidRPr="006D56C4" w:rsidRDefault="006D56C4" w:rsidP="006D56C4">
      <w:pPr>
        <w:adjustRightInd w:val="0"/>
        <w:snapToGrid w:val="0"/>
        <w:spacing w:after="0"/>
        <w:ind w:left="720"/>
        <w:rPr>
          <w:rFonts w:ascii="Times New Roman" w:hAnsi="Times New Roman"/>
        </w:rPr>
      </w:pPr>
    </w:p>
    <w:p w14:paraId="476ECF57"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FUTURE WORK PROGRAM AND BUDGET</w:t>
      </w:r>
    </w:p>
    <w:p w14:paraId="011512C7" w14:textId="77777777" w:rsidR="006D56C4" w:rsidRPr="006D56C4" w:rsidRDefault="006D56C4" w:rsidP="006D56C4">
      <w:pPr>
        <w:adjustRightInd w:val="0"/>
        <w:snapToGrid w:val="0"/>
        <w:spacing w:after="0"/>
        <w:rPr>
          <w:rFonts w:ascii="Times New Roman" w:hAnsi="Times New Roman"/>
        </w:rPr>
      </w:pPr>
    </w:p>
    <w:p w14:paraId="207E0B6D" w14:textId="77777777" w:rsidR="006D56C4" w:rsidRPr="006D56C4" w:rsidRDefault="006D56C4" w:rsidP="0074425A">
      <w:pPr>
        <w:pStyle w:val="ListParagraph"/>
        <w:numPr>
          <w:ilvl w:val="0"/>
          <w:numId w:val="66"/>
        </w:numPr>
        <w:adjustRightInd w:val="0"/>
        <w:snapToGrid w:val="0"/>
        <w:contextualSpacing w:val="0"/>
        <w:rPr>
          <w:rFonts w:ascii="Times New Roman" w:hAnsi="Times New Roman"/>
          <w:b/>
          <w:vanish/>
        </w:rPr>
      </w:pPr>
    </w:p>
    <w:p w14:paraId="1E8911BE" w14:textId="77777777" w:rsidR="006D56C4" w:rsidRPr="006D56C4" w:rsidRDefault="006D56C4" w:rsidP="0074425A">
      <w:pPr>
        <w:pStyle w:val="ListParagraph"/>
        <w:numPr>
          <w:ilvl w:val="0"/>
          <w:numId w:val="66"/>
        </w:numPr>
        <w:adjustRightInd w:val="0"/>
        <w:snapToGrid w:val="0"/>
        <w:contextualSpacing w:val="0"/>
        <w:rPr>
          <w:rFonts w:ascii="Times New Roman" w:hAnsi="Times New Roman"/>
          <w:b/>
          <w:vanish/>
        </w:rPr>
      </w:pPr>
    </w:p>
    <w:p w14:paraId="0B7A6D65" w14:textId="77777777" w:rsidR="006D56C4" w:rsidRPr="006D56C4" w:rsidRDefault="006D56C4" w:rsidP="0074425A">
      <w:pPr>
        <w:pStyle w:val="ListParagraph"/>
        <w:numPr>
          <w:ilvl w:val="0"/>
          <w:numId w:val="66"/>
        </w:numPr>
        <w:adjustRightInd w:val="0"/>
        <w:snapToGrid w:val="0"/>
        <w:contextualSpacing w:val="0"/>
        <w:rPr>
          <w:rFonts w:ascii="Times New Roman" w:hAnsi="Times New Roman"/>
          <w:b/>
          <w:vanish/>
        </w:rPr>
      </w:pPr>
    </w:p>
    <w:p w14:paraId="72C382D5" w14:textId="77777777" w:rsidR="006D56C4" w:rsidRPr="006D56C4" w:rsidRDefault="006D56C4" w:rsidP="0074425A">
      <w:pPr>
        <w:pStyle w:val="ListParagraph"/>
        <w:numPr>
          <w:ilvl w:val="0"/>
          <w:numId w:val="66"/>
        </w:numPr>
        <w:adjustRightInd w:val="0"/>
        <w:snapToGrid w:val="0"/>
        <w:contextualSpacing w:val="0"/>
        <w:rPr>
          <w:rFonts w:ascii="Times New Roman" w:hAnsi="Times New Roman"/>
          <w:b/>
          <w:vanish/>
        </w:rPr>
      </w:pPr>
    </w:p>
    <w:p w14:paraId="517F2458" w14:textId="77777777" w:rsidR="006D56C4" w:rsidRPr="006D56C4" w:rsidRDefault="006D56C4" w:rsidP="0074425A">
      <w:pPr>
        <w:pStyle w:val="ListParagraph"/>
        <w:numPr>
          <w:ilvl w:val="0"/>
          <w:numId w:val="62"/>
        </w:numPr>
        <w:adjustRightInd w:val="0"/>
        <w:snapToGrid w:val="0"/>
        <w:contextualSpacing w:val="0"/>
        <w:rPr>
          <w:rFonts w:ascii="Times New Roman" w:hAnsi="Times New Roman"/>
          <w:b/>
          <w:vanish/>
        </w:rPr>
      </w:pPr>
    </w:p>
    <w:p w14:paraId="15A228E6" w14:textId="77777777" w:rsidR="006D56C4" w:rsidRPr="006D56C4" w:rsidRDefault="006D56C4" w:rsidP="0074425A">
      <w:pPr>
        <w:pStyle w:val="ListParagraph"/>
        <w:numPr>
          <w:ilvl w:val="0"/>
          <w:numId w:val="62"/>
        </w:numPr>
        <w:adjustRightInd w:val="0"/>
        <w:snapToGrid w:val="0"/>
        <w:contextualSpacing w:val="0"/>
        <w:rPr>
          <w:rFonts w:ascii="Times New Roman" w:hAnsi="Times New Roman"/>
          <w:b/>
          <w:vanish/>
        </w:rPr>
      </w:pPr>
    </w:p>
    <w:p w14:paraId="0907CCBC" w14:textId="77777777" w:rsidR="006D56C4" w:rsidRPr="006D56C4" w:rsidRDefault="006D56C4" w:rsidP="0074425A">
      <w:pPr>
        <w:pStyle w:val="ListParagraph"/>
        <w:numPr>
          <w:ilvl w:val="0"/>
          <w:numId w:val="62"/>
        </w:numPr>
        <w:adjustRightInd w:val="0"/>
        <w:snapToGrid w:val="0"/>
        <w:contextualSpacing w:val="0"/>
        <w:rPr>
          <w:rFonts w:ascii="Times New Roman" w:hAnsi="Times New Roman"/>
          <w:b/>
          <w:vanish/>
        </w:rPr>
      </w:pPr>
    </w:p>
    <w:p w14:paraId="0B45FF39" w14:textId="77777777" w:rsidR="006D56C4" w:rsidRPr="006D56C4" w:rsidRDefault="006D56C4" w:rsidP="0074425A">
      <w:pPr>
        <w:pStyle w:val="ListParagraph"/>
        <w:numPr>
          <w:ilvl w:val="0"/>
          <w:numId w:val="62"/>
        </w:numPr>
        <w:adjustRightInd w:val="0"/>
        <w:snapToGrid w:val="0"/>
        <w:contextualSpacing w:val="0"/>
        <w:rPr>
          <w:rFonts w:ascii="Times New Roman" w:hAnsi="Times New Roman"/>
          <w:b/>
          <w:vanish/>
        </w:rPr>
      </w:pPr>
    </w:p>
    <w:p w14:paraId="175CE6A8" w14:textId="77777777" w:rsidR="006D56C4" w:rsidRPr="006D56C4" w:rsidRDefault="006D56C4" w:rsidP="0074425A">
      <w:pPr>
        <w:pStyle w:val="ListParagraph"/>
        <w:numPr>
          <w:ilvl w:val="0"/>
          <w:numId w:val="62"/>
        </w:numPr>
        <w:adjustRightInd w:val="0"/>
        <w:snapToGrid w:val="0"/>
        <w:contextualSpacing w:val="0"/>
        <w:rPr>
          <w:rFonts w:ascii="Times New Roman" w:hAnsi="Times New Roman"/>
          <w:b/>
          <w:vanish/>
        </w:rPr>
      </w:pPr>
    </w:p>
    <w:p w14:paraId="6209704E" w14:textId="77777777" w:rsidR="006D56C4" w:rsidRPr="006D56C4" w:rsidRDefault="006D56C4" w:rsidP="0074425A">
      <w:pPr>
        <w:numPr>
          <w:ilvl w:val="1"/>
          <w:numId w:val="62"/>
        </w:numPr>
        <w:adjustRightInd w:val="0"/>
        <w:snapToGrid w:val="0"/>
        <w:spacing w:after="0"/>
        <w:rPr>
          <w:rFonts w:ascii="Times New Roman" w:hAnsi="Times New Roman"/>
          <w:b/>
        </w:rPr>
      </w:pPr>
      <w:r w:rsidRPr="006D56C4">
        <w:rPr>
          <w:rFonts w:ascii="Times New Roman" w:hAnsi="Times New Roman"/>
          <w:b/>
        </w:rPr>
        <w:t>Review of the Scientific Committee Work Programme</w:t>
      </w:r>
    </w:p>
    <w:p w14:paraId="1F263FCC" w14:textId="77777777" w:rsidR="006D56C4" w:rsidRPr="006D56C4" w:rsidRDefault="006D56C4" w:rsidP="0074425A">
      <w:pPr>
        <w:numPr>
          <w:ilvl w:val="1"/>
          <w:numId w:val="62"/>
        </w:numPr>
        <w:adjustRightInd w:val="0"/>
        <w:snapToGrid w:val="0"/>
        <w:spacing w:after="0"/>
        <w:rPr>
          <w:rFonts w:ascii="Times New Roman" w:hAnsi="Times New Roman"/>
          <w:b/>
        </w:rPr>
      </w:pPr>
      <w:r w:rsidRPr="006D56C4">
        <w:rPr>
          <w:rFonts w:ascii="Times New Roman" w:hAnsi="Times New Roman"/>
          <w:b/>
        </w:rPr>
        <w:t>Development of the 201</w:t>
      </w:r>
      <w:r w:rsidRPr="006D56C4">
        <w:rPr>
          <w:rFonts w:ascii="Times New Roman" w:hAnsi="Times New Roman"/>
          <w:b/>
          <w:lang w:eastAsia="ko-KR"/>
        </w:rPr>
        <w:t>8</w:t>
      </w:r>
      <w:r w:rsidRPr="006D56C4">
        <w:rPr>
          <w:rFonts w:ascii="Times New Roman" w:hAnsi="Times New Roman"/>
          <w:b/>
        </w:rPr>
        <w:t xml:space="preserve"> Work Programme and budget, and projection of 201</w:t>
      </w:r>
      <w:r w:rsidRPr="006D56C4">
        <w:rPr>
          <w:rFonts w:ascii="Times New Roman" w:hAnsi="Times New Roman"/>
          <w:b/>
          <w:lang w:eastAsia="ko-KR"/>
        </w:rPr>
        <w:t>9</w:t>
      </w:r>
      <w:r w:rsidRPr="006D56C4">
        <w:rPr>
          <w:rFonts w:ascii="Times New Roman" w:hAnsi="Times New Roman"/>
          <w:b/>
        </w:rPr>
        <w:t xml:space="preserve">-2020 provisional Work Programme and indicative budget </w:t>
      </w:r>
    </w:p>
    <w:p w14:paraId="196A3853" w14:textId="77777777" w:rsidR="006D56C4" w:rsidRPr="006D56C4" w:rsidRDefault="006D56C4" w:rsidP="006D56C4">
      <w:pPr>
        <w:adjustRightInd w:val="0"/>
        <w:snapToGrid w:val="0"/>
        <w:spacing w:after="0"/>
        <w:ind w:left="720"/>
        <w:rPr>
          <w:rFonts w:ascii="Times New Roman" w:hAnsi="Times New Roman"/>
          <w:lang w:eastAsia="ko-KR"/>
        </w:rPr>
      </w:pPr>
    </w:p>
    <w:p w14:paraId="1AFF7902"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ADMINISTRATIVE MATTERS</w:t>
      </w:r>
    </w:p>
    <w:p w14:paraId="55D205AF" w14:textId="77777777" w:rsidR="006D56C4" w:rsidRPr="006D56C4" w:rsidRDefault="006D56C4" w:rsidP="0074425A">
      <w:pPr>
        <w:pStyle w:val="ListParagraph"/>
        <w:numPr>
          <w:ilvl w:val="0"/>
          <w:numId w:val="65"/>
        </w:numPr>
        <w:adjustRightInd w:val="0"/>
        <w:snapToGrid w:val="0"/>
        <w:contextualSpacing w:val="0"/>
        <w:rPr>
          <w:rFonts w:ascii="Times New Roman" w:hAnsi="Times New Roman"/>
          <w:b/>
          <w:vanish/>
        </w:rPr>
      </w:pPr>
    </w:p>
    <w:p w14:paraId="7531011C" w14:textId="77777777" w:rsidR="006D56C4" w:rsidRPr="006D56C4" w:rsidRDefault="006D56C4" w:rsidP="0074425A">
      <w:pPr>
        <w:pStyle w:val="ListParagraph"/>
        <w:numPr>
          <w:ilvl w:val="0"/>
          <w:numId w:val="65"/>
        </w:numPr>
        <w:adjustRightInd w:val="0"/>
        <w:snapToGrid w:val="0"/>
        <w:contextualSpacing w:val="0"/>
        <w:rPr>
          <w:rFonts w:ascii="Times New Roman" w:hAnsi="Times New Roman"/>
          <w:b/>
          <w:vanish/>
        </w:rPr>
      </w:pPr>
    </w:p>
    <w:p w14:paraId="740476A5" w14:textId="77777777" w:rsidR="006D56C4" w:rsidRPr="006D56C4" w:rsidRDefault="006D56C4" w:rsidP="0074425A">
      <w:pPr>
        <w:pStyle w:val="ListParagraph"/>
        <w:numPr>
          <w:ilvl w:val="0"/>
          <w:numId w:val="65"/>
        </w:numPr>
        <w:adjustRightInd w:val="0"/>
        <w:snapToGrid w:val="0"/>
        <w:contextualSpacing w:val="0"/>
        <w:rPr>
          <w:rFonts w:ascii="Times New Roman" w:hAnsi="Times New Roman"/>
          <w:b/>
          <w:vanish/>
        </w:rPr>
      </w:pPr>
    </w:p>
    <w:p w14:paraId="6A48924C" w14:textId="77777777" w:rsidR="006D56C4" w:rsidRPr="006D56C4" w:rsidRDefault="006D56C4" w:rsidP="0074425A">
      <w:pPr>
        <w:pStyle w:val="ListParagraph"/>
        <w:numPr>
          <w:ilvl w:val="0"/>
          <w:numId w:val="65"/>
        </w:numPr>
        <w:adjustRightInd w:val="0"/>
        <w:snapToGrid w:val="0"/>
        <w:contextualSpacing w:val="0"/>
        <w:rPr>
          <w:rFonts w:ascii="Times New Roman" w:hAnsi="Times New Roman"/>
          <w:b/>
          <w:vanish/>
        </w:rPr>
      </w:pPr>
    </w:p>
    <w:p w14:paraId="7D215F46" w14:textId="77777777" w:rsidR="006D56C4" w:rsidRPr="006D56C4" w:rsidRDefault="006D56C4" w:rsidP="0074425A">
      <w:pPr>
        <w:pStyle w:val="ListParagraph"/>
        <w:numPr>
          <w:ilvl w:val="0"/>
          <w:numId w:val="63"/>
        </w:numPr>
        <w:adjustRightInd w:val="0"/>
        <w:snapToGrid w:val="0"/>
        <w:contextualSpacing w:val="0"/>
        <w:rPr>
          <w:rFonts w:ascii="Times New Roman" w:hAnsi="Times New Roman"/>
          <w:b/>
          <w:vanish/>
        </w:rPr>
      </w:pPr>
    </w:p>
    <w:p w14:paraId="0450EF54" w14:textId="77777777" w:rsidR="006D56C4" w:rsidRPr="006D56C4" w:rsidRDefault="006D56C4" w:rsidP="006D56C4">
      <w:pPr>
        <w:tabs>
          <w:tab w:val="num" w:pos="567"/>
        </w:tabs>
        <w:autoSpaceDE w:val="0"/>
        <w:autoSpaceDN w:val="0"/>
        <w:adjustRightInd w:val="0"/>
        <w:snapToGrid w:val="0"/>
        <w:spacing w:after="0"/>
        <w:ind w:left="720"/>
        <w:rPr>
          <w:rFonts w:ascii="Times New Roman" w:hAnsi="Times New Roman"/>
          <w:lang w:eastAsia="ja-JP"/>
        </w:rPr>
      </w:pPr>
    </w:p>
    <w:p w14:paraId="2FFA1666" w14:textId="77777777" w:rsidR="006D56C4" w:rsidRPr="006D56C4" w:rsidRDefault="006D56C4" w:rsidP="0074425A">
      <w:pPr>
        <w:numPr>
          <w:ilvl w:val="1"/>
          <w:numId w:val="63"/>
        </w:numPr>
        <w:adjustRightInd w:val="0"/>
        <w:snapToGrid w:val="0"/>
        <w:spacing w:after="0"/>
        <w:rPr>
          <w:rFonts w:ascii="Times New Roman" w:hAnsi="Times New Roman"/>
          <w:b/>
        </w:rPr>
      </w:pPr>
      <w:r w:rsidRPr="006D56C4">
        <w:rPr>
          <w:rFonts w:ascii="Times New Roman" w:hAnsi="Times New Roman"/>
          <w:b/>
        </w:rPr>
        <w:t xml:space="preserve">Future operation of the Scientific Committee </w:t>
      </w:r>
    </w:p>
    <w:p w14:paraId="283A1954" w14:textId="77777777" w:rsidR="006D56C4" w:rsidRPr="006D56C4" w:rsidRDefault="006D56C4" w:rsidP="0074425A">
      <w:pPr>
        <w:pStyle w:val="ListParagraph"/>
        <w:numPr>
          <w:ilvl w:val="1"/>
          <w:numId w:val="63"/>
        </w:numPr>
        <w:adjustRightInd w:val="0"/>
        <w:snapToGrid w:val="0"/>
        <w:contextualSpacing w:val="0"/>
        <w:rPr>
          <w:rFonts w:ascii="Times New Roman" w:hAnsi="Times New Roman"/>
          <w:b/>
        </w:rPr>
      </w:pPr>
      <w:r w:rsidRPr="006D56C4">
        <w:rPr>
          <w:rFonts w:ascii="Times New Roman" w:hAnsi="Times New Roman"/>
          <w:b/>
        </w:rPr>
        <w:t xml:space="preserve">Election of Officers of the Scientific Committee </w:t>
      </w:r>
    </w:p>
    <w:p w14:paraId="57EA6FED" w14:textId="77777777" w:rsidR="006D56C4" w:rsidRPr="006D56C4" w:rsidRDefault="006D56C4" w:rsidP="0074425A">
      <w:pPr>
        <w:numPr>
          <w:ilvl w:val="1"/>
          <w:numId w:val="63"/>
        </w:numPr>
        <w:adjustRightInd w:val="0"/>
        <w:snapToGrid w:val="0"/>
        <w:spacing w:after="0"/>
        <w:rPr>
          <w:rFonts w:ascii="Times New Roman" w:hAnsi="Times New Roman"/>
          <w:b/>
        </w:rPr>
      </w:pPr>
      <w:r w:rsidRPr="006D56C4">
        <w:rPr>
          <w:rFonts w:ascii="Times New Roman" w:hAnsi="Times New Roman"/>
          <w:b/>
        </w:rPr>
        <w:t xml:space="preserve">Next meeting  </w:t>
      </w:r>
    </w:p>
    <w:p w14:paraId="57D4AAB7" w14:textId="77777777" w:rsidR="006D56C4" w:rsidRPr="006D56C4" w:rsidRDefault="006D56C4" w:rsidP="006D56C4">
      <w:pPr>
        <w:adjustRightInd w:val="0"/>
        <w:snapToGrid w:val="0"/>
        <w:spacing w:after="0"/>
        <w:ind w:left="720"/>
        <w:rPr>
          <w:rFonts w:ascii="Times New Roman" w:hAnsi="Times New Roman"/>
          <w:lang w:eastAsia="ko-KR"/>
        </w:rPr>
      </w:pPr>
    </w:p>
    <w:p w14:paraId="14A62399"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OTHER MATTERS</w:t>
      </w:r>
    </w:p>
    <w:p w14:paraId="44B05463" w14:textId="77777777" w:rsidR="006D56C4" w:rsidRPr="006D56C4" w:rsidRDefault="006D56C4" w:rsidP="006D56C4">
      <w:pPr>
        <w:adjustRightInd w:val="0"/>
        <w:snapToGrid w:val="0"/>
        <w:spacing w:after="0"/>
        <w:ind w:left="720"/>
        <w:rPr>
          <w:rFonts w:ascii="Times New Roman" w:hAnsi="Times New Roman"/>
        </w:rPr>
      </w:pPr>
    </w:p>
    <w:p w14:paraId="3BA22F75"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ADOPTION OF THE SUMMARY RE</w:t>
      </w:r>
      <w:r w:rsidRPr="006D56C4">
        <w:rPr>
          <w:rFonts w:ascii="Times New Roman" w:eastAsia="바탕" w:hAnsi="Times New Roman"/>
          <w:b/>
          <w:lang w:eastAsia="ko-KR"/>
        </w:rPr>
        <w:t>P</w:t>
      </w:r>
      <w:r w:rsidRPr="006D56C4">
        <w:rPr>
          <w:rFonts w:ascii="Times New Roman" w:hAnsi="Times New Roman"/>
          <w:b/>
        </w:rPr>
        <w:t xml:space="preserve">ORT OF THE </w:t>
      </w:r>
      <w:r w:rsidRPr="006D56C4">
        <w:rPr>
          <w:rFonts w:ascii="Times New Roman" w:eastAsia="바탕" w:hAnsi="Times New Roman"/>
          <w:b/>
          <w:lang w:eastAsia="ko-KR"/>
        </w:rPr>
        <w:t>THIRTEENTH REGULAR</w:t>
      </w:r>
      <w:r w:rsidRPr="006D56C4">
        <w:rPr>
          <w:rFonts w:ascii="Times New Roman" w:hAnsi="Times New Roman"/>
          <w:b/>
        </w:rPr>
        <w:t xml:space="preserve"> SESSION OF THE SCIENTIFIC COMMITTEE</w:t>
      </w:r>
    </w:p>
    <w:p w14:paraId="58037F02" w14:textId="77777777" w:rsidR="006D56C4" w:rsidRPr="006D56C4" w:rsidRDefault="006D56C4" w:rsidP="006D56C4">
      <w:pPr>
        <w:adjustRightInd w:val="0"/>
        <w:snapToGrid w:val="0"/>
        <w:spacing w:after="0"/>
        <w:ind w:left="720"/>
        <w:rPr>
          <w:rFonts w:ascii="Times New Roman" w:hAnsi="Times New Roman"/>
          <w:lang w:eastAsia="ko-KR"/>
        </w:rPr>
      </w:pPr>
    </w:p>
    <w:p w14:paraId="192C51F6" w14:textId="77777777" w:rsidR="006D56C4" w:rsidRPr="006D56C4" w:rsidRDefault="006D56C4" w:rsidP="0074425A">
      <w:pPr>
        <w:numPr>
          <w:ilvl w:val="0"/>
          <w:numId w:val="71"/>
        </w:numPr>
        <w:adjustRightInd w:val="0"/>
        <w:snapToGrid w:val="0"/>
        <w:spacing w:after="0"/>
        <w:ind w:left="2160"/>
        <w:rPr>
          <w:rFonts w:ascii="Times New Roman" w:hAnsi="Times New Roman"/>
          <w:b/>
        </w:rPr>
      </w:pPr>
      <w:r w:rsidRPr="006D56C4">
        <w:rPr>
          <w:rFonts w:ascii="Times New Roman" w:hAnsi="Times New Roman"/>
          <w:b/>
        </w:rPr>
        <w:t>CLOSE OF MEETING</w:t>
      </w:r>
    </w:p>
    <w:p w14:paraId="3DB3E8F4" w14:textId="143EFC31" w:rsidR="006D56C4" w:rsidRDefault="006D56C4">
      <w:pPr>
        <w:spacing w:after="0"/>
        <w:jc w:val="left"/>
        <w:rPr>
          <w:rFonts w:ascii="Times New Roman" w:hAnsi="Times New Roman"/>
          <w:lang w:val="en-AU"/>
        </w:rPr>
      </w:pPr>
      <w:r>
        <w:rPr>
          <w:rFonts w:ascii="Times New Roman" w:hAnsi="Times New Roman"/>
          <w:lang w:val="en-AU"/>
        </w:rPr>
        <w:br w:type="page"/>
      </w:r>
    </w:p>
    <w:p w14:paraId="3EEB253A" w14:textId="67F6CB1F" w:rsidR="006D56C4" w:rsidRDefault="006D56C4" w:rsidP="006D56C4">
      <w:pPr>
        <w:autoSpaceDE w:val="0"/>
        <w:autoSpaceDN w:val="0"/>
        <w:adjustRightInd w:val="0"/>
        <w:snapToGrid w:val="0"/>
        <w:spacing w:after="0"/>
        <w:jc w:val="right"/>
        <w:rPr>
          <w:rFonts w:ascii="Times New Roman" w:hAnsi="Times New Roman"/>
          <w:b/>
          <w:bCs/>
          <w:lang w:val="en-AU" w:eastAsia="en-NZ"/>
        </w:rPr>
      </w:pPr>
      <w:r>
        <w:rPr>
          <w:rFonts w:ascii="Times New Roman" w:hAnsi="Times New Roman"/>
          <w:b/>
          <w:bCs/>
          <w:lang w:val="en-AU" w:eastAsia="en-NZ"/>
        </w:rPr>
        <w:t>Attachment E</w:t>
      </w:r>
    </w:p>
    <w:p w14:paraId="5DFFFE9B" w14:textId="77777777" w:rsidR="006D56C4" w:rsidRDefault="006D56C4" w:rsidP="006D56C4">
      <w:pPr>
        <w:autoSpaceDE w:val="0"/>
        <w:autoSpaceDN w:val="0"/>
        <w:adjustRightInd w:val="0"/>
        <w:snapToGrid w:val="0"/>
        <w:spacing w:after="0"/>
        <w:jc w:val="center"/>
        <w:rPr>
          <w:rFonts w:ascii="Times New Roman" w:hAnsi="Times New Roman"/>
          <w:b/>
          <w:bCs/>
          <w:lang w:val="en-AU" w:eastAsia="en-NZ"/>
        </w:rPr>
      </w:pPr>
    </w:p>
    <w:p w14:paraId="40D77220"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en-NZ"/>
        </w:rPr>
      </w:pPr>
      <w:r w:rsidRPr="009C2ADD">
        <w:rPr>
          <w:rFonts w:ascii="Times New Roman" w:hAnsi="Times New Roman"/>
          <w:b/>
          <w:bCs/>
          <w:lang w:val="en-AU" w:eastAsia="en-NZ"/>
        </w:rPr>
        <w:t xml:space="preserve">The Commission for the Conservation and Management of </w:t>
      </w:r>
      <w:r w:rsidRPr="009C2ADD">
        <w:rPr>
          <w:rFonts w:ascii="Times New Roman" w:hAnsi="Times New Roman"/>
          <w:b/>
          <w:bCs/>
          <w:lang w:val="en-AU" w:eastAsia="en-NZ"/>
        </w:rPr>
        <w:br/>
        <w:t xml:space="preserve">Highly Migratory </w:t>
      </w:r>
      <w:r w:rsidRPr="00213E61">
        <w:rPr>
          <w:rFonts w:ascii="Times New Roman" w:hAnsi="Times New Roman"/>
          <w:b/>
          <w:bCs/>
          <w:lang w:val="en-AU" w:eastAsia="en-NZ"/>
        </w:rPr>
        <w:t>Fish Stocks in the Western and Central Pacific Ocean</w:t>
      </w:r>
    </w:p>
    <w:p w14:paraId="24420C18"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 xml:space="preserve">Scientific Committee </w:t>
      </w:r>
    </w:p>
    <w:p w14:paraId="14D6BFBA" w14:textId="77777777" w:rsidR="006D56C4" w:rsidRPr="00213E61" w:rsidRDefault="006D56C4" w:rsidP="006D56C4">
      <w:pPr>
        <w:autoSpaceDE w:val="0"/>
        <w:autoSpaceDN w:val="0"/>
        <w:adjustRightInd w:val="0"/>
        <w:snapToGrid w:val="0"/>
        <w:spacing w:after="0"/>
        <w:jc w:val="center"/>
        <w:rPr>
          <w:rFonts w:ascii="Times New Roman" w:hAnsi="Times New Roman"/>
          <w:b/>
          <w:bCs/>
          <w:lang w:val="en-AU" w:eastAsia="ko-KR"/>
        </w:rPr>
      </w:pPr>
      <w:r w:rsidRPr="00213E61">
        <w:rPr>
          <w:rFonts w:ascii="Times New Roman" w:hAnsi="Times New Roman"/>
          <w:b/>
          <w:bCs/>
          <w:lang w:val="en-AU" w:eastAsia="en-NZ"/>
        </w:rPr>
        <w:t>Thirteenth Regular Session</w:t>
      </w:r>
    </w:p>
    <w:p w14:paraId="0D85EF3B" w14:textId="77777777" w:rsidR="006D56C4" w:rsidRPr="00213E61" w:rsidRDefault="006D56C4" w:rsidP="006D56C4">
      <w:pPr>
        <w:autoSpaceDE w:val="0"/>
        <w:autoSpaceDN w:val="0"/>
        <w:adjustRightInd w:val="0"/>
        <w:snapToGrid w:val="0"/>
        <w:spacing w:after="0"/>
        <w:jc w:val="center"/>
        <w:rPr>
          <w:rFonts w:ascii="Times New Roman" w:hAnsi="Times New Roman"/>
          <w:bCs/>
          <w:lang w:val="en-AU" w:eastAsia="en-NZ"/>
        </w:rPr>
      </w:pPr>
      <w:r w:rsidRPr="00213E61">
        <w:rPr>
          <w:rFonts w:ascii="Times New Roman" w:hAnsi="Times New Roman"/>
          <w:bCs/>
          <w:lang w:val="en-AU" w:eastAsia="en-NZ"/>
        </w:rPr>
        <w:t>Rarotonga, Cook Islands</w:t>
      </w:r>
      <w:r w:rsidRPr="00213E61">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6D56C4" w:rsidRPr="006D56C4" w14:paraId="7695F43E" w14:textId="77777777" w:rsidTr="0021261B">
        <w:tc>
          <w:tcPr>
            <w:tcW w:w="9576" w:type="dxa"/>
            <w:tcBorders>
              <w:top w:val="single" w:sz="12" w:space="0" w:color="auto"/>
              <w:left w:val="nil"/>
              <w:bottom w:val="single" w:sz="12" w:space="0" w:color="auto"/>
              <w:right w:val="nil"/>
            </w:tcBorders>
            <w:hideMark/>
          </w:tcPr>
          <w:p w14:paraId="33F3E43D" w14:textId="77777777" w:rsidR="0021261B" w:rsidRDefault="0021261B" w:rsidP="0021261B">
            <w:pPr>
              <w:adjustRightInd w:val="0"/>
              <w:snapToGrid w:val="0"/>
              <w:spacing w:after="0"/>
              <w:jc w:val="center"/>
              <w:rPr>
                <w:rFonts w:ascii="Times New Roman" w:hAnsi="Times New Roman"/>
                <w:b/>
                <w:lang w:val="en-US"/>
              </w:rPr>
            </w:pPr>
            <w:r w:rsidRPr="00321BBC">
              <w:rPr>
                <w:rFonts w:ascii="Times New Roman" w:hAnsi="Times New Roman"/>
                <w:b/>
                <w:lang w:val="en-US"/>
              </w:rPr>
              <w:t xml:space="preserve">Report of the </w:t>
            </w:r>
            <w:r>
              <w:rPr>
                <w:rFonts w:ascii="Times New Roman" w:hAnsi="Times New Roman"/>
                <w:b/>
                <w:lang w:val="en-US"/>
              </w:rPr>
              <w:t>ISG-02</w:t>
            </w:r>
          </w:p>
          <w:p w14:paraId="663767CC" w14:textId="2E87B680" w:rsidR="006D56C4" w:rsidRPr="006D56C4" w:rsidRDefault="0021261B" w:rsidP="0021261B">
            <w:pPr>
              <w:adjustRightInd w:val="0"/>
              <w:snapToGrid w:val="0"/>
              <w:spacing w:after="0"/>
              <w:jc w:val="center"/>
              <w:rPr>
                <w:rFonts w:ascii="Times New Roman" w:eastAsia="맑은 고딕" w:hAnsi="Times New Roman"/>
                <w:b/>
                <w:lang w:val="en-AU" w:eastAsia="ko-KR"/>
              </w:rPr>
            </w:pPr>
            <w:r w:rsidRPr="00321BBC">
              <w:rPr>
                <w:rFonts w:ascii="Times New Roman" w:hAnsi="Times New Roman"/>
                <w:b/>
                <w:lang w:val="en-US"/>
              </w:rPr>
              <w:t>FAD data fields and FAD Research Plan</w:t>
            </w:r>
          </w:p>
        </w:tc>
      </w:tr>
    </w:tbl>
    <w:p w14:paraId="71C7E761" w14:textId="77777777" w:rsidR="006D56C4" w:rsidRPr="006D56C4" w:rsidRDefault="006D56C4" w:rsidP="006D56C4">
      <w:pPr>
        <w:autoSpaceDE w:val="0"/>
        <w:autoSpaceDN w:val="0"/>
        <w:adjustRightInd w:val="0"/>
        <w:snapToGrid w:val="0"/>
        <w:spacing w:after="0"/>
        <w:rPr>
          <w:rFonts w:ascii="Times New Roman" w:hAnsi="Times New Roman"/>
          <w:lang w:val="en-AU"/>
        </w:rPr>
      </w:pPr>
    </w:p>
    <w:p w14:paraId="4903D5A9" w14:textId="77777777" w:rsidR="0021261B" w:rsidRPr="00321BBC" w:rsidRDefault="0021261B" w:rsidP="0021261B">
      <w:pPr>
        <w:adjustRightInd w:val="0"/>
        <w:snapToGrid w:val="0"/>
        <w:spacing w:after="0"/>
        <w:rPr>
          <w:rFonts w:ascii="Times New Roman" w:hAnsi="Times New Roman"/>
          <w:b/>
          <w:lang w:val="en-US"/>
        </w:rPr>
      </w:pPr>
    </w:p>
    <w:p w14:paraId="33289401" w14:textId="77777777" w:rsidR="0021261B" w:rsidRPr="00321BBC" w:rsidRDefault="0021261B" w:rsidP="0021261B">
      <w:pPr>
        <w:adjustRightInd w:val="0"/>
        <w:snapToGrid w:val="0"/>
        <w:spacing w:after="0"/>
        <w:rPr>
          <w:rFonts w:ascii="Times New Roman" w:eastAsia="Calibri" w:hAnsi="Times New Roman"/>
          <w:b/>
          <w:lang w:val="en-US"/>
        </w:rPr>
      </w:pPr>
      <w:r w:rsidRPr="00321BBC">
        <w:rPr>
          <w:rFonts w:ascii="Times New Roman" w:eastAsia="Calibri" w:hAnsi="Times New Roman"/>
          <w:b/>
          <w:lang w:val="en-US"/>
        </w:rPr>
        <w:t>Terms of Reference:</w:t>
      </w:r>
    </w:p>
    <w:p w14:paraId="36C2BB83" w14:textId="77777777" w:rsidR="0021261B" w:rsidRDefault="0021261B" w:rsidP="0021261B">
      <w:pPr>
        <w:adjustRightInd w:val="0"/>
        <w:snapToGrid w:val="0"/>
        <w:spacing w:after="0"/>
        <w:ind w:left="720"/>
        <w:rPr>
          <w:rFonts w:ascii="Times New Roman" w:eastAsia="Calibri" w:hAnsi="Times New Roman"/>
          <w:lang w:val="en-US"/>
        </w:rPr>
      </w:pPr>
    </w:p>
    <w:p w14:paraId="67A05F90" w14:textId="77777777" w:rsidR="0021261B" w:rsidRPr="00321BBC" w:rsidRDefault="0021261B" w:rsidP="0074425A">
      <w:pPr>
        <w:numPr>
          <w:ilvl w:val="0"/>
          <w:numId w:val="104"/>
        </w:numPr>
        <w:adjustRightInd w:val="0"/>
        <w:snapToGrid w:val="0"/>
        <w:spacing w:after="0"/>
        <w:jc w:val="left"/>
        <w:rPr>
          <w:rFonts w:ascii="Times New Roman" w:eastAsia="Calibri" w:hAnsi="Times New Roman"/>
          <w:lang w:val="en-US"/>
        </w:rPr>
      </w:pPr>
      <w:r w:rsidRPr="00321BBC">
        <w:rPr>
          <w:rFonts w:ascii="Times New Roman" w:eastAsia="Calibri" w:hAnsi="Times New Roman"/>
          <w:lang w:val="en-US"/>
        </w:rPr>
        <w:t>Additional FAD data fields to be provided by vessel operators [3.2.1]</w:t>
      </w:r>
    </w:p>
    <w:p w14:paraId="0E7F0263" w14:textId="77777777" w:rsidR="0021261B" w:rsidRPr="00321BBC" w:rsidRDefault="0021261B" w:rsidP="0074425A">
      <w:pPr>
        <w:numPr>
          <w:ilvl w:val="0"/>
          <w:numId w:val="104"/>
        </w:numPr>
        <w:adjustRightInd w:val="0"/>
        <w:snapToGrid w:val="0"/>
        <w:spacing w:after="0"/>
        <w:jc w:val="left"/>
        <w:rPr>
          <w:rFonts w:ascii="Times New Roman" w:eastAsia="Calibri" w:hAnsi="Times New Roman"/>
          <w:lang w:val="en-US"/>
        </w:rPr>
      </w:pPr>
      <w:r w:rsidRPr="00321BBC">
        <w:rPr>
          <w:rFonts w:ascii="Times New Roman" w:eastAsia="Calibri" w:hAnsi="Times New Roman"/>
          <w:lang w:val="en-US"/>
        </w:rPr>
        <w:t>FAD marking and monitoring [3.2.2]</w:t>
      </w:r>
    </w:p>
    <w:p w14:paraId="398B5918" w14:textId="77777777" w:rsidR="0021261B" w:rsidRPr="00321BBC" w:rsidRDefault="0021261B" w:rsidP="0074425A">
      <w:pPr>
        <w:numPr>
          <w:ilvl w:val="0"/>
          <w:numId w:val="104"/>
        </w:numPr>
        <w:adjustRightInd w:val="0"/>
        <w:snapToGrid w:val="0"/>
        <w:spacing w:after="0"/>
        <w:jc w:val="left"/>
        <w:rPr>
          <w:rFonts w:ascii="Times New Roman" w:eastAsia="Calibri" w:hAnsi="Times New Roman"/>
          <w:lang w:val="en-US"/>
        </w:rPr>
      </w:pPr>
      <w:r w:rsidRPr="00321BBC">
        <w:rPr>
          <w:rFonts w:ascii="Times New Roman" w:eastAsia="Calibri" w:hAnsi="Times New Roman"/>
          <w:lang w:val="en-US"/>
        </w:rPr>
        <w:t>Review of ROP minimum standards data fields [3.3.2]</w:t>
      </w:r>
    </w:p>
    <w:p w14:paraId="31E5D259" w14:textId="77777777" w:rsidR="0021261B" w:rsidRPr="00321BBC" w:rsidRDefault="0021261B" w:rsidP="0074425A">
      <w:pPr>
        <w:numPr>
          <w:ilvl w:val="0"/>
          <w:numId w:val="104"/>
        </w:numPr>
        <w:adjustRightInd w:val="0"/>
        <w:snapToGrid w:val="0"/>
        <w:spacing w:after="0"/>
        <w:jc w:val="left"/>
        <w:rPr>
          <w:rFonts w:ascii="Times New Roman" w:eastAsia="Calibri" w:hAnsi="Times New Roman"/>
          <w:lang w:val="en-US"/>
        </w:rPr>
      </w:pPr>
      <w:r w:rsidRPr="00321BBC">
        <w:rPr>
          <w:rFonts w:ascii="Times New Roman" w:eastAsia="Calibri" w:hAnsi="Times New Roman"/>
          <w:lang w:val="en-US"/>
        </w:rPr>
        <w:t>FAD Research Plan [6.1.3.2]</w:t>
      </w:r>
    </w:p>
    <w:p w14:paraId="58C377FF" w14:textId="77777777" w:rsidR="0021261B" w:rsidRPr="00321BBC" w:rsidRDefault="0021261B" w:rsidP="0021261B">
      <w:pPr>
        <w:adjustRightInd w:val="0"/>
        <w:snapToGrid w:val="0"/>
        <w:spacing w:after="0"/>
        <w:ind w:left="720"/>
        <w:rPr>
          <w:rFonts w:ascii="Times New Roman" w:eastAsia="Calibri" w:hAnsi="Times New Roman"/>
          <w:lang w:val="en-US"/>
        </w:rPr>
      </w:pPr>
    </w:p>
    <w:p w14:paraId="5DDF5F68" w14:textId="77777777" w:rsidR="0021261B" w:rsidRPr="00321BBC" w:rsidRDefault="0021261B" w:rsidP="0021261B">
      <w:pPr>
        <w:adjustRightInd w:val="0"/>
        <w:snapToGrid w:val="0"/>
        <w:spacing w:after="0"/>
        <w:rPr>
          <w:rFonts w:ascii="Times New Roman" w:eastAsia="Calibri" w:hAnsi="Times New Roman"/>
          <w:b/>
          <w:lang w:val="en-US"/>
        </w:rPr>
      </w:pPr>
      <w:r w:rsidRPr="00321BBC">
        <w:rPr>
          <w:rFonts w:ascii="Times New Roman" w:eastAsia="Calibri" w:hAnsi="Times New Roman"/>
          <w:b/>
          <w:lang w:val="en-US"/>
        </w:rPr>
        <w:t>Relevant papers:</w:t>
      </w:r>
    </w:p>
    <w:p w14:paraId="5D5BF697" w14:textId="77777777" w:rsidR="0021261B" w:rsidRDefault="0021261B" w:rsidP="0021261B">
      <w:pPr>
        <w:adjustRightInd w:val="0"/>
        <w:snapToGrid w:val="0"/>
        <w:spacing w:after="0"/>
        <w:ind w:left="720"/>
        <w:rPr>
          <w:rFonts w:ascii="Times New Roman" w:eastAsia="Calibri" w:hAnsi="Times New Roman"/>
          <w:lang w:val="en-US"/>
        </w:rPr>
      </w:pPr>
    </w:p>
    <w:p w14:paraId="2C0FE895" w14:textId="77777777" w:rsidR="0021261B" w:rsidRPr="00321BBC" w:rsidRDefault="0021261B" w:rsidP="0074425A">
      <w:pPr>
        <w:numPr>
          <w:ilvl w:val="0"/>
          <w:numId w:val="103"/>
        </w:numPr>
        <w:adjustRightInd w:val="0"/>
        <w:snapToGrid w:val="0"/>
        <w:spacing w:after="0"/>
        <w:rPr>
          <w:rFonts w:ascii="Times New Roman" w:eastAsia="Calibri" w:hAnsi="Times New Roman"/>
          <w:lang w:val="en-US"/>
        </w:rPr>
      </w:pPr>
      <w:r w:rsidRPr="00321BBC">
        <w:rPr>
          <w:rFonts w:ascii="Times New Roman" w:eastAsia="Calibri" w:hAnsi="Times New Roman"/>
          <w:lang w:val="en-US"/>
        </w:rPr>
        <w:t xml:space="preserve">SC13-FADMgmtOptionsIWG-01 ‘Monitoring of FADs Deployed and Encountered in the WCPO’ </w:t>
      </w:r>
    </w:p>
    <w:p w14:paraId="795A5AEA" w14:textId="77777777" w:rsidR="0021261B" w:rsidRPr="00321BBC" w:rsidRDefault="0021261B" w:rsidP="0074425A">
      <w:pPr>
        <w:numPr>
          <w:ilvl w:val="0"/>
          <w:numId w:val="103"/>
        </w:numPr>
        <w:adjustRightInd w:val="0"/>
        <w:snapToGrid w:val="0"/>
        <w:spacing w:after="0"/>
        <w:rPr>
          <w:rFonts w:ascii="Times New Roman" w:eastAsia="Calibri" w:hAnsi="Times New Roman"/>
          <w:lang w:val="en-US"/>
        </w:rPr>
      </w:pPr>
      <w:r w:rsidRPr="00321BBC">
        <w:rPr>
          <w:rFonts w:ascii="Times New Roman" w:eastAsia="Calibri" w:hAnsi="Times New Roman"/>
          <w:lang w:val="en-US"/>
        </w:rPr>
        <w:t xml:space="preserve">SC13-FADMgmtOptionsIWG-02 ‘2nd Meeting of the FAD Management Options Intersessional Working Group Summary Report’ </w:t>
      </w:r>
    </w:p>
    <w:p w14:paraId="1A5ECB74" w14:textId="77777777" w:rsidR="0021261B" w:rsidRPr="00321BBC" w:rsidRDefault="0021261B" w:rsidP="0074425A">
      <w:pPr>
        <w:numPr>
          <w:ilvl w:val="0"/>
          <w:numId w:val="103"/>
        </w:numPr>
        <w:adjustRightInd w:val="0"/>
        <w:snapToGrid w:val="0"/>
        <w:spacing w:after="0"/>
        <w:rPr>
          <w:rFonts w:ascii="Times New Roman" w:eastAsia="Calibri" w:hAnsi="Times New Roman"/>
          <w:lang w:val="en-US"/>
        </w:rPr>
      </w:pPr>
      <w:r w:rsidRPr="00321BBC">
        <w:rPr>
          <w:rFonts w:ascii="Times New Roman" w:eastAsia="Calibri" w:hAnsi="Times New Roman"/>
          <w:lang w:val="en-US"/>
        </w:rPr>
        <w:t>SC13-ST-WP-06 ‘FAD Data To Be Provided By Observers’</w:t>
      </w:r>
    </w:p>
    <w:p w14:paraId="41AFF223" w14:textId="77777777" w:rsidR="0021261B" w:rsidRPr="00321BBC" w:rsidRDefault="0021261B" w:rsidP="0074425A">
      <w:pPr>
        <w:numPr>
          <w:ilvl w:val="0"/>
          <w:numId w:val="103"/>
        </w:numPr>
        <w:adjustRightInd w:val="0"/>
        <w:snapToGrid w:val="0"/>
        <w:spacing w:after="0"/>
        <w:rPr>
          <w:rFonts w:ascii="Times New Roman" w:eastAsia="Calibri" w:hAnsi="Times New Roman"/>
          <w:lang w:val="en-US"/>
        </w:rPr>
      </w:pPr>
      <w:r w:rsidRPr="00321BBC">
        <w:rPr>
          <w:rFonts w:ascii="Times New Roman" w:eastAsia="Calibri" w:hAnsi="Times New Roman"/>
          <w:lang w:val="en-US"/>
        </w:rPr>
        <w:t xml:space="preserve">SC13-EB-WP-02 ‘Review of research into drifting FAD designs to reduce bycatch entanglement and bigeye/yellowfin interactions’ </w:t>
      </w:r>
    </w:p>
    <w:p w14:paraId="15E9101E" w14:textId="77777777" w:rsidR="0021261B" w:rsidRPr="00321BBC" w:rsidRDefault="0021261B" w:rsidP="0074425A">
      <w:pPr>
        <w:numPr>
          <w:ilvl w:val="0"/>
          <w:numId w:val="103"/>
        </w:numPr>
        <w:adjustRightInd w:val="0"/>
        <w:snapToGrid w:val="0"/>
        <w:spacing w:after="0"/>
        <w:rPr>
          <w:rFonts w:ascii="Times New Roman" w:eastAsia="Calibri" w:hAnsi="Times New Roman"/>
          <w:lang w:val="en-US"/>
        </w:rPr>
      </w:pPr>
      <w:r w:rsidRPr="00321BBC">
        <w:rPr>
          <w:rFonts w:ascii="Times New Roman" w:eastAsia="Calibri" w:hAnsi="Times New Roman"/>
          <w:lang w:val="en-US"/>
        </w:rPr>
        <w:t xml:space="preserve">SC13-EB-WP-05: Project proposals related to purse seine FAD use within the WCPO, as requested by the WCPFC FAD Intersessional Working Group </w:t>
      </w:r>
    </w:p>
    <w:p w14:paraId="291C1BDA" w14:textId="77777777" w:rsidR="0021261B" w:rsidRPr="00321BBC" w:rsidRDefault="0021261B" w:rsidP="0021261B">
      <w:pPr>
        <w:adjustRightInd w:val="0"/>
        <w:snapToGrid w:val="0"/>
        <w:spacing w:after="0"/>
        <w:rPr>
          <w:rFonts w:ascii="Times New Roman" w:eastAsia="Calibri" w:hAnsi="Times New Roman"/>
          <w:lang w:val="en-US"/>
        </w:rPr>
      </w:pPr>
    </w:p>
    <w:p w14:paraId="36654294" w14:textId="77777777" w:rsidR="0021261B" w:rsidRPr="00321BBC" w:rsidRDefault="0021261B" w:rsidP="0021261B">
      <w:pPr>
        <w:adjustRightInd w:val="0"/>
        <w:snapToGrid w:val="0"/>
        <w:spacing w:after="0"/>
        <w:rPr>
          <w:rFonts w:ascii="Times New Roman" w:eastAsia="Calibri" w:hAnsi="Times New Roman"/>
          <w:b/>
          <w:lang w:val="en-US"/>
        </w:rPr>
      </w:pPr>
      <w:r>
        <w:rPr>
          <w:rFonts w:ascii="Times New Roman" w:eastAsia="Calibri" w:hAnsi="Times New Roman"/>
          <w:b/>
          <w:lang w:val="en-US"/>
        </w:rPr>
        <w:t xml:space="preserve">Agenda 3.2.1 </w:t>
      </w:r>
      <w:r>
        <w:rPr>
          <w:rFonts w:ascii="Times New Roman" w:eastAsia="Calibri" w:hAnsi="Times New Roman"/>
          <w:b/>
          <w:lang w:val="en-US"/>
        </w:rPr>
        <w:tab/>
      </w:r>
      <w:r w:rsidRPr="00321BBC">
        <w:rPr>
          <w:rFonts w:ascii="Times New Roman" w:eastAsia="Calibri" w:hAnsi="Times New Roman"/>
          <w:b/>
          <w:lang w:val="en-US"/>
        </w:rPr>
        <w:t>Additional FAD data fields to be prov</w:t>
      </w:r>
      <w:r>
        <w:rPr>
          <w:rFonts w:ascii="Times New Roman" w:eastAsia="Calibri" w:hAnsi="Times New Roman"/>
          <w:b/>
          <w:lang w:val="en-US"/>
        </w:rPr>
        <w:t>ided by vessel operators</w:t>
      </w:r>
    </w:p>
    <w:p w14:paraId="65B7ED13" w14:textId="77777777" w:rsidR="0021261B" w:rsidRDefault="0021261B" w:rsidP="0021261B">
      <w:pPr>
        <w:adjustRightInd w:val="0"/>
        <w:snapToGrid w:val="0"/>
        <w:spacing w:after="0"/>
        <w:rPr>
          <w:rFonts w:ascii="Times New Roman" w:hAnsi="Times New Roman"/>
          <w:lang w:val="en-US"/>
        </w:rPr>
      </w:pPr>
    </w:p>
    <w:p w14:paraId="5C0ECC6A" w14:textId="77777777" w:rsidR="0021261B"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The Commission requested SC13 to consider the outcomes of the 2nd FADMgmtOptions-IWG, in particular to the FAD data fields to be provided by vessel operators, taking into account the data fields for provision of FAD data by vessel operators by the IATTC.</w:t>
      </w:r>
    </w:p>
    <w:p w14:paraId="3EC4E888" w14:textId="77777777" w:rsidR="0021261B" w:rsidRPr="00321BBC" w:rsidRDefault="0021261B" w:rsidP="0021261B">
      <w:pPr>
        <w:adjustRightInd w:val="0"/>
        <w:snapToGrid w:val="0"/>
        <w:spacing w:after="0"/>
        <w:ind w:left="708"/>
        <w:rPr>
          <w:rFonts w:ascii="Times New Roman" w:hAnsi="Times New Roman"/>
          <w:lang w:val="en-US"/>
        </w:rPr>
      </w:pPr>
    </w:p>
    <w:p w14:paraId="23198412" w14:textId="77777777" w:rsidR="0021261B"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 xml:space="preserve">SC13 recommended that the operators of all vessels involved in FAD fishery, including support vessels, provide as a minimum the fields of information identified in Attachment C of the report of the 2nd meeting of the FAD management options intersessional Working Group (WCPFC-2016-FADMgmtOptionsIWG021_rev2). </w:t>
      </w:r>
    </w:p>
    <w:p w14:paraId="24EC7823" w14:textId="77777777" w:rsidR="0021261B" w:rsidRPr="00321BBC" w:rsidRDefault="0021261B" w:rsidP="0021261B">
      <w:pPr>
        <w:adjustRightInd w:val="0"/>
        <w:snapToGrid w:val="0"/>
        <w:spacing w:after="0"/>
        <w:ind w:left="708"/>
        <w:rPr>
          <w:rFonts w:ascii="Times New Roman" w:hAnsi="Times New Roman"/>
          <w:b/>
          <w:lang w:val="en-US"/>
        </w:rPr>
      </w:pPr>
    </w:p>
    <w:p w14:paraId="1EC9A923" w14:textId="78C77ECD" w:rsidR="0021261B"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SC13 further recommended that the WCPFC Secretariat, together with SPC and other interest parties prepare the set of data fields to be provided by vessel operators and coordinate with the IATTC staff to try to harmonize the minimum standards to be required across the Pacific Ocean. Special attention should be paid to avoid duplications of information by vessel operators and/or an increase of unnecessary paperwork.</w:t>
      </w:r>
    </w:p>
    <w:p w14:paraId="396A7610" w14:textId="77777777" w:rsidR="0021261B" w:rsidRPr="00321BBC" w:rsidRDefault="0021261B" w:rsidP="0021261B">
      <w:pPr>
        <w:adjustRightInd w:val="0"/>
        <w:snapToGrid w:val="0"/>
        <w:spacing w:after="0"/>
        <w:ind w:left="708"/>
        <w:rPr>
          <w:rFonts w:ascii="Times New Roman" w:hAnsi="Times New Roman"/>
          <w:b/>
          <w:lang w:val="en-US"/>
        </w:rPr>
      </w:pPr>
    </w:p>
    <w:p w14:paraId="44400F31" w14:textId="77777777" w:rsidR="0021261B" w:rsidRPr="00321BBC"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SC13 recommended that the proposed fields to be collected by vessel operators be forwarded to TCC13 for review and WCPFC14 for adoption.</w:t>
      </w:r>
    </w:p>
    <w:p w14:paraId="68939A4C" w14:textId="77777777" w:rsidR="0021261B" w:rsidRPr="00321BBC" w:rsidRDefault="0021261B" w:rsidP="0021261B">
      <w:pPr>
        <w:adjustRightInd w:val="0"/>
        <w:snapToGrid w:val="0"/>
        <w:spacing w:after="0"/>
        <w:rPr>
          <w:rFonts w:ascii="Times New Roman" w:hAnsi="Times New Roman"/>
          <w:b/>
          <w:lang w:val="en-US"/>
        </w:rPr>
      </w:pPr>
    </w:p>
    <w:p w14:paraId="01934B1A" w14:textId="77777777" w:rsidR="0021261B" w:rsidRDefault="0021261B" w:rsidP="0021261B">
      <w:pPr>
        <w:adjustRightInd w:val="0"/>
        <w:snapToGrid w:val="0"/>
        <w:spacing w:after="0"/>
        <w:rPr>
          <w:rFonts w:ascii="Times New Roman" w:hAnsi="Times New Roman"/>
          <w:b/>
          <w:lang w:val="en-US"/>
        </w:rPr>
      </w:pPr>
      <w:r>
        <w:rPr>
          <w:rFonts w:ascii="Times New Roman" w:hAnsi="Times New Roman"/>
          <w:b/>
          <w:lang w:val="en-US"/>
        </w:rPr>
        <w:t>Agenda 3.2.2</w:t>
      </w:r>
      <w:r>
        <w:rPr>
          <w:rFonts w:ascii="Times New Roman" w:hAnsi="Times New Roman"/>
          <w:b/>
          <w:lang w:val="en-US"/>
        </w:rPr>
        <w:tab/>
      </w:r>
      <w:r w:rsidRPr="00321BBC">
        <w:rPr>
          <w:rFonts w:ascii="Times New Roman" w:hAnsi="Times New Roman"/>
          <w:b/>
          <w:lang w:val="en-US"/>
        </w:rPr>
        <w:t>FA</w:t>
      </w:r>
      <w:r>
        <w:rPr>
          <w:rFonts w:ascii="Times New Roman" w:hAnsi="Times New Roman"/>
          <w:b/>
          <w:lang w:val="en-US"/>
        </w:rPr>
        <w:t>D marking and monitoring</w:t>
      </w:r>
    </w:p>
    <w:p w14:paraId="0AB4D0BB" w14:textId="77777777" w:rsidR="0021261B" w:rsidRPr="00321BBC" w:rsidRDefault="0021261B" w:rsidP="0021261B">
      <w:pPr>
        <w:adjustRightInd w:val="0"/>
        <w:snapToGrid w:val="0"/>
        <w:spacing w:after="0"/>
        <w:rPr>
          <w:rFonts w:ascii="Times New Roman" w:hAnsi="Times New Roman"/>
          <w:b/>
          <w:lang w:val="en-US"/>
        </w:rPr>
      </w:pPr>
    </w:p>
    <w:p w14:paraId="55B856D2" w14:textId="77777777" w:rsidR="0021261B"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SC13 has been requested to consider the consultancy report on options of implementing a marking and identification system for FADs in the WCPO (</w:t>
      </w:r>
      <w:r w:rsidRPr="00321BBC">
        <w:rPr>
          <w:rFonts w:ascii="Times New Roman" w:eastAsia="Calibri" w:hAnsi="Times New Roman"/>
          <w:lang w:val="en-US"/>
        </w:rPr>
        <w:t>SC13-FADMgmtOptionsIWG-01</w:t>
      </w:r>
      <w:r w:rsidRPr="00321BBC">
        <w:rPr>
          <w:rFonts w:ascii="Times New Roman" w:hAnsi="Times New Roman"/>
          <w:lang w:val="en-US"/>
        </w:rPr>
        <w:t>) and provide recommendations as appropriate.</w:t>
      </w:r>
    </w:p>
    <w:p w14:paraId="1BE7A72C" w14:textId="77777777" w:rsidR="0021261B" w:rsidRPr="00321BBC" w:rsidRDefault="0021261B" w:rsidP="0021261B">
      <w:pPr>
        <w:adjustRightInd w:val="0"/>
        <w:snapToGrid w:val="0"/>
        <w:spacing w:after="0"/>
        <w:ind w:left="708"/>
        <w:rPr>
          <w:rFonts w:ascii="Times New Roman" w:hAnsi="Times New Roman"/>
          <w:lang w:val="en-US"/>
        </w:rPr>
      </w:pPr>
    </w:p>
    <w:p w14:paraId="2104FBEF" w14:textId="77777777" w:rsidR="0021261B" w:rsidRPr="00321BBC"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SC13 recommended as a first step the COM should consider introducing a buoy ID scheme which requires the registration of all buoys attached to FADs deployed. Field tests in conjunction with industry and observers should be undertaken to determine the optimal configuration of future developments of a fully marking system that also includes the FADs themselves.</w:t>
      </w:r>
    </w:p>
    <w:p w14:paraId="5741B519" w14:textId="77777777" w:rsidR="0021261B" w:rsidRPr="00321BBC" w:rsidRDefault="0021261B" w:rsidP="0021261B">
      <w:pPr>
        <w:adjustRightInd w:val="0"/>
        <w:snapToGrid w:val="0"/>
        <w:spacing w:after="0"/>
        <w:rPr>
          <w:rFonts w:ascii="Times New Roman" w:hAnsi="Times New Roman"/>
          <w:lang w:val="en-US"/>
        </w:rPr>
      </w:pPr>
    </w:p>
    <w:p w14:paraId="0ECD5F8B" w14:textId="77777777" w:rsidR="0021261B" w:rsidRDefault="0021261B" w:rsidP="0021261B">
      <w:pPr>
        <w:adjustRightInd w:val="0"/>
        <w:snapToGrid w:val="0"/>
        <w:spacing w:after="0"/>
        <w:rPr>
          <w:rFonts w:ascii="Times New Roman" w:hAnsi="Times New Roman"/>
          <w:b/>
          <w:lang w:val="en-US"/>
        </w:rPr>
      </w:pPr>
      <w:r>
        <w:rPr>
          <w:rFonts w:ascii="Times New Roman" w:hAnsi="Times New Roman"/>
          <w:b/>
          <w:lang w:val="en-US"/>
        </w:rPr>
        <w:t>Agenda 3.3.2</w:t>
      </w:r>
      <w:r>
        <w:rPr>
          <w:rFonts w:ascii="Times New Roman" w:hAnsi="Times New Roman"/>
          <w:b/>
          <w:lang w:val="en-US"/>
        </w:rPr>
        <w:tab/>
      </w:r>
      <w:r w:rsidRPr="00321BBC">
        <w:rPr>
          <w:rFonts w:ascii="Times New Roman" w:hAnsi="Times New Roman"/>
          <w:b/>
          <w:lang w:val="en-US"/>
        </w:rPr>
        <w:t>Review of ROP minim</w:t>
      </w:r>
      <w:r>
        <w:rPr>
          <w:rFonts w:ascii="Times New Roman" w:hAnsi="Times New Roman"/>
          <w:b/>
          <w:lang w:val="en-US"/>
        </w:rPr>
        <w:t>um standards data fields</w:t>
      </w:r>
    </w:p>
    <w:p w14:paraId="77D71AB4" w14:textId="77777777" w:rsidR="0021261B" w:rsidRPr="00321BBC" w:rsidRDefault="0021261B" w:rsidP="0021261B">
      <w:pPr>
        <w:adjustRightInd w:val="0"/>
        <w:snapToGrid w:val="0"/>
        <w:spacing w:after="0"/>
        <w:rPr>
          <w:rFonts w:ascii="Times New Roman" w:hAnsi="Times New Roman"/>
          <w:b/>
          <w:lang w:val="en-US"/>
        </w:rPr>
      </w:pPr>
    </w:p>
    <w:p w14:paraId="122868F9" w14:textId="77777777" w:rsidR="0021261B" w:rsidRPr="00321BBC"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The FADMgmtOptions-IWG recommended that the issue of data to be provided by observers be referred to SC13 and TCC13, and CCMs were encouraged to provide delegation papers on this aspect. Document ST-WP-06 ‘FAD Data To Be Provided By Observers’ proposed revisions to the WCPFC ROP Minimum Standard data Fields to reflect the decision of WCPFC12 that vessel operators should provide data on FAD design and construction and FAD activity.</w:t>
      </w:r>
    </w:p>
    <w:p w14:paraId="334FDC6B" w14:textId="77777777" w:rsidR="0021261B" w:rsidRDefault="0021261B" w:rsidP="0021261B">
      <w:pPr>
        <w:adjustRightInd w:val="0"/>
        <w:snapToGrid w:val="0"/>
        <w:spacing w:after="0"/>
        <w:ind w:left="708"/>
        <w:rPr>
          <w:rFonts w:ascii="Times New Roman" w:hAnsi="Times New Roman"/>
          <w:b/>
          <w:lang w:val="en-US"/>
        </w:rPr>
      </w:pPr>
    </w:p>
    <w:p w14:paraId="19C7C50C" w14:textId="77777777" w:rsidR="0021261B" w:rsidRPr="00321BBC"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SC13 recommended the following revisions to the ROP Minimum Standard Data Fields:</w:t>
      </w:r>
    </w:p>
    <w:p w14:paraId="1FDF1E79" w14:textId="77777777" w:rsidR="0021261B" w:rsidRPr="00321BBC" w:rsidRDefault="0021261B" w:rsidP="0074425A">
      <w:pPr>
        <w:pStyle w:val="ListParagraph"/>
        <w:numPr>
          <w:ilvl w:val="0"/>
          <w:numId w:val="105"/>
        </w:numPr>
        <w:adjustRightInd w:val="0"/>
        <w:snapToGrid w:val="0"/>
        <w:ind w:left="1428"/>
        <w:contextualSpacing w:val="0"/>
        <w:rPr>
          <w:rFonts w:ascii="Times New Roman" w:hAnsi="Times New Roman"/>
          <w:b/>
          <w:lang w:val="en-US"/>
        </w:rPr>
      </w:pPr>
      <w:r w:rsidRPr="00321BBC">
        <w:rPr>
          <w:rFonts w:ascii="Times New Roman" w:hAnsi="Times New Roman"/>
          <w:b/>
          <w:lang w:val="en-US"/>
        </w:rPr>
        <w:t>Addition of a new section “FAD Information” that will include inventories of the FAD buoys on board at the start and end of each trip.</w:t>
      </w:r>
    </w:p>
    <w:p w14:paraId="4DA0DBE0" w14:textId="77777777" w:rsidR="0021261B" w:rsidRPr="00321BBC" w:rsidRDefault="0021261B" w:rsidP="0074425A">
      <w:pPr>
        <w:pStyle w:val="ListParagraph"/>
        <w:numPr>
          <w:ilvl w:val="0"/>
          <w:numId w:val="105"/>
        </w:numPr>
        <w:adjustRightInd w:val="0"/>
        <w:snapToGrid w:val="0"/>
        <w:ind w:left="1428"/>
        <w:contextualSpacing w:val="0"/>
        <w:rPr>
          <w:rFonts w:ascii="Times New Roman" w:hAnsi="Times New Roman"/>
          <w:b/>
          <w:lang w:val="en-US"/>
        </w:rPr>
      </w:pPr>
      <w:r w:rsidRPr="00321BBC">
        <w:rPr>
          <w:rFonts w:ascii="Times New Roman" w:hAnsi="Times New Roman"/>
          <w:b/>
          <w:lang w:val="en-US"/>
        </w:rPr>
        <w:t xml:space="preserve">Addition of a new field for FAD Identification. </w:t>
      </w:r>
    </w:p>
    <w:p w14:paraId="2F200B00" w14:textId="77777777" w:rsidR="0021261B" w:rsidRPr="00321BBC" w:rsidRDefault="0021261B" w:rsidP="0074425A">
      <w:pPr>
        <w:pStyle w:val="ListParagraph"/>
        <w:numPr>
          <w:ilvl w:val="0"/>
          <w:numId w:val="105"/>
        </w:numPr>
        <w:adjustRightInd w:val="0"/>
        <w:snapToGrid w:val="0"/>
        <w:ind w:left="1428"/>
        <w:contextualSpacing w:val="0"/>
        <w:rPr>
          <w:rFonts w:ascii="Times New Roman" w:hAnsi="Times New Roman"/>
          <w:b/>
          <w:lang w:val="en-US"/>
        </w:rPr>
      </w:pPr>
      <w:r w:rsidRPr="00321BBC">
        <w:rPr>
          <w:rFonts w:ascii="Times New Roman" w:hAnsi="Times New Roman"/>
          <w:b/>
          <w:lang w:val="en-US"/>
        </w:rPr>
        <w:t>Deletion of FAD Data fields related to a) materials FAD is made from and b) estimated size of FAD</w:t>
      </w:r>
    </w:p>
    <w:p w14:paraId="7B52C4AE" w14:textId="77777777" w:rsidR="0021261B" w:rsidRDefault="0021261B" w:rsidP="0021261B">
      <w:pPr>
        <w:adjustRightInd w:val="0"/>
        <w:snapToGrid w:val="0"/>
        <w:spacing w:after="0"/>
        <w:ind w:left="708"/>
        <w:rPr>
          <w:rFonts w:ascii="Times New Roman" w:hAnsi="Times New Roman"/>
          <w:b/>
          <w:lang w:val="en-US"/>
        </w:rPr>
      </w:pPr>
    </w:p>
    <w:p w14:paraId="31504491" w14:textId="77777777" w:rsidR="0021261B" w:rsidRPr="00321BBC"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 xml:space="preserve">SC13 noted that the revisions of the ROP minimum standards will require careful planning and implementation to ensure that the value of WCPFC data on FADs is maintained. In particular, there may need to be a period of overlap in reporting of FAD data where observers continue to report on FAD design and construction while the new reporting requirements for vessel operators are introduced. </w:t>
      </w:r>
    </w:p>
    <w:p w14:paraId="6F63442B" w14:textId="77777777" w:rsidR="0021261B" w:rsidRDefault="0021261B" w:rsidP="0021261B">
      <w:pPr>
        <w:adjustRightInd w:val="0"/>
        <w:snapToGrid w:val="0"/>
        <w:spacing w:after="0"/>
        <w:ind w:left="708"/>
        <w:rPr>
          <w:rFonts w:ascii="Times New Roman" w:hAnsi="Times New Roman"/>
          <w:b/>
          <w:lang w:val="en-US"/>
        </w:rPr>
      </w:pPr>
    </w:p>
    <w:p w14:paraId="4E3B0920" w14:textId="77777777" w:rsidR="0021261B" w:rsidRPr="00321BBC" w:rsidRDefault="0021261B" w:rsidP="0021261B">
      <w:pPr>
        <w:adjustRightInd w:val="0"/>
        <w:snapToGrid w:val="0"/>
        <w:spacing w:after="0"/>
        <w:ind w:left="708"/>
        <w:rPr>
          <w:rFonts w:ascii="Times New Roman" w:hAnsi="Times New Roman"/>
          <w:b/>
          <w:lang w:val="en-US"/>
        </w:rPr>
      </w:pPr>
      <w:r w:rsidRPr="00321BBC">
        <w:rPr>
          <w:rFonts w:ascii="Times New Roman" w:hAnsi="Times New Roman"/>
          <w:b/>
          <w:lang w:val="en-US"/>
        </w:rPr>
        <w:t>SC13 recommended that the revisions to the ROP Minimum Standard Data Fields standards be forwarded to TCC13 for review and WCPFC14 for adoption.</w:t>
      </w:r>
    </w:p>
    <w:p w14:paraId="49D9F2DB" w14:textId="77777777" w:rsidR="0021261B" w:rsidRPr="00321BBC" w:rsidRDefault="0021261B" w:rsidP="0021261B">
      <w:pPr>
        <w:adjustRightInd w:val="0"/>
        <w:snapToGrid w:val="0"/>
        <w:spacing w:after="0"/>
        <w:rPr>
          <w:rFonts w:ascii="Times New Roman" w:hAnsi="Times New Roman"/>
          <w:b/>
          <w:lang w:val="en-US"/>
        </w:rPr>
      </w:pPr>
    </w:p>
    <w:p w14:paraId="49469A6B" w14:textId="77777777" w:rsidR="0021261B" w:rsidRDefault="0021261B" w:rsidP="0021261B">
      <w:pPr>
        <w:adjustRightInd w:val="0"/>
        <w:snapToGrid w:val="0"/>
        <w:spacing w:after="0"/>
        <w:rPr>
          <w:rFonts w:ascii="Times New Roman" w:hAnsi="Times New Roman"/>
          <w:b/>
          <w:lang w:val="en-US"/>
        </w:rPr>
      </w:pPr>
      <w:r>
        <w:rPr>
          <w:rFonts w:ascii="Times New Roman" w:hAnsi="Times New Roman"/>
          <w:b/>
          <w:lang w:val="en-US"/>
        </w:rPr>
        <w:t>Agenda 6.1.3.2 FAD Research Plan</w:t>
      </w:r>
    </w:p>
    <w:p w14:paraId="349ED310" w14:textId="77777777" w:rsidR="0021261B" w:rsidRPr="00321BBC" w:rsidRDefault="0021261B" w:rsidP="0021261B">
      <w:pPr>
        <w:adjustRightInd w:val="0"/>
        <w:snapToGrid w:val="0"/>
        <w:spacing w:after="0"/>
        <w:rPr>
          <w:rFonts w:ascii="Times New Roman" w:hAnsi="Times New Roman"/>
          <w:b/>
          <w:lang w:val="en-US"/>
        </w:rPr>
      </w:pPr>
    </w:p>
    <w:p w14:paraId="4C13DEA2" w14:textId="77777777" w:rsidR="0021261B" w:rsidRPr="00321BBC"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ISG-2 reviewed the proposed priority researches identified in the revised draft FAD research plan proposal. ISG-2 also considered the joint work conducted by the FAD-IWG Chair, SPC, and the WCPFC Secretariat to further develop a costed project proposal for each of four identified research topics [</w:t>
      </w:r>
      <w:r w:rsidRPr="00321BBC">
        <w:rPr>
          <w:rFonts w:ascii="Times New Roman" w:eastAsia="Calibri" w:hAnsi="Times New Roman"/>
          <w:lang w:val="en-US"/>
        </w:rPr>
        <w:t>SC13-EB-WP-05</w:t>
      </w:r>
      <w:r w:rsidRPr="00321BBC">
        <w:rPr>
          <w:rFonts w:ascii="Times New Roman" w:hAnsi="Times New Roman"/>
          <w:lang w:val="en-US"/>
        </w:rPr>
        <w:t xml:space="preserve">]. The four research topics were: </w:t>
      </w:r>
    </w:p>
    <w:p w14:paraId="3150D42E" w14:textId="77777777" w:rsidR="0021261B" w:rsidRPr="00321BBC" w:rsidRDefault="0021261B" w:rsidP="0074425A">
      <w:pPr>
        <w:pStyle w:val="ListParagraph"/>
        <w:numPr>
          <w:ilvl w:val="0"/>
          <w:numId w:val="104"/>
        </w:numPr>
        <w:adjustRightInd w:val="0"/>
        <w:snapToGrid w:val="0"/>
        <w:ind w:left="1428"/>
        <w:contextualSpacing w:val="0"/>
        <w:rPr>
          <w:rFonts w:ascii="Times New Roman" w:hAnsi="Times New Roman"/>
          <w:lang w:val="en-US"/>
        </w:rPr>
      </w:pPr>
      <w:r w:rsidRPr="00321BBC">
        <w:rPr>
          <w:rFonts w:ascii="Times New Roman" w:hAnsi="Times New Roman"/>
          <w:lang w:val="en-US"/>
        </w:rPr>
        <w:t>FAD designs to reduce unwanted interactions with Species of Special Interest;</w:t>
      </w:r>
    </w:p>
    <w:p w14:paraId="04E8AEB3" w14:textId="77777777" w:rsidR="0021261B" w:rsidRPr="00321BBC" w:rsidRDefault="0021261B" w:rsidP="0074425A">
      <w:pPr>
        <w:pStyle w:val="ListParagraph"/>
        <w:numPr>
          <w:ilvl w:val="0"/>
          <w:numId w:val="104"/>
        </w:numPr>
        <w:adjustRightInd w:val="0"/>
        <w:snapToGrid w:val="0"/>
        <w:ind w:left="1428"/>
        <w:contextualSpacing w:val="0"/>
        <w:rPr>
          <w:rFonts w:ascii="Times New Roman" w:hAnsi="Times New Roman"/>
          <w:lang w:val="en-US"/>
        </w:rPr>
      </w:pPr>
      <w:r w:rsidRPr="00321BBC">
        <w:rPr>
          <w:rFonts w:ascii="Times New Roman" w:hAnsi="Times New Roman"/>
          <w:lang w:val="en-US"/>
        </w:rPr>
        <w:t>FAD designs to reduce unwanted catches of juvenile bigeye and yellowfin tuna;</w:t>
      </w:r>
    </w:p>
    <w:p w14:paraId="6D82AF2A" w14:textId="77777777" w:rsidR="0021261B" w:rsidRPr="00321BBC" w:rsidRDefault="0021261B" w:rsidP="0074425A">
      <w:pPr>
        <w:pStyle w:val="ListParagraph"/>
        <w:numPr>
          <w:ilvl w:val="0"/>
          <w:numId w:val="104"/>
        </w:numPr>
        <w:adjustRightInd w:val="0"/>
        <w:snapToGrid w:val="0"/>
        <w:ind w:left="1428"/>
        <w:contextualSpacing w:val="0"/>
        <w:rPr>
          <w:rFonts w:ascii="Times New Roman" w:hAnsi="Times New Roman"/>
          <w:lang w:val="en-US"/>
        </w:rPr>
      </w:pPr>
      <w:r w:rsidRPr="00321BBC">
        <w:rPr>
          <w:rFonts w:ascii="Times New Roman" w:hAnsi="Times New Roman"/>
          <w:lang w:val="en-US"/>
        </w:rPr>
        <w:t>Acoustic FAD analyses;</w:t>
      </w:r>
    </w:p>
    <w:p w14:paraId="4986C98E" w14:textId="77777777" w:rsidR="0021261B" w:rsidRPr="00321BBC" w:rsidRDefault="0021261B" w:rsidP="0074425A">
      <w:pPr>
        <w:pStyle w:val="ListParagraph"/>
        <w:numPr>
          <w:ilvl w:val="0"/>
          <w:numId w:val="104"/>
        </w:numPr>
        <w:adjustRightInd w:val="0"/>
        <w:snapToGrid w:val="0"/>
        <w:ind w:left="1428"/>
        <w:contextualSpacing w:val="0"/>
        <w:rPr>
          <w:rFonts w:ascii="Times New Roman" w:hAnsi="Times New Roman"/>
          <w:lang w:val="en-US"/>
        </w:rPr>
      </w:pPr>
      <w:r w:rsidRPr="00321BBC">
        <w:rPr>
          <w:rFonts w:ascii="Times New Roman" w:hAnsi="Times New Roman"/>
          <w:lang w:val="en-US"/>
        </w:rPr>
        <w:t>Fleet behaviour.</w:t>
      </w:r>
    </w:p>
    <w:p w14:paraId="52EF2A9F" w14:textId="77777777" w:rsidR="0021261B" w:rsidRDefault="0021261B" w:rsidP="0021261B">
      <w:pPr>
        <w:adjustRightInd w:val="0"/>
        <w:snapToGrid w:val="0"/>
        <w:spacing w:after="0"/>
        <w:ind w:left="708"/>
        <w:rPr>
          <w:rFonts w:ascii="Times New Roman" w:hAnsi="Times New Roman"/>
          <w:lang w:val="en-US"/>
        </w:rPr>
      </w:pPr>
    </w:p>
    <w:p w14:paraId="3C42EE07" w14:textId="77777777" w:rsidR="0021261B" w:rsidRPr="00321BBC"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 xml:space="preserve">The duration and indicative costs are shown below. </w:t>
      </w:r>
    </w:p>
    <w:tbl>
      <w:tblPr>
        <w:tblStyle w:val="TableGrid"/>
        <w:tblW w:w="0" w:type="auto"/>
        <w:jc w:val="center"/>
        <w:tblInd w:w="708" w:type="dxa"/>
        <w:tblLook w:val="0420" w:firstRow="1" w:lastRow="0" w:firstColumn="0" w:lastColumn="0" w:noHBand="0" w:noVBand="1"/>
      </w:tblPr>
      <w:tblGrid>
        <w:gridCol w:w="3486"/>
        <w:gridCol w:w="2363"/>
        <w:gridCol w:w="1252"/>
        <w:gridCol w:w="1252"/>
      </w:tblGrid>
      <w:tr w:rsidR="0021261B" w:rsidRPr="00321BBC" w14:paraId="666F36AC" w14:textId="77777777" w:rsidTr="0021261B">
        <w:trPr>
          <w:trHeight w:val="283"/>
          <w:jc w:val="center"/>
        </w:trPr>
        <w:tc>
          <w:tcPr>
            <w:tcW w:w="0" w:type="auto"/>
            <w:hideMark/>
          </w:tcPr>
          <w:p w14:paraId="6EB25B55"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b/>
                <w:bCs/>
                <w:lang w:val="en-US"/>
              </w:rPr>
              <w:t>Project</w:t>
            </w:r>
          </w:p>
        </w:tc>
        <w:tc>
          <w:tcPr>
            <w:tcW w:w="0" w:type="auto"/>
            <w:hideMark/>
          </w:tcPr>
          <w:p w14:paraId="4B66AF15"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b/>
                <w:bCs/>
                <w:lang w:val="en-US"/>
              </w:rPr>
              <w:t>Duration</w:t>
            </w:r>
          </w:p>
        </w:tc>
        <w:tc>
          <w:tcPr>
            <w:tcW w:w="0" w:type="auto"/>
            <w:gridSpan w:val="2"/>
            <w:hideMark/>
          </w:tcPr>
          <w:p w14:paraId="3D57A55A"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b/>
                <w:bCs/>
              </w:rPr>
              <w:t>Budget (US$)</w:t>
            </w:r>
          </w:p>
        </w:tc>
      </w:tr>
      <w:tr w:rsidR="0021261B" w:rsidRPr="00321BBC" w14:paraId="3126FCE4" w14:textId="77777777" w:rsidTr="0021261B">
        <w:trPr>
          <w:trHeight w:val="283"/>
          <w:jc w:val="center"/>
        </w:trPr>
        <w:tc>
          <w:tcPr>
            <w:tcW w:w="0" w:type="auto"/>
            <w:hideMark/>
          </w:tcPr>
          <w:p w14:paraId="5391618A"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1- FAD designs – SSIs</w:t>
            </w:r>
          </w:p>
        </w:tc>
        <w:tc>
          <w:tcPr>
            <w:tcW w:w="0" w:type="auto"/>
            <w:hideMark/>
          </w:tcPr>
          <w:p w14:paraId="0B57CB0B"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24 mm</w:t>
            </w:r>
          </w:p>
        </w:tc>
        <w:tc>
          <w:tcPr>
            <w:tcW w:w="0" w:type="auto"/>
            <w:hideMark/>
          </w:tcPr>
          <w:p w14:paraId="42152BA7"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rPr>
              <w:t>446,000</w:t>
            </w:r>
          </w:p>
        </w:tc>
        <w:tc>
          <w:tcPr>
            <w:tcW w:w="0" w:type="auto"/>
            <w:vMerge w:val="restart"/>
            <w:hideMark/>
          </w:tcPr>
          <w:p w14:paraId="41388A86"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rPr>
              <w:t>871,000</w:t>
            </w:r>
          </w:p>
        </w:tc>
      </w:tr>
      <w:tr w:rsidR="0021261B" w:rsidRPr="00321BBC" w14:paraId="756572A5" w14:textId="77777777" w:rsidTr="0021261B">
        <w:trPr>
          <w:trHeight w:val="283"/>
          <w:jc w:val="center"/>
        </w:trPr>
        <w:tc>
          <w:tcPr>
            <w:tcW w:w="0" w:type="auto"/>
            <w:hideMark/>
          </w:tcPr>
          <w:p w14:paraId="3FC071DF"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2- FAD designs – juvenile YFT/BET</w:t>
            </w:r>
          </w:p>
        </w:tc>
        <w:tc>
          <w:tcPr>
            <w:tcW w:w="0" w:type="auto"/>
            <w:hideMark/>
          </w:tcPr>
          <w:p w14:paraId="54DD56F2"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24 mm</w:t>
            </w:r>
          </w:p>
        </w:tc>
        <w:tc>
          <w:tcPr>
            <w:tcW w:w="0" w:type="auto"/>
            <w:hideMark/>
          </w:tcPr>
          <w:p w14:paraId="4A5D6113"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rPr>
              <w:t>526,000</w:t>
            </w:r>
          </w:p>
        </w:tc>
        <w:tc>
          <w:tcPr>
            <w:tcW w:w="0" w:type="auto"/>
            <w:vMerge/>
            <w:hideMark/>
          </w:tcPr>
          <w:p w14:paraId="7B61E39A" w14:textId="77777777" w:rsidR="0021261B" w:rsidRPr="00321BBC" w:rsidRDefault="0021261B" w:rsidP="0021261B">
            <w:pPr>
              <w:adjustRightInd w:val="0"/>
              <w:snapToGrid w:val="0"/>
              <w:spacing w:after="0"/>
              <w:rPr>
                <w:rFonts w:ascii="Times New Roman" w:hAnsi="Times New Roman"/>
              </w:rPr>
            </w:pPr>
          </w:p>
        </w:tc>
      </w:tr>
      <w:tr w:rsidR="0021261B" w:rsidRPr="00321BBC" w14:paraId="51CA82F3" w14:textId="77777777" w:rsidTr="0021261B">
        <w:trPr>
          <w:trHeight w:val="283"/>
          <w:jc w:val="center"/>
        </w:trPr>
        <w:tc>
          <w:tcPr>
            <w:tcW w:w="0" w:type="auto"/>
            <w:hideMark/>
          </w:tcPr>
          <w:p w14:paraId="4FEC0CC4"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3- Acoustic FAD analyses</w:t>
            </w:r>
          </w:p>
        </w:tc>
        <w:tc>
          <w:tcPr>
            <w:tcW w:w="0" w:type="auto"/>
            <w:hideMark/>
          </w:tcPr>
          <w:p w14:paraId="2DB2998A"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 xml:space="preserve">18  mm [1] + 18 mm [2] </w:t>
            </w:r>
          </w:p>
        </w:tc>
        <w:tc>
          <w:tcPr>
            <w:tcW w:w="0" w:type="auto"/>
            <w:gridSpan w:val="2"/>
            <w:hideMark/>
          </w:tcPr>
          <w:p w14:paraId="37B910E9"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rPr>
              <w:t>192,000 [1] + 500,000 [2]</w:t>
            </w:r>
          </w:p>
        </w:tc>
      </w:tr>
      <w:tr w:rsidR="0021261B" w:rsidRPr="00321BBC" w14:paraId="46F08F96" w14:textId="77777777" w:rsidTr="0021261B">
        <w:trPr>
          <w:trHeight w:val="283"/>
          <w:jc w:val="center"/>
        </w:trPr>
        <w:tc>
          <w:tcPr>
            <w:tcW w:w="0" w:type="auto"/>
            <w:hideMark/>
          </w:tcPr>
          <w:p w14:paraId="610E88FB"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4- Fleet behaviour</w:t>
            </w:r>
          </w:p>
        </w:tc>
        <w:tc>
          <w:tcPr>
            <w:tcW w:w="0" w:type="auto"/>
            <w:hideMark/>
          </w:tcPr>
          <w:p w14:paraId="05A9E3D2"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18 mm</w:t>
            </w:r>
          </w:p>
        </w:tc>
        <w:tc>
          <w:tcPr>
            <w:tcW w:w="0" w:type="auto"/>
            <w:gridSpan w:val="2"/>
            <w:hideMark/>
          </w:tcPr>
          <w:p w14:paraId="6195B293" w14:textId="77777777" w:rsidR="0021261B" w:rsidRPr="00321BBC" w:rsidRDefault="0021261B" w:rsidP="0021261B">
            <w:pPr>
              <w:adjustRightInd w:val="0"/>
              <w:snapToGrid w:val="0"/>
              <w:spacing w:after="0"/>
              <w:rPr>
                <w:rFonts w:ascii="Times New Roman" w:hAnsi="Times New Roman"/>
              </w:rPr>
            </w:pPr>
            <w:r w:rsidRPr="00321BBC">
              <w:rPr>
                <w:rFonts w:ascii="Times New Roman" w:hAnsi="Times New Roman"/>
              </w:rPr>
              <w:t>192,000</w:t>
            </w:r>
          </w:p>
        </w:tc>
      </w:tr>
    </w:tbl>
    <w:p w14:paraId="15C153B3" w14:textId="77777777" w:rsidR="0021261B" w:rsidRPr="00321BBC" w:rsidRDefault="0021261B" w:rsidP="0021261B">
      <w:pPr>
        <w:adjustRightInd w:val="0"/>
        <w:snapToGrid w:val="0"/>
        <w:spacing w:after="0"/>
        <w:ind w:left="708"/>
        <w:rPr>
          <w:rFonts w:ascii="Times New Roman" w:hAnsi="Times New Roman"/>
          <w:lang w:val="en-US"/>
        </w:rPr>
      </w:pPr>
    </w:p>
    <w:p w14:paraId="34B4A437" w14:textId="77777777" w:rsidR="0021261B"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 xml:space="preserve">It was noted that those projects involving sea trials and associated activities will require more detailed costings if the projects are taken forward. At-sea trials are expensive, and require the collaboration and support of industry to be effective. For this purpose, collaborative funding between WCPFC/CCMs, NGOs and in-kind support by industry should be considered. </w:t>
      </w:r>
      <w:proofErr w:type="gramStart"/>
      <w:r w:rsidRPr="00321BBC">
        <w:rPr>
          <w:rFonts w:ascii="Times New Roman" w:hAnsi="Times New Roman"/>
          <w:lang w:val="en-US"/>
        </w:rPr>
        <w:t>This collaborative funding schemes</w:t>
      </w:r>
      <w:proofErr w:type="gramEnd"/>
      <w:r w:rsidRPr="00321BBC">
        <w:rPr>
          <w:rFonts w:ascii="Times New Roman" w:hAnsi="Times New Roman"/>
          <w:lang w:val="en-US"/>
        </w:rPr>
        <w:t xml:space="preserve"> have demonstrated their utility in other RFMO Convention areas.</w:t>
      </w:r>
    </w:p>
    <w:p w14:paraId="110C8F93" w14:textId="77777777" w:rsidR="0021261B" w:rsidRPr="00321BBC" w:rsidRDefault="0021261B" w:rsidP="0021261B">
      <w:pPr>
        <w:adjustRightInd w:val="0"/>
        <w:snapToGrid w:val="0"/>
        <w:spacing w:after="0"/>
        <w:ind w:left="708"/>
        <w:rPr>
          <w:rFonts w:ascii="Times New Roman" w:hAnsi="Times New Roman"/>
          <w:lang w:val="en-US"/>
        </w:rPr>
      </w:pPr>
    </w:p>
    <w:p w14:paraId="29ECB9B8" w14:textId="77777777" w:rsidR="0021261B"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ISG-2 considered the proposed projects as extremely relevant giving the highest priority to projects involving sea trials (Projects #1 and #2) and the Project #4 on the analysis of the effect of fleet behavior in large catches of ‘non-target’ species. Project #3, although highly important, it was given less priority linked to the possibility of accessing to existing data, in particular acoustic biomass estimates, and the ability to relate set-level events to FAD-specific acoustic data.</w:t>
      </w:r>
    </w:p>
    <w:p w14:paraId="799D8DF9" w14:textId="77777777" w:rsidR="0021261B" w:rsidRPr="00321BBC" w:rsidRDefault="0021261B" w:rsidP="0021261B">
      <w:pPr>
        <w:adjustRightInd w:val="0"/>
        <w:snapToGrid w:val="0"/>
        <w:spacing w:after="0"/>
        <w:ind w:left="708"/>
        <w:rPr>
          <w:rFonts w:ascii="Times New Roman" w:hAnsi="Times New Roman"/>
          <w:lang w:val="en-US"/>
        </w:rPr>
      </w:pPr>
    </w:p>
    <w:p w14:paraId="2C5C8A43" w14:textId="77777777" w:rsidR="0021261B"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Even if the type of acoustic data analysis proposed was given less priority in the context of the SC work program and budget, ISG-2 believes that acoustic technology on FAD buoys offers a real basis for species discrimination prior to the fishing activity. It is one of the few clear options for reducing juvenile bigeye catches in the FAD purse seine fishery. Several technological institutes, ISSF and buoy manufacturers are already investing in this area of research and for this reason it was given less priority in the context of the SC work program and budget of this year.</w:t>
      </w:r>
    </w:p>
    <w:p w14:paraId="7530E91B" w14:textId="77777777" w:rsidR="0021261B" w:rsidRPr="00321BBC" w:rsidRDefault="0021261B" w:rsidP="0021261B">
      <w:pPr>
        <w:adjustRightInd w:val="0"/>
        <w:snapToGrid w:val="0"/>
        <w:spacing w:after="0"/>
        <w:ind w:left="708"/>
        <w:rPr>
          <w:rFonts w:ascii="Times New Roman" w:hAnsi="Times New Roman"/>
          <w:lang w:val="en-US"/>
        </w:rPr>
      </w:pPr>
    </w:p>
    <w:p w14:paraId="706B968F" w14:textId="77777777" w:rsidR="0021261B" w:rsidRPr="00321BBC"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 xml:space="preserve">As for </w:t>
      </w:r>
      <w:bookmarkStart w:id="166" w:name="OLE_LINK1"/>
      <w:bookmarkStart w:id="167" w:name="OLE_LINK2"/>
      <w:r w:rsidRPr="00321BBC">
        <w:rPr>
          <w:rFonts w:ascii="Times New Roman" w:hAnsi="Times New Roman"/>
          <w:lang w:val="en-US"/>
        </w:rPr>
        <w:t>Project #1</w:t>
      </w:r>
      <w:bookmarkEnd w:id="166"/>
      <w:bookmarkEnd w:id="167"/>
      <w:r w:rsidRPr="00321BBC">
        <w:rPr>
          <w:rFonts w:ascii="Times New Roman" w:hAnsi="Times New Roman"/>
          <w:lang w:val="en-US"/>
        </w:rPr>
        <w:t xml:space="preserve">, two different options were discussed:  </w:t>
      </w:r>
    </w:p>
    <w:p w14:paraId="6A7BDF69" w14:textId="77777777" w:rsidR="0021261B" w:rsidRPr="00321BBC" w:rsidRDefault="0021261B" w:rsidP="0074425A">
      <w:pPr>
        <w:pStyle w:val="ListParagraph"/>
        <w:numPr>
          <w:ilvl w:val="0"/>
          <w:numId w:val="106"/>
        </w:numPr>
        <w:adjustRightInd w:val="0"/>
        <w:snapToGrid w:val="0"/>
        <w:ind w:left="1422" w:hanging="357"/>
        <w:contextualSpacing w:val="0"/>
        <w:rPr>
          <w:rFonts w:ascii="Times New Roman" w:hAnsi="Times New Roman"/>
          <w:lang w:val="en-US"/>
        </w:rPr>
      </w:pPr>
      <w:r w:rsidRPr="00321BBC">
        <w:rPr>
          <w:rFonts w:ascii="Times New Roman" w:hAnsi="Times New Roman"/>
          <w:lang w:val="en-US"/>
        </w:rPr>
        <w:t>Not to incorporate Project #1 in the SC work program and budget because the current scientific information on alternative dFAD designs for reducing entanglement risk was considered sufficient to provide scientific recommendations to the Commission on appropriate WCPO dFAD designs. The effectiveness of designs across other oceans suggests similar performance can be expected.</w:t>
      </w:r>
    </w:p>
    <w:p w14:paraId="2D36BBE7" w14:textId="77777777" w:rsidR="0021261B" w:rsidRPr="00321BBC" w:rsidRDefault="0021261B" w:rsidP="0074425A">
      <w:pPr>
        <w:pStyle w:val="ListParagraph"/>
        <w:numPr>
          <w:ilvl w:val="0"/>
          <w:numId w:val="106"/>
        </w:numPr>
        <w:adjustRightInd w:val="0"/>
        <w:snapToGrid w:val="0"/>
        <w:ind w:left="1422" w:hanging="357"/>
        <w:contextualSpacing w:val="0"/>
        <w:rPr>
          <w:rFonts w:ascii="Times New Roman" w:hAnsi="Times New Roman"/>
          <w:lang w:val="en-US"/>
        </w:rPr>
      </w:pPr>
      <w:r w:rsidRPr="00321BBC">
        <w:rPr>
          <w:rFonts w:ascii="Times New Roman" w:hAnsi="Times New Roman"/>
          <w:lang w:val="en-US"/>
        </w:rPr>
        <w:t>Incorporate Project #1 in the SC work program and budget because there is still a need to define first clear standards for non-entangling and biodegradable FADs adapted to the particularities of the region. And there is a need to strengthen linkages with the industry to cooperate in the effective implementation of any new design.</w:t>
      </w:r>
    </w:p>
    <w:p w14:paraId="27D350F4" w14:textId="77777777" w:rsidR="0021261B" w:rsidRDefault="0021261B" w:rsidP="0021261B">
      <w:pPr>
        <w:adjustRightInd w:val="0"/>
        <w:snapToGrid w:val="0"/>
        <w:spacing w:after="0"/>
        <w:ind w:left="708"/>
        <w:rPr>
          <w:rFonts w:ascii="Times New Roman" w:hAnsi="Times New Roman"/>
          <w:lang w:val="en-US"/>
        </w:rPr>
      </w:pPr>
    </w:p>
    <w:p w14:paraId="70D577C8" w14:textId="77777777" w:rsidR="0021261B" w:rsidRPr="00321BBC" w:rsidRDefault="0021261B" w:rsidP="0021261B">
      <w:pPr>
        <w:adjustRightInd w:val="0"/>
        <w:snapToGrid w:val="0"/>
        <w:spacing w:after="0"/>
        <w:ind w:left="708"/>
        <w:rPr>
          <w:rFonts w:ascii="Times New Roman" w:hAnsi="Times New Roman"/>
          <w:lang w:val="en-US"/>
        </w:rPr>
      </w:pPr>
      <w:r w:rsidRPr="00321BBC">
        <w:rPr>
          <w:rFonts w:ascii="Times New Roman" w:hAnsi="Times New Roman"/>
          <w:lang w:val="en-US"/>
        </w:rPr>
        <w:t>ISG-2 agreed to incorporate in the SC work program and budget the 4 research proposals provided in SC13-EB-WP-05, including Project #1.</w:t>
      </w:r>
    </w:p>
    <w:p w14:paraId="48611703"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br w:type="page"/>
      </w:r>
    </w:p>
    <w:p w14:paraId="4FBCA262" w14:textId="77777777" w:rsidR="0021261B" w:rsidRPr="00321BBC" w:rsidRDefault="0021261B" w:rsidP="0021261B">
      <w:pPr>
        <w:adjustRightInd w:val="0"/>
        <w:snapToGrid w:val="0"/>
        <w:spacing w:after="0"/>
        <w:rPr>
          <w:rFonts w:ascii="Times New Roman" w:hAnsi="Times New Roman"/>
          <w:lang w:val="en-US"/>
        </w:rPr>
      </w:pPr>
      <w:r w:rsidRPr="00321BBC">
        <w:rPr>
          <w:rFonts w:ascii="Times New Roman" w:hAnsi="Times New Roman"/>
          <w:lang w:val="en-US"/>
        </w:rPr>
        <w:t>Annex: Project proposal for each of four identified research topics [SC13-EB-WP-05]</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7"/>
        <w:gridCol w:w="7683"/>
      </w:tblGrid>
      <w:tr w:rsidR="0021261B" w:rsidRPr="00321BBC" w14:paraId="492680D5" w14:textId="77777777" w:rsidTr="00B738F6">
        <w:trPr>
          <w:trHeight w:hRule="exact" w:val="278"/>
        </w:trPr>
        <w:tc>
          <w:tcPr>
            <w:tcW w:w="5000" w:type="pct"/>
            <w:gridSpan w:val="2"/>
            <w:shd w:val="clear" w:color="auto" w:fill="4AACC5"/>
          </w:tcPr>
          <w:p w14:paraId="12AE70B5"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Project #1</w:t>
            </w:r>
          </w:p>
        </w:tc>
      </w:tr>
      <w:tr w:rsidR="0021261B" w:rsidRPr="00321BBC" w14:paraId="5E8ADD43" w14:textId="77777777" w:rsidTr="00B738F6">
        <w:trPr>
          <w:trHeight w:hRule="exact" w:val="547"/>
        </w:trPr>
        <w:tc>
          <w:tcPr>
            <w:tcW w:w="900" w:type="pct"/>
            <w:shd w:val="clear" w:color="auto" w:fill="92D050"/>
          </w:tcPr>
          <w:p w14:paraId="6529443E"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Project</w:t>
            </w:r>
          </w:p>
        </w:tc>
        <w:tc>
          <w:tcPr>
            <w:tcW w:w="4100" w:type="pct"/>
            <w:shd w:val="clear" w:color="auto" w:fill="92D050"/>
          </w:tcPr>
          <w:p w14:paraId="7B2BE8B2"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designs to reduce unwanted interactions with Species of Special Interest (SSIs; sharks, turtles)</w:t>
            </w:r>
          </w:p>
        </w:tc>
      </w:tr>
      <w:tr w:rsidR="0021261B" w:rsidRPr="00321BBC" w14:paraId="6A44C410" w14:textId="77777777" w:rsidTr="00B738F6">
        <w:trPr>
          <w:trHeight w:hRule="exact" w:val="547"/>
        </w:trPr>
        <w:tc>
          <w:tcPr>
            <w:tcW w:w="900" w:type="pct"/>
          </w:tcPr>
          <w:p w14:paraId="10574310"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Objectives</w:t>
            </w:r>
          </w:p>
        </w:tc>
        <w:tc>
          <w:tcPr>
            <w:tcW w:w="4100" w:type="pct"/>
          </w:tcPr>
          <w:p w14:paraId="7EB4699E"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Identify FAD design features that lead to lower interaction rates with key SSIs, while minimising the impact on catches of target tuna species.</w:t>
            </w:r>
          </w:p>
        </w:tc>
      </w:tr>
      <w:tr w:rsidR="0021261B" w:rsidRPr="00321BBC" w14:paraId="5EC6AF1C" w14:textId="77777777" w:rsidTr="00B738F6">
        <w:trPr>
          <w:trHeight w:hRule="exact" w:val="2756"/>
        </w:trPr>
        <w:tc>
          <w:tcPr>
            <w:tcW w:w="900" w:type="pct"/>
          </w:tcPr>
          <w:p w14:paraId="6B2288C7"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Rationale</w:t>
            </w:r>
          </w:p>
        </w:tc>
        <w:tc>
          <w:tcPr>
            <w:tcW w:w="4100" w:type="pct"/>
          </w:tcPr>
          <w:p w14:paraId="26E63ADF" w14:textId="77777777" w:rsidR="0021261B" w:rsidRPr="00321BBC" w:rsidRDefault="0021261B" w:rsidP="0074425A">
            <w:pPr>
              <w:pStyle w:val="TableParagraph"/>
              <w:numPr>
                <w:ilvl w:val="0"/>
                <w:numId w:val="116"/>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Builds upon work in all other Oceans on the design of lower- and non- entangling FADs (e.g. WCPFC-2016-FADMgmtOptionsIWG02-OP02; SC13-EB-WP-02).</w:t>
            </w:r>
          </w:p>
          <w:p w14:paraId="696D4B29" w14:textId="77777777" w:rsidR="0021261B" w:rsidRPr="00321BBC" w:rsidRDefault="0021261B" w:rsidP="0074425A">
            <w:pPr>
              <w:pStyle w:val="TableParagraph"/>
              <w:numPr>
                <w:ilvl w:val="0"/>
                <w:numId w:val="116"/>
              </w:numPr>
              <w:tabs>
                <w:tab w:val="left" w:pos="420"/>
              </w:tabs>
              <w:adjustRightInd w:val="0"/>
              <w:snapToGrid w:val="0"/>
              <w:ind w:right="106"/>
              <w:rPr>
                <w:rFonts w:ascii="Times New Roman" w:hAnsi="Times New Roman" w:cs="Times New Roman"/>
              </w:rPr>
            </w:pPr>
            <w:r w:rsidRPr="00321BBC">
              <w:rPr>
                <w:rFonts w:ascii="Times New Roman" w:hAnsi="Times New Roman" w:cs="Times New Roman"/>
              </w:rPr>
              <w:t>Builds upon work by organisations such as ISSF in the development of SSI-friendly</w:t>
            </w:r>
            <w:r w:rsidRPr="00321BBC">
              <w:rPr>
                <w:rFonts w:ascii="Times New Roman" w:hAnsi="Times New Roman" w:cs="Times New Roman"/>
                <w:spacing w:val="-5"/>
              </w:rPr>
              <w:t xml:space="preserve"> </w:t>
            </w:r>
            <w:r w:rsidRPr="00321BBC">
              <w:rPr>
                <w:rFonts w:ascii="Times New Roman" w:hAnsi="Times New Roman" w:cs="Times New Roman"/>
              </w:rPr>
              <w:t>designs.</w:t>
            </w:r>
          </w:p>
          <w:p w14:paraId="20E94F0B" w14:textId="77777777" w:rsidR="0021261B" w:rsidRPr="00321BBC" w:rsidRDefault="0021261B" w:rsidP="0074425A">
            <w:pPr>
              <w:pStyle w:val="TableParagraph"/>
              <w:numPr>
                <w:ilvl w:val="0"/>
                <w:numId w:val="116"/>
              </w:numPr>
              <w:tabs>
                <w:tab w:val="left" w:pos="420"/>
              </w:tabs>
              <w:adjustRightInd w:val="0"/>
              <w:snapToGrid w:val="0"/>
              <w:ind w:right="105"/>
              <w:rPr>
                <w:rFonts w:ascii="Times New Roman" w:hAnsi="Times New Roman" w:cs="Times New Roman"/>
              </w:rPr>
            </w:pPr>
            <w:r w:rsidRPr="00321BBC">
              <w:rPr>
                <w:rFonts w:ascii="Times New Roman" w:hAnsi="Times New Roman" w:cs="Times New Roman"/>
              </w:rPr>
              <w:t>Provides</w:t>
            </w:r>
            <w:r w:rsidRPr="00321BBC">
              <w:rPr>
                <w:rFonts w:ascii="Times New Roman" w:hAnsi="Times New Roman" w:cs="Times New Roman"/>
                <w:spacing w:val="-6"/>
              </w:rPr>
              <w:t xml:space="preserve"> </w:t>
            </w:r>
            <w:r w:rsidRPr="00321BBC">
              <w:rPr>
                <w:rFonts w:ascii="Times New Roman" w:hAnsi="Times New Roman" w:cs="Times New Roman"/>
              </w:rPr>
              <w:t>region-specific</w:t>
            </w:r>
            <w:r w:rsidRPr="00321BBC">
              <w:rPr>
                <w:rFonts w:ascii="Times New Roman" w:hAnsi="Times New Roman" w:cs="Times New Roman"/>
                <w:spacing w:val="-6"/>
              </w:rPr>
              <w:t xml:space="preserve"> </w:t>
            </w:r>
            <w:r w:rsidRPr="00321BBC">
              <w:rPr>
                <w:rFonts w:ascii="Times New Roman" w:hAnsi="Times New Roman" w:cs="Times New Roman"/>
              </w:rPr>
              <w:t>information</w:t>
            </w:r>
            <w:r w:rsidRPr="00321BBC">
              <w:rPr>
                <w:rFonts w:ascii="Times New Roman" w:hAnsi="Times New Roman" w:cs="Times New Roman"/>
                <w:spacing w:val="-10"/>
              </w:rPr>
              <w:t xml:space="preserve"> </w:t>
            </w:r>
            <w:r w:rsidRPr="00321BBC">
              <w:rPr>
                <w:rFonts w:ascii="Times New Roman" w:hAnsi="Times New Roman" w:cs="Times New Roman"/>
              </w:rPr>
              <w:t>on</w:t>
            </w:r>
            <w:r w:rsidRPr="00321BBC">
              <w:rPr>
                <w:rFonts w:ascii="Times New Roman" w:hAnsi="Times New Roman" w:cs="Times New Roman"/>
                <w:spacing w:val="-4"/>
              </w:rPr>
              <w:t xml:space="preserve"> </w:t>
            </w:r>
            <w:r w:rsidRPr="00321BBC">
              <w:rPr>
                <w:rFonts w:ascii="Times New Roman" w:hAnsi="Times New Roman" w:cs="Times New Roman"/>
              </w:rPr>
              <w:t>the</w:t>
            </w:r>
            <w:r w:rsidRPr="00321BBC">
              <w:rPr>
                <w:rFonts w:ascii="Times New Roman" w:hAnsi="Times New Roman" w:cs="Times New Roman"/>
                <w:spacing w:val="-6"/>
              </w:rPr>
              <w:t xml:space="preserve"> </w:t>
            </w:r>
            <w:r w:rsidRPr="00321BBC">
              <w:rPr>
                <w:rFonts w:ascii="Times New Roman" w:hAnsi="Times New Roman" w:cs="Times New Roman"/>
              </w:rPr>
              <w:t>efficacy</w:t>
            </w:r>
            <w:r w:rsidRPr="00321BBC">
              <w:rPr>
                <w:rFonts w:ascii="Times New Roman" w:hAnsi="Times New Roman" w:cs="Times New Roman"/>
                <w:spacing w:val="-6"/>
              </w:rPr>
              <w:t xml:space="preserve"> </w:t>
            </w:r>
            <w:r w:rsidRPr="00321BBC">
              <w:rPr>
                <w:rFonts w:ascii="Times New Roman" w:hAnsi="Times New Roman" w:cs="Times New Roman"/>
              </w:rPr>
              <w:t>of</w:t>
            </w:r>
            <w:r w:rsidRPr="00321BBC">
              <w:rPr>
                <w:rFonts w:ascii="Times New Roman" w:hAnsi="Times New Roman" w:cs="Times New Roman"/>
                <w:spacing w:val="-7"/>
              </w:rPr>
              <w:t xml:space="preserve"> </w:t>
            </w:r>
            <w:r w:rsidRPr="00321BBC">
              <w:rPr>
                <w:rFonts w:ascii="Times New Roman" w:hAnsi="Times New Roman" w:cs="Times New Roman"/>
              </w:rPr>
              <w:t>SSI</w:t>
            </w:r>
            <w:r w:rsidRPr="00321BBC">
              <w:rPr>
                <w:rFonts w:ascii="Times New Roman" w:hAnsi="Times New Roman" w:cs="Times New Roman"/>
                <w:spacing w:val="-5"/>
              </w:rPr>
              <w:t xml:space="preserve"> </w:t>
            </w:r>
            <w:r w:rsidRPr="00321BBC">
              <w:rPr>
                <w:rFonts w:ascii="Times New Roman" w:hAnsi="Times New Roman" w:cs="Times New Roman"/>
              </w:rPr>
              <w:t>reduction</w:t>
            </w:r>
            <w:r w:rsidRPr="00321BBC">
              <w:rPr>
                <w:rFonts w:ascii="Times New Roman" w:hAnsi="Times New Roman" w:cs="Times New Roman"/>
                <w:spacing w:val="-7"/>
              </w:rPr>
              <w:t xml:space="preserve"> </w:t>
            </w:r>
            <w:r w:rsidRPr="00321BBC">
              <w:rPr>
                <w:rFonts w:ascii="Times New Roman" w:hAnsi="Times New Roman" w:cs="Times New Roman"/>
              </w:rPr>
              <w:t>and impacts on tuna catch levels in the</w:t>
            </w:r>
            <w:r w:rsidRPr="00321BBC">
              <w:rPr>
                <w:rFonts w:ascii="Times New Roman" w:hAnsi="Times New Roman" w:cs="Times New Roman"/>
                <w:spacing w:val="-6"/>
              </w:rPr>
              <w:t xml:space="preserve"> </w:t>
            </w:r>
            <w:r w:rsidRPr="00321BBC">
              <w:rPr>
                <w:rFonts w:ascii="Times New Roman" w:hAnsi="Times New Roman" w:cs="Times New Roman"/>
              </w:rPr>
              <w:t>WCPO.</w:t>
            </w:r>
          </w:p>
          <w:p w14:paraId="318A2918" w14:textId="77777777" w:rsidR="0021261B" w:rsidRPr="00321BBC" w:rsidRDefault="0021261B" w:rsidP="0074425A">
            <w:pPr>
              <w:pStyle w:val="TableParagraph"/>
              <w:numPr>
                <w:ilvl w:val="0"/>
                <w:numId w:val="116"/>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Provides a scientific basis for potential CMMs in this</w:t>
            </w:r>
            <w:r w:rsidRPr="00321BBC">
              <w:rPr>
                <w:rFonts w:ascii="Times New Roman" w:hAnsi="Times New Roman" w:cs="Times New Roman"/>
                <w:spacing w:val="-14"/>
              </w:rPr>
              <w:t xml:space="preserve"> </w:t>
            </w:r>
            <w:r w:rsidRPr="00321BBC">
              <w:rPr>
                <w:rFonts w:ascii="Times New Roman" w:hAnsi="Times New Roman" w:cs="Times New Roman"/>
              </w:rPr>
              <w:t>area.</w:t>
            </w:r>
          </w:p>
          <w:p w14:paraId="1C575E3B" w14:textId="77777777" w:rsidR="0021261B" w:rsidRPr="00321BBC" w:rsidRDefault="0021261B" w:rsidP="0074425A">
            <w:pPr>
              <w:pStyle w:val="TableParagraph"/>
              <w:numPr>
                <w:ilvl w:val="0"/>
                <w:numId w:val="116"/>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Given concerns of FAD beaching on reefs and shorelines, could also contribute to studies of appropriate biodegradable FAD</w:t>
            </w:r>
            <w:r w:rsidRPr="00321BBC">
              <w:rPr>
                <w:rFonts w:ascii="Times New Roman" w:hAnsi="Times New Roman" w:cs="Times New Roman"/>
                <w:spacing w:val="-12"/>
              </w:rPr>
              <w:t xml:space="preserve"> </w:t>
            </w:r>
            <w:r w:rsidRPr="00321BBC">
              <w:rPr>
                <w:rFonts w:ascii="Times New Roman" w:hAnsi="Times New Roman" w:cs="Times New Roman"/>
              </w:rPr>
              <w:t>materials.</w:t>
            </w:r>
          </w:p>
        </w:tc>
      </w:tr>
      <w:tr w:rsidR="0021261B" w:rsidRPr="00321BBC" w14:paraId="3B54E309" w14:textId="77777777" w:rsidTr="00B738F6">
        <w:tc>
          <w:tcPr>
            <w:tcW w:w="900" w:type="pct"/>
          </w:tcPr>
          <w:p w14:paraId="0738AF6D"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Assumptions</w:t>
            </w:r>
          </w:p>
        </w:tc>
        <w:tc>
          <w:tcPr>
            <w:tcW w:w="4100" w:type="pct"/>
          </w:tcPr>
          <w:p w14:paraId="24AE8B71" w14:textId="77777777" w:rsidR="0021261B" w:rsidRPr="00321BBC" w:rsidRDefault="0021261B" w:rsidP="0074425A">
            <w:pPr>
              <w:pStyle w:val="TableParagraph"/>
              <w:numPr>
                <w:ilvl w:val="0"/>
                <w:numId w:val="115"/>
              </w:numPr>
              <w:tabs>
                <w:tab w:val="left" w:pos="420"/>
              </w:tabs>
              <w:adjustRightInd w:val="0"/>
              <w:snapToGrid w:val="0"/>
              <w:ind w:right="100"/>
              <w:rPr>
                <w:rFonts w:ascii="Times New Roman" w:hAnsi="Times New Roman" w:cs="Times New Roman"/>
              </w:rPr>
            </w:pPr>
            <w:r w:rsidRPr="00321BBC">
              <w:rPr>
                <w:rFonts w:ascii="Times New Roman" w:hAnsi="Times New Roman" w:cs="Times New Roman"/>
              </w:rPr>
              <w:t>The information provided in SC13-EB-WP-02 is considered by SC13 to provide insufficient evidence of the potential effectiveness of non- entangling</w:t>
            </w:r>
            <w:r w:rsidRPr="00321BBC">
              <w:rPr>
                <w:rFonts w:ascii="Times New Roman" w:hAnsi="Times New Roman" w:cs="Times New Roman"/>
                <w:spacing w:val="-4"/>
              </w:rPr>
              <w:t xml:space="preserve"> </w:t>
            </w:r>
            <w:r w:rsidRPr="00321BBC">
              <w:rPr>
                <w:rFonts w:ascii="Times New Roman" w:hAnsi="Times New Roman" w:cs="Times New Roman"/>
              </w:rPr>
              <w:t>designs</w:t>
            </w:r>
            <w:r w:rsidRPr="00321BBC">
              <w:rPr>
                <w:rFonts w:ascii="Times New Roman" w:hAnsi="Times New Roman" w:cs="Times New Roman"/>
                <w:spacing w:val="-3"/>
              </w:rPr>
              <w:t xml:space="preserve"> </w:t>
            </w:r>
            <w:r w:rsidRPr="00321BBC">
              <w:rPr>
                <w:rFonts w:ascii="Times New Roman" w:hAnsi="Times New Roman" w:cs="Times New Roman"/>
              </w:rPr>
              <w:t>in</w:t>
            </w:r>
            <w:r w:rsidRPr="00321BBC">
              <w:rPr>
                <w:rFonts w:ascii="Times New Roman" w:hAnsi="Times New Roman" w:cs="Times New Roman"/>
                <w:spacing w:val="-7"/>
              </w:rPr>
              <w:t xml:space="preserve"> </w:t>
            </w:r>
            <w:r w:rsidRPr="00321BBC">
              <w:rPr>
                <w:rFonts w:ascii="Times New Roman" w:hAnsi="Times New Roman" w:cs="Times New Roman"/>
              </w:rPr>
              <w:t>the</w:t>
            </w:r>
            <w:r w:rsidRPr="00321BBC">
              <w:rPr>
                <w:rFonts w:ascii="Times New Roman" w:hAnsi="Times New Roman" w:cs="Times New Roman"/>
                <w:spacing w:val="-8"/>
              </w:rPr>
              <w:t xml:space="preserve"> </w:t>
            </w:r>
            <w:r w:rsidRPr="00321BBC">
              <w:rPr>
                <w:rFonts w:ascii="Times New Roman" w:hAnsi="Times New Roman" w:cs="Times New Roman"/>
              </w:rPr>
              <w:t>WCPO,</w:t>
            </w:r>
            <w:r w:rsidRPr="00321BBC">
              <w:rPr>
                <w:rFonts w:ascii="Times New Roman" w:hAnsi="Times New Roman" w:cs="Times New Roman"/>
                <w:spacing w:val="-5"/>
              </w:rPr>
              <w:t xml:space="preserve"> </w:t>
            </w:r>
            <w:r w:rsidRPr="00321BBC">
              <w:rPr>
                <w:rFonts w:ascii="Times New Roman" w:hAnsi="Times New Roman" w:cs="Times New Roman"/>
              </w:rPr>
              <w:t>and</w:t>
            </w:r>
            <w:r w:rsidRPr="00321BBC">
              <w:rPr>
                <w:rFonts w:ascii="Times New Roman" w:hAnsi="Times New Roman" w:cs="Times New Roman"/>
                <w:spacing w:val="-4"/>
              </w:rPr>
              <w:t xml:space="preserve"> </w:t>
            </w:r>
            <w:r w:rsidRPr="00321BBC">
              <w:rPr>
                <w:rFonts w:ascii="Times New Roman" w:hAnsi="Times New Roman" w:cs="Times New Roman"/>
              </w:rPr>
              <w:t>hence</w:t>
            </w:r>
            <w:r w:rsidRPr="00321BBC">
              <w:rPr>
                <w:rFonts w:ascii="Times New Roman" w:hAnsi="Times New Roman" w:cs="Times New Roman"/>
                <w:spacing w:val="-4"/>
              </w:rPr>
              <w:t xml:space="preserve"> </w:t>
            </w:r>
            <w:r w:rsidRPr="00321BBC">
              <w:rPr>
                <w:rFonts w:ascii="Times New Roman" w:hAnsi="Times New Roman" w:cs="Times New Roman"/>
              </w:rPr>
              <w:t>local</w:t>
            </w:r>
            <w:r w:rsidRPr="00321BBC">
              <w:rPr>
                <w:rFonts w:ascii="Times New Roman" w:hAnsi="Times New Roman" w:cs="Times New Roman"/>
                <w:spacing w:val="-6"/>
              </w:rPr>
              <w:t xml:space="preserve"> </w:t>
            </w:r>
            <w:r w:rsidRPr="00321BBC">
              <w:rPr>
                <w:rFonts w:ascii="Times New Roman" w:hAnsi="Times New Roman" w:cs="Times New Roman"/>
              </w:rPr>
              <w:t>trials</w:t>
            </w:r>
            <w:r w:rsidRPr="00321BBC">
              <w:rPr>
                <w:rFonts w:ascii="Times New Roman" w:hAnsi="Times New Roman" w:cs="Times New Roman"/>
                <w:spacing w:val="-8"/>
              </w:rPr>
              <w:t xml:space="preserve"> </w:t>
            </w:r>
            <w:r w:rsidRPr="00321BBC">
              <w:rPr>
                <w:rFonts w:ascii="Times New Roman" w:hAnsi="Times New Roman" w:cs="Times New Roman"/>
              </w:rPr>
              <w:t>are</w:t>
            </w:r>
            <w:r w:rsidRPr="00321BBC">
              <w:rPr>
                <w:rFonts w:ascii="Times New Roman" w:hAnsi="Times New Roman" w:cs="Times New Roman"/>
                <w:spacing w:val="-3"/>
              </w:rPr>
              <w:t xml:space="preserve"> </w:t>
            </w:r>
            <w:r w:rsidRPr="00321BBC">
              <w:rPr>
                <w:rFonts w:ascii="Times New Roman" w:hAnsi="Times New Roman" w:cs="Times New Roman"/>
              </w:rPr>
              <w:t>needed.</w:t>
            </w:r>
            <w:r w:rsidRPr="00321BBC">
              <w:rPr>
                <w:rFonts w:ascii="Times New Roman" w:hAnsi="Times New Roman" w:cs="Times New Roman"/>
                <w:spacing w:val="-4"/>
              </w:rPr>
              <w:t xml:space="preserve"> </w:t>
            </w:r>
            <w:r w:rsidRPr="00321BBC">
              <w:rPr>
                <w:rFonts w:ascii="Times New Roman" w:hAnsi="Times New Roman" w:cs="Times New Roman"/>
              </w:rPr>
              <w:t>Note that if SC13-EB-WP-02 is considered by SC13 to provide sufficient evidence,</w:t>
            </w:r>
            <w:r w:rsidRPr="00321BBC">
              <w:rPr>
                <w:rFonts w:ascii="Times New Roman" w:hAnsi="Times New Roman" w:cs="Times New Roman"/>
                <w:spacing w:val="-5"/>
              </w:rPr>
              <w:t xml:space="preserve"> </w:t>
            </w:r>
            <w:r w:rsidRPr="00321BBC">
              <w:rPr>
                <w:rFonts w:ascii="Times New Roman" w:hAnsi="Times New Roman" w:cs="Times New Roman"/>
              </w:rPr>
              <w:t>this</w:t>
            </w:r>
            <w:r w:rsidRPr="00321BBC">
              <w:rPr>
                <w:rFonts w:ascii="Times New Roman" w:hAnsi="Times New Roman" w:cs="Times New Roman"/>
                <w:spacing w:val="-8"/>
              </w:rPr>
              <w:t xml:space="preserve"> </w:t>
            </w:r>
            <w:r w:rsidRPr="00321BBC">
              <w:rPr>
                <w:rFonts w:ascii="Times New Roman" w:hAnsi="Times New Roman" w:cs="Times New Roman"/>
              </w:rPr>
              <w:t>project</w:t>
            </w:r>
            <w:r w:rsidRPr="00321BBC">
              <w:rPr>
                <w:rFonts w:ascii="Times New Roman" w:hAnsi="Times New Roman" w:cs="Times New Roman"/>
                <w:spacing w:val="-7"/>
              </w:rPr>
              <w:t xml:space="preserve"> </w:t>
            </w:r>
            <w:r w:rsidRPr="00321BBC">
              <w:rPr>
                <w:rFonts w:ascii="Times New Roman" w:hAnsi="Times New Roman" w:cs="Times New Roman"/>
              </w:rPr>
              <w:t>should</w:t>
            </w:r>
            <w:r w:rsidRPr="00321BBC">
              <w:rPr>
                <w:rFonts w:ascii="Times New Roman" w:hAnsi="Times New Roman" w:cs="Times New Roman"/>
                <w:spacing w:val="-6"/>
              </w:rPr>
              <w:t xml:space="preserve"> </w:t>
            </w:r>
            <w:r w:rsidRPr="00321BBC">
              <w:rPr>
                <w:rFonts w:ascii="Times New Roman" w:hAnsi="Times New Roman" w:cs="Times New Roman"/>
              </w:rPr>
              <w:t>be</w:t>
            </w:r>
            <w:r w:rsidRPr="00321BBC">
              <w:rPr>
                <w:rFonts w:ascii="Times New Roman" w:hAnsi="Times New Roman" w:cs="Times New Roman"/>
                <w:spacing w:val="-5"/>
              </w:rPr>
              <w:t xml:space="preserve"> </w:t>
            </w:r>
            <w:r w:rsidRPr="00321BBC">
              <w:rPr>
                <w:rFonts w:ascii="Times New Roman" w:hAnsi="Times New Roman" w:cs="Times New Roman"/>
              </w:rPr>
              <w:t>revised</w:t>
            </w:r>
            <w:r w:rsidRPr="00321BBC">
              <w:rPr>
                <w:rFonts w:ascii="Times New Roman" w:hAnsi="Times New Roman" w:cs="Times New Roman"/>
                <w:spacing w:val="-9"/>
              </w:rPr>
              <w:t xml:space="preserve"> </w:t>
            </w:r>
            <w:r w:rsidRPr="00321BBC">
              <w:rPr>
                <w:rFonts w:ascii="Times New Roman" w:hAnsi="Times New Roman" w:cs="Times New Roman"/>
              </w:rPr>
              <w:t>to</w:t>
            </w:r>
            <w:r w:rsidRPr="00321BBC">
              <w:rPr>
                <w:rFonts w:ascii="Times New Roman" w:hAnsi="Times New Roman" w:cs="Times New Roman"/>
                <w:spacing w:val="-6"/>
              </w:rPr>
              <w:t xml:space="preserve"> </w:t>
            </w:r>
            <w:r w:rsidRPr="00321BBC">
              <w:rPr>
                <w:rFonts w:ascii="Times New Roman" w:hAnsi="Times New Roman" w:cs="Times New Roman"/>
              </w:rPr>
              <w:t>focus</w:t>
            </w:r>
            <w:r w:rsidRPr="00321BBC">
              <w:rPr>
                <w:rFonts w:ascii="Times New Roman" w:hAnsi="Times New Roman" w:cs="Times New Roman"/>
                <w:spacing w:val="-9"/>
              </w:rPr>
              <w:t xml:space="preserve"> </w:t>
            </w:r>
            <w:r w:rsidRPr="00321BBC">
              <w:rPr>
                <w:rFonts w:ascii="Times New Roman" w:hAnsi="Times New Roman" w:cs="Times New Roman"/>
              </w:rPr>
              <w:t>on</w:t>
            </w:r>
            <w:r w:rsidRPr="00321BBC">
              <w:rPr>
                <w:rFonts w:ascii="Times New Roman" w:hAnsi="Times New Roman" w:cs="Times New Roman"/>
                <w:spacing w:val="-6"/>
              </w:rPr>
              <w:t xml:space="preserve"> </w:t>
            </w:r>
            <w:r w:rsidRPr="00321BBC">
              <w:rPr>
                <w:rFonts w:ascii="Times New Roman" w:hAnsi="Times New Roman" w:cs="Times New Roman"/>
              </w:rPr>
              <w:t>extension,</w:t>
            </w:r>
            <w:r w:rsidRPr="00321BBC">
              <w:rPr>
                <w:rFonts w:ascii="Times New Roman" w:hAnsi="Times New Roman" w:cs="Times New Roman"/>
                <w:spacing w:val="-8"/>
              </w:rPr>
              <w:t xml:space="preserve"> </w:t>
            </w:r>
            <w:r w:rsidRPr="00321BBC">
              <w:rPr>
                <w:rFonts w:ascii="Times New Roman" w:hAnsi="Times New Roman" w:cs="Times New Roman"/>
              </w:rPr>
              <w:t>to</w:t>
            </w:r>
            <w:r w:rsidRPr="00321BBC">
              <w:rPr>
                <w:rFonts w:ascii="Times New Roman" w:hAnsi="Times New Roman" w:cs="Times New Roman"/>
                <w:spacing w:val="-6"/>
              </w:rPr>
              <w:t xml:space="preserve"> </w:t>
            </w:r>
            <w:r w:rsidRPr="00321BBC">
              <w:rPr>
                <w:rFonts w:ascii="Times New Roman" w:hAnsi="Times New Roman" w:cs="Times New Roman"/>
              </w:rPr>
              <w:t>ensure rapid uptake and deployment of non-entangling FAD designs, and to ensure the cost effectiveness of those designs for all WCPO fleets, in particular those domestic fleets of</w:t>
            </w:r>
            <w:r w:rsidRPr="00321BBC">
              <w:rPr>
                <w:rFonts w:ascii="Times New Roman" w:hAnsi="Times New Roman" w:cs="Times New Roman"/>
                <w:spacing w:val="-11"/>
              </w:rPr>
              <w:t xml:space="preserve"> </w:t>
            </w:r>
            <w:r w:rsidRPr="00321BBC">
              <w:rPr>
                <w:rFonts w:ascii="Times New Roman" w:hAnsi="Times New Roman" w:cs="Times New Roman"/>
              </w:rPr>
              <w:t>PICTs.</w:t>
            </w:r>
          </w:p>
          <w:p w14:paraId="57283349" w14:textId="77777777" w:rsidR="0021261B" w:rsidRPr="00321BBC" w:rsidRDefault="0021261B" w:rsidP="0074425A">
            <w:pPr>
              <w:pStyle w:val="TableParagraph"/>
              <w:numPr>
                <w:ilvl w:val="0"/>
                <w:numId w:val="115"/>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 xml:space="preserve">The relationship between design and SSI interactions can be gained through tracking FADs from construction, through deployment, </w:t>
            </w:r>
            <w:r w:rsidRPr="00321BBC">
              <w:rPr>
                <w:rFonts w:ascii="Times New Roman" w:hAnsi="Times New Roman" w:cs="Times New Roman"/>
                <w:spacing w:val="-3"/>
              </w:rPr>
              <w:t xml:space="preserve">to </w:t>
            </w:r>
            <w:r w:rsidRPr="00321BBC">
              <w:rPr>
                <w:rFonts w:ascii="Times New Roman" w:hAnsi="Times New Roman" w:cs="Times New Roman"/>
              </w:rPr>
              <w:t>setting activity by any fleet, and SSI</w:t>
            </w:r>
            <w:r w:rsidRPr="00321BBC">
              <w:rPr>
                <w:rFonts w:ascii="Times New Roman" w:hAnsi="Times New Roman" w:cs="Times New Roman"/>
                <w:spacing w:val="-14"/>
              </w:rPr>
              <w:t xml:space="preserve"> </w:t>
            </w:r>
            <w:r w:rsidRPr="00321BBC">
              <w:rPr>
                <w:rFonts w:ascii="Times New Roman" w:hAnsi="Times New Roman" w:cs="Times New Roman"/>
              </w:rPr>
              <w:t>interactions.</w:t>
            </w:r>
          </w:p>
          <w:p w14:paraId="3C444B11" w14:textId="77777777" w:rsidR="0021261B" w:rsidRPr="00321BBC" w:rsidRDefault="0021261B" w:rsidP="0074425A">
            <w:pPr>
              <w:pStyle w:val="TableParagraph"/>
              <w:numPr>
                <w:ilvl w:val="0"/>
                <w:numId w:val="115"/>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If tracking is not possible, the regular removal of a set-upon FAD from the water can be undertaken so observations of its sub-surface structures and the occurrence of captured SSIs can be</w:t>
            </w:r>
            <w:r w:rsidRPr="00321BBC">
              <w:rPr>
                <w:rFonts w:ascii="Times New Roman" w:hAnsi="Times New Roman" w:cs="Times New Roman"/>
                <w:spacing w:val="-13"/>
              </w:rPr>
              <w:t xml:space="preserve"> </w:t>
            </w:r>
            <w:r w:rsidRPr="00321BBC">
              <w:rPr>
                <w:rFonts w:ascii="Times New Roman" w:hAnsi="Times New Roman" w:cs="Times New Roman"/>
              </w:rPr>
              <w:t>made.</w:t>
            </w:r>
          </w:p>
          <w:p w14:paraId="230092F6" w14:textId="77777777" w:rsidR="0021261B" w:rsidRPr="00321BBC" w:rsidRDefault="0021261B" w:rsidP="0074425A">
            <w:pPr>
              <w:pStyle w:val="TableParagraph"/>
              <w:numPr>
                <w:ilvl w:val="0"/>
                <w:numId w:val="115"/>
              </w:numPr>
              <w:tabs>
                <w:tab w:val="left" w:pos="420"/>
              </w:tabs>
              <w:adjustRightInd w:val="0"/>
              <w:snapToGrid w:val="0"/>
              <w:ind w:right="104"/>
              <w:rPr>
                <w:rFonts w:ascii="Times New Roman" w:hAnsi="Times New Roman" w:cs="Times New Roman"/>
              </w:rPr>
            </w:pPr>
            <w:r w:rsidRPr="00321BBC">
              <w:rPr>
                <w:rFonts w:ascii="Times New Roman" w:hAnsi="Times New Roman" w:cs="Times New Roman"/>
              </w:rPr>
              <w:t>Periodic removal of tracked designs may also be necessary to identify changes over time (e.g. unravelling of bound netting, degradation of components).</w:t>
            </w:r>
          </w:p>
          <w:p w14:paraId="68129B4A" w14:textId="77777777" w:rsidR="0021261B" w:rsidRPr="00321BBC" w:rsidRDefault="0021261B" w:rsidP="0074425A">
            <w:pPr>
              <w:pStyle w:val="TableParagraph"/>
              <w:numPr>
                <w:ilvl w:val="0"/>
                <w:numId w:val="115"/>
              </w:numPr>
              <w:tabs>
                <w:tab w:val="left" w:pos="420"/>
              </w:tabs>
              <w:adjustRightInd w:val="0"/>
              <w:snapToGrid w:val="0"/>
              <w:ind w:right="100"/>
              <w:rPr>
                <w:rFonts w:ascii="Times New Roman" w:hAnsi="Times New Roman" w:cs="Times New Roman"/>
              </w:rPr>
            </w:pPr>
            <w:r w:rsidRPr="00321BBC">
              <w:rPr>
                <w:rFonts w:ascii="Times New Roman" w:hAnsi="Times New Roman" w:cs="Times New Roman"/>
              </w:rPr>
              <w:t>A coordinated trial of designs, in collaboration with industry, is suggested as the most efficient approach. Cost, material availability and environmental impact would be key factors in assessing the merit of various</w:t>
            </w:r>
            <w:r w:rsidRPr="00321BBC">
              <w:rPr>
                <w:rFonts w:ascii="Times New Roman" w:hAnsi="Times New Roman" w:cs="Times New Roman"/>
                <w:spacing w:val="-7"/>
              </w:rPr>
              <w:t xml:space="preserve"> </w:t>
            </w:r>
            <w:r w:rsidRPr="00321BBC">
              <w:rPr>
                <w:rFonts w:ascii="Times New Roman" w:hAnsi="Times New Roman" w:cs="Times New Roman"/>
              </w:rPr>
              <w:t>designs.</w:t>
            </w:r>
          </w:p>
          <w:p w14:paraId="2CDC615E" w14:textId="5EC42A55" w:rsidR="0021261B" w:rsidRPr="00321BBC" w:rsidRDefault="0021261B" w:rsidP="0074425A">
            <w:pPr>
              <w:pStyle w:val="TableParagraph"/>
              <w:numPr>
                <w:ilvl w:val="0"/>
                <w:numId w:val="115"/>
              </w:numPr>
              <w:tabs>
                <w:tab w:val="left" w:pos="420"/>
              </w:tabs>
              <w:adjustRightInd w:val="0"/>
              <w:snapToGrid w:val="0"/>
              <w:ind w:right="106"/>
              <w:rPr>
                <w:rFonts w:ascii="Times New Roman" w:hAnsi="Times New Roman" w:cs="Times New Roman"/>
              </w:rPr>
            </w:pPr>
            <w:r w:rsidRPr="00321BBC">
              <w:rPr>
                <w:rFonts w:ascii="Times New Roman" w:hAnsi="Times New Roman" w:cs="Times New Roman"/>
              </w:rPr>
              <w:t xml:space="preserve">Sufficient data are available across different designs and locations </w:t>
            </w:r>
            <w:r w:rsidRPr="00321BBC">
              <w:rPr>
                <w:rFonts w:ascii="Times New Roman" w:hAnsi="Times New Roman" w:cs="Times New Roman"/>
                <w:spacing w:val="-3"/>
              </w:rPr>
              <w:t>to</w:t>
            </w:r>
            <w:r w:rsidR="00444E27">
              <w:rPr>
                <w:rFonts w:ascii="Times New Roman" w:hAnsi="Times New Roman" w:cs="Times New Roman"/>
                <w:spacing w:val="-3"/>
              </w:rPr>
              <w:t xml:space="preserve"> </w:t>
            </w:r>
            <w:r w:rsidRPr="00321BBC">
              <w:rPr>
                <w:rFonts w:ascii="Times New Roman" w:hAnsi="Times New Roman" w:cs="Times New Roman"/>
              </w:rPr>
              <w:t>allow statistical analyses to be</w:t>
            </w:r>
            <w:r w:rsidRPr="00321BBC">
              <w:rPr>
                <w:rFonts w:ascii="Times New Roman" w:hAnsi="Times New Roman" w:cs="Times New Roman"/>
                <w:spacing w:val="-12"/>
              </w:rPr>
              <w:t xml:space="preserve"> </w:t>
            </w:r>
            <w:r w:rsidRPr="00321BBC">
              <w:rPr>
                <w:rFonts w:ascii="Times New Roman" w:hAnsi="Times New Roman" w:cs="Times New Roman"/>
              </w:rPr>
              <w:t>effective.</w:t>
            </w:r>
          </w:p>
          <w:p w14:paraId="1D9013D0" w14:textId="77777777" w:rsidR="0021261B" w:rsidRPr="00321BBC" w:rsidRDefault="0021261B" w:rsidP="0074425A">
            <w:pPr>
              <w:pStyle w:val="TableParagraph"/>
              <w:numPr>
                <w:ilvl w:val="0"/>
                <w:numId w:val="115"/>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Where specific field trials are undertaken, they might be able to be performed at the same time as trials required under FAD project #2 to create cost</w:t>
            </w:r>
            <w:r w:rsidRPr="00321BBC">
              <w:rPr>
                <w:rFonts w:ascii="Times New Roman" w:hAnsi="Times New Roman" w:cs="Times New Roman"/>
                <w:spacing w:val="-2"/>
              </w:rPr>
              <w:t xml:space="preserve"> </w:t>
            </w:r>
            <w:r w:rsidRPr="00321BBC">
              <w:rPr>
                <w:rFonts w:ascii="Times New Roman" w:hAnsi="Times New Roman" w:cs="Times New Roman"/>
              </w:rPr>
              <w:t>efficiencies.</w:t>
            </w:r>
          </w:p>
        </w:tc>
      </w:tr>
      <w:tr w:rsidR="00B738F6" w:rsidRPr="00321BBC" w14:paraId="23A9C90F" w14:textId="77777777" w:rsidTr="00B738F6">
        <w:tc>
          <w:tcPr>
            <w:tcW w:w="900" w:type="pct"/>
          </w:tcPr>
          <w:p w14:paraId="4296AD41" w14:textId="77777777" w:rsidR="00B738F6" w:rsidRPr="00321BBC" w:rsidRDefault="00B738F6"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Scope</w:t>
            </w:r>
          </w:p>
        </w:tc>
        <w:tc>
          <w:tcPr>
            <w:tcW w:w="4100" w:type="pct"/>
          </w:tcPr>
          <w:p w14:paraId="2981806A" w14:textId="77777777" w:rsidR="00B738F6" w:rsidRPr="00321BBC" w:rsidRDefault="00B738F6"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Through review of existing studies and best practices in other oceans (see SC13-EB-WP-02) identify plausible non-entangling FAD designs, in collaboration with industry. This should include sub-FAD structure depth and mesh size, removal of netting on the surface of FADs and alternative platform widths.</w:t>
            </w:r>
          </w:p>
          <w:p w14:paraId="68282844" w14:textId="77777777" w:rsidR="00B738F6" w:rsidRPr="00321BBC" w:rsidRDefault="00B738F6" w:rsidP="0021261B">
            <w:pPr>
              <w:pStyle w:val="TableParagraph"/>
              <w:adjustRightInd w:val="0"/>
              <w:snapToGrid w:val="0"/>
              <w:ind w:left="0"/>
              <w:jc w:val="left"/>
              <w:rPr>
                <w:rFonts w:ascii="Times New Roman" w:hAnsi="Times New Roman" w:cs="Times New Roman"/>
              </w:rPr>
            </w:pPr>
          </w:p>
          <w:p w14:paraId="5EE5AD06" w14:textId="77777777" w:rsidR="00B738F6" w:rsidRPr="00321BBC" w:rsidRDefault="00B738F6" w:rsidP="0021261B">
            <w:pPr>
              <w:pStyle w:val="TableParagraph"/>
              <w:adjustRightInd w:val="0"/>
              <w:snapToGrid w:val="0"/>
              <w:ind w:right="102"/>
              <w:rPr>
                <w:rFonts w:ascii="Times New Roman" w:hAnsi="Times New Roman" w:cs="Times New Roman"/>
              </w:rPr>
            </w:pPr>
            <w:r w:rsidRPr="00321BBC">
              <w:rPr>
                <w:rFonts w:ascii="Times New Roman" w:hAnsi="Times New Roman" w:cs="Times New Roman"/>
              </w:rPr>
              <w:t>Implement at-sea FAD trials across the WCPO [deployment and fishing activity] to be completed within 18 months. This will most effectively be</w:t>
            </w:r>
            <w:r>
              <w:rPr>
                <w:rFonts w:ascii="Times New Roman" w:hAnsi="Times New Roman" w:cs="Times New Roman"/>
              </w:rPr>
              <w:t xml:space="preserve"> </w:t>
            </w:r>
          </w:p>
          <w:p w14:paraId="2C2BBB0A" w14:textId="77777777" w:rsidR="00B738F6" w:rsidRPr="00321BBC" w:rsidRDefault="00B738F6" w:rsidP="00B738F6">
            <w:pPr>
              <w:pStyle w:val="TableParagraph"/>
              <w:adjustRightInd w:val="0"/>
              <w:snapToGrid w:val="0"/>
              <w:ind w:left="0" w:right="99"/>
              <w:rPr>
                <w:rFonts w:ascii="Times New Roman" w:hAnsi="Times New Roman" w:cs="Times New Roman"/>
              </w:rPr>
            </w:pPr>
            <w:proofErr w:type="gramStart"/>
            <w:r w:rsidRPr="00321BBC">
              <w:rPr>
                <w:rFonts w:ascii="Times New Roman" w:hAnsi="Times New Roman" w:cs="Times New Roman"/>
              </w:rPr>
              <w:t>performed</w:t>
            </w:r>
            <w:proofErr w:type="gramEnd"/>
            <w:r w:rsidRPr="00321BBC">
              <w:rPr>
                <w:rFonts w:ascii="Times New Roman" w:hAnsi="Times New Roman" w:cs="Times New Roman"/>
              </w:rPr>
              <w:t xml:space="preserve"> in partnership with observers and industry to ensure marking, deployment and monitoring of FADs in a coordinated way. Two levels of industry participation are anticipated: (1) the fleets that deploy the FADs and are actively engaged in the research. (2) All other fleets that find the FADs</w:t>
            </w:r>
            <w:r w:rsidRPr="00321BBC">
              <w:rPr>
                <w:rFonts w:ascii="Times New Roman" w:hAnsi="Times New Roman" w:cs="Times New Roman"/>
                <w:spacing w:val="-6"/>
              </w:rPr>
              <w:t xml:space="preserve"> </w:t>
            </w:r>
            <w:r w:rsidRPr="00321BBC">
              <w:rPr>
                <w:rFonts w:ascii="Times New Roman" w:hAnsi="Times New Roman" w:cs="Times New Roman"/>
              </w:rPr>
              <w:t>from</w:t>
            </w:r>
            <w:r w:rsidRPr="00321BBC">
              <w:rPr>
                <w:rFonts w:ascii="Times New Roman" w:hAnsi="Times New Roman" w:cs="Times New Roman"/>
                <w:spacing w:val="-5"/>
              </w:rPr>
              <w:t xml:space="preserve"> </w:t>
            </w:r>
            <w:r w:rsidRPr="00321BBC">
              <w:rPr>
                <w:rFonts w:ascii="Times New Roman" w:hAnsi="Times New Roman" w:cs="Times New Roman"/>
              </w:rPr>
              <w:t>(1)</w:t>
            </w:r>
            <w:r w:rsidRPr="00321BBC">
              <w:rPr>
                <w:rFonts w:ascii="Times New Roman" w:hAnsi="Times New Roman" w:cs="Times New Roman"/>
                <w:spacing w:val="-5"/>
              </w:rPr>
              <w:t xml:space="preserve"> </w:t>
            </w:r>
            <w:r w:rsidRPr="00321BBC">
              <w:rPr>
                <w:rFonts w:ascii="Times New Roman" w:hAnsi="Times New Roman" w:cs="Times New Roman"/>
              </w:rPr>
              <w:t>and</w:t>
            </w:r>
            <w:r w:rsidRPr="00321BBC">
              <w:rPr>
                <w:rFonts w:ascii="Times New Roman" w:hAnsi="Times New Roman" w:cs="Times New Roman"/>
                <w:spacing w:val="-6"/>
              </w:rPr>
              <w:t xml:space="preserve"> </w:t>
            </w:r>
            <w:r w:rsidRPr="00321BBC">
              <w:rPr>
                <w:rFonts w:ascii="Times New Roman" w:hAnsi="Times New Roman" w:cs="Times New Roman"/>
              </w:rPr>
              <w:t>set</w:t>
            </w:r>
            <w:r w:rsidRPr="00321BBC">
              <w:rPr>
                <w:rFonts w:ascii="Times New Roman" w:hAnsi="Times New Roman" w:cs="Times New Roman"/>
                <w:spacing w:val="-5"/>
              </w:rPr>
              <w:t xml:space="preserve"> </w:t>
            </w:r>
            <w:r w:rsidRPr="00321BBC">
              <w:rPr>
                <w:rFonts w:ascii="Times New Roman" w:hAnsi="Times New Roman" w:cs="Times New Roman"/>
              </w:rPr>
              <w:t>upon</w:t>
            </w:r>
            <w:r w:rsidRPr="00321BBC">
              <w:rPr>
                <w:rFonts w:ascii="Times New Roman" w:hAnsi="Times New Roman" w:cs="Times New Roman"/>
                <w:spacing w:val="-9"/>
              </w:rPr>
              <w:t xml:space="preserve"> </w:t>
            </w:r>
            <w:r w:rsidRPr="00321BBC">
              <w:rPr>
                <w:rFonts w:ascii="Times New Roman" w:hAnsi="Times New Roman" w:cs="Times New Roman"/>
              </w:rPr>
              <w:t>them.</w:t>
            </w:r>
            <w:r w:rsidRPr="00321BBC">
              <w:rPr>
                <w:rFonts w:ascii="Times New Roman" w:hAnsi="Times New Roman" w:cs="Times New Roman"/>
                <w:spacing w:val="-5"/>
              </w:rPr>
              <w:t xml:space="preserve"> </w:t>
            </w:r>
            <w:r w:rsidRPr="00321BBC">
              <w:rPr>
                <w:rFonts w:ascii="Times New Roman" w:hAnsi="Times New Roman" w:cs="Times New Roman"/>
              </w:rPr>
              <w:t>Information</w:t>
            </w:r>
            <w:r w:rsidRPr="00321BBC">
              <w:rPr>
                <w:rFonts w:ascii="Times New Roman" w:hAnsi="Times New Roman" w:cs="Times New Roman"/>
                <w:spacing w:val="-6"/>
              </w:rPr>
              <w:t xml:space="preserve"> </w:t>
            </w:r>
            <w:r w:rsidRPr="00321BBC">
              <w:rPr>
                <w:rFonts w:ascii="Times New Roman" w:hAnsi="Times New Roman" w:cs="Times New Roman"/>
              </w:rPr>
              <w:t>from</w:t>
            </w:r>
            <w:r w:rsidRPr="00321BBC">
              <w:rPr>
                <w:rFonts w:ascii="Times New Roman" w:hAnsi="Times New Roman" w:cs="Times New Roman"/>
                <w:spacing w:val="-4"/>
              </w:rPr>
              <w:t xml:space="preserve"> </w:t>
            </w:r>
            <w:r w:rsidRPr="00321BBC">
              <w:rPr>
                <w:rFonts w:ascii="Times New Roman" w:hAnsi="Times New Roman" w:cs="Times New Roman"/>
              </w:rPr>
              <w:t>(2)</w:t>
            </w:r>
            <w:r w:rsidRPr="00321BBC">
              <w:rPr>
                <w:rFonts w:ascii="Times New Roman" w:hAnsi="Times New Roman" w:cs="Times New Roman"/>
                <w:spacing w:val="-5"/>
              </w:rPr>
              <w:t xml:space="preserve"> </w:t>
            </w:r>
            <w:r w:rsidRPr="00321BBC">
              <w:rPr>
                <w:rFonts w:ascii="Times New Roman" w:hAnsi="Times New Roman" w:cs="Times New Roman"/>
              </w:rPr>
              <w:t>will</w:t>
            </w:r>
            <w:r w:rsidRPr="00321BBC">
              <w:rPr>
                <w:rFonts w:ascii="Times New Roman" w:hAnsi="Times New Roman" w:cs="Times New Roman"/>
                <w:spacing w:val="-6"/>
              </w:rPr>
              <w:t xml:space="preserve"> </w:t>
            </w:r>
            <w:r w:rsidRPr="00321BBC">
              <w:rPr>
                <w:rFonts w:ascii="Times New Roman" w:hAnsi="Times New Roman" w:cs="Times New Roman"/>
              </w:rPr>
              <w:t>be</w:t>
            </w:r>
            <w:r w:rsidRPr="00321BBC">
              <w:rPr>
                <w:rFonts w:ascii="Times New Roman" w:hAnsi="Times New Roman" w:cs="Times New Roman"/>
                <w:spacing w:val="-5"/>
              </w:rPr>
              <w:t xml:space="preserve"> </w:t>
            </w:r>
            <w:r w:rsidRPr="00321BBC">
              <w:rPr>
                <w:rFonts w:ascii="Times New Roman" w:hAnsi="Times New Roman" w:cs="Times New Roman"/>
              </w:rPr>
              <w:t>critical</w:t>
            </w:r>
            <w:r w:rsidRPr="00321BBC">
              <w:rPr>
                <w:rFonts w:ascii="Times New Roman" w:hAnsi="Times New Roman" w:cs="Times New Roman"/>
                <w:spacing w:val="-6"/>
              </w:rPr>
              <w:t xml:space="preserve"> </w:t>
            </w:r>
            <w:r w:rsidRPr="00321BBC">
              <w:rPr>
                <w:rFonts w:ascii="Times New Roman" w:hAnsi="Times New Roman" w:cs="Times New Roman"/>
              </w:rPr>
              <w:t>to</w:t>
            </w:r>
            <w:r w:rsidRPr="00321BBC">
              <w:rPr>
                <w:rFonts w:ascii="Times New Roman" w:hAnsi="Times New Roman" w:cs="Times New Roman"/>
                <w:spacing w:val="-4"/>
              </w:rPr>
              <w:t xml:space="preserve"> </w:t>
            </w:r>
            <w:r w:rsidRPr="00321BBC">
              <w:rPr>
                <w:rFonts w:ascii="Times New Roman" w:hAnsi="Times New Roman" w:cs="Times New Roman"/>
              </w:rPr>
              <w:t>the success of the</w:t>
            </w:r>
            <w:r w:rsidRPr="00321BBC">
              <w:rPr>
                <w:rFonts w:ascii="Times New Roman" w:hAnsi="Times New Roman" w:cs="Times New Roman"/>
                <w:spacing w:val="-5"/>
              </w:rPr>
              <w:t xml:space="preserve"> </w:t>
            </w:r>
            <w:r w:rsidRPr="00321BBC">
              <w:rPr>
                <w:rFonts w:ascii="Times New Roman" w:hAnsi="Times New Roman" w:cs="Times New Roman"/>
              </w:rPr>
              <w:t>research.</w:t>
            </w:r>
          </w:p>
          <w:p w14:paraId="24B32BC7" w14:textId="77777777" w:rsidR="00B738F6" w:rsidRPr="00321BBC" w:rsidRDefault="00B738F6" w:rsidP="0021261B">
            <w:pPr>
              <w:pStyle w:val="TableParagraph"/>
              <w:adjustRightInd w:val="0"/>
              <w:snapToGrid w:val="0"/>
              <w:ind w:left="0"/>
              <w:jc w:val="left"/>
              <w:rPr>
                <w:rFonts w:ascii="Times New Roman" w:hAnsi="Times New Roman" w:cs="Times New Roman"/>
              </w:rPr>
            </w:pPr>
          </w:p>
          <w:p w14:paraId="08A32D2A" w14:textId="77777777" w:rsidR="00B738F6" w:rsidRPr="00321BBC" w:rsidRDefault="00B738F6" w:rsidP="0021261B">
            <w:pPr>
              <w:pStyle w:val="TableParagraph"/>
              <w:adjustRightInd w:val="0"/>
              <w:snapToGrid w:val="0"/>
              <w:rPr>
                <w:rFonts w:ascii="Times New Roman" w:hAnsi="Times New Roman" w:cs="Times New Roman"/>
              </w:rPr>
            </w:pPr>
            <w:r w:rsidRPr="00321BBC">
              <w:rPr>
                <w:rFonts w:ascii="Times New Roman" w:hAnsi="Times New Roman" w:cs="Times New Roman"/>
              </w:rPr>
              <w:t>Using ISSF Technical Report 2016-18A as a guide:</w:t>
            </w:r>
          </w:p>
          <w:p w14:paraId="77085CC0" w14:textId="77777777" w:rsidR="00B738F6" w:rsidRPr="00321BBC" w:rsidRDefault="00B738F6" w:rsidP="0074425A">
            <w:pPr>
              <w:pStyle w:val="TableParagraph"/>
              <w:numPr>
                <w:ilvl w:val="0"/>
                <w:numId w:val="114"/>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Fleets deploy a given number of FADs per vessel (e.g. 10-20 FADs per vessel to reach a significant large number of</w:t>
            </w:r>
            <w:r w:rsidRPr="00321BBC">
              <w:rPr>
                <w:rFonts w:ascii="Times New Roman" w:hAnsi="Times New Roman" w:cs="Times New Roman"/>
                <w:spacing w:val="-20"/>
              </w:rPr>
              <w:t xml:space="preserve"> </w:t>
            </w:r>
            <w:r w:rsidRPr="00321BBC">
              <w:rPr>
                <w:rFonts w:ascii="Times New Roman" w:hAnsi="Times New Roman" w:cs="Times New Roman"/>
              </w:rPr>
              <w:t>FADs).</w:t>
            </w:r>
          </w:p>
          <w:p w14:paraId="16DB304F" w14:textId="77777777" w:rsidR="00B738F6" w:rsidRPr="00321BBC" w:rsidRDefault="00B738F6" w:rsidP="0074425A">
            <w:pPr>
              <w:pStyle w:val="TableParagraph"/>
              <w:numPr>
                <w:ilvl w:val="0"/>
                <w:numId w:val="114"/>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Maximum 4 standardized designs tested, constructed in port and deployed in the same area as traditional FADs, so their effectiveness could</w:t>
            </w:r>
            <w:r w:rsidRPr="00321BBC">
              <w:rPr>
                <w:rFonts w:ascii="Times New Roman" w:hAnsi="Times New Roman" w:cs="Times New Roman"/>
                <w:spacing w:val="-7"/>
              </w:rPr>
              <w:t xml:space="preserve"> </w:t>
            </w:r>
            <w:r w:rsidRPr="00321BBC">
              <w:rPr>
                <w:rFonts w:ascii="Times New Roman" w:hAnsi="Times New Roman" w:cs="Times New Roman"/>
              </w:rPr>
              <w:t>be</w:t>
            </w:r>
            <w:r w:rsidRPr="00321BBC">
              <w:rPr>
                <w:rFonts w:ascii="Times New Roman" w:hAnsi="Times New Roman" w:cs="Times New Roman"/>
                <w:spacing w:val="-7"/>
              </w:rPr>
              <w:t xml:space="preserve"> </w:t>
            </w:r>
            <w:r w:rsidRPr="00321BBC">
              <w:rPr>
                <w:rFonts w:ascii="Times New Roman" w:hAnsi="Times New Roman" w:cs="Times New Roman"/>
              </w:rPr>
              <w:t>compared</w:t>
            </w:r>
            <w:r w:rsidRPr="00321BBC">
              <w:rPr>
                <w:rFonts w:ascii="Times New Roman" w:hAnsi="Times New Roman" w:cs="Times New Roman"/>
                <w:spacing w:val="-9"/>
              </w:rPr>
              <w:t xml:space="preserve"> </w:t>
            </w:r>
            <w:r w:rsidRPr="00321BBC">
              <w:rPr>
                <w:rFonts w:ascii="Times New Roman" w:hAnsi="Times New Roman" w:cs="Times New Roman"/>
              </w:rPr>
              <w:t>with</w:t>
            </w:r>
            <w:r w:rsidRPr="00321BBC">
              <w:rPr>
                <w:rFonts w:ascii="Times New Roman" w:hAnsi="Times New Roman" w:cs="Times New Roman"/>
                <w:spacing w:val="-8"/>
              </w:rPr>
              <w:t xml:space="preserve"> </w:t>
            </w:r>
            <w:r w:rsidRPr="00321BBC">
              <w:rPr>
                <w:rFonts w:ascii="Times New Roman" w:hAnsi="Times New Roman" w:cs="Times New Roman"/>
              </w:rPr>
              <w:t>that</w:t>
            </w:r>
            <w:r w:rsidRPr="00321BBC">
              <w:rPr>
                <w:rFonts w:ascii="Times New Roman" w:hAnsi="Times New Roman" w:cs="Times New Roman"/>
                <w:spacing w:val="-5"/>
              </w:rPr>
              <w:t xml:space="preserve"> </w:t>
            </w:r>
            <w:r w:rsidRPr="00321BBC">
              <w:rPr>
                <w:rFonts w:ascii="Times New Roman" w:hAnsi="Times New Roman" w:cs="Times New Roman"/>
              </w:rPr>
              <w:t>of</w:t>
            </w:r>
            <w:r w:rsidRPr="00321BBC">
              <w:rPr>
                <w:rFonts w:ascii="Times New Roman" w:hAnsi="Times New Roman" w:cs="Times New Roman"/>
                <w:spacing w:val="-8"/>
              </w:rPr>
              <w:t xml:space="preserve"> </w:t>
            </w:r>
            <w:r w:rsidRPr="00321BBC">
              <w:rPr>
                <w:rFonts w:ascii="Times New Roman" w:hAnsi="Times New Roman" w:cs="Times New Roman"/>
              </w:rPr>
              <w:t>the</w:t>
            </w:r>
            <w:r w:rsidRPr="00321BBC">
              <w:rPr>
                <w:rFonts w:ascii="Times New Roman" w:hAnsi="Times New Roman" w:cs="Times New Roman"/>
                <w:spacing w:val="-8"/>
              </w:rPr>
              <w:t xml:space="preserve"> </w:t>
            </w:r>
            <w:r w:rsidRPr="00321BBC">
              <w:rPr>
                <w:rFonts w:ascii="Times New Roman" w:hAnsi="Times New Roman" w:cs="Times New Roman"/>
              </w:rPr>
              <w:t>traditional</w:t>
            </w:r>
            <w:r w:rsidRPr="00321BBC">
              <w:rPr>
                <w:rFonts w:ascii="Times New Roman" w:hAnsi="Times New Roman" w:cs="Times New Roman"/>
                <w:spacing w:val="-6"/>
              </w:rPr>
              <w:t xml:space="preserve"> </w:t>
            </w:r>
            <w:r w:rsidRPr="00321BBC">
              <w:rPr>
                <w:rFonts w:ascii="Times New Roman" w:hAnsi="Times New Roman" w:cs="Times New Roman"/>
              </w:rPr>
              <w:t>FADs</w:t>
            </w:r>
            <w:r w:rsidRPr="00321BBC">
              <w:rPr>
                <w:rFonts w:ascii="Times New Roman" w:hAnsi="Times New Roman" w:cs="Times New Roman"/>
                <w:spacing w:val="-6"/>
              </w:rPr>
              <w:t xml:space="preserve"> </w:t>
            </w:r>
            <w:r w:rsidRPr="00321BBC">
              <w:rPr>
                <w:rFonts w:ascii="Times New Roman" w:hAnsi="Times New Roman" w:cs="Times New Roman"/>
              </w:rPr>
              <w:t>for</w:t>
            </w:r>
            <w:r w:rsidRPr="00321BBC">
              <w:rPr>
                <w:rFonts w:ascii="Times New Roman" w:hAnsi="Times New Roman" w:cs="Times New Roman"/>
                <w:spacing w:val="-6"/>
              </w:rPr>
              <w:t xml:space="preserve"> </w:t>
            </w:r>
            <w:r w:rsidRPr="00321BBC">
              <w:rPr>
                <w:rFonts w:ascii="Times New Roman" w:hAnsi="Times New Roman" w:cs="Times New Roman"/>
              </w:rPr>
              <w:t>the</w:t>
            </w:r>
            <w:r w:rsidRPr="00321BBC">
              <w:rPr>
                <w:rFonts w:ascii="Times New Roman" w:hAnsi="Times New Roman" w:cs="Times New Roman"/>
                <w:spacing w:val="-6"/>
              </w:rPr>
              <w:t xml:space="preserve"> </w:t>
            </w:r>
            <w:r w:rsidRPr="00321BBC">
              <w:rPr>
                <w:rFonts w:ascii="Times New Roman" w:hAnsi="Times New Roman" w:cs="Times New Roman"/>
              </w:rPr>
              <w:t>same</w:t>
            </w:r>
            <w:r w:rsidRPr="00321BBC">
              <w:rPr>
                <w:rFonts w:ascii="Times New Roman" w:hAnsi="Times New Roman" w:cs="Times New Roman"/>
                <w:spacing w:val="-5"/>
              </w:rPr>
              <w:t xml:space="preserve"> </w:t>
            </w:r>
            <w:r w:rsidRPr="00321BBC">
              <w:rPr>
                <w:rFonts w:ascii="Times New Roman" w:hAnsi="Times New Roman" w:cs="Times New Roman"/>
              </w:rPr>
              <w:t>spatial and temporal</w:t>
            </w:r>
            <w:r w:rsidRPr="00321BBC">
              <w:rPr>
                <w:rFonts w:ascii="Times New Roman" w:hAnsi="Times New Roman" w:cs="Times New Roman"/>
                <w:spacing w:val="-1"/>
              </w:rPr>
              <w:t xml:space="preserve"> </w:t>
            </w:r>
            <w:r w:rsidRPr="00321BBC">
              <w:rPr>
                <w:rFonts w:ascii="Times New Roman" w:hAnsi="Times New Roman" w:cs="Times New Roman"/>
              </w:rPr>
              <w:t>strata.</w:t>
            </w:r>
          </w:p>
          <w:p w14:paraId="71D8F23B" w14:textId="77777777" w:rsidR="00B738F6" w:rsidRPr="00321BBC" w:rsidRDefault="00B738F6" w:rsidP="0074425A">
            <w:pPr>
              <w:pStyle w:val="TableParagraph"/>
              <w:numPr>
                <w:ilvl w:val="0"/>
                <w:numId w:val="114"/>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Deployment site, design and the code of the geo-locating buoy should be registered. Every FAD should be well identified so that data can be retrieved and followed if ownership</w:t>
            </w:r>
            <w:r w:rsidRPr="00321BBC">
              <w:rPr>
                <w:rFonts w:ascii="Times New Roman" w:hAnsi="Times New Roman" w:cs="Times New Roman"/>
                <w:spacing w:val="-7"/>
              </w:rPr>
              <w:t xml:space="preserve"> </w:t>
            </w:r>
            <w:r w:rsidRPr="00321BBC">
              <w:rPr>
                <w:rFonts w:ascii="Times New Roman" w:hAnsi="Times New Roman" w:cs="Times New Roman"/>
              </w:rPr>
              <w:t>changes.</w:t>
            </w:r>
          </w:p>
          <w:p w14:paraId="2AD1AFBB" w14:textId="77777777" w:rsidR="00B738F6" w:rsidRPr="00321BBC" w:rsidRDefault="00B738F6" w:rsidP="0074425A">
            <w:pPr>
              <w:pStyle w:val="TableParagraph"/>
              <w:numPr>
                <w:ilvl w:val="0"/>
                <w:numId w:val="114"/>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If a trial FAD is encountered at sea register: the catch (if any), interactions with SSI, the condition of the FAD and the new code for</w:t>
            </w:r>
            <w:r w:rsidRPr="00321BBC">
              <w:rPr>
                <w:rFonts w:ascii="Times New Roman" w:hAnsi="Times New Roman" w:cs="Times New Roman"/>
                <w:spacing w:val="-28"/>
              </w:rPr>
              <w:t xml:space="preserve"> </w:t>
            </w:r>
            <w:r w:rsidRPr="00321BBC">
              <w:rPr>
                <w:rFonts w:ascii="Times New Roman" w:hAnsi="Times New Roman" w:cs="Times New Roman"/>
              </w:rPr>
              <w:t>the buoy if the original has been</w:t>
            </w:r>
            <w:r w:rsidRPr="00321BBC">
              <w:rPr>
                <w:rFonts w:ascii="Times New Roman" w:hAnsi="Times New Roman" w:cs="Times New Roman"/>
                <w:spacing w:val="-6"/>
              </w:rPr>
              <w:t xml:space="preserve"> </w:t>
            </w:r>
            <w:r w:rsidRPr="00321BBC">
              <w:rPr>
                <w:rFonts w:ascii="Times New Roman" w:hAnsi="Times New Roman" w:cs="Times New Roman"/>
              </w:rPr>
              <w:t>replaced.</w:t>
            </w:r>
          </w:p>
          <w:p w14:paraId="494F5ACC" w14:textId="77777777" w:rsidR="00B738F6" w:rsidRPr="00321BBC" w:rsidRDefault="00B738F6" w:rsidP="0074425A">
            <w:pPr>
              <w:pStyle w:val="TableParagraph"/>
              <w:numPr>
                <w:ilvl w:val="0"/>
                <w:numId w:val="114"/>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Where possible, use trajectories and sounder of attached buoys to assess ability of alternative designs to aggregate tuna even if they are not visited or fished by purse seiners, as well as following their lifetime if they are not</w:t>
            </w:r>
            <w:r w:rsidRPr="00321BBC">
              <w:rPr>
                <w:rFonts w:ascii="Times New Roman" w:hAnsi="Times New Roman" w:cs="Times New Roman"/>
                <w:spacing w:val="-2"/>
              </w:rPr>
              <w:t xml:space="preserve"> </w:t>
            </w:r>
            <w:r w:rsidRPr="00321BBC">
              <w:rPr>
                <w:rFonts w:ascii="Times New Roman" w:hAnsi="Times New Roman" w:cs="Times New Roman"/>
              </w:rPr>
              <w:t>retrieved.</w:t>
            </w:r>
          </w:p>
          <w:p w14:paraId="045B10FD" w14:textId="77777777" w:rsidR="00B738F6" w:rsidRPr="00321BBC" w:rsidRDefault="00B738F6" w:rsidP="0074425A">
            <w:pPr>
              <w:pStyle w:val="TableParagraph"/>
              <w:numPr>
                <w:ilvl w:val="0"/>
                <w:numId w:val="114"/>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Collaboration</w:t>
            </w:r>
            <w:r w:rsidRPr="00321BBC">
              <w:rPr>
                <w:rFonts w:ascii="Times New Roman" w:hAnsi="Times New Roman" w:cs="Times New Roman"/>
                <w:spacing w:val="-15"/>
              </w:rPr>
              <w:t xml:space="preserve"> </w:t>
            </w:r>
            <w:r w:rsidRPr="00321BBC">
              <w:rPr>
                <w:rFonts w:ascii="Times New Roman" w:hAnsi="Times New Roman" w:cs="Times New Roman"/>
              </w:rPr>
              <w:t>between</w:t>
            </w:r>
            <w:r w:rsidRPr="00321BBC">
              <w:rPr>
                <w:rFonts w:ascii="Times New Roman" w:hAnsi="Times New Roman" w:cs="Times New Roman"/>
                <w:spacing w:val="-14"/>
              </w:rPr>
              <w:t xml:space="preserve"> </w:t>
            </w:r>
            <w:r w:rsidRPr="00321BBC">
              <w:rPr>
                <w:rFonts w:ascii="Times New Roman" w:hAnsi="Times New Roman" w:cs="Times New Roman"/>
              </w:rPr>
              <w:t>industry,</w:t>
            </w:r>
            <w:r w:rsidRPr="00321BBC">
              <w:rPr>
                <w:rFonts w:ascii="Times New Roman" w:hAnsi="Times New Roman" w:cs="Times New Roman"/>
                <w:spacing w:val="-12"/>
              </w:rPr>
              <w:t xml:space="preserve"> </w:t>
            </w:r>
            <w:r w:rsidRPr="00321BBC">
              <w:rPr>
                <w:rFonts w:ascii="Times New Roman" w:hAnsi="Times New Roman" w:cs="Times New Roman"/>
              </w:rPr>
              <w:t>related</w:t>
            </w:r>
            <w:r w:rsidRPr="00321BBC">
              <w:rPr>
                <w:rFonts w:ascii="Times New Roman" w:hAnsi="Times New Roman" w:cs="Times New Roman"/>
                <w:spacing w:val="-15"/>
              </w:rPr>
              <w:t xml:space="preserve"> </w:t>
            </w:r>
            <w:r w:rsidRPr="00321BBC">
              <w:rPr>
                <w:rFonts w:ascii="Times New Roman" w:hAnsi="Times New Roman" w:cs="Times New Roman"/>
              </w:rPr>
              <w:t>parties,</w:t>
            </w:r>
            <w:r w:rsidRPr="00321BBC">
              <w:rPr>
                <w:rFonts w:ascii="Times New Roman" w:hAnsi="Times New Roman" w:cs="Times New Roman"/>
                <w:spacing w:val="-14"/>
              </w:rPr>
              <w:t xml:space="preserve"> </w:t>
            </w:r>
            <w:r w:rsidRPr="00321BBC">
              <w:rPr>
                <w:rFonts w:ascii="Times New Roman" w:hAnsi="Times New Roman" w:cs="Times New Roman"/>
              </w:rPr>
              <w:t>and</w:t>
            </w:r>
            <w:r w:rsidRPr="00321BBC">
              <w:rPr>
                <w:rFonts w:ascii="Times New Roman" w:hAnsi="Times New Roman" w:cs="Times New Roman"/>
                <w:spacing w:val="-15"/>
              </w:rPr>
              <w:t xml:space="preserve"> </w:t>
            </w:r>
            <w:r w:rsidRPr="00321BBC">
              <w:rPr>
                <w:rFonts w:ascii="Times New Roman" w:hAnsi="Times New Roman" w:cs="Times New Roman"/>
              </w:rPr>
              <w:t>the</w:t>
            </w:r>
            <w:r w:rsidRPr="00321BBC">
              <w:rPr>
                <w:rFonts w:ascii="Times New Roman" w:hAnsi="Times New Roman" w:cs="Times New Roman"/>
                <w:spacing w:val="-14"/>
              </w:rPr>
              <w:t xml:space="preserve"> </w:t>
            </w:r>
            <w:r w:rsidRPr="00321BBC">
              <w:rPr>
                <w:rFonts w:ascii="Times New Roman" w:hAnsi="Times New Roman" w:cs="Times New Roman"/>
              </w:rPr>
              <w:t>science</w:t>
            </w:r>
            <w:r w:rsidRPr="00321BBC">
              <w:rPr>
                <w:rFonts w:ascii="Times New Roman" w:hAnsi="Times New Roman" w:cs="Times New Roman"/>
                <w:spacing w:val="-13"/>
              </w:rPr>
              <w:t xml:space="preserve"> </w:t>
            </w:r>
            <w:r w:rsidRPr="00321BBC">
              <w:rPr>
                <w:rFonts w:ascii="Times New Roman" w:hAnsi="Times New Roman" w:cs="Times New Roman"/>
              </w:rPr>
              <w:t>services provider to collect and analyse</w:t>
            </w:r>
            <w:r w:rsidRPr="00321BBC">
              <w:rPr>
                <w:rFonts w:ascii="Times New Roman" w:hAnsi="Times New Roman" w:cs="Times New Roman"/>
                <w:spacing w:val="-8"/>
              </w:rPr>
              <w:t xml:space="preserve"> </w:t>
            </w:r>
            <w:r w:rsidRPr="00321BBC">
              <w:rPr>
                <w:rFonts w:ascii="Times New Roman" w:hAnsi="Times New Roman" w:cs="Times New Roman"/>
              </w:rPr>
              <w:t>data.</w:t>
            </w:r>
          </w:p>
          <w:p w14:paraId="34A77B53" w14:textId="77777777" w:rsidR="00B738F6" w:rsidRPr="00321BBC" w:rsidRDefault="00B738F6" w:rsidP="0074425A">
            <w:pPr>
              <w:pStyle w:val="TableParagraph"/>
              <w:numPr>
                <w:ilvl w:val="0"/>
                <w:numId w:val="114"/>
              </w:numPr>
              <w:tabs>
                <w:tab w:val="left" w:pos="420"/>
              </w:tabs>
              <w:adjustRightInd w:val="0"/>
              <w:snapToGrid w:val="0"/>
              <w:rPr>
                <w:rFonts w:ascii="Times New Roman" w:hAnsi="Times New Roman" w:cs="Times New Roman"/>
              </w:rPr>
            </w:pPr>
            <w:r w:rsidRPr="00321BBC">
              <w:rPr>
                <w:rFonts w:ascii="Times New Roman" w:hAnsi="Times New Roman" w:cs="Times New Roman"/>
              </w:rPr>
              <w:t>Collaborate with industry to identify the cost of alternative FAD</w:t>
            </w:r>
            <w:r w:rsidRPr="00321BBC">
              <w:rPr>
                <w:rFonts w:ascii="Times New Roman" w:hAnsi="Times New Roman" w:cs="Times New Roman"/>
                <w:spacing w:val="6"/>
              </w:rPr>
              <w:t xml:space="preserve"> </w:t>
            </w:r>
            <w:r w:rsidRPr="00321BBC">
              <w:rPr>
                <w:rFonts w:ascii="Times New Roman" w:hAnsi="Times New Roman" w:cs="Times New Roman"/>
              </w:rPr>
              <w:t>designs</w:t>
            </w:r>
          </w:p>
          <w:p w14:paraId="1832E896" w14:textId="77777777" w:rsidR="00B738F6" w:rsidRPr="00321BBC" w:rsidRDefault="00B738F6" w:rsidP="0021261B">
            <w:pPr>
              <w:pStyle w:val="TableParagraph"/>
              <w:adjustRightInd w:val="0"/>
              <w:snapToGrid w:val="0"/>
              <w:ind w:left="420"/>
              <w:jc w:val="left"/>
              <w:rPr>
                <w:rFonts w:ascii="Times New Roman" w:hAnsi="Times New Roman" w:cs="Times New Roman"/>
              </w:rPr>
            </w:pPr>
            <w:proofErr w:type="gramStart"/>
            <w:r w:rsidRPr="00321BBC">
              <w:rPr>
                <w:rFonts w:ascii="Times New Roman" w:hAnsi="Times New Roman" w:cs="Times New Roman"/>
              </w:rPr>
              <w:t>relative</w:t>
            </w:r>
            <w:proofErr w:type="gramEnd"/>
            <w:r w:rsidRPr="00321BBC">
              <w:rPr>
                <w:rFonts w:ascii="Times New Roman" w:hAnsi="Times New Roman" w:cs="Times New Roman"/>
              </w:rPr>
              <w:t xml:space="preserve"> to ‘standard’ designs.</w:t>
            </w:r>
          </w:p>
          <w:p w14:paraId="74117644" w14:textId="77777777" w:rsidR="00B738F6" w:rsidRPr="00321BBC" w:rsidRDefault="00B738F6" w:rsidP="0021261B">
            <w:pPr>
              <w:pStyle w:val="TableParagraph"/>
              <w:adjustRightInd w:val="0"/>
              <w:snapToGrid w:val="0"/>
              <w:ind w:left="0"/>
              <w:jc w:val="left"/>
              <w:rPr>
                <w:rFonts w:ascii="Times New Roman" w:hAnsi="Times New Roman" w:cs="Times New Roman"/>
              </w:rPr>
            </w:pPr>
          </w:p>
          <w:p w14:paraId="679D96A9" w14:textId="5CF2FC3F" w:rsidR="00B738F6" w:rsidRPr="00321BBC" w:rsidRDefault="00B738F6" w:rsidP="0021261B">
            <w:pPr>
              <w:pStyle w:val="TableParagraph"/>
              <w:adjustRightInd w:val="0"/>
              <w:snapToGrid w:val="0"/>
              <w:ind w:right="102"/>
              <w:rPr>
                <w:rFonts w:ascii="Times New Roman" w:hAnsi="Times New Roman" w:cs="Times New Roman"/>
              </w:rPr>
            </w:pPr>
            <w:r w:rsidRPr="00321BBC">
              <w:rPr>
                <w:rFonts w:ascii="Times New Roman" w:hAnsi="Times New Roman" w:cs="Times New Roman"/>
              </w:rPr>
              <w:t>Analysis</w:t>
            </w:r>
            <w:r w:rsidRPr="00321BBC">
              <w:rPr>
                <w:rFonts w:ascii="Times New Roman" w:hAnsi="Times New Roman" w:cs="Times New Roman"/>
                <w:spacing w:val="-9"/>
              </w:rPr>
              <w:t xml:space="preserve"> </w:t>
            </w:r>
            <w:r w:rsidRPr="00321BBC">
              <w:rPr>
                <w:rFonts w:ascii="Times New Roman" w:hAnsi="Times New Roman" w:cs="Times New Roman"/>
              </w:rPr>
              <w:t>of</w:t>
            </w:r>
            <w:r w:rsidRPr="00321BBC">
              <w:rPr>
                <w:rFonts w:ascii="Times New Roman" w:hAnsi="Times New Roman" w:cs="Times New Roman"/>
                <w:spacing w:val="-7"/>
              </w:rPr>
              <w:t xml:space="preserve"> </w:t>
            </w:r>
            <w:r w:rsidRPr="00321BBC">
              <w:rPr>
                <w:rFonts w:ascii="Times New Roman" w:hAnsi="Times New Roman" w:cs="Times New Roman"/>
              </w:rPr>
              <w:t>results</w:t>
            </w:r>
            <w:r w:rsidRPr="00321BBC">
              <w:rPr>
                <w:rFonts w:ascii="Times New Roman" w:hAnsi="Times New Roman" w:cs="Times New Roman"/>
                <w:spacing w:val="-6"/>
              </w:rPr>
              <w:t xml:space="preserve"> </w:t>
            </w:r>
            <w:r w:rsidRPr="00321BBC">
              <w:rPr>
                <w:rFonts w:ascii="Times New Roman" w:hAnsi="Times New Roman" w:cs="Times New Roman"/>
              </w:rPr>
              <w:t>should</w:t>
            </w:r>
            <w:r w:rsidRPr="00321BBC">
              <w:rPr>
                <w:rFonts w:ascii="Times New Roman" w:hAnsi="Times New Roman" w:cs="Times New Roman"/>
                <w:spacing w:val="-8"/>
              </w:rPr>
              <w:t xml:space="preserve"> </w:t>
            </w:r>
            <w:r w:rsidRPr="00321BBC">
              <w:rPr>
                <w:rFonts w:ascii="Times New Roman" w:hAnsi="Times New Roman" w:cs="Times New Roman"/>
              </w:rPr>
              <w:t>be</w:t>
            </w:r>
            <w:r w:rsidRPr="00321BBC">
              <w:rPr>
                <w:rFonts w:ascii="Times New Roman" w:hAnsi="Times New Roman" w:cs="Times New Roman"/>
                <w:spacing w:val="-6"/>
              </w:rPr>
              <w:t xml:space="preserve"> </w:t>
            </w:r>
            <w:r w:rsidRPr="00321BBC">
              <w:rPr>
                <w:rFonts w:ascii="Times New Roman" w:hAnsi="Times New Roman" w:cs="Times New Roman"/>
              </w:rPr>
              <w:t>presented</w:t>
            </w:r>
            <w:r w:rsidRPr="00321BBC">
              <w:rPr>
                <w:rFonts w:ascii="Times New Roman" w:hAnsi="Times New Roman" w:cs="Times New Roman"/>
                <w:spacing w:val="-6"/>
              </w:rPr>
              <w:t xml:space="preserve"> </w:t>
            </w:r>
            <w:r w:rsidRPr="00321BBC">
              <w:rPr>
                <w:rFonts w:ascii="Times New Roman" w:hAnsi="Times New Roman" w:cs="Times New Roman"/>
              </w:rPr>
              <w:t>to</w:t>
            </w:r>
            <w:r w:rsidRPr="00321BBC">
              <w:rPr>
                <w:rFonts w:ascii="Times New Roman" w:hAnsi="Times New Roman" w:cs="Times New Roman"/>
                <w:spacing w:val="-8"/>
              </w:rPr>
              <w:t xml:space="preserve"> </w:t>
            </w:r>
            <w:r w:rsidRPr="00321BBC">
              <w:rPr>
                <w:rFonts w:ascii="Times New Roman" w:hAnsi="Times New Roman" w:cs="Times New Roman"/>
              </w:rPr>
              <w:t>WCPFC</w:t>
            </w:r>
            <w:r w:rsidRPr="00321BBC">
              <w:rPr>
                <w:rFonts w:ascii="Times New Roman" w:hAnsi="Times New Roman" w:cs="Times New Roman"/>
                <w:spacing w:val="-7"/>
              </w:rPr>
              <w:t xml:space="preserve"> </w:t>
            </w:r>
            <w:r w:rsidRPr="00321BBC">
              <w:rPr>
                <w:rFonts w:ascii="Times New Roman" w:hAnsi="Times New Roman" w:cs="Times New Roman"/>
              </w:rPr>
              <w:t>SC</w:t>
            </w:r>
            <w:r w:rsidRPr="00321BBC">
              <w:rPr>
                <w:rFonts w:ascii="Times New Roman" w:hAnsi="Times New Roman" w:cs="Times New Roman"/>
                <w:spacing w:val="-7"/>
              </w:rPr>
              <w:t xml:space="preserve"> </w:t>
            </w:r>
            <w:r w:rsidRPr="00321BBC">
              <w:rPr>
                <w:rFonts w:ascii="Times New Roman" w:hAnsi="Times New Roman" w:cs="Times New Roman"/>
              </w:rPr>
              <w:t>(approximately</w:t>
            </w:r>
            <w:r w:rsidRPr="00321BBC">
              <w:rPr>
                <w:rFonts w:ascii="Times New Roman" w:hAnsi="Times New Roman" w:cs="Times New Roman"/>
                <w:spacing w:val="-8"/>
              </w:rPr>
              <w:t xml:space="preserve"> </w:t>
            </w:r>
            <w:r w:rsidRPr="00321BBC">
              <w:rPr>
                <w:rFonts w:ascii="Times New Roman" w:hAnsi="Times New Roman" w:cs="Times New Roman"/>
              </w:rPr>
              <w:t>2</w:t>
            </w:r>
            <w:r w:rsidRPr="00321BBC">
              <w:rPr>
                <w:rFonts w:ascii="Times New Roman" w:hAnsi="Times New Roman" w:cs="Times New Roman"/>
                <w:spacing w:val="-6"/>
              </w:rPr>
              <w:t xml:space="preserve"> </w:t>
            </w:r>
            <w:r w:rsidRPr="00321BBC">
              <w:rPr>
                <w:rFonts w:ascii="Times New Roman" w:hAnsi="Times New Roman" w:cs="Times New Roman"/>
              </w:rPr>
              <w:t>years after the trial begins). SC and TCC of that year to provide</w:t>
            </w:r>
            <w:r w:rsidRPr="00321BBC">
              <w:rPr>
                <w:rFonts w:ascii="Times New Roman" w:hAnsi="Times New Roman" w:cs="Times New Roman"/>
                <w:spacing w:val="-23"/>
              </w:rPr>
              <w:t xml:space="preserve"> </w:t>
            </w:r>
            <w:r w:rsidRPr="00321BBC">
              <w:rPr>
                <w:rFonts w:ascii="Times New Roman" w:hAnsi="Times New Roman" w:cs="Times New Roman"/>
              </w:rPr>
              <w:t>recommendations for a draft CMM on appropriate FAD</w:t>
            </w:r>
            <w:r w:rsidRPr="00321BBC">
              <w:rPr>
                <w:rFonts w:ascii="Times New Roman" w:hAnsi="Times New Roman" w:cs="Times New Roman"/>
                <w:spacing w:val="-10"/>
              </w:rPr>
              <w:t xml:space="preserve"> </w:t>
            </w:r>
            <w:r w:rsidRPr="00321BBC">
              <w:rPr>
                <w:rFonts w:ascii="Times New Roman" w:hAnsi="Times New Roman" w:cs="Times New Roman"/>
              </w:rPr>
              <w:t>designs.</w:t>
            </w:r>
          </w:p>
        </w:tc>
      </w:tr>
      <w:tr w:rsidR="0021261B" w:rsidRPr="00321BBC" w14:paraId="543F196C" w14:textId="77777777" w:rsidTr="00B738F6">
        <w:trPr>
          <w:trHeight w:hRule="exact" w:val="547"/>
        </w:trPr>
        <w:tc>
          <w:tcPr>
            <w:tcW w:w="900" w:type="pct"/>
          </w:tcPr>
          <w:p w14:paraId="27FA3F3C"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Links to other work</w:t>
            </w:r>
          </w:p>
        </w:tc>
        <w:tc>
          <w:tcPr>
            <w:tcW w:w="4100" w:type="pct"/>
          </w:tcPr>
          <w:p w14:paraId="4658B5B1"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The IATTC and ISSF have done considerable work on the design of non- entangling FADs (see SC13-EB-WP-02).</w:t>
            </w:r>
          </w:p>
        </w:tc>
      </w:tr>
      <w:tr w:rsidR="0021261B" w:rsidRPr="00321BBC" w14:paraId="7A44BC6A" w14:textId="77777777" w:rsidTr="00B738F6">
        <w:trPr>
          <w:trHeight w:hRule="exact" w:val="278"/>
        </w:trPr>
        <w:tc>
          <w:tcPr>
            <w:tcW w:w="900" w:type="pct"/>
          </w:tcPr>
          <w:p w14:paraId="13BF2113"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Timeframe</w:t>
            </w:r>
          </w:p>
        </w:tc>
        <w:tc>
          <w:tcPr>
            <w:tcW w:w="4100" w:type="pct"/>
          </w:tcPr>
          <w:p w14:paraId="26648B67"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24 months</w:t>
            </w:r>
          </w:p>
        </w:tc>
      </w:tr>
      <w:tr w:rsidR="0021261B" w:rsidRPr="00321BBC" w14:paraId="749BD37D" w14:textId="77777777" w:rsidTr="00C416B4">
        <w:tc>
          <w:tcPr>
            <w:tcW w:w="900" w:type="pct"/>
          </w:tcPr>
          <w:p w14:paraId="39FD3215"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Budget</w:t>
            </w:r>
          </w:p>
          <w:p w14:paraId="417727F8"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134534DB" w14:textId="77777777" w:rsidR="0021261B" w:rsidRPr="00321BBC" w:rsidRDefault="0021261B" w:rsidP="0021261B">
            <w:pPr>
              <w:pStyle w:val="TableParagraph"/>
              <w:tabs>
                <w:tab w:val="left" w:pos="434"/>
                <w:tab w:val="left" w:pos="1077"/>
                <w:tab w:val="left" w:pos="1278"/>
              </w:tabs>
              <w:adjustRightInd w:val="0"/>
              <w:snapToGrid w:val="0"/>
              <w:ind w:right="97"/>
              <w:jc w:val="left"/>
              <w:rPr>
                <w:rFonts w:ascii="Times New Roman" w:hAnsi="Times New Roman" w:cs="Times New Roman"/>
              </w:rPr>
            </w:pPr>
            <w:r w:rsidRPr="00321BBC">
              <w:rPr>
                <w:rFonts w:ascii="Times New Roman" w:hAnsi="Times New Roman" w:cs="Times New Roman"/>
              </w:rPr>
              <w:t>Note: Costed on a fieldwork required</w:t>
            </w:r>
            <w:r w:rsidRPr="00321BBC">
              <w:rPr>
                <w:rFonts w:ascii="Times New Roman" w:hAnsi="Times New Roman" w:cs="Times New Roman"/>
                <w:spacing w:val="-7"/>
              </w:rPr>
              <w:t xml:space="preserve"> </w:t>
            </w:r>
            <w:r w:rsidRPr="00321BBC">
              <w:rPr>
                <w:rFonts w:ascii="Times New Roman" w:hAnsi="Times New Roman" w:cs="Times New Roman"/>
              </w:rPr>
              <w:t>basis. If</w:t>
            </w:r>
            <w:r w:rsidRPr="00321BBC">
              <w:rPr>
                <w:rFonts w:ascii="Times New Roman" w:hAnsi="Times New Roman" w:cs="Times New Roman"/>
              </w:rPr>
              <w:tab/>
            </w:r>
            <w:r w:rsidRPr="00321BBC">
              <w:rPr>
                <w:rFonts w:ascii="Times New Roman" w:hAnsi="Times New Roman" w:cs="Times New Roman"/>
                <w:spacing w:val="-1"/>
              </w:rPr>
              <w:t>project</w:t>
            </w:r>
            <w:r w:rsidRPr="00321BBC">
              <w:rPr>
                <w:rFonts w:ascii="Times New Roman" w:hAnsi="Times New Roman" w:cs="Times New Roman"/>
                <w:spacing w:val="-1"/>
              </w:rPr>
              <w:tab/>
            </w:r>
            <w:r w:rsidRPr="00321BBC">
              <w:rPr>
                <w:rFonts w:ascii="Times New Roman" w:hAnsi="Times New Roman" w:cs="Times New Roman"/>
                <w:spacing w:val="-1"/>
              </w:rPr>
              <w:tab/>
            </w:r>
            <w:r w:rsidRPr="00321BBC">
              <w:rPr>
                <w:rFonts w:ascii="Times New Roman" w:hAnsi="Times New Roman" w:cs="Times New Roman"/>
              </w:rPr>
              <w:t>is extension related</w:t>
            </w:r>
            <w:r w:rsidRPr="00321BBC">
              <w:rPr>
                <w:rFonts w:ascii="Times New Roman" w:hAnsi="Times New Roman" w:cs="Times New Roman"/>
              </w:rPr>
              <w:tab/>
              <w:t>(i.e.</w:t>
            </w:r>
          </w:p>
          <w:p w14:paraId="61096E47" w14:textId="77777777" w:rsidR="0021261B" w:rsidRPr="00321BBC" w:rsidRDefault="0021261B" w:rsidP="0021261B">
            <w:pPr>
              <w:pStyle w:val="TableParagraph"/>
              <w:tabs>
                <w:tab w:val="left" w:pos="1230"/>
              </w:tabs>
              <w:adjustRightInd w:val="0"/>
              <w:snapToGrid w:val="0"/>
              <w:jc w:val="left"/>
              <w:rPr>
                <w:rFonts w:ascii="Times New Roman" w:hAnsi="Times New Roman" w:cs="Times New Roman"/>
              </w:rPr>
            </w:pPr>
            <w:r w:rsidRPr="00321BBC">
              <w:rPr>
                <w:rFonts w:ascii="Times New Roman" w:hAnsi="Times New Roman" w:cs="Times New Roman"/>
              </w:rPr>
              <w:t>trials</w:t>
            </w:r>
            <w:r w:rsidRPr="00321BBC">
              <w:rPr>
                <w:rFonts w:ascii="Times New Roman" w:hAnsi="Times New Roman" w:cs="Times New Roman"/>
              </w:rPr>
              <w:tab/>
              <w:t>of</w:t>
            </w:r>
          </w:p>
          <w:p w14:paraId="41D886E4" w14:textId="77777777" w:rsidR="0021261B" w:rsidRPr="00321BBC" w:rsidRDefault="0021261B" w:rsidP="0021261B">
            <w:pPr>
              <w:pStyle w:val="TableParagraph"/>
              <w:tabs>
                <w:tab w:val="left" w:pos="1111"/>
              </w:tabs>
              <w:adjustRightInd w:val="0"/>
              <w:snapToGrid w:val="0"/>
              <w:jc w:val="left"/>
              <w:rPr>
                <w:rFonts w:ascii="Times New Roman" w:hAnsi="Times New Roman" w:cs="Times New Roman"/>
              </w:rPr>
            </w:pPr>
            <w:r w:rsidRPr="00321BBC">
              <w:rPr>
                <w:rFonts w:ascii="Times New Roman" w:hAnsi="Times New Roman" w:cs="Times New Roman"/>
              </w:rPr>
              <w:t>designs</w:t>
            </w:r>
            <w:r w:rsidRPr="00321BBC">
              <w:rPr>
                <w:rFonts w:ascii="Times New Roman" w:hAnsi="Times New Roman" w:cs="Times New Roman"/>
              </w:rPr>
              <w:tab/>
              <w:t>not</w:t>
            </w:r>
          </w:p>
          <w:p w14:paraId="2ABB9E4A"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required on the basis of SC13-EB-WP-</w:t>
            </w:r>
          </w:p>
          <w:p w14:paraId="7AB43EF7" w14:textId="77777777" w:rsidR="0021261B" w:rsidRPr="00321BBC" w:rsidRDefault="0021261B" w:rsidP="0021261B">
            <w:pPr>
              <w:pStyle w:val="TableParagraph"/>
              <w:tabs>
                <w:tab w:val="left" w:pos="590"/>
              </w:tabs>
              <w:adjustRightInd w:val="0"/>
              <w:snapToGrid w:val="0"/>
              <w:ind w:right="98"/>
              <w:jc w:val="left"/>
              <w:rPr>
                <w:rFonts w:ascii="Times New Roman" w:hAnsi="Times New Roman" w:cs="Times New Roman"/>
              </w:rPr>
            </w:pPr>
            <w:r w:rsidRPr="00321BBC">
              <w:rPr>
                <w:rFonts w:ascii="Times New Roman" w:hAnsi="Times New Roman" w:cs="Times New Roman"/>
              </w:rPr>
              <w:t>02</w:t>
            </w:r>
            <w:r w:rsidRPr="00321BBC">
              <w:rPr>
                <w:rFonts w:ascii="Times New Roman" w:hAnsi="Times New Roman" w:cs="Times New Roman"/>
              </w:rPr>
              <w:tab/>
            </w:r>
            <w:r w:rsidRPr="00321BBC">
              <w:rPr>
                <w:rFonts w:ascii="Times New Roman" w:hAnsi="Times New Roman" w:cs="Times New Roman"/>
                <w:spacing w:val="-1"/>
              </w:rPr>
              <w:t xml:space="preserve">findings), </w:t>
            </w:r>
            <w:r w:rsidRPr="00321BBC">
              <w:rPr>
                <w:rFonts w:ascii="Times New Roman" w:hAnsi="Times New Roman" w:cs="Times New Roman"/>
              </w:rPr>
              <w:t>project</w:t>
            </w:r>
            <w:r w:rsidRPr="00321BBC">
              <w:rPr>
                <w:rFonts w:ascii="Times New Roman" w:hAnsi="Times New Roman" w:cs="Times New Roman"/>
                <w:spacing w:val="-14"/>
              </w:rPr>
              <w:t xml:space="preserve"> </w:t>
            </w:r>
            <w:r w:rsidRPr="00321BBC">
              <w:rPr>
                <w:rFonts w:ascii="Times New Roman" w:hAnsi="Times New Roman" w:cs="Times New Roman"/>
              </w:rPr>
              <w:t>budget</w:t>
            </w:r>
          </w:p>
        </w:tc>
        <w:tc>
          <w:tcPr>
            <w:tcW w:w="4100" w:type="pct"/>
          </w:tcPr>
          <w:p w14:paraId="6FE091DF"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1 year FTE at SPC (data analysis)</w:t>
            </w:r>
          </w:p>
          <w:p w14:paraId="154919DE" w14:textId="77777777" w:rsidR="0021261B" w:rsidRPr="00321BBC" w:rsidRDefault="0021261B" w:rsidP="0021261B">
            <w:pPr>
              <w:pStyle w:val="TableParagraph"/>
              <w:adjustRightInd w:val="0"/>
              <w:snapToGrid w:val="0"/>
              <w:ind w:right="2232"/>
              <w:jc w:val="left"/>
              <w:rPr>
                <w:rFonts w:ascii="Times New Roman" w:hAnsi="Times New Roman" w:cs="Times New Roman"/>
              </w:rPr>
            </w:pPr>
            <w:r w:rsidRPr="00321BBC">
              <w:rPr>
                <w:rFonts w:ascii="Times New Roman" w:hAnsi="Times New Roman" w:cs="Times New Roman"/>
              </w:rPr>
              <w:t>1.5 year FTE at SPC (technical and fieldwork, travel) Project management</w:t>
            </w:r>
          </w:p>
          <w:p w14:paraId="307204E2"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Observer training</w:t>
            </w:r>
          </w:p>
          <w:p w14:paraId="21322486"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Approximate total budget: US$446,000*</w:t>
            </w:r>
          </w:p>
          <w:p w14:paraId="1BAFFB07"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493E06EC"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Note overlap with Project #2 – if both are undertaken concurrently then some personnel costs can be ‘shared’ across the two projects. (Approximate total budget if Projects 1 and 2 undertaken simultaneously:</w:t>
            </w:r>
          </w:p>
          <w:p w14:paraId="6B9C5B3B"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$871,000)</w:t>
            </w:r>
          </w:p>
          <w:p w14:paraId="6864DBEB"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055BF62" w14:textId="77777777" w:rsidR="0021261B" w:rsidRPr="00321BBC" w:rsidRDefault="0021261B" w:rsidP="0021261B">
            <w:pPr>
              <w:pStyle w:val="TableParagraph"/>
              <w:adjustRightInd w:val="0"/>
              <w:snapToGrid w:val="0"/>
              <w:ind w:right="101"/>
              <w:rPr>
                <w:rFonts w:ascii="Times New Roman" w:hAnsi="Times New Roman" w:cs="Times New Roman"/>
              </w:rPr>
            </w:pPr>
            <w:r w:rsidRPr="00321BBC">
              <w:rPr>
                <w:rFonts w:ascii="Times New Roman" w:hAnsi="Times New Roman" w:cs="Times New Roman"/>
              </w:rPr>
              <w:t>*Final costings will depend on the approach undertaken within at-sea trials, including the level of practical and financial contribution by industry. Note this will need to include the purchase of necessary FAD materials, including marking and tracking components, facilitation of liaison with industry representatives, and any related travel.</w:t>
            </w:r>
          </w:p>
        </w:tc>
      </w:tr>
      <w:tr w:rsidR="0021261B" w:rsidRPr="00321BBC" w14:paraId="52F4D595" w14:textId="77777777" w:rsidTr="00C416B4">
        <w:tc>
          <w:tcPr>
            <w:tcW w:w="900" w:type="pct"/>
          </w:tcPr>
          <w:p w14:paraId="190D47CB"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will need to be revised</w:t>
            </w:r>
          </w:p>
        </w:tc>
        <w:tc>
          <w:tcPr>
            <w:tcW w:w="4100" w:type="pct"/>
          </w:tcPr>
          <w:p w14:paraId="2D87EF52" w14:textId="77777777" w:rsidR="0021261B" w:rsidRPr="00321BBC" w:rsidRDefault="0021261B" w:rsidP="0021261B">
            <w:pPr>
              <w:adjustRightInd w:val="0"/>
              <w:snapToGrid w:val="0"/>
              <w:spacing w:after="0"/>
              <w:rPr>
                <w:rFonts w:ascii="Times New Roman" w:hAnsi="Times New Roman" w:cs="Times New Roman"/>
              </w:rPr>
            </w:pPr>
          </w:p>
        </w:tc>
      </w:tr>
      <w:tr w:rsidR="0021261B" w:rsidRPr="00321BBC" w14:paraId="33738A8C" w14:textId="77777777" w:rsidTr="00C416B4">
        <w:tc>
          <w:tcPr>
            <w:tcW w:w="900" w:type="pct"/>
          </w:tcPr>
          <w:p w14:paraId="15B2A932" w14:textId="77777777" w:rsidR="0021261B" w:rsidRPr="00321BBC" w:rsidRDefault="0021261B" w:rsidP="0021261B">
            <w:pPr>
              <w:pStyle w:val="TableParagraph"/>
              <w:adjustRightInd w:val="0"/>
              <w:snapToGrid w:val="0"/>
              <w:ind w:right="83"/>
              <w:jc w:val="left"/>
              <w:rPr>
                <w:rFonts w:ascii="Times New Roman" w:hAnsi="Times New Roman" w:cs="Times New Roman"/>
              </w:rPr>
            </w:pPr>
            <w:r w:rsidRPr="00321BBC">
              <w:rPr>
                <w:rFonts w:ascii="Times New Roman" w:hAnsi="Times New Roman" w:cs="Times New Roman"/>
              </w:rPr>
              <w:t>Additional considerations</w:t>
            </w:r>
          </w:p>
        </w:tc>
        <w:tc>
          <w:tcPr>
            <w:tcW w:w="4100" w:type="pct"/>
          </w:tcPr>
          <w:p w14:paraId="0211A481" w14:textId="77777777" w:rsidR="0021261B" w:rsidRPr="00321BBC" w:rsidRDefault="0021261B"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This</w:t>
            </w:r>
            <w:r w:rsidRPr="00321BBC">
              <w:rPr>
                <w:rFonts w:ascii="Times New Roman" w:hAnsi="Times New Roman" w:cs="Times New Roman"/>
                <w:spacing w:val="-13"/>
              </w:rPr>
              <w:t xml:space="preserve"> </w:t>
            </w:r>
            <w:r w:rsidRPr="00321BBC">
              <w:rPr>
                <w:rFonts w:ascii="Times New Roman" w:hAnsi="Times New Roman" w:cs="Times New Roman"/>
              </w:rPr>
              <w:t>project</w:t>
            </w:r>
            <w:r w:rsidRPr="00321BBC">
              <w:rPr>
                <w:rFonts w:ascii="Times New Roman" w:hAnsi="Times New Roman" w:cs="Times New Roman"/>
                <w:spacing w:val="-12"/>
              </w:rPr>
              <w:t xml:space="preserve"> </w:t>
            </w:r>
            <w:r w:rsidRPr="00321BBC">
              <w:rPr>
                <w:rFonts w:ascii="Times New Roman" w:hAnsi="Times New Roman" w:cs="Times New Roman"/>
              </w:rPr>
              <w:t>will</w:t>
            </w:r>
            <w:r w:rsidRPr="00321BBC">
              <w:rPr>
                <w:rFonts w:ascii="Times New Roman" w:hAnsi="Times New Roman" w:cs="Times New Roman"/>
                <w:spacing w:val="-13"/>
              </w:rPr>
              <w:t xml:space="preserve"> </w:t>
            </w:r>
            <w:r w:rsidRPr="00321BBC">
              <w:rPr>
                <w:rFonts w:ascii="Times New Roman" w:hAnsi="Times New Roman" w:cs="Times New Roman"/>
              </w:rPr>
              <w:t>necessitate</w:t>
            </w:r>
            <w:r w:rsidRPr="00321BBC">
              <w:rPr>
                <w:rFonts w:ascii="Times New Roman" w:hAnsi="Times New Roman" w:cs="Times New Roman"/>
                <w:spacing w:val="-15"/>
              </w:rPr>
              <w:t xml:space="preserve"> </w:t>
            </w:r>
            <w:r w:rsidRPr="00321BBC">
              <w:rPr>
                <w:rFonts w:ascii="Times New Roman" w:hAnsi="Times New Roman" w:cs="Times New Roman"/>
              </w:rPr>
              <w:t>additional</w:t>
            </w:r>
            <w:r w:rsidRPr="00321BBC">
              <w:rPr>
                <w:rFonts w:ascii="Times New Roman" w:hAnsi="Times New Roman" w:cs="Times New Roman"/>
                <w:spacing w:val="-13"/>
              </w:rPr>
              <w:t xml:space="preserve"> </w:t>
            </w:r>
            <w:r w:rsidRPr="00321BBC">
              <w:rPr>
                <w:rFonts w:ascii="Times New Roman" w:hAnsi="Times New Roman" w:cs="Times New Roman"/>
              </w:rPr>
              <w:t>data</w:t>
            </w:r>
            <w:r w:rsidRPr="00321BBC">
              <w:rPr>
                <w:rFonts w:ascii="Times New Roman" w:hAnsi="Times New Roman" w:cs="Times New Roman"/>
                <w:spacing w:val="-13"/>
              </w:rPr>
              <w:t xml:space="preserve"> </w:t>
            </w:r>
            <w:r w:rsidRPr="00321BBC">
              <w:rPr>
                <w:rFonts w:ascii="Times New Roman" w:hAnsi="Times New Roman" w:cs="Times New Roman"/>
              </w:rPr>
              <w:t>collection</w:t>
            </w:r>
            <w:r w:rsidRPr="00321BBC">
              <w:rPr>
                <w:rFonts w:ascii="Times New Roman" w:hAnsi="Times New Roman" w:cs="Times New Roman"/>
                <w:spacing w:val="-14"/>
              </w:rPr>
              <w:t xml:space="preserve"> </w:t>
            </w:r>
            <w:r w:rsidRPr="00321BBC">
              <w:rPr>
                <w:rFonts w:ascii="Times New Roman" w:hAnsi="Times New Roman" w:cs="Times New Roman"/>
              </w:rPr>
              <w:t>by</w:t>
            </w:r>
            <w:r w:rsidRPr="00321BBC">
              <w:rPr>
                <w:rFonts w:ascii="Times New Roman" w:hAnsi="Times New Roman" w:cs="Times New Roman"/>
                <w:spacing w:val="-12"/>
              </w:rPr>
              <w:t xml:space="preserve"> </w:t>
            </w:r>
            <w:r w:rsidRPr="00321BBC">
              <w:rPr>
                <w:rFonts w:ascii="Times New Roman" w:hAnsi="Times New Roman" w:cs="Times New Roman"/>
              </w:rPr>
              <w:t>fisheries</w:t>
            </w:r>
            <w:r w:rsidRPr="00321BBC">
              <w:rPr>
                <w:rFonts w:ascii="Times New Roman" w:hAnsi="Times New Roman" w:cs="Times New Roman"/>
                <w:spacing w:val="-15"/>
              </w:rPr>
              <w:t xml:space="preserve"> </w:t>
            </w:r>
            <w:r w:rsidRPr="00321BBC">
              <w:rPr>
                <w:rFonts w:ascii="Times New Roman" w:hAnsi="Times New Roman" w:cs="Times New Roman"/>
              </w:rPr>
              <w:t>observers, irrespective of whether it relates to additional trials, or, extension. This has consequence for forms, data management and observer</w:t>
            </w:r>
            <w:r w:rsidRPr="00321BBC">
              <w:rPr>
                <w:rFonts w:ascii="Times New Roman" w:hAnsi="Times New Roman" w:cs="Times New Roman"/>
                <w:spacing w:val="-19"/>
              </w:rPr>
              <w:t xml:space="preserve"> </w:t>
            </w:r>
            <w:r w:rsidRPr="00321BBC">
              <w:rPr>
                <w:rFonts w:ascii="Times New Roman" w:hAnsi="Times New Roman" w:cs="Times New Roman"/>
              </w:rPr>
              <w:t>training.</w:t>
            </w:r>
          </w:p>
          <w:p w14:paraId="79E0AB52"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B196D6A" w14:textId="77777777" w:rsidR="0021261B" w:rsidRPr="00321BBC" w:rsidRDefault="0021261B" w:rsidP="0021261B">
            <w:pPr>
              <w:pStyle w:val="TableParagraph"/>
              <w:adjustRightInd w:val="0"/>
              <w:snapToGrid w:val="0"/>
              <w:ind w:right="103"/>
              <w:rPr>
                <w:rFonts w:ascii="Times New Roman" w:hAnsi="Times New Roman" w:cs="Times New Roman"/>
              </w:rPr>
            </w:pPr>
            <w:r w:rsidRPr="00321BBC">
              <w:rPr>
                <w:rFonts w:ascii="Times New Roman" w:hAnsi="Times New Roman" w:cs="Times New Roman"/>
              </w:rPr>
              <w:t>If</w:t>
            </w:r>
            <w:r w:rsidRPr="00321BBC">
              <w:rPr>
                <w:rFonts w:ascii="Times New Roman" w:hAnsi="Times New Roman" w:cs="Times New Roman"/>
                <w:spacing w:val="-9"/>
              </w:rPr>
              <w:t xml:space="preserve"> </w:t>
            </w:r>
            <w:r w:rsidRPr="00321BBC">
              <w:rPr>
                <w:rFonts w:ascii="Times New Roman" w:hAnsi="Times New Roman" w:cs="Times New Roman"/>
              </w:rPr>
              <w:t>FADs</w:t>
            </w:r>
            <w:r w:rsidRPr="00321BBC">
              <w:rPr>
                <w:rFonts w:ascii="Times New Roman" w:hAnsi="Times New Roman" w:cs="Times New Roman"/>
                <w:spacing w:val="-8"/>
              </w:rPr>
              <w:t xml:space="preserve"> </w:t>
            </w:r>
            <w:r w:rsidRPr="00321BBC">
              <w:rPr>
                <w:rFonts w:ascii="Times New Roman" w:hAnsi="Times New Roman" w:cs="Times New Roman"/>
              </w:rPr>
              <w:t>are</w:t>
            </w:r>
            <w:r w:rsidRPr="00321BBC">
              <w:rPr>
                <w:rFonts w:ascii="Times New Roman" w:hAnsi="Times New Roman" w:cs="Times New Roman"/>
                <w:spacing w:val="-8"/>
              </w:rPr>
              <w:t xml:space="preserve"> </w:t>
            </w:r>
            <w:r w:rsidRPr="00321BBC">
              <w:rPr>
                <w:rFonts w:ascii="Times New Roman" w:hAnsi="Times New Roman" w:cs="Times New Roman"/>
              </w:rPr>
              <w:t>not</w:t>
            </w:r>
            <w:r w:rsidRPr="00321BBC">
              <w:rPr>
                <w:rFonts w:ascii="Times New Roman" w:hAnsi="Times New Roman" w:cs="Times New Roman"/>
                <w:spacing w:val="-8"/>
              </w:rPr>
              <w:t xml:space="preserve"> </w:t>
            </w:r>
            <w:r w:rsidRPr="00321BBC">
              <w:rPr>
                <w:rFonts w:ascii="Times New Roman" w:hAnsi="Times New Roman" w:cs="Times New Roman"/>
              </w:rPr>
              <w:t>able</w:t>
            </w:r>
            <w:r w:rsidRPr="00321BBC">
              <w:rPr>
                <w:rFonts w:ascii="Times New Roman" w:hAnsi="Times New Roman" w:cs="Times New Roman"/>
                <w:spacing w:val="-8"/>
              </w:rPr>
              <w:t xml:space="preserve"> </w:t>
            </w:r>
            <w:r w:rsidRPr="00321BBC">
              <w:rPr>
                <w:rFonts w:ascii="Times New Roman" w:hAnsi="Times New Roman" w:cs="Times New Roman"/>
              </w:rPr>
              <w:t>to</w:t>
            </w:r>
            <w:r w:rsidRPr="00321BBC">
              <w:rPr>
                <w:rFonts w:ascii="Times New Roman" w:hAnsi="Times New Roman" w:cs="Times New Roman"/>
                <w:spacing w:val="-8"/>
              </w:rPr>
              <w:t xml:space="preserve"> </w:t>
            </w:r>
            <w:r w:rsidRPr="00321BBC">
              <w:rPr>
                <w:rFonts w:ascii="Times New Roman" w:hAnsi="Times New Roman" w:cs="Times New Roman"/>
              </w:rPr>
              <w:t>be</w:t>
            </w:r>
            <w:r w:rsidRPr="00321BBC">
              <w:rPr>
                <w:rFonts w:ascii="Times New Roman" w:hAnsi="Times New Roman" w:cs="Times New Roman"/>
                <w:spacing w:val="-10"/>
              </w:rPr>
              <w:t xml:space="preserve"> </w:t>
            </w:r>
            <w:r w:rsidRPr="00321BBC">
              <w:rPr>
                <w:rFonts w:ascii="Times New Roman" w:hAnsi="Times New Roman" w:cs="Times New Roman"/>
              </w:rPr>
              <w:t>tracked</w:t>
            </w:r>
            <w:r w:rsidRPr="00321BBC">
              <w:rPr>
                <w:rFonts w:ascii="Times New Roman" w:hAnsi="Times New Roman" w:cs="Times New Roman"/>
                <w:spacing w:val="-9"/>
              </w:rPr>
              <w:t xml:space="preserve"> </w:t>
            </w:r>
            <w:r w:rsidRPr="00321BBC">
              <w:rPr>
                <w:rFonts w:ascii="Times New Roman" w:hAnsi="Times New Roman" w:cs="Times New Roman"/>
              </w:rPr>
              <w:t>from</w:t>
            </w:r>
            <w:r w:rsidRPr="00321BBC">
              <w:rPr>
                <w:rFonts w:ascii="Times New Roman" w:hAnsi="Times New Roman" w:cs="Times New Roman"/>
                <w:spacing w:val="-9"/>
              </w:rPr>
              <w:t xml:space="preserve"> </w:t>
            </w:r>
            <w:r w:rsidRPr="00321BBC">
              <w:rPr>
                <w:rFonts w:ascii="Times New Roman" w:hAnsi="Times New Roman" w:cs="Times New Roman"/>
              </w:rPr>
              <w:t>markings</w:t>
            </w:r>
            <w:r w:rsidRPr="00321BBC">
              <w:rPr>
                <w:rFonts w:ascii="Times New Roman" w:hAnsi="Times New Roman" w:cs="Times New Roman"/>
                <w:spacing w:val="-10"/>
              </w:rPr>
              <w:t xml:space="preserve"> </w:t>
            </w:r>
            <w:r w:rsidRPr="00321BBC">
              <w:rPr>
                <w:rFonts w:ascii="Times New Roman" w:hAnsi="Times New Roman" w:cs="Times New Roman"/>
              </w:rPr>
              <w:t>or</w:t>
            </w:r>
            <w:r w:rsidRPr="00321BBC">
              <w:rPr>
                <w:rFonts w:ascii="Times New Roman" w:hAnsi="Times New Roman" w:cs="Times New Roman"/>
                <w:spacing w:val="-11"/>
              </w:rPr>
              <w:t xml:space="preserve"> </w:t>
            </w:r>
            <w:r w:rsidRPr="00321BBC">
              <w:rPr>
                <w:rFonts w:ascii="Times New Roman" w:hAnsi="Times New Roman" w:cs="Times New Roman"/>
              </w:rPr>
              <w:t>similar,</w:t>
            </w:r>
            <w:r w:rsidRPr="00321BBC">
              <w:rPr>
                <w:rFonts w:ascii="Times New Roman" w:hAnsi="Times New Roman" w:cs="Times New Roman"/>
                <w:spacing w:val="-8"/>
              </w:rPr>
              <w:t xml:space="preserve"> </w:t>
            </w:r>
            <w:r w:rsidRPr="00321BBC">
              <w:rPr>
                <w:rFonts w:ascii="Times New Roman" w:hAnsi="Times New Roman" w:cs="Times New Roman"/>
              </w:rPr>
              <w:t>this</w:t>
            </w:r>
            <w:r w:rsidRPr="00321BBC">
              <w:rPr>
                <w:rFonts w:ascii="Times New Roman" w:hAnsi="Times New Roman" w:cs="Times New Roman"/>
                <w:spacing w:val="-8"/>
              </w:rPr>
              <w:t xml:space="preserve"> </w:t>
            </w:r>
            <w:r w:rsidRPr="00321BBC">
              <w:rPr>
                <w:rFonts w:ascii="Times New Roman" w:hAnsi="Times New Roman" w:cs="Times New Roman"/>
              </w:rPr>
              <w:t>research</w:t>
            </w:r>
            <w:r w:rsidRPr="00321BBC">
              <w:rPr>
                <w:rFonts w:ascii="Times New Roman" w:hAnsi="Times New Roman" w:cs="Times New Roman"/>
                <w:spacing w:val="-11"/>
              </w:rPr>
              <w:t xml:space="preserve"> </w:t>
            </w:r>
            <w:r w:rsidRPr="00321BBC">
              <w:rPr>
                <w:rFonts w:ascii="Times New Roman" w:hAnsi="Times New Roman" w:cs="Times New Roman"/>
              </w:rPr>
              <w:t>will require fishers to lift all FADs for descriptions to be made (there are other technical solutions such as camera ROVs and/or research divers however they are likely overly</w:t>
            </w:r>
            <w:r w:rsidRPr="00321BBC">
              <w:rPr>
                <w:rFonts w:ascii="Times New Roman" w:hAnsi="Times New Roman" w:cs="Times New Roman"/>
                <w:spacing w:val="-15"/>
              </w:rPr>
              <w:t xml:space="preserve"> </w:t>
            </w:r>
            <w:r w:rsidRPr="00321BBC">
              <w:rPr>
                <w:rFonts w:ascii="Times New Roman" w:hAnsi="Times New Roman" w:cs="Times New Roman"/>
              </w:rPr>
              <w:t>costly).</w:t>
            </w:r>
          </w:p>
          <w:p w14:paraId="5987593E"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8778248"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Understanding the vertical behaviour of silky sharks at FADs within the WCPO would help inform how deep the FAD underwater structure should be checked.</w:t>
            </w:r>
          </w:p>
          <w:p w14:paraId="5BCDC711"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05AB8E3"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This</w:t>
            </w:r>
            <w:r w:rsidRPr="00321BBC">
              <w:rPr>
                <w:rFonts w:ascii="Times New Roman" w:hAnsi="Times New Roman" w:cs="Times New Roman"/>
                <w:spacing w:val="-14"/>
              </w:rPr>
              <w:t xml:space="preserve"> </w:t>
            </w:r>
            <w:r w:rsidRPr="00321BBC">
              <w:rPr>
                <w:rFonts w:ascii="Times New Roman" w:hAnsi="Times New Roman" w:cs="Times New Roman"/>
              </w:rPr>
              <w:t>project</w:t>
            </w:r>
            <w:r w:rsidRPr="00321BBC">
              <w:rPr>
                <w:rFonts w:ascii="Times New Roman" w:hAnsi="Times New Roman" w:cs="Times New Roman"/>
                <w:spacing w:val="-15"/>
              </w:rPr>
              <w:t xml:space="preserve"> </w:t>
            </w:r>
            <w:r w:rsidRPr="00321BBC">
              <w:rPr>
                <w:rFonts w:ascii="Times New Roman" w:hAnsi="Times New Roman" w:cs="Times New Roman"/>
              </w:rPr>
              <w:t>if</w:t>
            </w:r>
            <w:r w:rsidRPr="00321BBC">
              <w:rPr>
                <w:rFonts w:ascii="Times New Roman" w:hAnsi="Times New Roman" w:cs="Times New Roman"/>
                <w:spacing w:val="-14"/>
              </w:rPr>
              <w:t xml:space="preserve"> </w:t>
            </w:r>
            <w:r w:rsidRPr="00321BBC">
              <w:rPr>
                <w:rFonts w:ascii="Times New Roman" w:hAnsi="Times New Roman" w:cs="Times New Roman"/>
              </w:rPr>
              <w:t>it</w:t>
            </w:r>
            <w:r w:rsidRPr="00321BBC">
              <w:rPr>
                <w:rFonts w:ascii="Times New Roman" w:hAnsi="Times New Roman" w:cs="Times New Roman"/>
                <w:spacing w:val="-16"/>
              </w:rPr>
              <w:t xml:space="preserve"> </w:t>
            </w:r>
            <w:r w:rsidRPr="00321BBC">
              <w:rPr>
                <w:rFonts w:ascii="Times New Roman" w:hAnsi="Times New Roman" w:cs="Times New Roman"/>
              </w:rPr>
              <w:t>proceeds</w:t>
            </w:r>
            <w:r w:rsidRPr="00321BBC">
              <w:rPr>
                <w:rFonts w:ascii="Times New Roman" w:hAnsi="Times New Roman" w:cs="Times New Roman"/>
                <w:spacing w:val="-16"/>
              </w:rPr>
              <w:t xml:space="preserve"> </w:t>
            </w:r>
            <w:r w:rsidRPr="00321BBC">
              <w:rPr>
                <w:rFonts w:ascii="Times New Roman" w:hAnsi="Times New Roman" w:cs="Times New Roman"/>
              </w:rPr>
              <w:t>to</w:t>
            </w:r>
            <w:r w:rsidRPr="00321BBC">
              <w:rPr>
                <w:rFonts w:ascii="Times New Roman" w:hAnsi="Times New Roman" w:cs="Times New Roman"/>
                <w:spacing w:val="-15"/>
              </w:rPr>
              <w:t xml:space="preserve"> </w:t>
            </w:r>
            <w:r w:rsidRPr="00321BBC">
              <w:rPr>
                <w:rFonts w:ascii="Times New Roman" w:hAnsi="Times New Roman" w:cs="Times New Roman"/>
              </w:rPr>
              <w:t>extension/implementation</w:t>
            </w:r>
            <w:r w:rsidRPr="00321BBC">
              <w:rPr>
                <w:rFonts w:ascii="Times New Roman" w:hAnsi="Times New Roman" w:cs="Times New Roman"/>
                <w:spacing w:val="-17"/>
              </w:rPr>
              <w:t xml:space="preserve"> </w:t>
            </w:r>
            <w:r w:rsidRPr="00321BBC">
              <w:rPr>
                <w:rFonts w:ascii="Times New Roman" w:hAnsi="Times New Roman" w:cs="Times New Roman"/>
              </w:rPr>
              <w:t>will</w:t>
            </w:r>
            <w:r w:rsidRPr="00321BBC">
              <w:rPr>
                <w:rFonts w:ascii="Times New Roman" w:hAnsi="Times New Roman" w:cs="Times New Roman"/>
                <w:spacing w:val="-14"/>
              </w:rPr>
              <w:t xml:space="preserve"> </w:t>
            </w:r>
            <w:r w:rsidRPr="00321BBC">
              <w:rPr>
                <w:rFonts w:ascii="Times New Roman" w:hAnsi="Times New Roman" w:cs="Times New Roman"/>
              </w:rPr>
              <w:t>have</w:t>
            </w:r>
            <w:r w:rsidRPr="00321BBC">
              <w:rPr>
                <w:rFonts w:ascii="Times New Roman" w:hAnsi="Times New Roman" w:cs="Times New Roman"/>
                <w:spacing w:val="-16"/>
              </w:rPr>
              <w:t xml:space="preserve"> </w:t>
            </w:r>
            <w:r w:rsidRPr="00321BBC">
              <w:rPr>
                <w:rFonts w:ascii="Times New Roman" w:hAnsi="Times New Roman" w:cs="Times New Roman"/>
              </w:rPr>
              <w:t>direct</w:t>
            </w:r>
            <w:r w:rsidRPr="00321BBC">
              <w:rPr>
                <w:rFonts w:ascii="Times New Roman" w:hAnsi="Times New Roman" w:cs="Times New Roman"/>
                <w:spacing w:val="-16"/>
              </w:rPr>
              <w:t xml:space="preserve"> </w:t>
            </w:r>
            <w:r w:rsidRPr="00321BBC">
              <w:rPr>
                <w:rFonts w:ascii="Times New Roman" w:hAnsi="Times New Roman" w:cs="Times New Roman"/>
              </w:rPr>
              <w:t>costs for</w:t>
            </w:r>
            <w:r w:rsidRPr="00321BBC">
              <w:rPr>
                <w:rFonts w:ascii="Times New Roman" w:hAnsi="Times New Roman" w:cs="Times New Roman"/>
                <w:spacing w:val="-6"/>
              </w:rPr>
              <w:t xml:space="preserve"> </w:t>
            </w:r>
            <w:r w:rsidRPr="00321BBC">
              <w:rPr>
                <w:rFonts w:ascii="Times New Roman" w:hAnsi="Times New Roman" w:cs="Times New Roman"/>
              </w:rPr>
              <w:t>fishers</w:t>
            </w:r>
            <w:r w:rsidRPr="00321BBC">
              <w:rPr>
                <w:rFonts w:ascii="Times New Roman" w:hAnsi="Times New Roman" w:cs="Times New Roman"/>
                <w:spacing w:val="-7"/>
              </w:rPr>
              <w:t xml:space="preserve"> </w:t>
            </w:r>
            <w:r w:rsidRPr="00321BBC">
              <w:rPr>
                <w:rFonts w:ascii="Times New Roman" w:hAnsi="Times New Roman" w:cs="Times New Roman"/>
              </w:rPr>
              <w:t>with</w:t>
            </w:r>
            <w:r w:rsidRPr="00321BBC">
              <w:rPr>
                <w:rFonts w:ascii="Times New Roman" w:hAnsi="Times New Roman" w:cs="Times New Roman"/>
                <w:spacing w:val="-6"/>
              </w:rPr>
              <w:t xml:space="preserve"> </w:t>
            </w:r>
            <w:r w:rsidRPr="00321BBC">
              <w:rPr>
                <w:rFonts w:ascii="Times New Roman" w:hAnsi="Times New Roman" w:cs="Times New Roman"/>
              </w:rPr>
              <w:t>the</w:t>
            </w:r>
            <w:r w:rsidRPr="00321BBC">
              <w:rPr>
                <w:rFonts w:ascii="Times New Roman" w:hAnsi="Times New Roman" w:cs="Times New Roman"/>
                <w:spacing w:val="-5"/>
              </w:rPr>
              <w:t xml:space="preserve"> </w:t>
            </w:r>
            <w:r w:rsidRPr="00321BBC">
              <w:rPr>
                <w:rFonts w:ascii="Times New Roman" w:hAnsi="Times New Roman" w:cs="Times New Roman"/>
              </w:rPr>
              <w:t>lifting</w:t>
            </w:r>
            <w:r w:rsidRPr="00321BBC">
              <w:rPr>
                <w:rFonts w:ascii="Times New Roman" w:hAnsi="Times New Roman" w:cs="Times New Roman"/>
                <w:spacing w:val="-6"/>
              </w:rPr>
              <w:t xml:space="preserve"> </w:t>
            </w:r>
            <w:r w:rsidRPr="00321BBC">
              <w:rPr>
                <w:rFonts w:ascii="Times New Roman" w:hAnsi="Times New Roman" w:cs="Times New Roman"/>
              </w:rPr>
              <w:t>of</w:t>
            </w:r>
            <w:r w:rsidRPr="00321BBC">
              <w:rPr>
                <w:rFonts w:ascii="Times New Roman" w:hAnsi="Times New Roman" w:cs="Times New Roman"/>
                <w:spacing w:val="-6"/>
              </w:rPr>
              <w:t xml:space="preserve"> </w:t>
            </w:r>
            <w:r w:rsidRPr="00321BBC">
              <w:rPr>
                <w:rFonts w:ascii="Times New Roman" w:hAnsi="Times New Roman" w:cs="Times New Roman"/>
              </w:rPr>
              <w:t>existing</w:t>
            </w:r>
            <w:r w:rsidRPr="00321BBC">
              <w:rPr>
                <w:rFonts w:ascii="Times New Roman" w:hAnsi="Times New Roman" w:cs="Times New Roman"/>
                <w:spacing w:val="-6"/>
              </w:rPr>
              <w:t xml:space="preserve"> </w:t>
            </w:r>
            <w:r w:rsidRPr="00321BBC">
              <w:rPr>
                <w:rFonts w:ascii="Times New Roman" w:hAnsi="Times New Roman" w:cs="Times New Roman"/>
              </w:rPr>
              <w:t>FADs</w:t>
            </w:r>
            <w:r w:rsidRPr="00321BBC">
              <w:rPr>
                <w:rFonts w:ascii="Times New Roman" w:hAnsi="Times New Roman" w:cs="Times New Roman"/>
                <w:spacing w:val="-6"/>
              </w:rPr>
              <w:t xml:space="preserve"> </w:t>
            </w:r>
            <w:r w:rsidRPr="00321BBC">
              <w:rPr>
                <w:rFonts w:ascii="Times New Roman" w:hAnsi="Times New Roman" w:cs="Times New Roman"/>
              </w:rPr>
              <w:t>require</w:t>
            </w:r>
            <w:r w:rsidRPr="00321BBC">
              <w:rPr>
                <w:rFonts w:ascii="Times New Roman" w:hAnsi="Times New Roman" w:cs="Times New Roman"/>
                <w:spacing w:val="-8"/>
              </w:rPr>
              <w:t xml:space="preserve"> </w:t>
            </w:r>
            <w:proofErr w:type="gramStart"/>
            <w:r w:rsidRPr="00321BBC">
              <w:rPr>
                <w:rFonts w:ascii="Times New Roman" w:hAnsi="Times New Roman" w:cs="Times New Roman"/>
              </w:rPr>
              <w:t>to</w:t>
            </w:r>
            <w:r w:rsidRPr="00321BBC">
              <w:rPr>
                <w:rFonts w:ascii="Times New Roman" w:hAnsi="Times New Roman" w:cs="Times New Roman"/>
                <w:spacing w:val="-4"/>
              </w:rPr>
              <w:t xml:space="preserve"> </w:t>
            </w:r>
            <w:r w:rsidRPr="00321BBC">
              <w:rPr>
                <w:rFonts w:ascii="Times New Roman" w:hAnsi="Times New Roman" w:cs="Times New Roman"/>
              </w:rPr>
              <w:t>update</w:t>
            </w:r>
            <w:proofErr w:type="gramEnd"/>
            <w:r w:rsidRPr="00321BBC">
              <w:rPr>
                <w:rFonts w:ascii="Times New Roman" w:hAnsi="Times New Roman" w:cs="Times New Roman"/>
                <w:spacing w:val="-5"/>
              </w:rPr>
              <w:t xml:space="preserve"> </w:t>
            </w:r>
            <w:r w:rsidRPr="00321BBC">
              <w:rPr>
                <w:rFonts w:ascii="Times New Roman" w:hAnsi="Times New Roman" w:cs="Times New Roman"/>
              </w:rPr>
              <w:t>them</w:t>
            </w:r>
            <w:r w:rsidRPr="00321BBC">
              <w:rPr>
                <w:rFonts w:ascii="Times New Roman" w:hAnsi="Times New Roman" w:cs="Times New Roman"/>
                <w:spacing w:val="-5"/>
              </w:rPr>
              <w:t xml:space="preserve"> </w:t>
            </w:r>
            <w:r w:rsidRPr="00321BBC">
              <w:rPr>
                <w:rFonts w:ascii="Times New Roman" w:hAnsi="Times New Roman" w:cs="Times New Roman"/>
              </w:rPr>
              <w:t>with</w:t>
            </w:r>
            <w:r w:rsidRPr="00321BBC">
              <w:rPr>
                <w:rFonts w:ascii="Times New Roman" w:hAnsi="Times New Roman" w:cs="Times New Roman"/>
                <w:spacing w:val="-6"/>
              </w:rPr>
              <w:t xml:space="preserve"> </w:t>
            </w:r>
            <w:r w:rsidRPr="00321BBC">
              <w:rPr>
                <w:rFonts w:ascii="Times New Roman" w:hAnsi="Times New Roman" w:cs="Times New Roman"/>
              </w:rPr>
              <w:t>non- tangling designs. Obviously the period of implementation will determine if this occurs faster or slower than the normal frequency of lifting, and hence the incurred</w:t>
            </w:r>
            <w:r w:rsidRPr="00321BBC">
              <w:rPr>
                <w:rFonts w:ascii="Times New Roman" w:hAnsi="Times New Roman" w:cs="Times New Roman"/>
                <w:spacing w:val="-3"/>
              </w:rPr>
              <w:t xml:space="preserve"> </w:t>
            </w:r>
            <w:r w:rsidRPr="00321BBC">
              <w:rPr>
                <w:rFonts w:ascii="Times New Roman" w:hAnsi="Times New Roman" w:cs="Times New Roman"/>
              </w:rPr>
              <w:t>cost.</w:t>
            </w:r>
          </w:p>
        </w:tc>
      </w:tr>
    </w:tbl>
    <w:p w14:paraId="7296EB88" w14:textId="77777777" w:rsidR="0021261B" w:rsidRDefault="0021261B" w:rsidP="0021261B">
      <w:pPr>
        <w:adjustRightInd w:val="0"/>
        <w:snapToGrid w:val="0"/>
        <w:spacing w:after="0"/>
        <w:rPr>
          <w:rFonts w:ascii="Times New Roman" w:hAnsi="Times New Roman"/>
          <w:lang w:val="en-US"/>
        </w:rPr>
      </w:pPr>
    </w:p>
    <w:p w14:paraId="73578764" w14:textId="77777777" w:rsidR="00C416B4" w:rsidRDefault="00C416B4" w:rsidP="0021261B">
      <w:pPr>
        <w:adjustRightInd w:val="0"/>
        <w:snapToGrid w:val="0"/>
        <w:spacing w:after="0"/>
        <w:rPr>
          <w:rFonts w:ascii="Times New Roman" w:hAnsi="Times New Roman"/>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5"/>
        <w:gridCol w:w="7785"/>
      </w:tblGrid>
      <w:tr w:rsidR="0021261B" w:rsidRPr="00321BBC" w14:paraId="6E9AF2AC" w14:textId="77777777" w:rsidTr="0021261B">
        <w:trPr>
          <w:trHeight w:hRule="exact" w:val="278"/>
        </w:trPr>
        <w:tc>
          <w:tcPr>
            <w:tcW w:w="5000" w:type="pct"/>
            <w:gridSpan w:val="2"/>
            <w:shd w:val="clear" w:color="auto" w:fill="4AACC5"/>
          </w:tcPr>
          <w:p w14:paraId="06CC81C4"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Project #2</w:t>
            </w:r>
          </w:p>
        </w:tc>
      </w:tr>
      <w:tr w:rsidR="0021261B" w:rsidRPr="00321BBC" w14:paraId="42CA621C" w14:textId="77777777" w:rsidTr="0021261B">
        <w:trPr>
          <w:trHeight w:hRule="exact" w:val="278"/>
        </w:trPr>
        <w:tc>
          <w:tcPr>
            <w:tcW w:w="846" w:type="pct"/>
            <w:shd w:val="clear" w:color="auto" w:fill="92D050"/>
          </w:tcPr>
          <w:p w14:paraId="495CB2B6"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Project</w:t>
            </w:r>
          </w:p>
        </w:tc>
        <w:tc>
          <w:tcPr>
            <w:tcW w:w="4154" w:type="pct"/>
            <w:shd w:val="clear" w:color="auto" w:fill="92D050"/>
          </w:tcPr>
          <w:p w14:paraId="0440BE1F"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designs to reduce unwanted catches of juvenile bigeye and yellowfin tuna</w:t>
            </w:r>
          </w:p>
        </w:tc>
      </w:tr>
      <w:tr w:rsidR="0021261B" w:rsidRPr="00321BBC" w14:paraId="4455D66B" w14:textId="77777777" w:rsidTr="0021261B">
        <w:trPr>
          <w:trHeight w:hRule="exact" w:val="816"/>
        </w:trPr>
        <w:tc>
          <w:tcPr>
            <w:tcW w:w="846" w:type="pct"/>
          </w:tcPr>
          <w:p w14:paraId="6922A483"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Objectives</w:t>
            </w:r>
          </w:p>
        </w:tc>
        <w:tc>
          <w:tcPr>
            <w:tcW w:w="4154" w:type="pct"/>
          </w:tcPr>
          <w:p w14:paraId="710E1558" w14:textId="77777777" w:rsidR="0021261B" w:rsidRPr="00321BBC" w:rsidRDefault="0021261B" w:rsidP="0021261B">
            <w:pPr>
              <w:pStyle w:val="TableParagraph"/>
              <w:adjustRightInd w:val="0"/>
              <w:snapToGrid w:val="0"/>
              <w:ind w:right="104"/>
              <w:rPr>
                <w:rFonts w:ascii="Times New Roman" w:hAnsi="Times New Roman" w:cs="Times New Roman"/>
              </w:rPr>
            </w:pPr>
            <w:r w:rsidRPr="00321BBC">
              <w:rPr>
                <w:rFonts w:ascii="Times New Roman" w:hAnsi="Times New Roman" w:cs="Times New Roman"/>
              </w:rPr>
              <w:t>Identify any FAD design features that lead to lower catch rates of undersized/juvenile bigeye and yellowfin tuna, while minimising the impact on catches of larger target tuna species.</w:t>
            </w:r>
          </w:p>
        </w:tc>
      </w:tr>
      <w:tr w:rsidR="0021261B" w:rsidRPr="00321BBC" w14:paraId="173142FE" w14:textId="77777777" w:rsidTr="0021261B">
        <w:trPr>
          <w:trHeight w:hRule="exact" w:val="2756"/>
        </w:trPr>
        <w:tc>
          <w:tcPr>
            <w:tcW w:w="846" w:type="pct"/>
          </w:tcPr>
          <w:p w14:paraId="2C0F8DAE"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Rationale</w:t>
            </w:r>
          </w:p>
        </w:tc>
        <w:tc>
          <w:tcPr>
            <w:tcW w:w="4154" w:type="pct"/>
          </w:tcPr>
          <w:p w14:paraId="6BBB18A3" w14:textId="77777777" w:rsidR="0021261B" w:rsidRPr="00321BBC" w:rsidRDefault="0021261B" w:rsidP="0074425A">
            <w:pPr>
              <w:pStyle w:val="TableParagraph"/>
              <w:numPr>
                <w:ilvl w:val="0"/>
                <w:numId w:val="113"/>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Builds upon trials underway in the IATTC area in collaboration with ISSF, but given oceanographic differences between regions WCPO trials may be required if designs in IATTC area focus on depths shallower than the WCPO thermocline</w:t>
            </w:r>
            <w:r w:rsidRPr="00321BBC">
              <w:rPr>
                <w:rFonts w:ascii="Times New Roman" w:hAnsi="Times New Roman" w:cs="Times New Roman"/>
                <w:spacing w:val="-3"/>
              </w:rPr>
              <w:t xml:space="preserve"> </w:t>
            </w:r>
            <w:r w:rsidRPr="00321BBC">
              <w:rPr>
                <w:rFonts w:ascii="Times New Roman" w:hAnsi="Times New Roman" w:cs="Times New Roman"/>
              </w:rPr>
              <w:t>depth.</w:t>
            </w:r>
          </w:p>
          <w:p w14:paraId="03AD098C" w14:textId="77777777" w:rsidR="0021261B" w:rsidRPr="00321BBC" w:rsidRDefault="0021261B" w:rsidP="0074425A">
            <w:pPr>
              <w:pStyle w:val="TableParagraph"/>
              <w:numPr>
                <w:ilvl w:val="0"/>
                <w:numId w:val="113"/>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Represents an area of work not yet pursued in the WCPO that could provide a simple management intervention to reduce FAD</w:t>
            </w:r>
            <w:r w:rsidRPr="00321BBC">
              <w:rPr>
                <w:rFonts w:ascii="Times New Roman" w:hAnsi="Times New Roman" w:cs="Times New Roman"/>
                <w:spacing w:val="-16"/>
              </w:rPr>
              <w:t xml:space="preserve"> </w:t>
            </w:r>
            <w:r w:rsidRPr="00321BBC">
              <w:rPr>
                <w:rFonts w:ascii="Times New Roman" w:hAnsi="Times New Roman" w:cs="Times New Roman"/>
              </w:rPr>
              <w:t>impacts.</w:t>
            </w:r>
          </w:p>
          <w:p w14:paraId="2053FBBB" w14:textId="5D1CA105" w:rsidR="0021261B" w:rsidRPr="00321BBC" w:rsidRDefault="0021261B" w:rsidP="0074425A">
            <w:pPr>
              <w:pStyle w:val="TableParagraph"/>
              <w:numPr>
                <w:ilvl w:val="0"/>
                <w:numId w:val="113"/>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 xml:space="preserve">Builds upon EU-funded work identifying factors influencing </w:t>
            </w:r>
            <w:r w:rsidR="00977B42">
              <w:rPr>
                <w:rFonts w:ascii="Times New Roman" w:hAnsi="Times New Roman" w:cs="Times New Roman"/>
              </w:rPr>
              <w:t>bigeye tuna</w:t>
            </w:r>
            <w:r w:rsidRPr="00321BBC">
              <w:rPr>
                <w:rFonts w:ascii="Times New Roman" w:hAnsi="Times New Roman" w:cs="Times New Roman"/>
                <w:spacing w:val="-14"/>
              </w:rPr>
              <w:t xml:space="preserve"> </w:t>
            </w:r>
            <w:r w:rsidRPr="00321BBC">
              <w:rPr>
                <w:rFonts w:ascii="Times New Roman" w:hAnsi="Times New Roman" w:cs="Times New Roman"/>
              </w:rPr>
              <w:t>hotspots.</w:t>
            </w:r>
          </w:p>
          <w:p w14:paraId="50ECED6E" w14:textId="77777777" w:rsidR="0021261B" w:rsidRPr="00321BBC" w:rsidRDefault="0021261B" w:rsidP="0074425A">
            <w:pPr>
              <w:pStyle w:val="TableParagraph"/>
              <w:numPr>
                <w:ilvl w:val="0"/>
                <w:numId w:val="113"/>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Provides a scientific basis for potential CMMs in this</w:t>
            </w:r>
            <w:r w:rsidRPr="00321BBC">
              <w:rPr>
                <w:rFonts w:ascii="Times New Roman" w:hAnsi="Times New Roman" w:cs="Times New Roman"/>
                <w:spacing w:val="-14"/>
              </w:rPr>
              <w:t xml:space="preserve"> </w:t>
            </w:r>
            <w:r w:rsidRPr="00321BBC">
              <w:rPr>
                <w:rFonts w:ascii="Times New Roman" w:hAnsi="Times New Roman" w:cs="Times New Roman"/>
              </w:rPr>
              <w:t>area.</w:t>
            </w:r>
          </w:p>
          <w:p w14:paraId="2C5D6D27" w14:textId="77777777" w:rsidR="0021261B" w:rsidRPr="00321BBC" w:rsidRDefault="0021261B" w:rsidP="0074425A">
            <w:pPr>
              <w:pStyle w:val="TableParagraph"/>
              <w:numPr>
                <w:ilvl w:val="0"/>
                <w:numId w:val="113"/>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Two key and related FAD design features may influence undersized/juvenile bigeye and yellowfin mortality: depth of the FAD, and its speed of drift.</w:t>
            </w:r>
          </w:p>
        </w:tc>
      </w:tr>
      <w:tr w:rsidR="0021261B" w:rsidRPr="00321BBC" w14:paraId="3E329451" w14:textId="77777777" w:rsidTr="00B738F6">
        <w:tc>
          <w:tcPr>
            <w:tcW w:w="846" w:type="pct"/>
          </w:tcPr>
          <w:p w14:paraId="57E3CB3C"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Assumptions</w:t>
            </w:r>
          </w:p>
        </w:tc>
        <w:tc>
          <w:tcPr>
            <w:tcW w:w="4154" w:type="pct"/>
          </w:tcPr>
          <w:p w14:paraId="58F8A924" w14:textId="0248DA21" w:rsidR="0021261B" w:rsidRPr="00321BBC" w:rsidRDefault="00977B42" w:rsidP="0074425A">
            <w:pPr>
              <w:pStyle w:val="TableParagraph"/>
              <w:numPr>
                <w:ilvl w:val="0"/>
                <w:numId w:val="112"/>
              </w:numPr>
              <w:tabs>
                <w:tab w:val="left" w:pos="420"/>
              </w:tabs>
              <w:adjustRightInd w:val="0"/>
              <w:snapToGrid w:val="0"/>
              <w:ind w:right="101"/>
              <w:rPr>
                <w:rFonts w:ascii="Times New Roman" w:hAnsi="Times New Roman" w:cs="Times New Roman"/>
              </w:rPr>
            </w:pPr>
            <w:r>
              <w:rPr>
                <w:rFonts w:ascii="Times New Roman" w:hAnsi="Times New Roman" w:cs="Times New Roman"/>
              </w:rPr>
              <w:t>Bigeye tuna</w:t>
            </w:r>
            <w:r w:rsidR="0021261B" w:rsidRPr="00321BBC">
              <w:rPr>
                <w:rFonts w:ascii="Times New Roman" w:hAnsi="Times New Roman" w:cs="Times New Roman"/>
              </w:rPr>
              <w:t xml:space="preserve"> hotspot analyses provide some indication of potential FAD characteristics that can be examined within this</w:t>
            </w:r>
            <w:r w:rsidR="0021261B" w:rsidRPr="00321BBC">
              <w:rPr>
                <w:rFonts w:ascii="Times New Roman" w:hAnsi="Times New Roman" w:cs="Times New Roman"/>
                <w:spacing w:val="-8"/>
              </w:rPr>
              <w:t xml:space="preserve"> </w:t>
            </w:r>
            <w:r w:rsidR="0021261B" w:rsidRPr="00321BBC">
              <w:rPr>
                <w:rFonts w:ascii="Times New Roman" w:hAnsi="Times New Roman" w:cs="Times New Roman"/>
              </w:rPr>
              <w:t>project.</w:t>
            </w:r>
          </w:p>
          <w:p w14:paraId="567DBCF1" w14:textId="77777777" w:rsidR="0021261B" w:rsidRPr="00321BBC" w:rsidRDefault="0021261B" w:rsidP="0074425A">
            <w:pPr>
              <w:pStyle w:val="TableParagraph"/>
              <w:numPr>
                <w:ilvl w:val="0"/>
                <w:numId w:val="112"/>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 xml:space="preserve">Can relate the design of FADs noted by observers and/or others directly </w:t>
            </w:r>
            <w:r w:rsidRPr="00321BBC">
              <w:rPr>
                <w:rFonts w:ascii="Times New Roman" w:hAnsi="Times New Roman" w:cs="Times New Roman"/>
                <w:spacing w:val="-3"/>
              </w:rPr>
              <w:t xml:space="preserve">to </w:t>
            </w:r>
            <w:r w:rsidRPr="00321BBC">
              <w:rPr>
                <w:rFonts w:ascii="Times New Roman" w:hAnsi="Times New Roman" w:cs="Times New Roman"/>
              </w:rPr>
              <w:t>subsequent fishing sets that have reliable catch composition</w:t>
            </w:r>
            <w:r w:rsidRPr="00321BBC">
              <w:rPr>
                <w:rFonts w:ascii="Times New Roman" w:hAnsi="Times New Roman" w:cs="Times New Roman"/>
                <w:spacing w:val="-23"/>
              </w:rPr>
              <w:t xml:space="preserve"> </w:t>
            </w:r>
            <w:r w:rsidRPr="00321BBC">
              <w:rPr>
                <w:rFonts w:ascii="Times New Roman" w:hAnsi="Times New Roman" w:cs="Times New Roman"/>
              </w:rPr>
              <w:t>estimates.</w:t>
            </w:r>
          </w:p>
          <w:p w14:paraId="30C654D9" w14:textId="77777777" w:rsidR="0021261B" w:rsidRPr="00321BBC" w:rsidRDefault="0021261B" w:rsidP="0074425A">
            <w:pPr>
              <w:pStyle w:val="TableParagraph"/>
              <w:numPr>
                <w:ilvl w:val="0"/>
                <w:numId w:val="112"/>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A coordinated trial of designs, in collaboration with industry, is suggested as the most efficient approach. Cost and environmental impact would be key factors in assessing the merit of various</w:t>
            </w:r>
            <w:r w:rsidRPr="00321BBC">
              <w:rPr>
                <w:rFonts w:ascii="Times New Roman" w:hAnsi="Times New Roman" w:cs="Times New Roman"/>
                <w:spacing w:val="-17"/>
              </w:rPr>
              <w:t xml:space="preserve"> </w:t>
            </w:r>
            <w:r w:rsidRPr="00321BBC">
              <w:rPr>
                <w:rFonts w:ascii="Times New Roman" w:hAnsi="Times New Roman" w:cs="Times New Roman"/>
              </w:rPr>
              <w:t>designs.</w:t>
            </w:r>
          </w:p>
          <w:p w14:paraId="43B1E6DE" w14:textId="77777777" w:rsidR="0021261B" w:rsidRPr="00321BBC" w:rsidRDefault="0021261B" w:rsidP="0074425A">
            <w:pPr>
              <w:pStyle w:val="TableParagraph"/>
              <w:numPr>
                <w:ilvl w:val="0"/>
                <w:numId w:val="112"/>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Periodic</w:t>
            </w:r>
            <w:r w:rsidRPr="00321BBC">
              <w:rPr>
                <w:rFonts w:ascii="Times New Roman" w:hAnsi="Times New Roman" w:cs="Times New Roman"/>
                <w:spacing w:val="-4"/>
              </w:rPr>
              <w:t xml:space="preserve"> </w:t>
            </w:r>
            <w:r w:rsidRPr="00321BBC">
              <w:rPr>
                <w:rFonts w:ascii="Times New Roman" w:hAnsi="Times New Roman" w:cs="Times New Roman"/>
              </w:rPr>
              <w:t>removal</w:t>
            </w:r>
            <w:r w:rsidRPr="00321BBC">
              <w:rPr>
                <w:rFonts w:ascii="Times New Roman" w:hAnsi="Times New Roman" w:cs="Times New Roman"/>
                <w:spacing w:val="-7"/>
              </w:rPr>
              <w:t xml:space="preserve"> </w:t>
            </w:r>
            <w:r w:rsidRPr="00321BBC">
              <w:rPr>
                <w:rFonts w:ascii="Times New Roman" w:hAnsi="Times New Roman" w:cs="Times New Roman"/>
              </w:rPr>
              <w:t>of</w:t>
            </w:r>
            <w:r w:rsidRPr="00321BBC">
              <w:rPr>
                <w:rFonts w:ascii="Times New Roman" w:hAnsi="Times New Roman" w:cs="Times New Roman"/>
                <w:spacing w:val="-4"/>
              </w:rPr>
              <w:t xml:space="preserve"> </w:t>
            </w:r>
            <w:r w:rsidRPr="00321BBC">
              <w:rPr>
                <w:rFonts w:ascii="Times New Roman" w:hAnsi="Times New Roman" w:cs="Times New Roman"/>
              </w:rPr>
              <w:t>tracked</w:t>
            </w:r>
            <w:r w:rsidRPr="00321BBC">
              <w:rPr>
                <w:rFonts w:ascii="Times New Roman" w:hAnsi="Times New Roman" w:cs="Times New Roman"/>
                <w:spacing w:val="-5"/>
              </w:rPr>
              <w:t xml:space="preserve"> </w:t>
            </w:r>
            <w:r w:rsidRPr="00321BBC">
              <w:rPr>
                <w:rFonts w:ascii="Times New Roman" w:hAnsi="Times New Roman" w:cs="Times New Roman"/>
              </w:rPr>
              <w:t>designs</w:t>
            </w:r>
            <w:r w:rsidRPr="00321BBC">
              <w:rPr>
                <w:rFonts w:ascii="Times New Roman" w:hAnsi="Times New Roman" w:cs="Times New Roman"/>
                <w:spacing w:val="-4"/>
              </w:rPr>
              <w:t xml:space="preserve"> </w:t>
            </w:r>
            <w:r w:rsidRPr="00321BBC">
              <w:rPr>
                <w:rFonts w:ascii="Times New Roman" w:hAnsi="Times New Roman" w:cs="Times New Roman"/>
              </w:rPr>
              <w:t>may</w:t>
            </w:r>
            <w:r w:rsidRPr="00321BBC">
              <w:rPr>
                <w:rFonts w:ascii="Times New Roman" w:hAnsi="Times New Roman" w:cs="Times New Roman"/>
                <w:spacing w:val="-4"/>
              </w:rPr>
              <w:t xml:space="preserve"> </w:t>
            </w:r>
            <w:r w:rsidRPr="00321BBC">
              <w:rPr>
                <w:rFonts w:ascii="Times New Roman" w:hAnsi="Times New Roman" w:cs="Times New Roman"/>
              </w:rPr>
              <w:t>also</w:t>
            </w:r>
            <w:r w:rsidRPr="00321BBC">
              <w:rPr>
                <w:rFonts w:ascii="Times New Roman" w:hAnsi="Times New Roman" w:cs="Times New Roman"/>
                <w:spacing w:val="-3"/>
              </w:rPr>
              <w:t xml:space="preserve"> </w:t>
            </w:r>
            <w:r w:rsidRPr="00321BBC">
              <w:rPr>
                <w:rFonts w:ascii="Times New Roman" w:hAnsi="Times New Roman" w:cs="Times New Roman"/>
              </w:rPr>
              <w:t>be</w:t>
            </w:r>
            <w:r w:rsidRPr="00321BBC">
              <w:rPr>
                <w:rFonts w:ascii="Times New Roman" w:hAnsi="Times New Roman" w:cs="Times New Roman"/>
                <w:spacing w:val="-4"/>
              </w:rPr>
              <w:t xml:space="preserve"> </w:t>
            </w:r>
            <w:r w:rsidRPr="00321BBC">
              <w:rPr>
                <w:rFonts w:ascii="Times New Roman" w:hAnsi="Times New Roman" w:cs="Times New Roman"/>
              </w:rPr>
              <w:t>necessary</w:t>
            </w:r>
            <w:r w:rsidRPr="00321BBC">
              <w:rPr>
                <w:rFonts w:ascii="Times New Roman" w:hAnsi="Times New Roman" w:cs="Times New Roman"/>
                <w:spacing w:val="-3"/>
              </w:rPr>
              <w:t xml:space="preserve"> </w:t>
            </w:r>
            <w:r w:rsidRPr="00321BBC">
              <w:rPr>
                <w:rFonts w:ascii="Times New Roman" w:hAnsi="Times New Roman" w:cs="Times New Roman"/>
              </w:rPr>
              <w:t>to</w:t>
            </w:r>
            <w:r w:rsidRPr="00321BBC">
              <w:rPr>
                <w:rFonts w:ascii="Times New Roman" w:hAnsi="Times New Roman" w:cs="Times New Roman"/>
                <w:spacing w:val="-3"/>
              </w:rPr>
              <w:t xml:space="preserve"> </w:t>
            </w:r>
            <w:r w:rsidRPr="00321BBC">
              <w:rPr>
                <w:rFonts w:ascii="Times New Roman" w:hAnsi="Times New Roman" w:cs="Times New Roman"/>
              </w:rPr>
              <w:t>identify</w:t>
            </w:r>
            <w:r w:rsidRPr="00321BBC">
              <w:rPr>
                <w:rFonts w:ascii="Times New Roman" w:hAnsi="Times New Roman" w:cs="Times New Roman"/>
                <w:spacing w:val="-4"/>
              </w:rPr>
              <w:t xml:space="preserve"> </w:t>
            </w:r>
            <w:r w:rsidRPr="00321BBC">
              <w:rPr>
                <w:rFonts w:ascii="Times New Roman" w:hAnsi="Times New Roman" w:cs="Times New Roman"/>
              </w:rPr>
              <w:t>changes over time (e.g. change in the depth of the structure or unravelling of bound netting, degradation of components that might modify drift</w:t>
            </w:r>
            <w:r w:rsidRPr="00321BBC">
              <w:rPr>
                <w:rFonts w:ascii="Times New Roman" w:hAnsi="Times New Roman" w:cs="Times New Roman"/>
                <w:spacing w:val="-17"/>
              </w:rPr>
              <w:t xml:space="preserve"> </w:t>
            </w:r>
            <w:r w:rsidRPr="00321BBC">
              <w:rPr>
                <w:rFonts w:ascii="Times New Roman" w:hAnsi="Times New Roman" w:cs="Times New Roman"/>
              </w:rPr>
              <w:t>speed).</w:t>
            </w:r>
          </w:p>
          <w:p w14:paraId="1AF2AAEB" w14:textId="77777777" w:rsidR="0021261B" w:rsidRPr="00321BBC" w:rsidRDefault="0021261B" w:rsidP="0074425A">
            <w:pPr>
              <w:pStyle w:val="TableParagraph"/>
              <w:numPr>
                <w:ilvl w:val="0"/>
                <w:numId w:val="112"/>
              </w:numPr>
              <w:tabs>
                <w:tab w:val="left" w:pos="420"/>
              </w:tabs>
              <w:adjustRightInd w:val="0"/>
              <w:snapToGrid w:val="0"/>
              <w:ind w:right="99"/>
              <w:rPr>
                <w:rFonts w:ascii="Times New Roman" w:hAnsi="Times New Roman" w:cs="Times New Roman"/>
              </w:rPr>
            </w:pPr>
            <w:r w:rsidRPr="00321BBC">
              <w:rPr>
                <w:rFonts w:ascii="Times New Roman" w:hAnsi="Times New Roman" w:cs="Times New Roman"/>
              </w:rPr>
              <w:t>Sufficient data are available across different designs and locations to allow a statistical analysis to be</w:t>
            </w:r>
            <w:r w:rsidRPr="00321BBC">
              <w:rPr>
                <w:rFonts w:ascii="Times New Roman" w:hAnsi="Times New Roman" w:cs="Times New Roman"/>
                <w:spacing w:val="-9"/>
              </w:rPr>
              <w:t xml:space="preserve"> </w:t>
            </w:r>
            <w:r w:rsidRPr="00321BBC">
              <w:rPr>
                <w:rFonts w:ascii="Times New Roman" w:hAnsi="Times New Roman" w:cs="Times New Roman"/>
              </w:rPr>
              <w:t>performed.</w:t>
            </w:r>
          </w:p>
          <w:p w14:paraId="6A93ABCC" w14:textId="77777777" w:rsidR="0021261B" w:rsidRPr="00321BBC" w:rsidRDefault="0021261B" w:rsidP="0074425A">
            <w:pPr>
              <w:pStyle w:val="TableParagraph"/>
              <w:numPr>
                <w:ilvl w:val="0"/>
                <w:numId w:val="112"/>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 xml:space="preserve">Where field trials are required, they could possibly be performed at the same time as trials required under FAD project #1 </w:t>
            </w:r>
            <w:proofErr w:type="gramStart"/>
            <w:r w:rsidRPr="00321BBC">
              <w:rPr>
                <w:rFonts w:ascii="Times New Roman" w:hAnsi="Times New Roman" w:cs="Times New Roman"/>
              </w:rPr>
              <w:t>to create</w:t>
            </w:r>
            <w:proofErr w:type="gramEnd"/>
            <w:r w:rsidRPr="00321BBC">
              <w:rPr>
                <w:rFonts w:ascii="Times New Roman" w:hAnsi="Times New Roman" w:cs="Times New Roman"/>
              </w:rPr>
              <w:t xml:space="preserve"> cost</w:t>
            </w:r>
            <w:r w:rsidRPr="00321BBC">
              <w:rPr>
                <w:rFonts w:ascii="Times New Roman" w:hAnsi="Times New Roman" w:cs="Times New Roman"/>
                <w:spacing w:val="-10"/>
              </w:rPr>
              <w:t xml:space="preserve"> </w:t>
            </w:r>
            <w:r w:rsidRPr="00321BBC">
              <w:rPr>
                <w:rFonts w:ascii="Times New Roman" w:hAnsi="Times New Roman" w:cs="Times New Roman"/>
              </w:rPr>
              <w:t>efficiencies.</w:t>
            </w:r>
          </w:p>
        </w:tc>
      </w:tr>
      <w:tr w:rsidR="0021261B" w:rsidRPr="00321BBC" w14:paraId="329D6746" w14:textId="77777777" w:rsidTr="00C416B4">
        <w:tc>
          <w:tcPr>
            <w:tcW w:w="846" w:type="pct"/>
          </w:tcPr>
          <w:p w14:paraId="3570ADC9"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Scope</w:t>
            </w:r>
          </w:p>
        </w:tc>
        <w:tc>
          <w:tcPr>
            <w:tcW w:w="4154" w:type="pct"/>
          </w:tcPr>
          <w:p w14:paraId="3EC7C100"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While Project #1 benefits from existing activities and research in other oceans, the</w:t>
            </w:r>
          </w:p>
          <w:p w14:paraId="1043F3B2" w14:textId="77777777" w:rsidR="0021261B" w:rsidRPr="00321BBC" w:rsidRDefault="0021261B" w:rsidP="0021261B">
            <w:pPr>
              <w:pStyle w:val="TableParagraph"/>
              <w:adjustRightInd w:val="0"/>
              <w:snapToGrid w:val="0"/>
              <w:ind w:right="102" w:hanging="40"/>
              <w:rPr>
                <w:rFonts w:ascii="Times New Roman" w:hAnsi="Times New Roman" w:cs="Times New Roman"/>
              </w:rPr>
            </w:pPr>
            <w:r w:rsidRPr="00321BBC">
              <w:rPr>
                <w:rFonts w:ascii="Times New Roman" w:hAnsi="Times New Roman" w:cs="Times New Roman"/>
              </w:rPr>
              <w:t xml:space="preserve"> </w:t>
            </w:r>
            <w:proofErr w:type="gramStart"/>
            <w:r w:rsidRPr="00321BBC">
              <w:rPr>
                <w:rFonts w:ascii="Times New Roman" w:hAnsi="Times New Roman" w:cs="Times New Roman"/>
              </w:rPr>
              <w:t>background</w:t>
            </w:r>
            <w:proofErr w:type="gramEnd"/>
            <w:r w:rsidRPr="00321BBC">
              <w:rPr>
                <w:rFonts w:ascii="Times New Roman" w:hAnsi="Times New Roman" w:cs="Times New Roman"/>
              </w:rPr>
              <w:t xml:space="preserve"> on FAD designs to reduce juvenile tuna catch is less mature. However, the proposed scope is comparable to that proposed for Project #1.</w:t>
            </w:r>
          </w:p>
          <w:p w14:paraId="19E8AD36"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E49B747" w14:textId="47C37212" w:rsidR="0021261B" w:rsidRPr="00321BBC" w:rsidRDefault="0021261B" w:rsidP="0021261B">
            <w:pPr>
              <w:pStyle w:val="TableParagraph"/>
              <w:adjustRightInd w:val="0"/>
              <w:snapToGrid w:val="0"/>
              <w:ind w:right="102"/>
              <w:rPr>
                <w:rFonts w:ascii="Times New Roman" w:hAnsi="Times New Roman" w:cs="Times New Roman"/>
              </w:rPr>
            </w:pPr>
            <w:r w:rsidRPr="00321BBC">
              <w:rPr>
                <w:rFonts w:ascii="Times New Roman" w:hAnsi="Times New Roman" w:cs="Times New Roman"/>
              </w:rPr>
              <w:t>Use</w:t>
            </w:r>
            <w:r w:rsidRPr="00321BBC">
              <w:rPr>
                <w:rFonts w:ascii="Times New Roman" w:hAnsi="Times New Roman" w:cs="Times New Roman"/>
                <w:spacing w:val="-11"/>
              </w:rPr>
              <w:t xml:space="preserve"> </w:t>
            </w:r>
            <w:r w:rsidRPr="00321BBC">
              <w:rPr>
                <w:rFonts w:ascii="Times New Roman" w:hAnsi="Times New Roman" w:cs="Times New Roman"/>
              </w:rPr>
              <w:t>relevant</w:t>
            </w:r>
            <w:r w:rsidRPr="00321BBC">
              <w:rPr>
                <w:rFonts w:ascii="Times New Roman" w:hAnsi="Times New Roman" w:cs="Times New Roman"/>
                <w:spacing w:val="-11"/>
              </w:rPr>
              <w:t xml:space="preserve"> </w:t>
            </w:r>
            <w:r w:rsidRPr="00321BBC">
              <w:rPr>
                <w:rFonts w:ascii="Times New Roman" w:hAnsi="Times New Roman" w:cs="Times New Roman"/>
              </w:rPr>
              <w:t>results</w:t>
            </w:r>
            <w:r w:rsidRPr="00321BBC">
              <w:rPr>
                <w:rFonts w:ascii="Times New Roman" w:hAnsi="Times New Roman" w:cs="Times New Roman"/>
                <w:spacing w:val="-12"/>
              </w:rPr>
              <w:t xml:space="preserve"> </w:t>
            </w:r>
            <w:r w:rsidRPr="00321BBC">
              <w:rPr>
                <w:rFonts w:ascii="Times New Roman" w:hAnsi="Times New Roman" w:cs="Times New Roman"/>
              </w:rPr>
              <w:t>from</w:t>
            </w:r>
            <w:r w:rsidRPr="00321BBC">
              <w:rPr>
                <w:rFonts w:ascii="Times New Roman" w:hAnsi="Times New Roman" w:cs="Times New Roman"/>
                <w:spacing w:val="-10"/>
              </w:rPr>
              <w:t xml:space="preserve"> </w:t>
            </w:r>
            <w:r w:rsidRPr="00321BBC">
              <w:rPr>
                <w:rFonts w:ascii="Times New Roman" w:hAnsi="Times New Roman" w:cs="Times New Roman"/>
              </w:rPr>
              <w:t>the</w:t>
            </w:r>
            <w:r w:rsidRPr="00321BBC">
              <w:rPr>
                <w:rFonts w:ascii="Times New Roman" w:hAnsi="Times New Roman" w:cs="Times New Roman"/>
                <w:spacing w:val="-11"/>
              </w:rPr>
              <w:t xml:space="preserve"> </w:t>
            </w:r>
            <w:r w:rsidR="00977B42">
              <w:rPr>
                <w:rFonts w:ascii="Times New Roman" w:hAnsi="Times New Roman" w:cs="Times New Roman"/>
              </w:rPr>
              <w:t>bigeye tuna</w:t>
            </w:r>
            <w:r w:rsidRPr="00321BBC">
              <w:rPr>
                <w:rFonts w:ascii="Times New Roman" w:hAnsi="Times New Roman" w:cs="Times New Roman"/>
                <w:spacing w:val="-11"/>
              </w:rPr>
              <w:t xml:space="preserve"> </w:t>
            </w:r>
            <w:r w:rsidRPr="00321BBC">
              <w:rPr>
                <w:rFonts w:ascii="Times New Roman" w:hAnsi="Times New Roman" w:cs="Times New Roman"/>
              </w:rPr>
              <w:t>hotspot</w:t>
            </w:r>
            <w:r w:rsidRPr="00321BBC">
              <w:rPr>
                <w:rFonts w:ascii="Times New Roman" w:hAnsi="Times New Roman" w:cs="Times New Roman"/>
                <w:spacing w:val="-11"/>
              </w:rPr>
              <w:t xml:space="preserve"> </w:t>
            </w:r>
            <w:r w:rsidRPr="00321BBC">
              <w:rPr>
                <w:rFonts w:ascii="Times New Roman" w:hAnsi="Times New Roman" w:cs="Times New Roman"/>
              </w:rPr>
              <w:t>analyses</w:t>
            </w:r>
            <w:r w:rsidRPr="00321BBC">
              <w:rPr>
                <w:rFonts w:ascii="Times New Roman" w:hAnsi="Times New Roman" w:cs="Times New Roman"/>
                <w:spacing w:val="-10"/>
              </w:rPr>
              <w:t xml:space="preserve"> </w:t>
            </w:r>
            <w:r w:rsidRPr="00321BBC">
              <w:rPr>
                <w:rFonts w:ascii="Times New Roman" w:hAnsi="Times New Roman" w:cs="Times New Roman"/>
              </w:rPr>
              <w:t>and</w:t>
            </w:r>
            <w:r w:rsidRPr="00321BBC">
              <w:rPr>
                <w:rFonts w:ascii="Times New Roman" w:hAnsi="Times New Roman" w:cs="Times New Roman"/>
                <w:spacing w:val="-12"/>
              </w:rPr>
              <w:t xml:space="preserve"> </w:t>
            </w:r>
            <w:r w:rsidRPr="00321BBC">
              <w:rPr>
                <w:rFonts w:ascii="Times New Roman" w:hAnsi="Times New Roman" w:cs="Times New Roman"/>
              </w:rPr>
              <w:t>from</w:t>
            </w:r>
            <w:r w:rsidRPr="00321BBC">
              <w:rPr>
                <w:rFonts w:ascii="Times New Roman" w:hAnsi="Times New Roman" w:cs="Times New Roman"/>
                <w:spacing w:val="-10"/>
              </w:rPr>
              <w:t xml:space="preserve"> </w:t>
            </w:r>
            <w:r w:rsidRPr="00321BBC">
              <w:rPr>
                <w:rFonts w:ascii="Times New Roman" w:hAnsi="Times New Roman" w:cs="Times New Roman"/>
              </w:rPr>
              <w:t>information</w:t>
            </w:r>
            <w:r w:rsidRPr="00321BBC">
              <w:rPr>
                <w:rFonts w:ascii="Times New Roman" w:hAnsi="Times New Roman" w:cs="Times New Roman"/>
                <w:spacing w:val="-12"/>
              </w:rPr>
              <w:t xml:space="preserve"> </w:t>
            </w:r>
            <w:r w:rsidRPr="00321BBC">
              <w:rPr>
                <w:rFonts w:ascii="Times New Roman" w:hAnsi="Times New Roman" w:cs="Times New Roman"/>
              </w:rPr>
              <w:t>available from ISSF studies in the IATTC area, and in collaboration with industry, identify plausible FAD designs to</w:t>
            </w:r>
            <w:r w:rsidRPr="00321BBC">
              <w:rPr>
                <w:rFonts w:ascii="Times New Roman" w:hAnsi="Times New Roman" w:cs="Times New Roman"/>
                <w:spacing w:val="-9"/>
              </w:rPr>
              <w:t xml:space="preserve"> </w:t>
            </w:r>
            <w:r w:rsidRPr="00321BBC">
              <w:rPr>
                <w:rFonts w:ascii="Times New Roman" w:hAnsi="Times New Roman" w:cs="Times New Roman"/>
              </w:rPr>
              <w:t>trial.</w:t>
            </w:r>
          </w:p>
          <w:p w14:paraId="3D08DD49"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181DFFBB" w14:textId="77777777" w:rsidR="0021261B" w:rsidRPr="00321BBC" w:rsidRDefault="0021261B" w:rsidP="0021261B">
            <w:pPr>
              <w:pStyle w:val="TableParagraph"/>
              <w:adjustRightInd w:val="0"/>
              <w:snapToGrid w:val="0"/>
              <w:ind w:right="101"/>
              <w:rPr>
                <w:rFonts w:ascii="Times New Roman" w:hAnsi="Times New Roman" w:cs="Times New Roman"/>
              </w:rPr>
            </w:pPr>
            <w:r w:rsidRPr="00321BBC">
              <w:rPr>
                <w:rFonts w:ascii="Times New Roman" w:hAnsi="Times New Roman" w:cs="Times New Roman"/>
              </w:rPr>
              <w:t>Implement</w:t>
            </w:r>
            <w:r w:rsidRPr="00321BBC">
              <w:rPr>
                <w:rFonts w:ascii="Times New Roman" w:hAnsi="Times New Roman" w:cs="Times New Roman"/>
                <w:spacing w:val="-4"/>
              </w:rPr>
              <w:t xml:space="preserve"> </w:t>
            </w:r>
            <w:r w:rsidRPr="00321BBC">
              <w:rPr>
                <w:rFonts w:ascii="Times New Roman" w:hAnsi="Times New Roman" w:cs="Times New Roman"/>
              </w:rPr>
              <w:t>at-sea</w:t>
            </w:r>
            <w:r w:rsidRPr="00321BBC">
              <w:rPr>
                <w:rFonts w:ascii="Times New Roman" w:hAnsi="Times New Roman" w:cs="Times New Roman"/>
                <w:spacing w:val="-4"/>
              </w:rPr>
              <w:t xml:space="preserve"> </w:t>
            </w:r>
            <w:r w:rsidRPr="00321BBC">
              <w:rPr>
                <w:rFonts w:ascii="Times New Roman" w:hAnsi="Times New Roman" w:cs="Times New Roman"/>
              </w:rPr>
              <w:t>FAD</w:t>
            </w:r>
            <w:r w:rsidRPr="00321BBC">
              <w:rPr>
                <w:rFonts w:ascii="Times New Roman" w:hAnsi="Times New Roman" w:cs="Times New Roman"/>
                <w:spacing w:val="-3"/>
              </w:rPr>
              <w:t xml:space="preserve"> </w:t>
            </w:r>
            <w:r w:rsidRPr="00321BBC">
              <w:rPr>
                <w:rFonts w:ascii="Times New Roman" w:hAnsi="Times New Roman" w:cs="Times New Roman"/>
              </w:rPr>
              <w:t>trials</w:t>
            </w:r>
            <w:r w:rsidRPr="00321BBC">
              <w:rPr>
                <w:rFonts w:ascii="Times New Roman" w:hAnsi="Times New Roman" w:cs="Times New Roman"/>
                <w:spacing w:val="-4"/>
              </w:rPr>
              <w:t xml:space="preserve"> </w:t>
            </w:r>
            <w:r w:rsidRPr="00321BBC">
              <w:rPr>
                <w:rFonts w:ascii="Times New Roman" w:hAnsi="Times New Roman" w:cs="Times New Roman"/>
              </w:rPr>
              <w:t>across</w:t>
            </w:r>
            <w:r w:rsidRPr="00321BBC">
              <w:rPr>
                <w:rFonts w:ascii="Times New Roman" w:hAnsi="Times New Roman" w:cs="Times New Roman"/>
                <w:spacing w:val="-4"/>
              </w:rPr>
              <w:t xml:space="preserve"> </w:t>
            </w:r>
            <w:r w:rsidRPr="00321BBC">
              <w:rPr>
                <w:rFonts w:ascii="Times New Roman" w:hAnsi="Times New Roman" w:cs="Times New Roman"/>
              </w:rPr>
              <w:t>the</w:t>
            </w:r>
            <w:r w:rsidRPr="00321BBC">
              <w:rPr>
                <w:rFonts w:ascii="Times New Roman" w:hAnsi="Times New Roman" w:cs="Times New Roman"/>
                <w:spacing w:val="-7"/>
              </w:rPr>
              <w:t xml:space="preserve"> </w:t>
            </w:r>
            <w:r w:rsidRPr="00321BBC">
              <w:rPr>
                <w:rFonts w:ascii="Times New Roman" w:hAnsi="Times New Roman" w:cs="Times New Roman"/>
              </w:rPr>
              <w:t>WCPO</w:t>
            </w:r>
            <w:r w:rsidRPr="00321BBC">
              <w:rPr>
                <w:rFonts w:ascii="Times New Roman" w:hAnsi="Times New Roman" w:cs="Times New Roman"/>
                <w:spacing w:val="-4"/>
              </w:rPr>
              <w:t xml:space="preserve"> </w:t>
            </w:r>
            <w:r w:rsidRPr="00321BBC">
              <w:rPr>
                <w:rFonts w:ascii="Times New Roman" w:hAnsi="Times New Roman" w:cs="Times New Roman"/>
              </w:rPr>
              <w:t>[deployment</w:t>
            </w:r>
            <w:r w:rsidRPr="00321BBC">
              <w:rPr>
                <w:rFonts w:ascii="Times New Roman" w:hAnsi="Times New Roman" w:cs="Times New Roman"/>
                <w:spacing w:val="-4"/>
              </w:rPr>
              <w:t xml:space="preserve"> </w:t>
            </w:r>
            <w:r w:rsidRPr="00321BBC">
              <w:rPr>
                <w:rFonts w:ascii="Times New Roman" w:hAnsi="Times New Roman" w:cs="Times New Roman"/>
              </w:rPr>
              <w:t>and</w:t>
            </w:r>
            <w:r w:rsidRPr="00321BBC">
              <w:rPr>
                <w:rFonts w:ascii="Times New Roman" w:hAnsi="Times New Roman" w:cs="Times New Roman"/>
                <w:spacing w:val="-5"/>
              </w:rPr>
              <w:t xml:space="preserve"> </w:t>
            </w:r>
            <w:r w:rsidRPr="00321BBC">
              <w:rPr>
                <w:rFonts w:ascii="Times New Roman" w:hAnsi="Times New Roman" w:cs="Times New Roman"/>
              </w:rPr>
              <w:t>fishing</w:t>
            </w:r>
            <w:r w:rsidRPr="00321BBC">
              <w:rPr>
                <w:rFonts w:ascii="Times New Roman" w:hAnsi="Times New Roman" w:cs="Times New Roman"/>
                <w:spacing w:val="-5"/>
              </w:rPr>
              <w:t xml:space="preserve"> </w:t>
            </w:r>
            <w:r w:rsidRPr="00321BBC">
              <w:rPr>
                <w:rFonts w:ascii="Times New Roman" w:hAnsi="Times New Roman" w:cs="Times New Roman"/>
              </w:rPr>
              <w:t>activity]</w:t>
            </w:r>
            <w:r w:rsidRPr="00321BBC">
              <w:rPr>
                <w:rFonts w:ascii="Times New Roman" w:hAnsi="Times New Roman" w:cs="Times New Roman"/>
                <w:spacing w:val="-5"/>
              </w:rPr>
              <w:t xml:space="preserve"> </w:t>
            </w:r>
            <w:r w:rsidRPr="00321BBC">
              <w:rPr>
                <w:rFonts w:ascii="Times New Roman" w:hAnsi="Times New Roman" w:cs="Times New Roman"/>
              </w:rPr>
              <w:t>to be completed within 18 months. This will most effectively be performed in partnership with industry and observers to ensure marking, deployment and monitoring of FADs in a coordinated way. Two levels of industry participation are anticipated: (1) the fleets that deploy the FADs and are actively engaged in the research. (2) All other fleets that find the FADs from (1) and set upon them. Information from (2) will be critical to the success of the</w:t>
            </w:r>
            <w:r w:rsidRPr="00321BBC">
              <w:rPr>
                <w:rFonts w:ascii="Times New Roman" w:hAnsi="Times New Roman" w:cs="Times New Roman"/>
                <w:spacing w:val="-20"/>
              </w:rPr>
              <w:t xml:space="preserve"> </w:t>
            </w:r>
            <w:r w:rsidRPr="00321BBC">
              <w:rPr>
                <w:rFonts w:ascii="Times New Roman" w:hAnsi="Times New Roman" w:cs="Times New Roman"/>
              </w:rPr>
              <w:t>research.</w:t>
            </w:r>
          </w:p>
          <w:p w14:paraId="51E863FA"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5B504CC1"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Understanding</w:t>
            </w:r>
            <w:r w:rsidRPr="00321BBC">
              <w:rPr>
                <w:rFonts w:ascii="Times New Roman" w:hAnsi="Times New Roman" w:cs="Times New Roman"/>
                <w:spacing w:val="-12"/>
              </w:rPr>
              <w:t xml:space="preserve"> </w:t>
            </w:r>
            <w:r w:rsidRPr="00321BBC">
              <w:rPr>
                <w:rFonts w:ascii="Times New Roman" w:hAnsi="Times New Roman" w:cs="Times New Roman"/>
              </w:rPr>
              <w:t>how</w:t>
            </w:r>
            <w:r w:rsidRPr="00321BBC">
              <w:rPr>
                <w:rFonts w:ascii="Times New Roman" w:hAnsi="Times New Roman" w:cs="Times New Roman"/>
                <w:spacing w:val="-14"/>
              </w:rPr>
              <w:t xml:space="preserve"> </w:t>
            </w:r>
            <w:r w:rsidRPr="00321BBC">
              <w:rPr>
                <w:rFonts w:ascii="Times New Roman" w:hAnsi="Times New Roman" w:cs="Times New Roman"/>
              </w:rPr>
              <w:t>the</w:t>
            </w:r>
            <w:r w:rsidRPr="00321BBC">
              <w:rPr>
                <w:rFonts w:ascii="Times New Roman" w:hAnsi="Times New Roman" w:cs="Times New Roman"/>
                <w:spacing w:val="-12"/>
              </w:rPr>
              <w:t xml:space="preserve"> </w:t>
            </w:r>
            <w:r w:rsidRPr="00321BBC">
              <w:rPr>
                <w:rFonts w:ascii="Times New Roman" w:hAnsi="Times New Roman" w:cs="Times New Roman"/>
              </w:rPr>
              <w:t>real</w:t>
            </w:r>
            <w:r w:rsidRPr="00321BBC">
              <w:rPr>
                <w:rFonts w:ascii="Times New Roman" w:hAnsi="Times New Roman" w:cs="Times New Roman"/>
                <w:spacing w:val="-13"/>
              </w:rPr>
              <w:t xml:space="preserve"> </w:t>
            </w:r>
            <w:r w:rsidRPr="00321BBC">
              <w:rPr>
                <w:rFonts w:ascii="Times New Roman" w:hAnsi="Times New Roman" w:cs="Times New Roman"/>
              </w:rPr>
              <w:t>working</w:t>
            </w:r>
            <w:r w:rsidRPr="00321BBC">
              <w:rPr>
                <w:rFonts w:ascii="Times New Roman" w:hAnsi="Times New Roman" w:cs="Times New Roman"/>
                <w:spacing w:val="-12"/>
              </w:rPr>
              <w:t xml:space="preserve"> </w:t>
            </w:r>
            <w:r w:rsidRPr="00321BBC">
              <w:rPr>
                <w:rFonts w:ascii="Times New Roman" w:hAnsi="Times New Roman" w:cs="Times New Roman"/>
              </w:rPr>
              <w:t>depth</w:t>
            </w:r>
            <w:r w:rsidRPr="00321BBC">
              <w:rPr>
                <w:rFonts w:ascii="Times New Roman" w:hAnsi="Times New Roman" w:cs="Times New Roman"/>
                <w:spacing w:val="-15"/>
              </w:rPr>
              <w:t xml:space="preserve"> </w:t>
            </w:r>
            <w:r w:rsidRPr="00321BBC">
              <w:rPr>
                <w:rFonts w:ascii="Times New Roman" w:hAnsi="Times New Roman" w:cs="Times New Roman"/>
              </w:rPr>
              <w:t>of</w:t>
            </w:r>
            <w:r w:rsidRPr="00321BBC">
              <w:rPr>
                <w:rFonts w:ascii="Times New Roman" w:hAnsi="Times New Roman" w:cs="Times New Roman"/>
                <w:spacing w:val="-13"/>
              </w:rPr>
              <w:t xml:space="preserve"> </w:t>
            </w:r>
            <w:r w:rsidRPr="00321BBC">
              <w:rPr>
                <w:rFonts w:ascii="Times New Roman" w:hAnsi="Times New Roman" w:cs="Times New Roman"/>
              </w:rPr>
              <w:t>sub-surface</w:t>
            </w:r>
            <w:r w:rsidRPr="00321BBC">
              <w:rPr>
                <w:rFonts w:ascii="Times New Roman" w:hAnsi="Times New Roman" w:cs="Times New Roman"/>
                <w:spacing w:val="-12"/>
              </w:rPr>
              <w:t xml:space="preserve"> </w:t>
            </w:r>
            <w:r w:rsidRPr="00321BBC">
              <w:rPr>
                <w:rFonts w:ascii="Times New Roman" w:hAnsi="Times New Roman" w:cs="Times New Roman"/>
              </w:rPr>
              <w:t>FAD</w:t>
            </w:r>
            <w:r w:rsidRPr="00321BBC">
              <w:rPr>
                <w:rFonts w:ascii="Times New Roman" w:hAnsi="Times New Roman" w:cs="Times New Roman"/>
                <w:spacing w:val="-12"/>
              </w:rPr>
              <w:t xml:space="preserve"> </w:t>
            </w:r>
            <w:r w:rsidRPr="00321BBC">
              <w:rPr>
                <w:rFonts w:ascii="Times New Roman" w:hAnsi="Times New Roman" w:cs="Times New Roman"/>
              </w:rPr>
              <w:t>structures</w:t>
            </w:r>
            <w:r w:rsidRPr="00321BBC">
              <w:rPr>
                <w:rFonts w:ascii="Times New Roman" w:hAnsi="Times New Roman" w:cs="Times New Roman"/>
                <w:spacing w:val="-12"/>
              </w:rPr>
              <w:t xml:space="preserve"> </w:t>
            </w:r>
            <w:r w:rsidRPr="00321BBC">
              <w:rPr>
                <w:rFonts w:ascii="Times New Roman" w:hAnsi="Times New Roman" w:cs="Times New Roman"/>
              </w:rPr>
              <w:t xml:space="preserve">interacts with oceanographic features during the period of the drift, and the resulting influence on species biomass and catch will be important. Equipping FAD sub- surface  structures with depth/temperature  sensors, which are tracked for    </w:t>
            </w:r>
            <w:r w:rsidRPr="00321BBC">
              <w:rPr>
                <w:rFonts w:ascii="Times New Roman" w:hAnsi="Times New Roman" w:cs="Times New Roman"/>
                <w:spacing w:val="6"/>
              </w:rPr>
              <w:t xml:space="preserve"> </w:t>
            </w:r>
            <w:r w:rsidRPr="00321BBC">
              <w:rPr>
                <w:rFonts w:ascii="Times New Roman" w:hAnsi="Times New Roman" w:cs="Times New Roman"/>
              </w:rPr>
              <w:t>the</w:t>
            </w:r>
          </w:p>
        </w:tc>
      </w:tr>
      <w:tr w:rsidR="0021261B" w:rsidRPr="00321BBC" w14:paraId="30A3060A" w14:textId="77777777" w:rsidTr="00C416B4">
        <w:tc>
          <w:tcPr>
            <w:tcW w:w="846" w:type="pct"/>
          </w:tcPr>
          <w:p w14:paraId="334AF7B1" w14:textId="77777777" w:rsidR="0021261B" w:rsidRPr="00321BBC" w:rsidRDefault="0021261B" w:rsidP="0021261B">
            <w:pPr>
              <w:adjustRightInd w:val="0"/>
              <w:snapToGrid w:val="0"/>
              <w:spacing w:after="0"/>
              <w:rPr>
                <w:rFonts w:ascii="Times New Roman" w:hAnsi="Times New Roman" w:cs="Times New Roman"/>
              </w:rPr>
            </w:pPr>
          </w:p>
        </w:tc>
        <w:tc>
          <w:tcPr>
            <w:tcW w:w="4154" w:type="pct"/>
          </w:tcPr>
          <w:p w14:paraId="5E0D03C3" w14:textId="77777777" w:rsidR="0021261B" w:rsidRPr="00321BBC" w:rsidRDefault="0021261B" w:rsidP="0021261B">
            <w:pPr>
              <w:pStyle w:val="TableParagraph"/>
              <w:adjustRightInd w:val="0"/>
              <w:snapToGrid w:val="0"/>
              <w:ind w:right="100"/>
              <w:rPr>
                <w:rFonts w:ascii="Times New Roman" w:hAnsi="Times New Roman" w:cs="Times New Roman"/>
              </w:rPr>
            </w:pPr>
            <w:proofErr w:type="gramStart"/>
            <w:r w:rsidRPr="00321BBC">
              <w:rPr>
                <w:rFonts w:ascii="Times New Roman" w:hAnsi="Times New Roman" w:cs="Times New Roman"/>
              </w:rPr>
              <w:t>duration</w:t>
            </w:r>
            <w:proofErr w:type="gramEnd"/>
            <w:r w:rsidRPr="00321BBC">
              <w:rPr>
                <w:rFonts w:ascii="Times New Roman" w:hAnsi="Times New Roman" w:cs="Times New Roman"/>
              </w:rPr>
              <w:t xml:space="preserve"> of a scientific trip and retrieved, regularly feed-back information, or pop off the FAD after a given period, should be used.</w:t>
            </w:r>
          </w:p>
          <w:p w14:paraId="34562E1A"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69336240"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Using ISSF Technical Report 2016-18A as a guide:</w:t>
            </w:r>
          </w:p>
          <w:p w14:paraId="734D240A" w14:textId="77777777" w:rsidR="0021261B" w:rsidRPr="00321BBC" w:rsidRDefault="0021261B" w:rsidP="0074425A">
            <w:pPr>
              <w:pStyle w:val="TableParagraph"/>
              <w:numPr>
                <w:ilvl w:val="0"/>
                <w:numId w:val="111"/>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Fleets</w:t>
            </w:r>
            <w:r w:rsidRPr="00321BBC">
              <w:rPr>
                <w:rFonts w:ascii="Times New Roman" w:hAnsi="Times New Roman" w:cs="Times New Roman"/>
                <w:spacing w:val="-3"/>
              </w:rPr>
              <w:t xml:space="preserve"> </w:t>
            </w:r>
            <w:r w:rsidRPr="00321BBC">
              <w:rPr>
                <w:rFonts w:ascii="Times New Roman" w:hAnsi="Times New Roman" w:cs="Times New Roman"/>
              </w:rPr>
              <w:t>deploy</w:t>
            </w:r>
            <w:r w:rsidRPr="00321BBC">
              <w:rPr>
                <w:rFonts w:ascii="Times New Roman" w:hAnsi="Times New Roman" w:cs="Times New Roman"/>
                <w:spacing w:val="-5"/>
              </w:rPr>
              <w:t xml:space="preserve"> </w:t>
            </w:r>
            <w:r w:rsidRPr="00321BBC">
              <w:rPr>
                <w:rFonts w:ascii="Times New Roman" w:hAnsi="Times New Roman" w:cs="Times New Roman"/>
              </w:rPr>
              <w:t>a</w:t>
            </w:r>
            <w:r w:rsidRPr="00321BBC">
              <w:rPr>
                <w:rFonts w:ascii="Times New Roman" w:hAnsi="Times New Roman" w:cs="Times New Roman"/>
                <w:spacing w:val="-3"/>
              </w:rPr>
              <w:t xml:space="preserve"> </w:t>
            </w:r>
            <w:r w:rsidRPr="00321BBC">
              <w:rPr>
                <w:rFonts w:ascii="Times New Roman" w:hAnsi="Times New Roman" w:cs="Times New Roman"/>
              </w:rPr>
              <w:t>given</w:t>
            </w:r>
            <w:r w:rsidRPr="00321BBC">
              <w:rPr>
                <w:rFonts w:ascii="Times New Roman" w:hAnsi="Times New Roman" w:cs="Times New Roman"/>
                <w:spacing w:val="-4"/>
              </w:rPr>
              <w:t xml:space="preserve"> </w:t>
            </w:r>
            <w:r w:rsidRPr="00321BBC">
              <w:rPr>
                <w:rFonts w:ascii="Times New Roman" w:hAnsi="Times New Roman" w:cs="Times New Roman"/>
              </w:rPr>
              <w:t>number</w:t>
            </w:r>
            <w:r w:rsidRPr="00321BBC">
              <w:rPr>
                <w:rFonts w:ascii="Times New Roman" w:hAnsi="Times New Roman" w:cs="Times New Roman"/>
                <w:spacing w:val="-3"/>
              </w:rPr>
              <w:t xml:space="preserve"> </w:t>
            </w:r>
            <w:r w:rsidRPr="00321BBC">
              <w:rPr>
                <w:rFonts w:ascii="Times New Roman" w:hAnsi="Times New Roman" w:cs="Times New Roman"/>
              </w:rPr>
              <w:t>of</w:t>
            </w:r>
            <w:r w:rsidRPr="00321BBC">
              <w:rPr>
                <w:rFonts w:ascii="Times New Roman" w:hAnsi="Times New Roman" w:cs="Times New Roman"/>
                <w:spacing w:val="-6"/>
              </w:rPr>
              <w:t xml:space="preserve"> </w:t>
            </w:r>
            <w:r w:rsidRPr="00321BBC">
              <w:rPr>
                <w:rFonts w:ascii="Times New Roman" w:hAnsi="Times New Roman" w:cs="Times New Roman"/>
              </w:rPr>
              <w:t>FADs</w:t>
            </w:r>
            <w:r w:rsidRPr="00321BBC">
              <w:rPr>
                <w:rFonts w:ascii="Times New Roman" w:hAnsi="Times New Roman" w:cs="Times New Roman"/>
                <w:spacing w:val="-3"/>
              </w:rPr>
              <w:t xml:space="preserve"> </w:t>
            </w:r>
            <w:r w:rsidRPr="00321BBC">
              <w:rPr>
                <w:rFonts w:ascii="Times New Roman" w:hAnsi="Times New Roman" w:cs="Times New Roman"/>
              </w:rPr>
              <w:t>per</w:t>
            </w:r>
            <w:r w:rsidRPr="00321BBC">
              <w:rPr>
                <w:rFonts w:ascii="Times New Roman" w:hAnsi="Times New Roman" w:cs="Times New Roman"/>
                <w:spacing w:val="-3"/>
              </w:rPr>
              <w:t xml:space="preserve"> </w:t>
            </w:r>
            <w:r w:rsidRPr="00321BBC">
              <w:rPr>
                <w:rFonts w:ascii="Times New Roman" w:hAnsi="Times New Roman" w:cs="Times New Roman"/>
              </w:rPr>
              <w:t>vessel</w:t>
            </w:r>
            <w:r w:rsidRPr="00321BBC">
              <w:rPr>
                <w:rFonts w:ascii="Times New Roman" w:hAnsi="Times New Roman" w:cs="Times New Roman"/>
                <w:spacing w:val="-6"/>
              </w:rPr>
              <w:t xml:space="preserve"> </w:t>
            </w:r>
            <w:r w:rsidRPr="00321BBC">
              <w:rPr>
                <w:rFonts w:ascii="Times New Roman" w:hAnsi="Times New Roman" w:cs="Times New Roman"/>
              </w:rPr>
              <w:t>(e.g.</w:t>
            </w:r>
            <w:r w:rsidRPr="00321BBC">
              <w:rPr>
                <w:rFonts w:ascii="Times New Roman" w:hAnsi="Times New Roman" w:cs="Times New Roman"/>
                <w:spacing w:val="-6"/>
              </w:rPr>
              <w:t xml:space="preserve"> </w:t>
            </w:r>
            <w:r w:rsidRPr="00321BBC">
              <w:rPr>
                <w:rFonts w:ascii="Times New Roman" w:hAnsi="Times New Roman" w:cs="Times New Roman"/>
              </w:rPr>
              <w:t>10-20</w:t>
            </w:r>
            <w:r w:rsidRPr="00321BBC">
              <w:rPr>
                <w:rFonts w:ascii="Times New Roman" w:hAnsi="Times New Roman" w:cs="Times New Roman"/>
                <w:spacing w:val="-3"/>
              </w:rPr>
              <w:t xml:space="preserve"> </w:t>
            </w:r>
            <w:r w:rsidRPr="00321BBC">
              <w:rPr>
                <w:rFonts w:ascii="Times New Roman" w:hAnsi="Times New Roman" w:cs="Times New Roman"/>
              </w:rPr>
              <w:t>FADs</w:t>
            </w:r>
            <w:r w:rsidRPr="00321BBC">
              <w:rPr>
                <w:rFonts w:ascii="Times New Roman" w:hAnsi="Times New Roman" w:cs="Times New Roman"/>
                <w:spacing w:val="-6"/>
              </w:rPr>
              <w:t xml:space="preserve"> </w:t>
            </w:r>
            <w:r w:rsidRPr="00321BBC">
              <w:rPr>
                <w:rFonts w:ascii="Times New Roman" w:hAnsi="Times New Roman" w:cs="Times New Roman"/>
              </w:rPr>
              <w:t>per</w:t>
            </w:r>
            <w:r w:rsidRPr="00321BBC">
              <w:rPr>
                <w:rFonts w:ascii="Times New Roman" w:hAnsi="Times New Roman" w:cs="Times New Roman"/>
                <w:spacing w:val="-6"/>
              </w:rPr>
              <w:t xml:space="preserve"> </w:t>
            </w:r>
            <w:r w:rsidRPr="00321BBC">
              <w:rPr>
                <w:rFonts w:ascii="Times New Roman" w:hAnsi="Times New Roman" w:cs="Times New Roman"/>
              </w:rPr>
              <w:t>vessel</w:t>
            </w:r>
            <w:r w:rsidRPr="00321BBC">
              <w:rPr>
                <w:rFonts w:ascii="Times New Roman" w:hAnsi="Times New Roman" w:cs="Times New Roman"/>
                <w:spacing w:val="-3"/>
              </w:rPr>
              <w:t xml:space="preserve"> </w:t>
            </w:r>
            <w:r w:rsidRPr="00321BBC">
              <w:rPr>
                <w:rFonts w:ascii="Times New Roman" w:hAnsi="Times New Roman" w:cs="Times New Roman"/>
              </w:rPr>
              <w:t>to reach a significant large number of</w:t>
            </w:r>
            <w:r w:rsidRPr="00321BBC">
              <w:rPr>
                <w:rFonts w:ascii="Times New Roman" w:hAnsi="Times New Roman" w:cs="Times New Roman"/>
                <w:spacing w:val="-14"/>
              </w:rPr>
              <w:t xml:space="preserve"> </w:t>
            </w:r>
            <w:r w:rsidRPr="00321BBC">
              <w:rPr>
                <w:rFonts w:ascii="Times New Roman" w:hAnsi="Times New Roman" w:cs="Times New Roman"/>
              </w:rPr>
              <w:t>FADs).</w:t>
            </w:r>
          </w:p>
          <w:p w14:paraId="716C77F6" w14:textId="77777777" w:rsidR="0021261B" w:rsidRPr="00321BBC" w:rsidRDefault="0021261B" w:rsidP="0074425A">
            <w:pPr>
              <w:pStyle w:val="TableParagraph"/>
              <w:numPr>
                <w:ilvl w:val="0"/>
                <w:numId w:val="111"/>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Maximum 4 standardized designs tested, constructed in port and deployed in the same area as traditional FADs, so their effectiveness could be compared with that of traditional FADs for the same spatial and temporal</w:t>
            </w:r>
            <w:r w:rsidRPr="00321BBC">
              <w:rPr>
                <w:rFonts w:ascii="Times New Roman" w:hAnsi="Times New Roman" w:cs="Times New Roman"/>
                <w:spacing w:val="-20"/>
              </w:rPr>
              <w:t xml:space="preserve"> </w:t>
            </w:r>
            <w:r w:rsidRPr="00321BBC">
              <w:rPr>
                <w:rFonts w:ascii="Times New Roman" w:hAnsi="Times New Roman" w:cs="Times New Roman"/>
              </w:rPr>
              <w:t>strata.</w:t>
            </w:r>
          </w:p>
          <w:p w14:paraId="6942FA99" w14:textId="77777777" w:rsidR="0021261B" w:rsidRPr="00321BBC" w:rsidRDefault="0021261B" w:rsidP="0074425A">
            <w:pPr>
              <w:pStyle w:val="TableParagraph"/>
              <w:numPr>
                <w:ilvl w:val="0"/>
                <w:numId w:val="111"/>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Deployment site, design and code of the geo-locating buoy should be registered. Every FAD should be well identified so that data can be retrieved and followed id ownership</w:t>
            </w:r>
            <w:r w:rsidRPr="00321BBC">
              <w:rPr>
                <w:rFonts w:ascii="Times New Roman" w:hAnsi="Times New Roman" w:cs="Times New Roman"/>
                <w:spacing w:val="-8"/>
              </w:rPr>
              <w:t xml:space="preserve"> </w:t>
            </w:r>
            <w:r w:rsidRPr="00321BBC">
              <w:rPr>
                <w:rFonts w:ascii="Times New Roman" w:hAnsi="Times New Roman" w:cs="Times New Roman"/>
              </w:rPr>
              <w:t>changes.</w:t>
            </w:r>
          </w:p>
          <w:p w14:paraId="49949E84" w14:textId="77777777" w:rsidR="0021261B" w:rsidRPr="00321BBC" w:rsidRDefault="0021261B" w:rsidP="0074425A">
            <w:pPr>
              <w:pStyle w:val="TableParagraph"/>
              <w:numPr>
                <w:ilvl w:val="0"/>
                <w:numId w:val="111"/>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If</w:t>
            </w:r>
            <w:r w:rsidRPr="00321BBC">
              <w:rPr>
                <w:rFonts w:ascii="Times New Roman" w:hAnsi="Times New Roman" w:cs="Times New Roman"/>
                <w:spacing w:val="-5"/>
              </w:rPr>
              <w:t xml:space="preserve"> </w:t>
            </w:r>
            <w:r w:rsidRPr="00321BBC">
              <w:rPr>
                <w:rFonts w:ascii="Times New Roman" w:hAnsi="Times New Roman" w:cs="Times New Roman"/>
              </w:rPr>
              <w:t>a</w:t>
            </w:r>
            <w:r w:rsidRPr="00321BBC">
              <w:rPr>
                <w:rFonts w:ascii="Times New Roman" w:hAnsi="Times New Roman" w:cs="Times New Roman"/>
                <w:spacing w:val="-4"/>
              </w:rPr>
              <w:t xml:space="preserve"> </w:t>
            </w:r>
            <w:r w:rsidRPr="00321BBC">
              <w:rPr>
                <w:rFonts w:ascii="Times New Roman" w:hAnsi="Times New Roman" w:cs="Times New Roman"/>
              </w:rPr>
              <w:t>trial</w:t>
            </w:r>
            <w:r w:rsidRPr="00321BBC">
              <w:rPr>
                <w:rFonts w:ascii="Times New Roman" w:hAnsi="Times New Roman" w:cs="Times New Roman"/>
                <w:spacing w:val="-5"/>
              </w:rPr>
              <w:t xml:space="preserve"> </w:t>
            </w:r>
            <w:r w:rsidRPr="00321BBC">
              <w:rPr>
                <w:rFonts w:ascii="Times New Roman" w:hAnsi="Times New Roman" w:cs="Times New Roman"/>
              </w:rPr>
              <w:t>FAD</w:t>
            </w:r>
            <w:r w:rsidRPr="00321BBC">
              <w:rPr>
                <w:rFonts w:ascii="Times New Roman" w:hAnsi="Times New Roman" w:cs="Times New Roman"/>
                <w:spacing w:val="-3"/>
              </w:rPr>
              <w:t xml:space="preserve"> </w:t>
            </w:r>
            <w:r w:rsidRPr="00321BBC">
              <w:rPr>
                <w:rFonts w:ascii="Times New Roman" w:hAnsi="Times New Roman" w:cs="Times New Roman"/>
              </w:rPr>
              <w:t>is</w:t>
            </w:r>
            <w:r w:rsidRPr="00321BBC">
              <w:rPr>
                <w:rFonts w:ascii="Times New Roman" w:hAnsi="Times New Roman" w:cs="Times New Roman"/>
                <w:spacing w:val="-7"/>
              </w:rPr>
              <w:t xml:space="preserve"> </w:t>
            </w:r>
            <w:r w:rsidRPr="00321BBC">
              <w:rPr>
                <w:rFonts w:ascii="Times New Roman" w:hAnsi="Times New Roman" w:cs="Times New Roman"/>
              </w:rPr>
              <w:t>encountered</w:t>
            </w:r>
            <w:r w:rsidRPr="00321BBC">
              <w:rPr>
                <w:rFonts w:ascii="Times New Roman" w:hAnsi="Times New Roman" w:cs="Times New Roman"/>
                <w:spacing w:val="-5"/>
              </w:rPr>
              <w:t xml:space="preserve"> </w:t>
            </w:r>
            <w:r w:rsidRPr="00321BBC">
              <w:rPr>
                <w:rFonts w:ascii="Times New Roman" w:hAnsi="Times New Roman" w:cs="Times New Roman"/>
              </w:rPr>
              <w:t>at</w:t>
            </w:r>
            <w:r w:rsidRPr="00321BBC">
              <w:rPr>
                <w:rFonts w:ascii="Times New Roman" w:hAnsi="Times New Roman" w:cs="Times New Roman"/>
                <w:spacing w:val="-4"/>
              </w:rPr>
              <w:t xml:space="preserve"> </w:t>
            </w:r>
            <w:r w:rsidRPr="00321BBC">
              <w:rPr>
                <w:rFonts w:ascii="Times New Roman" w:hAnsi="Times New Roman" w:cs="Times New Roman"/>
              </w:rPr>
              <w:t>sea,</w:t>
            </w:r>
            <w:r w:rsidRPr="00321BBC">
              <w:rPr>
                <w:rFonts w:ascii="Times New Roman" w:hAnsi="Times New Roman" w:cs="Times New Roman"/>
                <w:spacing w:val="-4"/>
              </w:rPr>
              <w:t xml:space="preserve"> </w:t>
            </w:r>
            <w:r w:rsidRPr="00321BBC">
              <w:rPr>
                <w:rFonts w:ascii="Times New Roman" w:hAnsi="Times New Roman" w:cs="Times New Roman"/>
              </w:rPr>
              <w:t>register:</w:t>
            </w:r>
            <w:r w:rsidRPr="00321BBC">
              <w:rPr>
                <w:rFonts w:ascii="Times New Roman" w:hAnsi="Times New Roman" w:cs="Times New Roman"/>
                <w:spacing w:val="-4"/>
              </w:rPr>
              <w:t xml:space="preserve"> </w:t>
            </w:r>
            <w:r w:rsidRPr="00321BBC">
              <w:rPr>
                <w:rFonts w:ascii="Times New Roman" w:hAnsi="Times New Roman" w:cs="Times New Roman"/>
              </w:rPr>
              <w:t>the</w:t>
            </w:r>
            <w:r w:rsidRPr="00321BBC">
              <w:rPr>
                <w:rFonts w:ascii="Times New Roman" w:hAnsi="Times New Roman" w:cs="Times New Roman"/>
                <w:spacing w:val="-4"/>
              </w:rPr>
              <w:t xml:space="preserve"> </w:t>
            </w:r>
            <w:r w:rsidRPr="00321BBC">
              <w:rPr>
                <w:rFonts w:ascii="Times New Roman" w:hAnsi="Times New Roman" w:cs="Times New Roman"/>
              </w:rPr>
              <w:t>catch</w:t>
            </w:r>
            <w:r w:rsidRPr="00321BBC">
              <w:rPr>
                <w:rFonts w:ascii="Times New Roman" w:hAnsi="Times New Roman" w:cs="Times New Roman"/>
                <w:spacing w:val="-7"/>
              </w:rPr>
              <w:t xml:space="preserve"> </w:t>
            </w:r>
            <w:r w:rsidRPr="00321BBC">
              <w:rPr>
                <w:rFonts w:ascii="Times New Roman" w:hAnsi="Times New Roman" w:cs="Times New Roman"/>
              </w:rPr>
              <w:t>(if</w:t>
            </w:r>
            <w:r w:rsidRPr="00321BBC">
              <w:rPr>
                <w:rFonts w:ascii="Times New Roman" w:hAnsi="Times New Roman" w:cs="Times New Roman"/>
                <w:spacing w:val="-4"/>
              </w:rPr>
              <w:t xml:space="preserve"> </w:t>
            </w:r>
            <w:r w:rsidRPr="00321BBC">
              <w:rPr>
                <w:rFonts w:ascii="Times New Roman" w:hAnsi="Times New Roman" w:cs="Times New Roman"/>
              </w:rPr>
              <w:t>any),</w:t>
            </w:r>
            <w:r w:rsidRPr="00321BBC">
              <w:rPr>
                <w:rFonts w:ascii="Times New Roman" w:hAnsi="Times New Roman" w:cs="Times New Roman"/>
                <w:spacing w:val="-4"/>
              </w:rPr>
              <w:t xml:space="preserve"> </w:t>
            </w:r>
            <w:r w:rsidRPr="00321BBC">
              <w:rPr>
                <w:rFonts w:ascii="Times New Roman" w:hAnsi="Times New Roman" w:cs="Times New Roman"/>
              </w:rPr>
              <w:t>the</w:t>
            </w:r>
            <w:r w:rsidRPr="00321BBC">
              <w:rPr>
                <w:rFonts w:ascii="Times New Roman" w:hAnsi="Times New Roman" w:cs="Times New Roman"/>
                <w:spacing w:val="-4"/>
              </w:rPr>
              <w:t xml:space="preserve"> </w:t>
            </w:r>
            <w:r w:rsidRPr="00321BBC">
              <w:rPr>
                <w:rFonts w:ascii="Times New Roman" w:hAnsi="Times New Roman" w:cs="Times New Roman"/>
              </w:rPr>
              <w:t>condition</w:t>
            </w:r>
            <w:r w:rsidRPr="00321BBC">
              <w:rPr>
                <w:rFonts w:ascii="Times New Roman" w:hAnsi="Times New Roman" w:cs="Times New Roman"/>
                <w:spacing w:val="-7"/>
              </w:rPr>
              <w:t xml:space="preserve"> </w:t>
            </w:r>
            <w:r w:rsidRPr="00321BBC">
              <w:rPr>
                <w:rFonts w:ascii="Times New Roman" w:hAnsi="Times New Roman" w:cs="Times New Roman"/>
              </w:rPr>
              <w:t>of the FAD and the new code for the buoy if the original has been</w:t>
            </w:r>
            <w:r w:rsidRPr="00321BBC">
              <w:rPr>
                <w:rFonts w:ascii="Times New Roman" w:hAnsi="Times New Roman" w:cs="Times New Roman"/>
                <w:spacing w:val="-20"/>
              </w:rPr>
              <w:t xml:space="preserve"> </w:t>
            </w:r>
            <w:r w:rsidRPr="00321BBC">
              <w:rPr>
                <w:rFonts w:ascii="Times New Roman" w:hAnsi="Times New Roman" w:cs="Times New Roman"/>
              </w:rPr>
              <w:t>replaced.</w:t>
            </w:r>
          </w:p>
          <w:p w14:paraId="65920D1C" w14:textId="77777777" w:rsidR="0021261B" w:rsidRPr="00321BBC" w:rsidRDefault="0021261B" w:rsidP="0074425A">
            <w:pPr>
              <w:pStyle w:val="TableParagraph"/>
              <w:numPr>
                <w:ilvl w:val="0"/>
                <w:numId w:val="111"/>
              </w:numPr>
              <w:tabs>
                <w:tab w:val="left" w:pos="420"/>
              </w:tabs>
              <w:adjustRightInd w:val="0"/>
              <w:snapToGrid w:val="0"/>
              <w:ind w:right="106"/>
              <w:rPr>
                <w:rFonts w:ascii="Times New Roman" w:hAnsi="Times New Roman" w:cs="Times New Roman"/>
              </w:rPr>
            </w:pPr>
            <w:r w:rsidRPr="00321BBC">
              <w:rPr>
                <w:rFonts w:ascii="Times New Roman" w:hAnsi="Times New Roman" w:cs="Times New Roman"/>
              </w:rPr>
              <w:t xml:space="preserve">Where possible, use trajectories and sounder of attached buoys to assess ability of alternative designs to aggregate tuna even if they are not visited or fished by purse seiners, as well as following their lifetime if they are </w:t>
            </w:r>
            <w:r w:rsidRPr="00321BBC">
              <w:rPr>
                <w:rFonts w:ascii="Times New Roman" w:hAnsi="Times New Roman" w:cs="Times New Roman"/>
                <w:spacing w:val="-2"/>
              </w:rPr>
              <w:t xml:space="preserve">not </w:t>
            </w:r>
            <w:r w:rsidRPr="00321BBC">
              <w:rPr>
                <w:rFonts w:ascii="Times New Roman" w:hAnsi="Times New Roman" w:cs="Times New Roman"/>
              </w:rPr>
              <w:t>retrieved.</w:t>
            </w:r>
          </w:p>
          <w:p w14:paraId="2F0DDF3D" w14:textId="77777777" w:rsidR="0021261B" w:rsidRPr="00321BBC" w:rsidRDefault="0021261B" w:rsidP="0074425A">
            <w:pPr>
              <w:pStyle w:val="TableParagraph"/>
              <w:numPr>
                <w:ilvl w:val="0"/>
                <w:numId w:val="111"/>
              </w:numPr>
              <w:tabs>
                <w:tab w:val="left" w:pos="420"/>
              </w:tabs>
              <w:adjustRightInd w:val="0"/>
              <w:snapToGrid w:val="0"/>
              <w:ind w:right="106"/>
              <w:rPr>
                <w:rFonts w:ascii="Times New Roman" w:hAnsi="Times New Roman" w:cs="Times New Roman"/>
              </w:rPr>
            </w:pPr>
            <w:r w:rsidRPr="00321BBC">
              <w:rPr>
                <w:rFonts w:ascii="Times New Roman" w:hAnsi="Times New Roman" w:cs="Times New Roman"/>
              </w:rPr>
              <w:t xml:space="preserve">Collaboration between industry, e.g. ISSF and the science services provider </w:t>
            </w:r>
            <w:r w:rsidRPr="00321BBC">
              <w:rPr>
                <w:rFonts w:ascii="Times New Roman" w:hAnsi="Times New Roman" w:cs="Times New Roman"/>
                <w:spacing w:val="-3"/>
              </w:rPr>
              <w:t xml:space="preserve">to </w:t>
            </w:r>
            <w:r w:rsidRPr="00321BBC">
              <w:rPr>
                <w:rFonts w:ascii="Times New Roman" w:hAnsi="Times New Roman" w:cs="Times New Roman"/>
              </w:rPr>
              <w:t>collect and analyse</w:t>
            </w:r>
            <w:r w:rsidRPr="00321BBC">
              <w:rPr>
                <w:rFonts w:ascii="Times New Roman" w:hAnsi="Times New Roman" w:cs="Times New Roman"/>
                <w:spacing w:val="-5"/>
              </w:rPr>
              <w:t xml:space="preserve"> </w:t>
            </w:r>
            <w:r w:rsidRPr="00321BBC">
              <w:rPr>
                <w:rFonts w:ascii="Times New Roman" w:hAnsi="Times New Roman" w:cs="Times New Roman"/>
              </w:rPr>
              <w:t>data.</w:t>
            </w:r>
          </w:p>
          <w:p w14:paraId="4239E87F" w14:textId="77777777" w:rsidR="0021261B" w:rsidRPr="00321BBC" w:rsidRDefault="0021261B" w:rsidP="0074425A">
            <w:pPr>
              <w:pStyle w:val="TableParagraph"/>
              <w:numPr>
                <w:ilvl w:val="0"/>
                <w:numId w:val="111"/>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Collaborate  with  industry  to  identify  the  cost  of  alternative  FAD   designs</w:t>
            </w:r>
          </w:p>
          <w:p w14:paraId="429938F6" w14:textId="77777777" w:rsidR="0021261B" w:rsidRPr="00321BBC" w:rsidRDefault="0021261B" w:rsidP="0021261B">
            <w:pPr>
              <w:pStyle w:val="TableParagraph"/>
              <w:adjustRightInd w:val="0"/>
              <w:snapToGrid w:val="0"/>
              <w:ind w:left="419"/>
              <w:jc w:val="left"/>
              <w:rPr>
                <w:rFonts w:ascii="Times New Roman" w:hAnsi="Times New Roman" w:cs="Times New Roman"/>
              </w:rPr>
            </w:pPr>
            <w:proofErr w:type="gramStart"/>
            <w:r w:rsidRPr="00321BBC">
              <w:rPr>
                <w:rFonts w:ascii="Times New Roman" w:hAnsi="Times New Roman" w:cs="Times New Roman"/>
              </w:rPr>
              <w:t>relative</w:t>
            </w:r>
            <w:proofErr w:type="gramEnd"/>
            <w:r w:rsidRPr="00321BBC">
              <w:rPr>
                <w:rFonts w:ascii="Times New Roman" w:hAnsi="Times New Roman" w:cs="Times New Roman"/>
              </w:rPr>
              <w:t xml:space="preserve"> to ‘standard’ designs.</w:t>
            </w:r>
          </w:p>
          <w:p w14:paraId="0B2B13A1"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E9CCE4D"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Analysis of results should be presented to WCPFC SC (approximately 2 years after the trial begins). SC and TCC of that year to provide recommendations for a draft CMM on appropriate FAD designs.</w:t>
            </w:r>
          </w:p>
        </w:tc>
      </w:tr>
      <w:tr w:rsidR="0021261B" w:rsidRPr="00321BBC" w14:paraId="4DFB608D" w14:textId="77777777" w:rsidTr="0021261B">
        <w:trPr>
          <w:trHeight w:hRule="exact" w:val="816"/>
        </w:trPr>
        <w:tc>
          <w:tcPr>
            <w:tcW w:w="846" w:type="pct"/>
          </w:tcPr>
          <w:p w14:paraId="792B6B98"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Links to other work</w:t>
            </w:r>
          </w:p>
        </w:tc>
        <w:tc>
          <w:tcPr>
            <w:tcW w:w="4154" w:type="pct"/>
          </w:tcPr>
          <w:p w14:paraId="11CBAEBE" w14:textId="77777777" w:rsidR="0021261B" w:rsidRPr="00321BBC" w:rsidRDefault="0021261B" w:rsidP="0021261B">
            <w:pPr>
              <w:pStyle w:val="TableParagraph"/>
              <w:adjustRightInd w:val="0"/>
              <w:snapToGrid w:val="0"/>
              <w:ind w:right="102"/>
              <w:rPr>
                <w:rFonts w:ascii="Times New Roman" w:hAnsi="Times New Roman" w:cs="Times New Roman"/>
              </w:rPr>
            </w:pPr>
            <w:r w:rsidRPr="00321BBC">
              <w:rPr>
                <w:rFonts w:ascii="Times New Roman" w:hAnsi="Times New Roman" w:cs="Times New Roman"/>
              </w:rPr>
              <w:t>Note</w:t>
            </w:r>
            <w:r w:rsidRPr="00321BBC">
              <w:rPr>
                <w:rFonts w:ascii="Times New Roman" w:hAnsi="Times New Roman" w:cs="Times New Roman"/>
                <w:spacing w:val="-7"/>
              </w:rPr>
              <w:t xml:space="preserve"> </w:t>
            </w:r>
            <w:r w:rsidRPr="00321BBC">
              <w:rPr>
                <w:rFonts w:ascii="Times New Roman" w:hAnsi="Times New Roman" w:cs="Times New Roman"/>
              </w:rPr>
              <w:t>that</w:t>
            </w:r>
            <w:r w:rsidRPr="00321BBC">
              <w:rPr>
                <w:rFonts w:ascii="Times New Roman" w:hAnsi="Times New Roman" w:cs="Times New Roman"/>
                <w:spacing w:val="-8"/>
              </w:rPr>
              <w:t xml:space="preserve"> </w:t>
            </w:r>
            <w:r w:rsidRPr="00321BBC">
              <w:rPr>
                <w:rFonts w:ascii="Times New Roman" w:hAnsi="Times New Roman" w:cs="Times New Roman"/>
              </w:rPr>
              <w:t>due</w:t>
            </w:r>
            <w:r w:rsidRPr="00321BBC">
              <w:rPr>
                <w:rFonts w:ascii="Times New Roman" w:hAnsi="Times New Roman" w:cs="Times New Roman"/>
                <w:spacing w:val="-7"/>
              </w:rPr>
              <w:t xml:space="preserve"> </w:t>
            </w:r>
            <w:r w:rsidRPr="00321BBC">
              <w:rPr>
                <w:rFonts w:ascii="Times New Roman" w:hAnsi="Times New Roman" w:cs="Times New Roman"/>
              </w:rPr>
              <w:t>to</w:t>
            </w:r>
            <w:r w:rsidRPr="00321BBC">
              <w:rPr>
                <w:rFonts w:ascii="Times New Roman" w:hAnsi="Times New Roman" w:cs="Times New Roman"/>
                <w:spacing w:val="-7"/>
              </w:rPr>
              <w:t xml:space="preserve"> </w:t>
            </w:r>
            <w:r w:rsidRPr="00321BBC">
              <w:rPr>
                <w:rFonts w:ascii="Times New Roman" w:hAnsi="Times New Roman" w:cs="Times New Roman"/>
              </w:rPr>
              <w:t>the</w:t>
            </w:r>
            <w:r w:rsidRPr="00321BBC">
              <w:rPr>
                <w:rFonts w:ascii="Times New Roman" w:hAnsi="Times New Roman" w:cs="Times New Roman"/>
                <w:spacing w:val="-8"/>
              </w:rPr>
              <w:t xml:space="preserve"> </w:t>
            </w:r>
            <w:r w:rsidRPr="00321BBC">
              <w:rPr>
                <w:rFonts w:ascii="Times New Roman" w:hAnsi="Times New Roman" w:cs="Times New Roman"/>
              </w:rPr>
              <w:t>nature</w:t>
            </w:r>
            <w:r w:rsidRPr="00321BBC">
              <w:rPr>
                <w:rFonts w:ascii="Times New Roman" w:hAnsi="Times New Roman" w:cs="Times New Roman"/>
                <w:spacing w:val="-7"/>
              </w:rPr>
              <w:t xml:space="preserve"> </w:t>
            </w:r>
            <w:r w:rsidRPr="00321BBC">
              <w:rPr>
                <w:rFonts w:ascii="Times New Roman" w:hAnsi="Times New Roman" w:cs="Times New Roman"/>
              </w:rPr>
              <w:t>of</w:t>
            </w:r>
            <w:r w:rsidRPr="00321BBC">
              <w:rPr>
                <w:rFonts w:ascii="Times New Roman" w:hAnsi="Times New Roman" w:cs="Times New Roman"/>
                <w:spacing w:val="-8"/>
              </w:rPr>
              <w:t xml:space="preserve"> </w:t>
            </w:r>
            <w:r w:rsidRPr="00321BBC">
              <w:rPr>
                <w:rFonts w:ascii="Times New Roman" w:hAnsi="Times New Roman" w:cs="Times New Roman"/>
              </w:rPr>
              <w:t>the</w:t>
            </w:r>
            <w:r w:rsidRPr="00321BBC">
              <w:rPr>
                <w:rFonts w:ascii="Times New Roman" w:hAnsi="Times New Roman" w:cs="Times New Roman"/>
                <w:spacing w:val="-7"/>
              </w:rPr>
              <w:t xml:space="preserve"> </w:t>
            </w:r>
            <w:r w:rsidRPr="00321BBC">
              <w:rPr>
                <w:rFonts w:ascii="Times New Roman" w:hAnsi="Times New Roman" w:cs="Times New Roman"/>
              </w:rPr>
              <w:t>thermocline</w:t>
            </w:r>
            <w:r w:rsidRPr="00321BBC">
              <w:rPr>
                <w:rFonts w:ascii="Times New Roman" w:hAnsi="Times New Roman" w:cs="Times New Roman"/>
                <w:spacing w:val="-5"/>
              </w:rPr>
              <w:t xml:space="preserve"> </w:t>
            </w:r>
            <w:r w:rsidRPr="00321BBC">
              <w:rPr>
                <w:rFonts w:ascii="Times New Roman" w:hAnsi="Times New Roman" w:cs="Times New Roman"/>
              </w:rPr>
              <w:t>in</w:t>
            </w:r>
            <w:r w:rsidRPr="00321BBC">
              <w:rPr>
                <w:rFonts w:ascii="Times New Roman" w:hAnsi="Times New Roman" w:cs="Times New Roman"/>
                <w:spacing w:val="-9"/>
              </w:rPr>
              <w:t xml:space="preserve"> </w:t>
            </w:r>
            <w:r w:rsidRPr="00321BBC">
              <w:rPr>
                <w:rFonts w:ascii="Times New Roman" w:hAnsi="Times New Roman" w:cs="Times New Roman"/>
              </w:rPr>
              <w:t>the</w:t>
            </w:r>
            <w:r w:rsidRPr="00321BBC">
              <w:rPr>
                <w:rFonts w:ascii="Times New Roman" w:hAnsi="Times New Roman" w:cs="Times New Roman"/>
                <w:spacing w:val="-7"/>
              </w:rPr>
              <w:t xml:space="preserve"> </w:t>
            </w:r>
            <w:r w:rsidRPr="00321BBC">
              <w:rPr>
                <w:rFonts w:ascii="Times New Roman" w:hAnsi="Times New Roman" w:cs="Times New Roman"/>
              </w:rPr>
              <w:t>WCPO</w:t>
            </w:r>
            <w:r w:rsidRPr="00321BBC">
              <w:rPr>
                <w:rFonts w:ascii="Times New Roman" w:hAnsi="Times New Roman" w:cs="Times New Roman"/>
                <w:spacing w:val="-5"/>
              </w:rPr>
              <w:t xml:space="preserve"> </w:t>
            </w:r>
            <w:r w:rsidRPr="00321BBC">
              <w:rPr>
                <w:rFonts w:ascii="Times New Roman" w:hAnsi="Times New Roman" w:cs="Times New Roman"/>
              </w:rPr>
              <w:t>and</w:t>
            </w:r>
            <w:r w:rsidRPr="00321BBC">
              <w:rPr>
                <w:rFonts w:ascii="Times New Roman" w:hAnsi="Times New Roman" w:cs="Times New Roman"/>
                <w:spacing w:val="-9"/>
              </w:rPr>
              <w:t xml:space="preserve"> </w:t>
            </w:r>
            <w:r w:rsidRPr="00321BBC">
              <w:rPr>
                <w:rFonts w:ascii="Times New Roman" w:hAnsi="Times New Roman" w:cs="Times New Roman"/>
              </w:rPr>
              <w:t>the</w:t>
            </w:r>
            <w:r w:rsidRPr="00321BBC">
              <w:rPr>
                <w:rFonts w:ascii="Times New Roman" w:hAnsi="Times New Roman" w:cs="Times New Roman"/>
                <w:spacing w:val="-8"/>
              </w:rPr>
              <w:t xml:space="preserve"> </w:t>
            </w:r>
            <w:r w:rsidRPr="00321BBC">
              <w:rPr>
                <w:rFonts w:ascii="Times New Roman" w:hAnsi="Times New Roman" w:cs="Times New Roman"/>
              </w:rPr>
              <w:t>impact</w:t>
            </w:r>
            <w:r w:rsidRPr="00321BBC">
              <w:rPr>
                <w:rFonts w:ascii="Times New Roman" w:hAnsi="Times New Roman" w:cs="Times New Roman"/>
                <w:spacing w:val="-10"/>
              </w:rPr>
              <w:t xml:space="preserve"> </w:t>
            </w:r>
            <w:r w:rsidRPr="00321BBC">
              <w:rPr>
                <w:rFonts w:ascii="Times New Roman" w:hAnsi="Times New Roman" w:cs="Times New Roman"/>
              </w:rPr>
              <w:t>of</w:t>
            </w:r>
            <w:r w:rsidRPr="00321BBC">
              <w:rPr>
                <w:rFonts w:ascii="Times New Roman" w:hAnsi="Times New Roman" w:cs="Times New Roman"/>
                <w:spacing w:val="-8"/>
              </w:rPr>
              <w:t xml:space="preserve"> </w:t>
            </w:r>
            <w:r w:rsidRPr="00321BBC">
              <w:rPr>
                <w:rFonts w:ascii="Times New Roman" w:hAnsi="Times New Roman" w:cs="Times New Roman"/>
              </w:rPr>
              <w:t>the thermocline</w:t>
            </w:r>
            <w:r w:rsidRPr="00321BBC">
              <w:rPr>
                <w:rFonts w:ascii="Times New Roman" w:hAnsi="Times New Roman" w:cs="Times New Roman"/>
                <w:spacing w:val="-7"/>
              </w:rPr>
              <w:t xml:space="preserve"> </w:t>
            </w:r>
            <w:r w:rsidRPr="00321BBC">
              <w:rPr>
                <w:rFonts w:ascii="Times New Roman" w:hAnsi="Times New Roman" w:cs="Times New Roman"/>
              </w:rPr>
              <w:t>on</w:t>
            </w:r>
            <w:r w:rsidRPr="00321BBC">
              <w:rPr>
                <w:rFonts w:ascii="Times New Roman" w:hAnsi="Times New Roman" w:cs="Times New Roman"/>
                <w:spacing w:val="-6"/>
              </w:rPr>
              <w:t xml:space="preserve"> </w:t>
            </w:r>
            <w:r w:rsidRPr="00321BBC">
              <w:rPr>
                <w:rFonts w:ascii="Times New Roman" w:hAnsi="Times New Roman" w:cs="Times New Roman"/>
              </w:rPr>
              <w:t>tuna</w:t>
            </w:r>
            <w:r w:rsidRPr="00321BBC">
              <w:rPr>
                <w:rFonts w:ascii="Times New Roman" w:hAnsi="Times New Roman" w:cs="Times New Roman"/>
                <w:spacing w:val="-6"/>
              </w:rPr>
              <w:t xml:space="preserve"> </w:t>
            </w:r>
            <w:r w:rsidRPr="00321BBC">
              <w:rPr>
                <w:rFonts w:ascii="Times New Roman" w:hAnsi="Times New Roman" w:cs="Times New Roman"/>
              </w:rPr>
              <w:t>behaviour,</w:t>
            </w:r>
            <w:r w:rsidRPr="00321BBC">
              <w:rPr>
                <w:rFonts w:ascii="Times New Roman" w:hAnsi="Times New Roman" w:cs="Times New Roman"/>
                <w:spacing w:val="-6"/>
              </w:rPr>
              <w:t xml:space="preserve"> </w:t>
            </w:r>
            <w:r w:rsidRPr="00321BBC">
              <w:rPr>
                <w:rFonts w:ascii="Times New Roman" w:hAnsi="Times New Roman" w:cs="Times New Roman"/>
              </w:rPr>
              <w:t>in</w:t>
            </w:r>
            <w:r w:rsidRPr="00321BBC">
              <w:rPr>
                <w:rFonts w:ascii="Times New Roman" w:hAnsi="Times New Roman" w:cs="Times New Roman"/>
                <w:spacing w:val="-7"/>
              </w:rPr>
              <w:t xml:space="preserve"> </w:t>
            </w:r>
            <w:r w:rsidRPr="00321BBC">
              <w:rPr>
                <w:rFonts w:ascii="Times New Roman" w:hAnsi="Times New Roman" w:cs="Times New Roman"/>
              </w:rPr>
              <w:t>particular</w:t>
            </w:r>
            <w:r w:rsidRPr="00321BBC">
              <w:rPr>
                <w:rFonts w:ascii="Times New Roman" w:hAnsi="Times New Roman" w:cs="Times New Roman"/>
                <w:spacing w:val="-6"/>
              </w:rPr>
              <w:t xml:space="preserve"> </w:t>
            </w:r>
            <w:r w:rsidRPr="00321BBC">
              <w:rPr>
                <w:rFonts w:ascii="Times New Roman" w:hAnsi="Times New Roman" w:cs="Times New Roman"/>
              </w:rPr>
              <w:t>for</w:t>
            </w:r>
            <w:r w:rsidRPr="00321BBC">
              <w:rPr>
                <w:rFonts w:ascii="Times New Roman" w:hAnsi="Times New Roman" w:cs="Times New Roman"/>
                <w:spacing w:val="-6"/>
              </w:rPr>
              <w:t xml:space="preserve"> </w:t>
            </w:r>
            <w:r w:rsidRPr="00321BBC">
              <w:rPr>
                <w:rFonts w:ascii="Times New Roman" w:hAnsi="Times New Roman" w:cs="Times New Roman"/>
              </w:rPr>
              <w:t>bigeye</w:t>
            </w:r>
            <w:r w:rsidRPr="00321BBC">
              <w:rPr>
                <w:rFonts w:ascii="Times New Roman" w:hAnsi="Times New Roman" w:cs="Times New Roman"/>
                <w:spacing w:val="-5"/>
              </w:rPr>
              <w:t xml:space="preserve"> </w:t>
            </w:r>
            <w:r w:rsidRPr="00321BBC">
              <w:rPr>
                <w:rFonts w:ascii="Times New Roman" w:hAnsi="Times New Roman" w:cs="Times New Roman"/>
              </w:rPr>
              <w:t>tuna,</w:t>
            </w:r>
            <w:r w:rsidRPr="00321BBC">
              <w:rPr>
                <w:rFonts w:ascii="Times New Roman" w:hAnsi="Times New Roman" w:cs="Times New Roman"/>
                <w:spacing w:val="-6"/>
              </w:rPr>
              <w:t xml:space="preserve"> </w:t>
            </w:r>
            <w:r w:rsidRPr="00321BBC">
              <w:rPr>
                <w:rFonts w:ascii="Times New Roman" w:hAnsi="Times New Roman" w:cs="Times New Roman"/>
              </w:rPr>
              <w:t>results</w:t>
            </w:r>
            <w:r w:rsidRPr="00321BBC">
              <w:rPr>
                <w:rFonts w:ascii="Times New Roman" w:hAnsi="Times New Roman" w:cs="Times New Roman"/>
                <w:spacing w:val="-6"/>
              </w:rPr>
              <w:t xml:space="preserve"> </w:t>
            </w:r>
            <w:r w:rsidRPr="00321BBC">
              <w:rPr>
                <w:rFonts w:ascii="Times New Roman" w:hAnsi="Times New Roman" w:cs="Times New Roman"/>
              </w:rPr>
              <w:t>from</w:t>
            </w:r>
            <w:r w:rsidRPr="00321BBC">
              <w:rPr>
                <w:rFonts w:ascii="Times New Roman" w:hAnsi="Times New Roman" w:cs="Times New Roman"/>
                <w:spacing w:val="-7"/>
              </w:rPr>
              <w:t xml:space="preserve"> </w:t>
            </w:r>
            <w:r w:rsidRPr="00321BBC">
              <w:rPr>
                <w:rFonts w:ascii="Times New Roman" w:hAnsi="Times New Roman" w:cs="Times New Roman"/>
              </w:rPr>
              <w:t>the</w:t>
            </w:r>
            <w:r w:rsidRPr="00321BBC">
              <w:rPr>
                <w:rFonts w:ascii="Times New Roman" w:hAnsi="Times New Roman" w:cs="Times New Roman"/>
                <w:spacing w:val="-6"/>
              </w:rPr>
              <w:t xml:space="preserve"> </w:t>
            </w:r>
            <w:r w:rsidRPr="00321BBC">
              <w:rPr>
                <w:rFonts w:ascii="Times New Roman" w:hAnsi="Times New Roman" w:cs="Times New Roman"/>
              </w:rPr>
              <w:t>EPO may not be of specific use in the western or central</w:t>
            </w:r>
            <w:r w:rsidRPr="00321BBC">
              <w:rPr>
                <w:rFonts w:ascii="Times New Roman" w:hAnsi="Times New Roman" w:cs="Times New Roman"/>
                <w:spacing w:val="-18"/>
              </w:rPr>
              <w:t xml:space="preserve"> </w:t>
            </w:r>
            <w:r w:rsidRPr="00321BBC">
              <w:rPr>
                <w:rFonts w:ascii="Times New Roman" w:hAnsi="Times New Roman" w:cs="Times New Roman"/>
              </w:rPr>
              <w:t>WCPO.</w:t>
            </w:r>
          </w:p>
        </w:tc>
      </w:tr>
      <w:tr w:rsidR="0021261B" w:rsidRPr="00321BBC" w14:paraId="1ACA02D5" w14:textId="77777777" w:rsidTr="00B738F6">
        <w:tc>
          <w:tcPr>
            <w:tcW w:w="846" w:type="pct"/>
          </w:tcPr>
          <w:p w14:paraId="3FB3DD89"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Timeframe</w:t>
            </w:r>
          </w:p>
        </w:tc>
        <w:tc>
          <w:tcPr>
            <w:tcW w:w="4154" w:type="pct"/>
          </w:tcPr>
          <w:p w14:paraId="7246A237"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24 months</w:t>
            </w:r>
          </w:p>
        </w:tc>
      </w:tr>
      <w:tr w:rsidR="0021261B" w:rsidRPr="00321BBC" w14:paraId="3487F989" w14:textId="77777777" w:rsidTr="00B738F6">
        <w:tc>
          <w:tcPr>
            <w:tcW w:w="846" w:type="pct"/>
          </w:tcPr>
          <w:p w14:paraId="52DB599A"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Budget</w:t>
            </w:r>
          </w:p>
        </w:tc>
        <w:tc>
          <w:tcPr>
            <w:tcW w:w="4154" w:type="pct"/>
          </w:tcPr>
          <w:p w14:paraId="440959F0"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1 year FTE at SPC (data analysis)</w:t>
            </w:r>
          </w:p>
          <w:p w14:paraId="35CC22BB"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1.5 year FTE at SPC (technical and fieldwork)</w:t>
            </w:r>
          </w:p>
          <w:p w14:paraId="735D31E7" w14:textId="77777777" w:rsidR="0021261B" w:rsidRPr="00321BBC" w:rsidRDefault="0021261B" w:rsidP="0021261B">
            <w:pPr>
              <w:pStyle w:val="TableParagraph"/>
              <w:adjustRightInd w:val="0"/>
              <w:snapToGrid w:val="0"/>
              <w:ind w:right="1756"/>
              <w:jc w:val="left"/>
              <w:rPr>
                <w:rFonts w:ascii="Times New Roman" w:hAnsi="Times New Roman" w:cs="Times New Roman"/>
              </w:rPr>
            </w:pPr>
            <w:r w:rsidRPr="00321BBC">
              <w:rPr>
                <w:rFonts w:ascii="Times New Roman" w:hAnsi="Times New Roman" w:cs="Times New Roman"/>
              </w:rPr>
              <w:t>Associated travel and subsistence to relevant WCPFC meetings Project management</w:t>
            </w:r>
          </w:p>
          <w:p w14:paraId="5950602E"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Observer training</w:t>
            </w:r>
          </w:p>
          <w:p w14:paraId="7B86A8E3"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Approximate total budget: US$526,000*</w:t>
            </w:r>
          </w:p>
          <w:p w14:paraId="780A070B"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3BD377E" w14:textId="77777777" w:rsidR="0021261B" w:rsidRPr="00321BBC" w:rsidRDefault="0021261B" w:rsidP="0021261B">
            <w:pPr>
              <w:pStyle w:val="TableParagraph"/>
              <w:adjustRightInd w:val="0"/>
              <w:snapToGrid w:val="0"/>
              <w:ind w:right="102"/>
              <w:rPr>
                <w:rFonts w:ascii="Times New Roman" w:hAnsi="Times New Roman" w:cs="Times New Roman"/>
              </w:rPr>
            </w:pPr>
            <w:r w:rsidRPr="00321BBC">
              <w:rPr>
                <w:rFonts w:ascii="Times New Roman" w:hAnsi="Times New Roman" w:cs="Times New Roman"/>
              </w:rPr>
              <w:t>Note overlap with Project #1 – if both are undertaken then some personnel costs can be ‘shared’ across the two projects. (Approximate total budget if Projects 1 and 2 undertaken simultaneously:</w:t>
            </w:r>
          </w:p>
          <w:p w14:paraId="7D06B868"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$871,000)</w:t>
            </w:r>
          </w:p>
          <w:p w14:paraId="05DD739B"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1BA8C486" w14:textId="77777777" w:rsidR="0021261B" w:rsidRPr="00321BBC" w:rsidRDefault="0021261B" w:rsidP="0021261B">
            <w:pPr>
              <w:pStyle w:val="TableParagraph"/>
              <w:adjustRightInd w:val="0"/>
              <w:snapToGrid w:val="0"/>
              <w:ind w:right="101"/>
              <w:rPr>
                <w:rFonts w:ascii="Times New Roman" w:hAnsi="Times New Roman" w:cs="Times New Roman"/>
              </w:rPr>
            </w:pPr>
            <w:r w:rsidRPr="00321BBC">
              <w:rPr>
                <w:rFonts w:ascii="Times New Roman" w:hAnsi="Times New Roman" w:cs="Times New Roman"/>
              </w:rPr>
              <w:t>* Final costings will depend on the approach undertaken within at-sea trials, including</w:t>
            </w:r>
            <w:r w:rsidRPr="00321BBC">
              <w:rPr>
                <w:rFonts w:ascii="Times New Roman" w:hAnsi="Times New Roman" w:cs="Times New Roman"/>
                <w:spacing w:val="-9"/>
              </w:rPr>
              <w:t xml:space="preserve"> </w:t>
            </w:r>
            <w:r w:rsidRPr="00321BBC">
              <w:rPr>
                <w:rFonts w:ascii="Times New Roman" w:hAnsi="Times New Roman" w:cs="Times New Roman"/>
              </w:rPr>
              <w:t>the</w:t>
            </w:r>
            <w:r w:rsidRPr="00321BBC">
              <w:rPr>
                <w:rFonts w:ascii="Times New Roman" w:hAnsi="Times New Roman" w:cs="Times New Roman"/>
                <w:spacing w:val="-8"/>
              </w:rPr>
              <w:t xml:space="preserve"> </w:t>
            </w:r>
            <w:r w:rsidRPr="00321BBC">
              <w:rPr>
                <w:rFonts w:ascii="Times New Roman" w:hAnsi="Times New Roman" w:cs="Times New Roman"/>
              </w:rPr>
              <w:t>level</w:t>
            </w:r>
            <w:r w:rsidRPr="00321BBC">
              <w:rPr>
                <w:rFonts w:ascii="Times New Roman" w:hAnsi="Times New Roman" w:cs="Times New Roman"/>
                <w:spacing w:val="-10"/>
              </w:rPr>
              <w:t xml:space="preserve"> </w:t>
            </w:r>
            <w:r w:rsidRPr="00321BBC">
              <w:rPr>
                <w:rFonts w:ascii="Times New Roman" w:hAnsi="Times New Roman" w:cs="Times New Roman"/>
              </w:rPr>
              <w:t>of</w:t>
            </w:r>
            <w:r w:rsidRPr="00321BBC">
              <w:rPr>
                <w:rFonts w:ascii="Times New Roman" w:hAnsi="Times New Roman" w:cs="Times New Roman"/>
                <w:spacing w:val="-8"/>
              </w:rPr>
              <w:t xml:space="preserve"> </w:t>
            </w:r>
            <w:r w:rsidRPr="00321BBC">
              <w:rPr>
                <w:rFonts w:ascii="Times New Roman" w:hAnsi="Times New Roman" w:cs="Times New Roman"/>
              </w:rPr>
              <w:t>practical</w:t>
            </w:r>
            <w:r w:rsidRPr="00321BBC">
              <w:rPr>
                <w:rFonts w:ascii="Times New Roman" w:hAnsi="Times New Roman" w:cs="Times New Roman"/>
                <w:spacing w:val="-8"/>
              </w:rPr>
              <w:t xml:space="preserve"> </w:t>
            </w:r>
            <w:r w:rsidRPr="00321BBC">
              <w:rPr>
                <w:rFonts w:ascii="Times New Roman" w:hAnsi="Times New Roman" w:cs="Times New Roman"/>
              </w:rPr>
              <w:t>and</w:t>
            </w:r>
            <w:r w:rsidRPr="00321BBC">
              <w:rPr>
                <w:rFonts w:ascii="Times New Roman" w:hAnsi="Times New Roman" w:cs="Times New Roman"/>
                <w:spacing w:val="-9"/>
              </w:rPr>
              <w:t xml:space="preserve"> </w:t>
            </w:r>
            <w:r w:rsidRPr="00321BBC">
              <w:rPr>
                <w:rFonts w:ascii="Times New Roman" w:hAnsi="Times New Roman" w:cs="Times New Roman"/>
              </w:rPr>
              <w:t>financial</w:t>
            </w:r>
            <w:r w:rsidRPr="00321BBC">
              <w:rPr>
                <w:rFonts w:ascii="Times New Roman" w:hAnsi="Times New Roman" w:cs="Times New Roman"/>
                <w:spacing w:val="-8"/>
              </w:rPr>
              <w:t xml:space="preserve"> </w:t>
            </w:r>
            <w:r w:rsidRPr="00321BBC">
              <w:rPr>
                <w:rFonts w:ascii="Times New Roman" w:hAnsi="Times New Roman" w:cs="Times New Roman"/>
              </w:rPr>
              <w:t>contribution</w:t>
            </w:r>
            <w:r w:rsidRPr="00321BBC">
              <w:rPr>
                <w:rFonts w:ascii="Times New Roman" w:hAnsi="Times New Roman" w:cs="Times New Roman"/>
                <w:spacing w:val="-9"/>
              </w:rPr>
              <w:t xml:space="preserve"> </w:t>
            </w:r>
            <w:r w:rsidRPr="00321BBC">
              <w:rPr>
                <w:rFonts w:ascii="Times New Roman" w:hAnsi="Times New Roman" w:cs="Times New Roman"/>
              </w:rPr>
              <w:t>by</w:t>
            </w:r>
            <w:r w:rsidRPr="00321BBC">
              <w:rPr>
                <w:rFonts w:ascii="Times New Roman" w:hAnsi="Times New Roman" w:cs="Times New Roman"/>
                <w:spacing w:val="-7"/>
              </w:rPr>
              <w:t xml:space="preserve"> </w:t>
            </w:r>
            <w:r w:rsidRPr="00321BBC">
              <w:rPr>
                <w:rFonts w:ascii="Times New Roman" w:hAnsi="Times New Roman" w:cs="Times New Roman"/>
              </w:rPr>
              <w:t>industry.</w:t>
            </w:r>
            <w:r w:rsidRPr="00321BBC">
              <w:rPr>
                <w:rFonts w:ascii="Times New Roman" w:hAnsi="Times New Roman" w:cs="Times New Roman"/>
                <w:spacing w:val="-8"/>
              </w:rPr>
              <w:t xml:space="preserve"> </w:t>
            </w:r>
            <w:r w:rsidRPr="00321BBC">
              <w:rPr>
                <w:rFonts w:ascii="Times New Roman" w:hAnsi="Times New Roman" w:cs="Times New Roman"/>
              </w:rPr>
              <w:t>Note</w:t>
            </w:r>
            <w:r w:rsidRPr="00321BBC">
              <w:rPr>
                <w:rFonts w:ascii="Times New Roman" w:hAnsi="Times New Roman" w:cs="Times New Roman"/>
                <w:spacing w:val="-7"/>
              </w:rPr>
              <w:t xml:space="preserve"> </w:t>
            </w:r>
            <w:r w:rsidRPr="00321BBC">
              <w:rPr>
                <w:rFonts w:ascii="Times New Roman" w:hAnsi="Times New Roman" w:cs="Times New Roman"/>
              </w:rPr>
              <w:t>this</w:t>
            </w:r>
            <w:r w:rsidRPr="00321BBC">
              <w:rPr>
                <w:rFonts w:ascii="Times New Roman" w:hAnsi="Times New Roman" w:cs="Times New Roman"/>
                <w:spacing w:val="-10"/>
              </w:rPr>
              <w:t xml:space="preserve"> </w:t>
            </w:r>
            <w:r w:rsidRPr="00321BBC">
              <w:rPr>
                <w:rFonts w:ascii="Times New Roman" w:hAnsi="Times New Roman" w:cs="Times New Roman"/>
              </w:rPr>
              <w:t>will need to include the purchase of necessary FAD materials, including marking and tracking components, temperature/depth sensors, facilitation of liaison with industry representatives, and any related</w:t>
            </w:r>
            <w:r w:rsidRPr="00321BBC">
              <w:rPr>
                <w:rFonts w:ascii="Times New Roman" w:hAnsi="Times New Roman" w:cs="Times New Roman"/>
                <w:spacing w:val="-15"/>
              </w:rPr>
              <w:t xml:space="preserve"> </w:t>
            </w:r>
            <w:r w:rsidRPr="00321BBC">
              <w:rPr>
                <w:rFonts w:ascii="Times New Roman" w:hAnsi="Times New Roman" w:cs="Times New Roman"/>
              </w:rPr>
              <w:t>travel.</w:t>
            </w:r>
          </w:p>
        </w:tc>
      </w:tr>
      <w:tr w:rsidR="0021261B" w:rsidRPr="00321BBC" w14:paraId="5B5D7149" w14:textId="77777777" w:rsidTr="0021261B">
        <w:trPr>
          <w:trHeight w:hRule="exact" w:val="1085"/>
        </w:trPr>
        <w:tc>
          <w:tcPr>
            <w:tcW w:w="846" w:type="pct"/>
          </w:tcPr>
          <w:p w14:paraId="5F7CC0BA" w14:textId="77777777" w:rsidR="0021261B" w:rsidRPr="00321BBC" w:rsidRDefault="0021261B" w:rsidP="0021261B">
            <w:pPr>
              <w:pStyle w:val="TableParagraph"/>
              <w:adjustRightInd w:val="0"/>
              <w:snapToGrid w:val="0"/>
              <w:ind w:right="83"/>
              <w:jc w:val="left"/>
              <w:rPr>
                <w:rFonts w:ascii="Times New Roman" w:hAnsi="Times New Roman" w:cs="Times New Roman"/>
              </w:rPr>
            </w:pPr>
            <w:r w:rsidRPr="00321BBC">
              <w:rPr>
                <w:rFonts w:ascii="Times New Roman" w:hAnsi="Times New Roman" w:cs="Times New Roman"/>
              </w:rPr>
              <w:t>Additional considerations</w:t>
            </w:r>
          </w:p>
        </w:tc>
        <w:tc>
          <w:tcPr>
            <w:tcW w:w="4154" w:type="pct"/>
          </w:tcPr>
          <w:p w14:paraId="4FFA961B"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This project will necessitate additional data collection by fisheries observers, irrespective of whether it relates to additional trials, or, extension. This has consequence for forms, data management and observer training.</w:t>
            </w:r>
          </w:p>
        </w:tc>
      </w:tr>
      <w:tr w:rsidR="0021261B" w:rsidRPr="00321BBC" w14:paraId="089F0BC9" w14:textId="77777777" w:rsidTr="0021261B">
        <w:trPr>
          <w:trHeight w:hRule="exact" w:val="1623"/>
        </w:trPr>
        <w:tc>
          <w:tcPr>
            <w:tcW w:w="846" w:type="pct"/>
          </w:tcPr>
          <w:p w14:paraId="01A2A051" w14:textId="77777777" w:rsidR="0021261B" w:rsidRPr="00321BBC" w:rsidRDefault="0021261B" w:rsidP="0021261B">
            <w:pPr>
              <w:adjustRightInd w:val="0"/>
              <w:snapToGrid w:val="0"/>
              <w:spacing w:after="0"/>
              <w:rPr>
                <w:rFonts w:ascii="Times New Roman" w:hAnsi="Times New Roman" w:cs="Times New Roman"/>
              </w:rPr>
            </w:pPr>
          </w:p>
        </w:tc>
        <w:tc>
          <w:tcPr>
            <w:tcW w:w="4154" w:type="pct"/>
          </w:tcPr>
          <w:p w14:paraId="56ECE2BF"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The field work component of this research may require additional data collection on catch composition for specific sets from a trip (with the catch kept separated and subject to a census in port).</w:t>
            </w:r>
          </w:p>
          <w:p w14:paraId="58C39061"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6186BA1E" w14:textId="77777777" w:rsidR="0021261B" w:rsidRPr="00321BBC" w:rsidRDefault="0021261B" w:rsidP="0021261B">
            <w:pPr>
              <w:pStyle w:val="TableParagraph"/>
              <w:adjustRightInd w:val="0"/>
              <w:snapToGrid w:val="0"/>
              <w:ind w:right="105"/>
              <w:rPr>
                <w:rFonts w:ascii="Times New Roman" w:hAnsi="Times New Roman" w:cs="Times New Roman"/>
              </w:rPr>
            </w:pPr>
            <w:r w:rsidRPr="00321BBC">
              <w:rPr>
                <w:rFonts w:ascii="Times New Roman" w:hAnsi="Times New Roman" w:cs="Times New Roman"/>
              </w:rPr>
              <w:t>There may be the potential to geo-fence FADs used in these trials with special requirements around reporting and access to enhance the data collected.</w:t>
            </w:r>
          </w:p>
        </w:tc>
      </w:tr>
    </w:tbl>
    <w:p w14:paraId="5893CD4C" w14:textId="77777777" w:rsidR="0021261B" w:rsidRDefault="0021261B" w:rsidP="0021261B">
      <w:pPr>
        <w:adjustRightInd w:val="0"/>
        <w:snapToGrid w:val="0"/>
        <w:spacing w:after="0"/>
        <w:rPr>
          <w:rFonts w:ascii="Times New Roman" w:hAnsi="Times New Roman"/>
          <w:lang w:val="en-US"/>
        </w:rPr>
      </w:pPr>
    </w:p>
    <w:p w14:paraId="27478A42" w14:textId="77777777" w:rsidR="00B738F6" w:rsidRDefault="00B738F6" w:rsidP="0021261B">
      <w:pPr>
        <w:adjustRightInd w:val="0"/>
        <w:snapToGrid w:val="0"/>
        <w:spacing w:after="0"/>
        <w:rPr>
          <w:rFonts w:ascii="Times New Roman" w:hAnsi="Times New Roman"/>
          <w:lang w:val="en-U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7"/>
        <w:gridCol w:w="7683"/>
      </w:tblGrid>
      <w:tr w:rsidR="0021261B" w:rsidRPr="00321BBC" w14:paraId="4E7D53B8" w14:textId="77777777" w:rsidTr="0021261B">
        <w:trPr>
          <w:trHeight w:hRule="exact" w:val="278"/>
        </w:trPr>
        <w:tc>
          <w:tcPr>
            <w:tcW w:w="5000" w:type="pct"/>
            <w:gridSpan w:val="2"/>
            <w:shd w:val="clear" w:color="auto" w:fill="4AACC5"/>
          </w:tcPr>
          <w:p w14:paraId="73B6FFB9"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Project #3</w:t>
            </w:r>
          </w:p>
        </w:tc>
      </w:tr>
      <w:tr w:rsidR="0021261B" w:rsidRPr="00321BBC" w14:paraId="550F2405" w14:textId="77777777" w:rsidTr="0021261B">
        <w:trPr>
          <w:trHeight w:hRule="exact" w:val="299"/>
        </w:trPr>
        <w:tc>
          <w:tcPr>
            <w:tcW w:w="900" w:type="pct"/>
            <w:tcBorders>
              <w:bottom w:val="single" w:sz="20" w:space="0" w:color="FFFFFF"/>
            </w:tcBorders>
            <w:shd w:val="clear" w:color="auto" w:fill="92D050"/>
          </w:tcPr>
          <w:p w14:paraId="390188E5"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Project</w:t>
            </w:r>
          </w:p>
        </w:tc>
        <w:tc>
          <w:tcPr>
            <w:tcW w:w="4100" w:type="pct"/>
            <w:tcBorders>
              <w:bottom w:val="single" w:sz="20" w:space="0" w:color="FFFFFF"/>
            </w:tcBorders>
            <w:shd w:val="clear" w:color="auto" w:fill="92D050"/>
          </w:tcPr>
          <w:p w14:paraId="0AED84DF"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Acoustic FAD analyses</w:t>
            </w:r>
          </w:p>
        </w:tc>
      </w:tr>
      <w:tr w:rsidR="0021261B" w:rsidRPr="00321BBC" w14:paraId="77378E17" w14:textId="77777777" w:rsidTr="00C416B4">
        <w:tc>
          <w:tcPr>
            <w:tcW w:w="900" w:type="pct"/>
            <w:tcBorders>
              <w:top w:val="single" w:sz="20" w:space="0" w:color="FFFFFF"/>
            </w:tcBorders>
          </w:tcPr>
          <w:p w14:paraId="40E5B8D2"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Objectives</w:t>
            </w:r>
          </w:p>
        </w:tc>
        <w:tc>
          <w:tcPr>
            <w:tcW w:w="4100" w:type="pct"/>
            <w:tcBorders>
              <w:top w:val="single" w:sz="20" w:space="0" w:color="FFFFFF"/>
            </w:tcBorders>
          </w:tcPr>
          <w:p w14:paraId="47F0246F"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 xml:space="preserve">Identify whether </w:t>
            </w:r>
            <w:r w:rsidRPr="00321BBC">
              <w:rPr>
                <w:rFonts w:ascii="Times New Roman" w:hAnsi="Times New Roman" w:cs="Times New Roman"/>
                <w:shd w:val="clear" w:color="auto" w:fill="FDE67E"/>
              </w:rPr>
              <w:t>limiting sets to only those FADs that have a large biomass</w:t>
            </w:r>
          </w:p>
          <w:p w14:paraId="62B28F7D" w14:textId="77777777" w:rsidR="0021261B" w:rsidRPr="00321BBC" w:rsidRDefault="0021261B" w:rsidP="0021261B">
            <w:pPr>
              <w:pStyle w:val="TableParagraph"/>
              <w:adjustRightInd w:val="0"/>
              <w:snapToGrid w:val="0"/>
              <w:jc w:val="left"/>
              <w:rPr>
                <w:rFonts w:ascii="Times New Roman" w:hAnsi="Times New Roman" w:cs="Times New Roman"/>
              </w:rPr>
            </w:pPr>
            <w:proofErr w:type="gramStart"/>
            <w:r w:rsidRPr="00321BBC">
              <w:rPr>
                <w:rFonts w:ascii="Times New Roman" w:hAnsi="Times New Roman" w:cs="Times New Roman"/>
              </w:rPr>
              <w:t>beneath</w:t>
            </w:r>
            <w:proofErr w:type="gramEnd"/>
            <w:r w:rsidRPr="00321BBC">
              <w:rPr>
                <w:rFonts w:ascii="Times New Roman" w:hAnsi="Times New Roman" w:cs="Times New Roman"/>
              </w:rPr>
              <w:t xml:space="preserve"> them can reduce the proportion of ‘non-target’ species caught.</w:t>
            </w:r>
          </w:p>
        </w:tc>
      </w:tr>
      <w:tr w:rsidR="0021261B" w:rsidRPr="00321BBC" w14:paraId="13B072C6" w14:textId="77777777" w:rsidTr="00C416B4">
        <w:tc>
          <w:tcPr>
            <w:tcW w:w="900" w:type="pct"/>
          </w:tcPr>
          <w:p w14:paraId="295306D6"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Rationale</w:t>
            </w:r>
          </w:p>
        </w:tc>
        <w:tc>
          <w:tcPr>
            <w:tcW w:w="4100" w:type="pct"/>
          </w:tcPr>
          <w:p w14:paraId="713A0A98" w14:textId="0F1761BB" w:rsidR="0021261B" w:rsidRPr="00321BBC" w:rsidRDefault="0021261B" w:rsidP="0074425A">
            <w:pPr>
              <w:pStyle w:val="TableParagraph"/>
              <w:numPr>
                <w:ilvl w:val="0"/>
                <w:numId w:val="110"/>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Larger purse seine sets on FADs tend to have higher proportions of skipjack</w:t>
            </w:r>
            <w:r w:rsidRPr="00321BBC">
              <w:rPr>
                <w:rFonts w:ascii="Times New Roman" w:hAnsi="Times New Roman" w:cs="Times New Roman"/>
                <w:spacing w:val="-3"/>
              </w:rPr>
              <w:t xml:space="preserve"> </w:t>
            </w:r>
            <w:r w:rsidRPr="00321BBC">
              <w:rPr>
                <w:rFonts w:ascii="Times New Roman" w:hAnsi="Times New Roman" w:cs="Times New Roman"/>
              </w:rPr>
              <w:t>and</w:t>
            </w:r>
            <w:r w:rsidRPr="00321BBC">
              <w:rPr>
                <w:rFonts w:ascii="Times New Roman" w:hAnsi="Times New Roman" w:cs="Times New Roman"/>
                <w:spacing w:val="-7"/>
              </w:rPr>
              <w:t xml:space="preserve"> </w:t>
            </w:r>
            <w:r w:rsidRPr="00321BBC">
              <w:rPr>
                <w:rFonts w:ascii="Times New Roman" w:hAnsi="Times New Roman" w:cs="Times New Roman"/>
              </w:rPr>
              <w:t>commensurately</w:t>
            </w:r>
            <w:r w:rsidRPr="00321BBC">
              <w:rPr>
                <w:rFonts w:ascii="Times New Roman" w:hAnsi="Times New Roman" w:cs="Times New Roman"/>
                <w:spacing w:val="-4"/>
              </w:rPr>
              <w:t xml:space="preserve"> </w:t>
            </w:r>
            <w:r w:rsidRPr="00321BBC">
              <w:rPr>
                <w:rFonts w:ascii="Times New Roman" w:hAnsi="Times New Roman" w:cs="Times New Roman"/>
              </w:rPr>
              <w:t>lower</w:t>
            </w:r>
            <w:r w:rsidRPr="00321BBC">
              <w:rPr>
                <w:rFonts w:ascii="Times New Roman" w:hAnsi="Times New Roman" w:cs="Times New Roman"/>
                <w:spacing w:val="-4"/>
              </w:rPr>
              <w:t xml:space="preserve"> </w:t>
            </w:r>
            <w:r w:rsidRPr="00321BBC">
              <w:rPr>
                <w:rFonts w:ascii="Times New Roman" w:hAnsi="Times New Roman" w:cs="Times New Roman"/>
              </w:rPr>
              <w:t>proportions</w:t>
            </w:r>
            <w:r w:rsidRPr="00321BBC">
              <w:rPr>
                <w:rFonts w:ascii="Times New Roman" w:hAnsi="Times New Roman" w:cs="Times New Roman"/>
                <w:spacing w:val="-7"/>
              </w:rPr>
              <w:t xml:space="preserve"> </w:t>
            </w:r>
            <w:r w:rsidRPr="00321BBC">
              <w:rPr>
                <w:rFonts w:ascii="Times New Roman" w:hAnsi="Times New Roman" w:cs="Times New Roman"/>
              </w:rPr>
              <w:t>of</w:t>
            </w:r>
            <w:r w:rsidRPr="00321BBC">
              <w:rPr>
                <w:rFonts w:ascii="Times New Roman" w:hAnsi="Times New Roman" w:cs="Times New Roman"/>
                <w:spacing w:val="-7"/>
              </w:rPr>
              <w:t xml:space="preserve"> </w:t>
            </w:r>
            <w:r w:rsidRPr="00321BBC">
              <w:rPr>
                <w:rFonts w:ascii="Times New Roman" w:hAnsi="Times New Roman" w:cs="Times New Roman"/>
              </w:rPr>
              <w:t>yellowfin</w:t>
            </w:r>
            <w:r w:rsidRPr="00321BBC">
              <w:rPr>
                <w:rFonts w:ascii="Times New Roman" w:hAnsi="Times New Roman" w:cs="Times New Roman"/>
                <w:spacing w:val="-5"/>
              </w:rPr>
              <w:t xml:space="preserve"> </w:t>
            </w:r>
            <w:r w:rsidRPr="00321BBC">
              <w:rPr>
                <w:rFonts w:ascii="Times New Roman" w:hAnsi="Times New Roman" w:cs="Times New Roman"/>
              </w:rPr>
              <w:t>and</w:t>
            </w:r>
            <w:r w:rsidRPr="00321BBC">
              <w:rPr>
                <w:rFonts w:ascii="Times New Roman" w:hAnsi="Times New Roman" w:cs="Times New Roman"/>
                <w:spacing w:val="-5"/>
              </w:rPr>
              <w:t xml:space="preserve"> </w:t>
            </w:r>
            <w:r w:rsidRPr="00321BBC">
              <w:rPr>
                <w:rFonts w:ascii="Times New Roman" w:hAnsi="Times New Roman" w:cs="Times New Roman"/>
              </w:rPr>
              <w:t>bigeye (Lawson 2008,</w:t>
            </w:r>
            <w:r w:rsidRPr="00321BBC">
              <w:rPr>
                <w:rFonts w:ascii="Times New Roman" w:hAnsi="Times New Roman" w:cs="Times New Roman"/>
                <w:spacing w:val="-14"/>
              </w:rPr>
              <w:t xml:space="preserve"> </w:t>
            </w:r>
            <w:r w:rsidRPr="00321BBC">
              <w:rPr>
                <w:rFonts w:ascii="Times New Roman" w:hAnsi="Times New Roman" w:cs="Times New Roman"/>
              </w:rPr>
              <w:t>SC</w:t>
            </w:r>
            <w:r w:rsidR="00D35815">
              <w:rPr>
                <w:rFonts w:ascii="Times New Roman" w:eastAsiaTheme="minorEastAsia" w:hAnsi="Times New Roman" w:cs="Times New Roman" w:hint="eastAsia"/>
                <w:lang w:eastAsia="ko-KR"/>
              </w:rPr>
              <w:t>0</w:t>
            </w:r>
            <w:r w:rsidRPr="00321BBC">
              <w:rPr>
                <w:rFonts w:ascii="Times New Roman" w:hAnsi="Times New Roman" w:cs="Times New Roman"/>
              </w:rPr>
              <w:t>4-ST-WP</w:t>
            </w:r>
            <w:r w:rsidR="00D35815">
              <w:rPr>
                <w:rFonts w:ascii="Times New Roman" w:eastAsiaTheme="minorEastAsia" w:hAnsi="Times New Roman" w:cs="Times New Roman" w:hint="eastAsia"/>
                <w:lang w:eastAsia="ko-KR"/>
              </w:rPr>
              <w:t>-0</w:t>
            </w:r>
            <w:r w:rsidRPr="00321BBC">
              <w:rPr>
                <w:rFonts w:ascii="Times New Roman" w:hAnsi="Times New Roman" w:cs="Times New Roman"/>
              </w:rPr>
              <w:t>3).</w:t>
            </w:r>
          </w:p>
          <w:p w14:paraId="5AB554AA" w14:textId="77777777" w:rsidR="0021261B" w:rsidRPr="00321BBC" w:rsidRDefault="0021261B" w:rsidP="0074425A">
            <w:pPr>
              <w:pStyle w:val="TableParagraph"/>
              <w:numPr>
                <w:ilvl w:val="0"/>
                <w:numId w:val="110"/>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Acoustic data from echo-sounder buoys can provide, given sufficient equipment,</w:t>
            </w:r>
            <w:r w:rsidRPr="00321BBC">
              <w:rPr>
                <w:rFonts w:ascii="Times New Roman" w:hAnsi="Times New Roman" w:cs="Times New Roman"/>
                <w:spacing w:val="-17"/>
              </w:rPr>
              <w:t xml:space="preserve"> </w:t>
            </w:r>
            <w:r w:rsidRPr="00321BBC">
              <w:rPr>
                <w:rFonts w:ascii="Times New Roman" w:hAnsi="Times New Roman" w:cs="Times New Roman"/>
              </w:rPr>
              <w:t>environmental</w:t>
            </w:r>
            <w:r w:rsidRPr="00321BBC">
              <w:rPr>
                <w:rFonts w:ascii="Times New Roman" w:hAnsi="Times New Roman" w:cs="Times New Roman"/>
                <w:spacing w:val="-20"/>
              </w:rPr>
              <w:t xml:space="preserve"> </w:t>
            </w:r>
            <w:r w:rsidRPr="00321BBC">
              <w:rPr>
                <w:rFonts w:ascii="Times New Roman" w:hAnsi="Times New Roman" w:cs="Times New Roman"/>
              </w:rPr>
              <w:t>conditions</w:t>
            </w:r>
            <w:r w:rsidRPr="00321BBC">
              <w:rPr>
                <w:rFonts w:ascii="Times New Roman" w:hAnsi="Times New Roman" w:cs="Times New Roman"/>
                <w:spacing w:val="-17"/>
              </w:rPr>
              <w:t xml:space="preserve"> </w:t>
            </w:r>
            <w:r w:rsidRPr="00321BBC">
              <w:rPr>
                <w:rFonts w:ascii="Times New Roman" w:hAnsi="Times New Roman" w:cs="Times New Roman"/>
              </w:rPr>
              <w:t>and</w:t>
            </w:r>
            <w:r w:rsidRPr="00321BBC">
              <w:rPr>
                <w:rFonts w:ascii="Times New Roman" w:hAnsi="Times New Roman" w:cs="Times New Roman"/>
                <w:spacing w:val="-16"/>
              </w:rPr>
              <w:t xml:space="preserve"> </w:t>
            </w:r>
            <w:r w:rsidRPr="00321BBC">
              <w:rPr>
                <w:rFonts w:ascii="Times New Roman" w:hAnsi="Times New Roman" w:cs="Times New Roman"/>
              </w:rPr>
              <w:t>interpretation</w:t>
            </w:r>
            <w:r w:rsidRPr="00321BBC">
              <w:rPr>
                <w:rFonts w:ascii="Times New Roman" w:hAnsi="Times New Roman" w:cs="Times New Roman"/>
                <w:spacing w:val="-16"/>
              </w:rPr>
              <w:t xml:space="preserve"> </w:t>
            </w:r>
            <w:r w:rsidRPr="00321BBC">
              <w:rPr>
                <w:rFonts w:ascii="Times New Roman" w:hAnsi="Times New Roman" w:cs="Times New Roman"/>
              </w:rPr>
              <w:t>skills,</w:t>
            </w:r>
            <w:r w:rsidRPr="00321BBC">
              <w:rPr>
                <w:rFonts w:ascii="Times New Roman" w:hAnsi="Times New Roman" w:cs="Times New Roman"/>
                <w:spacing w:val="-13"/>
              </w:rPr>
              <w:t xml:space="preserve"> </w:t>
            </w:r>
            <w:r w:rsidRPr="00321BBC">
              <w:rPr>
                <w:rFonts w:ascii="Times New Roman" w:hAnsi="Times New Roman" w:cs="Times New Roman"/>
              </w:rPr>
              <w:t>sufficient information on the biomass of tuna under a</w:t>
            </w:r>
            <w:r w:rsidRPr="00321BBC">
              <w:rPr>
                <w:rFonts w:ascii="Times New Roman" w:hAnsi="Times New Roman" w:cs="Times New Roman"/>
                <w:spacing w:val="-16"/>
              </w:rPr>
              <w:t xml:space="preserve"> </w:t>
            </w:r>
            <w:r w:rsidRPr="00321BBC">
              <w:rPr>
                <w:rFonts w:ascii="Times New Roman" w:hAnsi="Times New Roman" w:cs="Times New Roman"/>
              </w:rPr>
              <w:t>FAD.</w:t>
            </w:r>
          </w:p>
          <w:p w14:paraId="797DE9BA" w14:textId="77777777" w:rsidR="0021261B" w:rsidRPr="00321BBC" w:rsidRDefault="0021261B" w:rsidP="0074425A">
            <w:pPr>
              <w:pStyle w:val="TableParagraph"/>
              <w:numPr>
                <w:ilvl w:val="0"/>
                <w:numId w:val="110"/>
              </w:numPr>
              <w:tabs>
                <w:tab w:val="left" w:pos="420"/>
              </w:tabs>
              <w:adjustRightInd w:val="0"/>
              <w:snapToGrid w:val="0"/>
              <w:ind w:right="100"/>
              <w:rPr>
                <w:rFonts w:ascii="Times New Roman" w:hAnsi="Times New Roman" w:cs="Times New Roman"/>
              </w:rPr>
            </w:pPr>
            <w:r w:rsidRPr="00321BBC">
              <w:rPr>
                <w:rFonts w:ascii="Times New Roman" w:hAnsi="Times New Roman" w:cs="Times New Roman"/>
              </w:rPr>
              <w:t>Acoustic</w:t>
            </w:r>
            <w:r w:rsidRPr="00321BBC">
              <w:rPr>
                <w:rFonts w:ascii="Times New Roman" w:hAnsi="Times New Roman" w:cs="Times New Roman"/>
                <w:spacing w:val="-14"/>
              </w:rPr>
              <w:t xml:space="preserve"> </w:t>
            </w:r>
            <w:r w:rsidRPr="00321BBC">
              <w:rPr>
                <w:rFonts w:ascii="Times New Roman" w:hAnsi="Times New Roman" w:cs="Times New Roman"/>
              </w:rPr>
              <w:t>information</w:t>
            </w:r>
            <w:r w:rsidRPr="00321BBC">
              <w:rPr>
                <w:rFonts w:ascii="Times New Roman" w:hAnsi="Times New Roman" w:cs="Times New Roman"/>
                <w:spacing w:val="-16"/>
              </w:rPr>
              <w:t xml:space="preserve"> </w:t>
            </w:r>
            <w:r w:rsidRPr="00321BBC">
              <w:rPr>
                <w:rFonts w:ascii="Times New Roman" w:hAnsi="Times New Roman" w:cs="Times New Roman"/>
              </w:rPr>
              <w:t>has</w:t>
            </w:r>
            <w:r w:rsidRPr="00321BBC">
              <w:rPr>
                <w:rFonts w:ascii="Times New Roman" w:hAnsi="Times New Roman" w:cs="Times New Roman"/>
                <w:spacing w:val="-15"/>
              </w:rPr>
              <w:t xml:space="preserve"> </w:t>
            </w:r>
            <w:r w:rsidRPr="00321BBC">
              <w:rPr>
                <w:rFonts w:ascii="Times New Roman" w:hAnsi="Times New Roman" w:cs="Times New Roman"/>
              </w:rPr>
              <w:t>shown</w:t>
            </w:r>
            <w:r w:rsidRPr="00321BBC">
              <w:rPr>
                <w:rFonts w:ascii="Times New Roman" w:hAnsi="Times New Roman" w:cs="Times New Roman"/>
                <w:spacing w:val="-15"/>
              </w:rPr>
              <w:t xml:space="preserve"> </w:t>
            </w:r>
            <w:r w:rsidRPr="00321BBC">
              <w:rPr>
                <w:rFonts w:ascii="Times New Roman" w:hAnsi="Times New Roman" w:cs="Times New Roman"/>
              </w:rPr>
              <w:t>promise</w:t>
            </w:r>
            <w:r w:rsidRPr="00321BBC">
              <w:rPr>
                <w:rFonts w:ascii="Times New Roman" w:hAnsi="Times New Roman" w:cs="Times New Roman"/>
                <w:spacing w:val="-14"/>
              </w:rPr>
              <w:t xml:space="preserve"> </w:t>
            </w:r>
            <w:r w:rsidRPr="00321BBC">
              <w:rPr>
                <w:rFonts w:ascii="Times New Roman" w:hAnsi="Times New Roman" w:cs="Times New Roman"/>
              </w:rPr>
              <w:t>for</w:t>
            </w:r>
            <w:r w:rsidRPr="00321BBC">
              <w:rPr>
                <w:rFonts w:ascii="Times New Roman" w:hAnsi="Times New Roman" w:cs="Times New Roman"/>
                <w:spacing w:val="-15"/>
              </w:rPr>
              <w:t xml:space="preserve"> </w:t>
            </w:r>
            <w:r w:rsidRPr="00321BBC">
              <w:rPr>
                <w:rFonts w:ascii="Times New Roman" w:hAnsi="Times New Roman" w:cs="Times New Roman"/>
              </w:rPr>
              <w:t>discriminating</w:t>
            </w:r>
            <w:r w:rsidRPr="00321BBC">
              <w:rPr>
                <w:rFonts w:ascii="Times New Roman" w:hAnsi="Times New Roman" w:cs="Times New Roman"/>
                <w:spacing w:val="-16"/>
              </w:rPr>
              <w:t xml:space="preserve"> </w:t>
            </w:r>
            <w:r w:rsidRPr="00321BBC">
              <w:rPr>
                <w:rFonts w:ascii="Times New Roman" w:hAnsi="Times New Roman" w:cs="Times New Roman"/>
              </w:rPr>
              <w:t>skipjack</w:t>
            </w:r>
            <w:r w:rsidRPr="00321BBC">
              <w:rPr>
                <w:rFonts w:ascii="Times New Roman" w:hAnsi="Times New Roman" w:cs="Times New Roman"/>
                <w:spacing w:val="-14"/>
              </w:rPr>
              <w:t xml:space="preserve"> </w:t>
            </w:r>
            <w:r w:rsidRPr="00321BBC">
              <w:rPr>
                <w:rFonts w:ascii="Times New Roman" w:hAnsi="Times New Roman" w:cs="Times New Roman"/>
              </w:rPr>
              <w:t>from other species, if not yet routinely using commercial fishing equipment. However, there is a need to identify signals that discriminate other species within the WCPO, building on existing work by ISSF in this</w:t>
            </w:r>
            <w:r w:rsidRPr="00321BBC">
              <w:rPr>
                <w:rFonts w:ascii="Times New Roman" w:hAnsi="Times New Roman" w:cs="Times New Roman"/>
                <w:spacing w:val="-27"/>
              </w:rPr>
              <w:t xml:space="preserve"> </w:t>
            </w:r>
            <w:r w:rsidRPr="00321BBC">
              <w:rPr>
                <w:rFonts w:ascii="Times New Roman" w:hAnsi="Times New Roman" w:cs="Times New Roman"/>
              </w:rPr>
              <w:t>area.</w:t>
            </w:r>
          </w:p>
          <w:p w14:paraId="6E7C7AF4" w14:textId="77777777" w:rsidR="0021261B" w:rsidRPr="00321BBC" w:rsidRDefault="0021261B" w:rsidP="0074425A">
            <w:pPr>
              <w:pStyle w:val="TableParagraph"/>
              <w:numPr>
                <w:ilvl w:val="0"/>
                <w:numId w:val="110"/>
              </w:numPr>
              <w:tabs>
                <w:tab w:val="left" w:pos="420"/>
              </w:tabs>
              <w:adjustRightInd w:val="0"/>
              <w:snapToGrid w:val="0"/>
              <w:ind w:right="104"/>
              <w:rPr>
                <w:rFonts w:ascii="Times New Roman" w:hAnsi="Times New Roman" w:cs="Times New Roman"/>
              </w:rPr>
            </w:pPr>
            <w:r w:rsidRPr="00321BBC">
              <w:rPr>
                <w:rFonts w:ascii="Times New Roman" w:hAnsi="Times New Roman" w:cs="Times New Roman"/>
              </w:rPr>
              <w:t>Acoustic</w:t>
            </w:r>
            <w:r w:rsidRPr="00321BBC">
              <w:rPr>
                <w:rFonts w:ascii="Times New Roman" w:hAnsi="Times New Roman" w:cs="Times New Roman"/>
                <w:spacing w:val="-14"/>
              </w:rPr>
              <w:t xml:space="preserve"> </w:t>
            </w:r>
            <w:r w:rsidRPr="00321BBC">
              <w:rPr>
                <w:rFonts w:ascii="Times New Roman" w:hAnsi="Times New Roman" w:cs="Times New Roman"/>
              </w:rPr>
              <w:t>information</w:t>
            </w:r>
            <w:r w:rsidRPr="00321BBC">
              <w:rPr>
                <w:rFonts w:ascii="Times New Roman" w:hAnsi="Times New Roman" w:cs="Times New Roman"/>
                <w:spacing w:val="-13"/>
              </w:rPr>
              <w:t xml:space="preserve"> </w:t>
            </w:r>
            <w:r w:rsidRPr="00321BBC">
              <w:rPr>
                <w:rFonts w:ascii="Times New Roman" w:hAnsi="Times New Roman" w:cs="Times New Roman"/>
              </w:rPr>
              <w:t>has</w:t>
            </w:r>
            <w:r w:rsidRPr="00321BBC">
              <w:rPr>
                <w:rFonts w:ascii="Times New Roman" w:hAnsi="Times New Roman" w:cs="Times New Roman"/>
                <w:spacing w:val="-13"/>
              </w:rPr>
              <w:t xml:space="preserve"> </w:t>
            </w:r>
            <w:r w:rsidRPr="00321BBC">
              <w:rPr>
                <w:rFonts w:ascii="Times New Roman" w:hAnsi="Times New Roman" w:cs="Times New Roman"/>
              </w:rPr>
              <w:t>also</w:t>
            </w:r>
            <w:r w:rsidRPr="00321BBC">
              <w:rPr>
                <w:rFonts w:ascii="Times New Roman" w:hAnsi="Times New Roman" w:cs="Times New Roman"/>
                <w:spacing w:val="-11"/>
              </w:rPr>
              <w:t xml:space="preserve"> </w:t>
            </w:r>
            <w:r w:rsidRPr="00321BBC">
              <w:rPr>
                <w:rFonts w:ascii="Times New Roman" w:hAnsi="Times New Roman" w:cs="Times New Roman"/>
              </w:rPr>
              <w:t>suggested</w:t>
            </w:r>
            <w:r w:rsidRPr="00321BBC">
              <w:rPr>
                <w:rFonts w:ascii="Times New Roman" w:hAnsi="Times New Roman" w:cs="Times New Roman"/>
                <w:spacing w:val="-13"/>
              </w:rPr>
              <w:t xml:space="preserve"> </w:t>
            </w:r>
            <w:r w:rsidRPr="00321BBC">
              <w:rPr>
                <w:rFonts w:ascii="Times New Roman" w:hAnsi="Times New Roman" w:cs="Times New Roman"/>
              </w:rPr>
              <w:t>some</w:t>
            </w:r>
            <w:r w:rsidRPr="00321BBC">
              <w:rPr>
                <w:rFonts w:ascii="Times New Roman" w:hAnsi="Times New Roman" w:cs="Times New Roman"/>
                <w:spacing w:val="-12"/>
              </w:rPr>
              <w:t xml:space="preserve"> </w:t>
            </w:r>
            <w:r w:rsidRPr="00321BBC">
              <w:rPr>
                <w:rFonts w:ascii="Times New Roman" w:hAnsi="Times New Roman" w:cs="Times New Roman"/>
              </w:rPr>
              <w:t>ability</w:t>
            </w:r>
            <w:r w:rsidRPr="00321BBC">
              <w:rPr>
                <w:rFonts w:ascii="Times New Roman" w:hAnsi="Times New Roman" w:cs="Times New Roman"/>
                <w:spacing w:val="-14"/>
              </w:rPr>
              <w:t xml:space="preserve"> </w:t>
            </w:r>
            <w:r w:rsidRPr="00321BBC">
              <w:rPr>
                <w:rFonts w:ascii="Times New Roman" w:hAnsi="Times New Roman" w:cs="Times New Roman"/>
              </w:rPr>
              <w:t>to</w:t>
            </w:r>
            <w:r w:rsidRPr="00321BBC">
              <w:rPr>
                <w:rFonts w:ascii="Times New Roman" w:hAnsi="Times New Roman" w:cs="Times New Roman"/>
                <w:spacing w:val="-11"/>
              </w:rPr>
              <w:t xml:space="preserve"> </w:t>
            </w:r>
            <w:r w:rsidRPr="00321BBC">
              <w:rPr>
                <w:rFonts w:ascii="Times New Roman" w:hAnsi="Times New Roman" w:cs="Times New Roman"/>
              </w:rPr>
              <w:t>differentiate</w:t>
            </w:r>
            <w:r w:rsidRPr="00321BBC">
              <w:rPr>
                <w:rFonts w:ascii="Times New Roman" w:hAnsi="Times New Roman" w:cs="Times New Roman"/>
                <w:spacing w:val="-15"/>
              </w:rPr>
              <w:t xml:space="preserve"> </w:t>
            </w:r>
            <w:r w:rsidRPr="00321BBC">
              <w:rPr>
                <w:rFonts w:ascii="Times New Roman" w:hAnsi="Times New Roman" w:cs="Times New Roman"/>
              </w:rPr>
              <w:t>fish sizes.</w:t>
            </w:r>
          </w:p>
          <w:p w14:paraId="3885E28B" w14:textId="77777777" w:rsidR="0021261B" w:rsidRPr="00321BBC" w:rsidRDefault="0021261B" w:rsidP="0074425A">
            <w:pPr>
              <w:pStyle w:val="TableParagraph"/>
              <w:numPr>
                <w:ilvl w:val="0"/>
                <w:numId w:val="110"/>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The acquisition of acoustic FAD data has the potential to provide</w:t>
            </w:r>
            <w:r w:rsidRPr="00321BBC">
              <w:rPr>
                <w:rFonts w:ascii="Times New Roman" w:hAnsi="Times New Roman" w:cs="Times New Roman"/>
                <w:spacing w:val="-27"/>
              </w:rPr>
              <w:t xml:space="preserve"> </w:t>
            </w:r>
            <w:r w:rsidRPr="00321BBC">
              <w:rPr>
                <w:rFonts w:ascii="Times New Roman" w:hAnsi="Times New Roman" w:cs="Times New Roman"/>
              </w:rPr>
              <w:t>insight into dynamics of the interaction between tuna and</w:t>
            </w:r>
            <w:r w:rsidRPr="00321BBC">
              <w:rPr>
                <w:rFonts w:ascii="Times New Roman" w:hAnsi="Times New Roman" w:cs="Times New Roman"/>
                <w:spacing w:val="-17"/>
              </w:rPr>
              <w:t xml:space="preserve"> </w:t>
            </w:r>
            <w:r w:rsidRPr="00321BBC">
              <w:rPr>
                <w:rFonts w:ascii="Times New Roman" w:hAnsi="Times New Roman" w:cs="Times New Roman"/>
              </w:rPr>
              <w:t>FADs.</w:t>
            </w:r>
          </w:p>
          <w:p w14:paraId="0350CABD" w14:textId="77777777" w:rsidR="0021261B" w:rsidRPr="00321BBC" w:rsidRDefault="0021261B" w:rsidP="0074425A">
            <w:pPr>
              <w:pStyle w:val="TableParagraph"/>
              <w:numPr>
                <w:ilvl w:val="0"/>
                <w:numId w:val="110"/>
              </w:numPr>
              <w:tabs>
                <w:tab w:val="left" w:pos="420"/>
              </w:tabs>
              <w:adjustRightInd w:val="0"/>
              <w:snapToGrid w:val="0"/>
              <w:ind w:right="100"/>
              <w:rPr>
                <w:rFonts w:ascii="Times New Roman" w:hAnsi="Times New Roman" w:cs="Times New Roman"/>
              </w:rPr>
            </w:pPr>
            <w:r w:rsidRPr="00321BBC">
              <w:rPr>
                <w:rFonts w:ascii="Times New Roman" w:hAnsi="Times New Roman" w:cs="Times New Roman"/>
              </w:rPr>
              <w:t>Information could inform FAD design options, FAD deployment, remote identification of size and abundance of tuna under echo-sounder- equipped FADs, and spatial management</w:t>
            </w:r>
            <w:r w:rsidRPr="00321BBC">
              <w:rPr>
                <w:rFonts w:ascii="Times New Roman" w:hAnsi="Times New Roman" w:cs="Times New Roman"/>
                <w:spacing w:val="-21"/>
              </w:rPr>
              <w:t xml:space="preserve"> </w:t>
            </w:r>
            <w:r w:rsidRPr="00321BBC">
              <w:rPr>
                <w:rFonts w:ascii="Times New Roman" w:hAnsi="Times New Roman" w:cs="Times New Roman"/>
              </w:rPr>
              <w:t>considerations.</w:t>
            </w:r>
          </w:p>
          <w:p w14:paraId="4D7E58C6" w14:textId="77777777" w:rsidR="0021261B" w:rsidRPr="00321BBC" w:rsidRDefault="0021261B" w:rsidP="0074425A">
            <w:pPr>
              <w:pStyle w:val="TableParagraph"/>
              <w:numPr>
                <w:ilvl w:val="0"/>
                <w:numId w:val="110"/>
              </w:numPr>
              <w:tabs>
                <w:tab w:val="left" w:pos="420"/>
              </w:tabs>
              <w:adjustRightInd w:val="0"/>
              <w:snapToGrid w:val="0"/>
              <w:ind w:right="106"/>
              <w:rPr>
                <w:rFonts w:ascii="Times New Roman" w:hAnsi="Times New Roman" w:cs="Times New Roman"/>
              </w:rPr>
            </w:pPr>
            <w:r w:rsidRPr="00321BBC">
              <w:rPr>
                <w:rFonts w:ascii="Times New Roman" w:hAnsi="Times New Roman" w:cs="Times New Roman"/>
              </w:rPr>
              <w:t>Incentivising limiting setting activity to only FADs with large biomass could reduce the proportion of non-target species</w:t>
            </w:r>
            <w:r w:rsidRPr="00321BBC">
              <w:rPr>
                <w:rFonts w:ascii="Times New Roman" w:hAnsi="Times New Roman" w:cs="Times New Roman"/>
                <w:spacing w:val="-16"/>
              </w:rPr>
              <w:t xml:space="preserve"> </w:t>
            </w:r>
            <w:r w:rsidRPr="00321BBC">
              <w:rPr>
                <w:rFonts w:ascii="Times New Roman" w:hAnsi="Times New Roman" w:cs="Times New Roman"/>
              </w:rPr>
              <w:t>caught.</w:t>
            </w:r>
          </w:p>
          <w:p w14:paraId="032092E8" w14:textId="013BB5F7" w:rsidR="0021261B" w:rsidRPr="00321BBC" w:rsidRDefault="0021261B" w:rsidP="00D35815">
            <w:pPr>
              <w:pStyle w:val="TableParagraph"/>
              <w:numPr>
                <w:ilvl w:val="0"/>
                <w:numId w:val="110"/>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In addition, acoustic FAD data could provide ‘ground truthing’ for the effective soak time of FADs, stock assessment biomass estimates (see SC12-SA-IP-14), FAD density effects on movement and catch rates of target</w:t>
            </w:r>
            <w:r w:rsidRPr="00321BBC">
              <w:rPr>
                <w:rFonts w:ascii="Times New Roman" w:hAnsi="Times New Roman" w:cs="Times New Roman"/>
                <w:spacing w:val="-8"/>
              </w:rPr>
              <w:t xml:space="preserve"> </w:t>
            </w:r>
            <w:r w:rsidRPr="00321BBC">
              <w:rPr>
                <w:rFonts w:ascii="Times New Roman" w:hAnsi="Times New Roman" w:cs="Times New Roman"/>
              </w:rPr>
              <w:t>spp.</w:t>
            </w:r>
          </w:p>
        </w:tc>
      </w:tr>
      <w:tr w:rsidR="0021261B" w:rsidRPr="00321BBC" w14:paraId="10D8D3FB" w14:textId="77777777" w:rsidTr="00B738F6">
        <w:tc>
          <w:tcPr>
            <w:tcW w:w="900" w:type="pct"/>
          </w:tcPr>
          <w:p w14:paraId="732FDB03"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Assumptions</w:t>
            </w:r>
          </w:p>
        </w:tc>
        <w:tc>
          <w:tcPr>
            <w:tcW w:w="4100" w:type="pct"/>
          </w:tcPr>
          <w:p w14:paraId="0DF20511" w14:textId="7A46AB5B" w:rsidR="0021261B" w:rsidRPr="00321BBC" w:rsidRDefault="0021261B" w:rsidP="0074425A">
            <w:pPr>
              <w:pStyle w:val="TableParagraph"/>
              <w:numPr>
                <w:ilvl w:val="0"/>
                <w:numId w:val="109"/>
              </w:numPr>
              <w:tabs>
                <w:tab w:val="left" w:pos="420"/>
              </w:tabs>
              <w:adjustRightInd w:val="0"/>
              <w:snapToGrid w:val="0"/>
              <w:ind w:right="104"/>
              <w:rPr>
                <w:rFonts w:ascii="Times New Roman" w:hAnsi="Times New Roman" w:cs="Times New Roman"/>
              </w:rPr>
            </w:pPr>
            <w:r w:rsidRPr="00321BBC">
              <w:rPr>
                <w:rFonts w:ascii="Times New Roman" w:hAnsi="Times New Roman" w:cs="Times New Roman"/>
              </w:rPr>
              <w:t>There is a consistent relationship between biomass levels on FADs and</w:t>
            </w:r>
            <w:r w:rsidR="00444E27">
              <w:rPr>
                <w:rFonts w:ascii="Times New Roman" w:hAnsi="Times New Roman" w:cs="Times New Roman"/>
              </w:rPr>
              <w:t xml:space="preserve"> </w:t>
            </w:r>
            <w:r w:rsidRPr="00321BBC">
              <w:rPr>
                <w:rFonts w:ascii="Times New Roman" w:hAnsi="Times New Roman" w:cs="Times New Roman"/>
              </w:rPr>
              <w:t>tuna species composition across the WCPO, as indicated in Lawson (2008),</w:t>
            </w:r>
            <w:r w:rsidRPr="00321BBC">
              <w:rPr>
                <w:rFonts w:ascii="Times New Roman" w:hAnsi="Times New Roman" w:cs="Times New Roman"/>
                <w:spacing w:val="-15"/>
              </w:rPr>
              <w:t xml:space="preserve"> </w:t>
            </w:r>
            <w:r w:rsidRPr="00321BBC">
              <w:rPr>
                <w:rFonts w:ascii="Times New Roman" w:hAnsi="Times New Roman" w:cs="Times New Roman"/>
              </w:rPr>
              <w:t>SC</w:t>
            </w:r>
            <w:r w:rsidR="00D35815">
              <w:rPr>
                <w:rFonts w:ascii="Times New Roman" w:eastAsiaTheme="minorEastAsia" w:hAnsi="Times New Roman" w:cs="Times New Roman" w:hint="eastAsia"/>
                <w:lang w:eastAsia="ko-KR"/>
              </w:rPr>
              <w:t>0</w:t>
            </w:r>
            <w:r w:rsidRPr="00321BBC">
              <w:rPr>
                <w:rFonts w:ascii="Times New Roman" w:hAnsi="Times New Roman" w:cs="Times New Roman"/>
              </w:rPr>
              <w:t>4-ST-WP</w:t>
            </w:r>
            <w:r w:rsidR="00D35815">
              <w:rPr>
                <w:rFonts w:ascii="Times New Roman" w:eastAsiaTheme="minorEastAsia" w:hAnsi="Times New Roman" w:cs="Times New Roman" w:hint="eastAsia"/>
                <w:lang w:eastAsia="ko-KR"/>
              </w:rPr>
              <w:t>-0</w:t>
            </w:r>
            <w:r w:rsidRPr="00321BBC">
              <w:rPr>
                <w:rFonts w:ascii="Times New Roman" w:hAnsi="Times New Roman" w:cs="Times New Roman"/>
              </w:rPr>
              <w:t>3.</w:t>
            </w:r>
          </w:p>
          <w:p w14:paraId="18B92423" w14:textId="77777777" w:rsidR="0021261B" w:rsidRPr="00321BBC" w:rsidRDefault="0021261B" w:rsidP="0074425A">
            <w:pPr>
              <w:pStyle w:val="TableParagraph"/>
              <w:numPr>
                <w:ilvl w:val="0"/>
                <w:numId w:val="109"/>
              </w:numPr>
              <w:tabs>
                <w:tab w:val="left" w:pos="420"/>
              </w:tabs>
              <w:adjustRightInd w:val="0"/>
              <w:snapToGrid w:val="0"/>
              <w:ind w:right="102"/>
              <w:rPr>
                <w:rFonts w:ascii="Times New Roman" w:hAnsi="Times New Roman" w:cs="Times New Roman"/>
              </w:rPr>
            </w:pPr>
            <w:r w:rsidRPr="00321BBC">
              <w:rPr>
                <w:rFonts w:ascii="Times New Roman" w:hAnsi="Times New Roman" w:cs="Times New Roman"/>
              </w:rPr>
              <w:t>Biomass can be accurately assessed through acoustic buoys, noting that it depends on the equipment used, environmental conditions and the interpretational skills of the</w:t>
            </w:r>
            <w:r w:rsidRPr="00321BBC">
              <w:rPr>
                <w:rFonts w:ascii="Times New Roman" w:hAnsi="Times New Roman" w:cs="Times New Roman"/>
                <w:spacing w:val="-6"/>
              </w:rPr>
              <w:t xml:space="preserve"> </w:t>
            </w:r>
            <w:r w:rsidRPr="00321BBC">
              <w:rPr>
                <w:rFonts w:ascii="Times New Roman" w:hAnsi="Times New Roman" w:cs="Times New Roman"/>
              </w:rPr>
              <w:t>user.</w:t>
            </w:r>
          </w:p>
          <w:p w14:paraId="11AC06B8" w14:textId="77777777" w:rsidR="0021261B" w:rsidRPr="00321BBC" w:rsidRDefault="0021261B" w:rsidP="0074425A">
            <w:pPr>
              <w:pStyle w:val="TableParagraph"/>
              <w:numPr>
                <w:ilvl w:val="0"/>
                <w:numId w:val="109"/>
              </w:numPr>
              <w:tabs>
                <w:tab w:val="left" w:pos="420"/>
              </w:tabs>
              <w:adjustRightInd w:val="0"/>
              <w:snapToGrid w:val="0"/>
              <w:ind w:right="101"/>
              <w:rPr>
                <w:rFonts w:ascii="Times New Roman" w:hAnsi="Times New Roman" w:cs="Times New Roman"/>
              </w:rPr>
            </w:pPr>
            <w:r w:rsidRPr="00321BBC">
              <w:rPr>
                <w:rFonts w:ascii="Times New Roman" w:hAnsi="Times New Roman" w:cs="Times New Roman"/>
              </w:rPr>
              <w:t>Existing acoustic information can be made available for analysis, combined with sufficient information to relate that information to a setting</w:t>
            </w:r>
            <w:r w:rsidRPr="00321BBC">
              <w:rPr>
                <w:rFonts w:ascii="Times New Roman" w:hAnsi="Times New Roman" w:cs="Times New Roman"/>
                <w:spacing w:val="-5"/>
              </w:rPr>
              <w:t xml:space="preserve"> </w:t>
            </w:r>
            <w:r w:rsidRPr="00321BBC">
              <w:rPr>
                <w:rFonts w:ascii="Times New Roman" w:hAnsi="Times New Roman" w:cs="Times New Roman"/>
              </w:rPr>
              <w:t>event.</w:t>
            </w:r>
          </w:p>
          <w:p w14:paraId="0F8A7692" w14:textId="77777777" w:rsidR="0021261B" w:rsidRPr="00321BBC" w:rsidRDefault="0021261B" w:rsidP="0074425A">
            <w:pPr>
              <w:pStyle w:val="TableParagraph"/>
              <w:numPr>
                <w:ilvl w:val="0"/>
                <w:numId w:val="109"/>
              </w:numPr>
              <w:tabs>
                <w:tab w:val="left" w:pos="420"/>
              </w:tabs>
              <w:adjustRightInd w:val="0"/>
              <w:snapToGrid w:val="0"/>
              <w:ind w:right="103"/>
              <w:rPr>
                <w:rFonts w:ascii="Times New Roman" w:hAnsi="Times New Roman" w:cs="Times New Roman"/>
              </w:rPr>
            </w:pPr>
            <w:r w:rsidRPr="00321BBC">
              <w:rPr>
                <w:rFonts w:ascii="Times New Roman" w:hAnsi="Times New Roman" w:cs="Times New Roman"/>
              </w:rPr>
              <w:t>Target</w:t>
            </w:r>
            <w:r w:rsidRPr="00321BBC">
              <w:rPr>
                <w:rFonts w:ascii="Times New Roman" w:hAnsi="Times New Roman" w:cs="Times New Roman"/>
                <w:spacing w:val="-7"/>
              </w:rPr>
              <w:t xml:space="preserve"> </w:t>
            </w:r>
            <w:r w:rsidRPr="00321BBC">
              <w:rPr>
                <w:rFonts w:ascii="Times New Roman" w:hAnsi="Times New Roman" w:cs="Times New Roman"/>
              </w:rPr>
              <w:t>strength</w:t>
            </w:r>
            <w:r w:rsidRPr="00321BBC">
              <w:rPr>
                <w:rFonts w:ascii="Times New Roman" w:hAnsi="Times New Roman" w:cs="Times New Roman"/>
                <w:spacing w:val="-8"/>
              </w:rPr>
              <w:t xml:space="preserve"> </w:t>
            </w:r>
            <w:r w:rsidRPr="00321BBC">
              <w:rPr>
                <w:rFonts w:ascii="Times New Roman" w:hAnsi="Times New Roman" w:cs="Times New Roman"/>
              </w:rPr>
              <w:t>information</w:t>
            </w:r>
            <w:r w:rsidRPr="00321BBC">
              <w:rPr>
                <w:rFonts w:ascii="Times New Roman" w:hAnsi="Times New Roman" w:cs="Times New Roman"/>
                <w:spacing w:val="-6"/>
              </w:rPr>
              <w:t xml:space="preserve"> </w:t>
            </w:r>
            <w:r w:rsidRPr="00321BBC">
              <w:rPr>
                <w:rFonts w:ascii="Times New Roman" w:hAnsi="Times New Roman" w:cs="Times New Roman"/>
              </w:rPr>
              <w:t>from</w:t>
            </w:r>
            <w:r w:rsidRPr="00321BBC">
              <w:rPr>
                <w:rFonts w:ascii="Times New Roman" w:hAnsi="Times New Roman" w:cs="Times New Roman"/>
                <w:spacing w:val="-7"/>
              </w:rPr>
              <w:t xml:space="preserve"> </w:t>
            </w:r>
            <w:r w:rsidRPr="00321BBC">
              <w:rPr>
                <w:rFonts w:ascii="Times New Roman" w:hAnsi="Times New Roman" w:cs="Times New Roman"/>
              </w:rPr>
              <w:t>other</w:t>
            </w:r>
            <w:r w:rsidRPr="00321BBC">
              <w:rPr>
                <w:rFonts w:ascii="Times New Roman" w:hAnsi="Times New Roman" w:cs="Times New Roman"/>
                <w:spacing w:val="-5"/>
              </w:rPr>
              <w:t xml:space="preserve"> </w:t>
            </w:r>
            <w:r w:rsidRPr="00321BBC">
              <w:rPr>
                <w:rFonts w:ascii="Times New Roman" w:hAnsi="Times New Roman" w:cs="Times New Roman"/>
              </w:rPr>
              <w:t>studies</w:t>
            </w:r>
            <w:r w:rsidRPr="00321BBC">
              <w:rPr>
                <w:rFonts w:ascii="Times New Roman" w:hAnsi="Times New Roman" w:cs="Times New Roman"/>
                <w:spacing w:val="-5"/>
              </w:rPr>
              <w:t xml:space="preserve"> </w:t>
            </w:r>
            <w:r w:rsidRPr="00321BBC">
              <w:rPr>
                <w:rFonts w:ascii="Times New Roman" w:hAnsi="Times New Roman" w:cs="Times New Roman"/>
              </w:rPr>
              <w:t>is</w:t>
            </w:r>
            <w:r w:rsidRPr="00321BBC">
              <w:rPr>
                <w:rFonts w:ascii="Times New Roman" w:hAnsi="Times New Roman" w:cs="Times New Roman"/>
                <w:spacing w:val="-8"/>
              </w:rPr>
              <w:t xml:space="preserve"> </w:t>
            </w:r>
            <w:r w:rsidRPr="00321BBC">
              <w:rPr>
                <w:rFonts w:ascii="Times New Roman" w:hAnsi="Times New Roman" w:cs="Times New Roman"/>
              </w:rPr>
              <w:t>sufficiently</w:t>
            </w:r>
            <w:r w:rsidRPr="00321BBC">
              <w:rPr>
                <w:rFonts w:ascii="Times New Roman" w:hAnsi="Times New Roman" w:cs="Times New Roman"/>
                <w:spacing w:val="-7"/>
              </w:rPr>
              <w:t xml:space="preserve"> </w:t>
            </w:r>
            <w:r w:rsidRPr="00321BBC">
              <w:rPr>
                <w:rFonts w:ascii="Times New Roman" w:hAnsi="Times New Roman" w:cs="Times New Roman"/>
              </w:rPr>
              <w:t>robust</w:t>
            </w:r>
            <w:r w:rsidRPr="00321BBC">
              <w:rPr>
                <w:rFonts w:ascii="Times New Roman" w:hAnsi="Times New Roman" w:cs="Times New Roman"/>
                <w:spacing w:val="-5"/>
              </w:rPr>
              <w:t xml:space="preserve"> </w:t>
            </w:r>
            <w:r w:rsidRPr="00321BBC">
              <w:rPr>
                <w:rFonts w:ascii="Times New Roman" w:hAnsi="Times New Roman" w:cs="Times New Roman"/>
              </w:rPr>
              <w:t>and comparable to that in the WCPO that it can be used</w:t>
            </w:r>
            <w:r w:rsidRPr="00321BBC">
              <w:rPr>
                <w:rFonts w:ascii="Times New Roman" w:hAnsi="Times New Roman" w:cs="Times New Roman"/>
                <w:spacing w:val="-10"/>
              </w:rPr>
              <w:t xml:space="preserve"> </w:t>
            </w:r>
            <w:r w:rsidRPr="00321BBC">
              <w:rPr>
                <w:rFonts w:ascii="Times New Roman" w:hAnsi="Times New Roman" w:cs="Times New Roman"/>
              </w:rPr>
              <w:t>directly.</w:t>
            </w:r>
          </w:p>
          <w:p w14:paraId="4DF37B95" w14:textId="77777777" w:rsidR="0021261B" w:rsidRPr="00321BBC" w:rsidRDefault="0021261B" w:rsidP="0074425A">
            <w:pPr>
              <w:pStyle w:val="TableParagraph"/>
              <w:numPr>
                <w:ilvl w:val="0"/>
                <w:numId w:val="109"/>
              </w:numPr>
              <w:tabs>
                <w:tab w:val="left" w:pos="420"/>
              </w:tabs>
              <w:adjustRightInd w:val="0"/>
              <w:snapToGrid w:val="0"/>
              <w:ind w:right="99"/>
              <w:rPr>
                <w:rFonts w:ascii="Times New Roman" w:hAnsi="Times New Roman" w:cs="Times New Roman"/>
              </w:rPr>
            </w:pPr>
            <w:r w:rsidRPr="00321BBC">
              <w:rPr>
                <w:rFonts w:ascii="Times New Roman" w:hAnsi="Times New Roman" w:cs="Times New Roman"/>
              </w:rPr>
              <w:t>The</w:t>
            </w:r>
            <w:r w:rsidRPr="00321BBC">
              <w:rPr>
                <w:rFonts w:ascii="Times New Roman" w:hAnsi="Times New Roman" w:cs="Times New Roman"/>
                <w:spacing w:val="-6"/>
              </w:rPr>
              <w:t xml:space="preserve"> </w:t>
            </w:r>
            <w:r w:rsidRPr="00321BBC">
              <w:rPr>
                <w:rFonts w:ascii="Times New Roman" w:hAnsi="Times New Roman" w:cs="Times New Roman"/>
              </w:rPr>
              <w:t>analysis</w:t>
            </w:r>
            <w:r w:rsidRPr="00321BBC">
              <w:rPr>
                <w:rFonts w:ascii="Times New Roman" w:hAnsi="Times New Roman" w:cs="Times New Roman"/>
                <w:spacing w:val="-7"/>
              </w:rPr>
              <w:t xml:space="preserve"> </w:t>
            </w:r>
            <w:r w:rsidRPr="00321BBC">
              <w:rPr>
                <w:rFonts w:ascii="Times New Roman" w:hAnsi="Times New Roman" w:cs="Times New Roman"/>
              </w:rPr>
              <w:t>can</w:t>
            </w:r>
            <w:r w:rsidRPr="00321BBC">
              <w:rPr>
                <w:rFonts w:ascii="Times New Roman" w:hAnsi="Times New Roman" w:cs="Times New Roman"/>
                <w:spacing w:val="-7"/>
              </w:rPr>
              <w:t xml:space="preserve"> </w:t>
            </w:r>
            <w:r w:rsidRPr="00321BBC">
              <w:rPr>
                <w:rFonts w:ascii="Times New Roman" w:hAnsi="Times New Roman" w:cs="Times New Roman"/>
              </w:rPr>
              <w:t>be</w:t>
            </w:r>
            <w:r w:rsidRPr="00321BBC">
              <w:rPr>
                <w:rFonts w:ascii="Times New Roman" w:hAnsi="Times New Roman" w:cs="Times New Roman"/>
                <w:spacing w:val="-6"/>
              </w:rPr>
              <w:t xml:space="preserve"> </w:t>
            </w:r>
            <w:r w:rsidRPr="00321BBC">
              <w:rPr>
                <w:rFonts w:ascii="Times New Roman" w:hAnsi="Times New Roman" w:cs="Times New Roman"/>
              </w:rPr>
              <w:t>undertaken</w:t>
            </w:r>
            <w:r w:rsidRPr="00321BBC">
              <w:rPr>
                <w:rFonts w:ascii="Times New Roman" w:hAnsi="Times New Roman" w:cs="Times New Roman"/>
                <w:spacing w:val="-9"/>
              </w:rPr>
              <w:t xml:space="preserve"> </w:t>
            </w:r>
            <w:r w:rsidRPr="00321BBC">
              <w:rPr>
                <w:rFonts w:ascii="Times New Roman" w:hAnsi="Times New Roman" w:cs="Times New Roman"/>
              </w:rPr>
              <w:t>over</w:t>
            </w:r>
            <w:r w:rsidRPr="00321BBC">
              <w:rPr>
                <w:rFonts w:ascii="Times New Roman" w:hAnsi="Times New Roman" w:cs="Times New Roman"/>
                <w:spacing w:val="-7"/>
              </w:rPr>
              <w:t xml:space="preserve"> </w:t>
            </w:r>
            <w:r w:rsidRPr="00321BBC">
              <w:rPr>
                <w:rFonts w:ascii="Times New Roman" w:hAnsi="Times New Roman" w:cs="Times New Roman"/>
              </w:rPr>
              <w:t>sufficient</w:t>
            </w:r>
            <w:r w:rsidRPr="00321BBC">
              <w:rPr>
                <w:rFonts w:ascii="Times New Roman" w:hAnsi="Times New Roman" w:cs="Times New Roman"/>
                <w:spacing w:val="-7"/>
              </w:rPr>
              <w:t xml:space="preserve"> </w:t>
            </w:r>
            <w:r w:rsidRPr="00321BBC">
              <w:rPr>
                <w:rFonts w:ascii="Times New Roman" w:hAnsi="Times New Roman" w:cs="Times New Roman"/>
              </w:rPr>
              <w:t>space/time</w:t>
            </w:r>
            <w:r w:rsidRPr="00321BBC">
              <w:rPr>
                <w:rFonts w:ascii="Times New Roman" w:hAnsi="Times New Roman" w:cs="Times New Roman"/>
                <w:spacing w:val="-8"/>
              </w:rPr>
              <w:t xml:space="preserve"> </w:t>
            </w:r>
            <w:r w:rsidRPr="00321BBC">
              <w:rPr>
                <w:rFonts w:ascii="Times New Roman" w:hAnsi="Times New Roman" w:cs="Times New Roman"/>
              </w:rPr>
              <w:t>to</w:t>
            </w:r>
            <w:r w:rsidRPr="00321BBC">
              <w:rPr>
                <w:rFonts w:ascii="Times New Roman" w:hAnsi="Times New Roman" w:cs="Times New Roman"/>
                <w:spacing w:val="-5"/>
              </w:rPr>
              <w:t xml:space="preserve"> </w:t>
            </w:r>
            <w:r w:rsidRPr="00321BBC">
              <w:rPr>
                <w:rFonts w:ascii="Times New Roman" w:hAnsi="Times New Roman" w:cs="Times New Roman"/>
              </w:rPr>
              <w:t>ensure</w:t>
            </w:r>
            <w:r w:rsidRPr="00321BBC">
              <w:rPr>
                <w:rFonts w:ascii="Times New Roman" w:hAnsi="Times New Roman" w:cs="Times New Roman"/>
                <w:spacing w:val="-4"/>
              </w:rPr>
              <w:t xml:space="preserve"> </w:t>
            </w:r>
            <w:r w:rsidRPr="00321BBC">
              <w:rPr>
                <w:rFonts w:ascii="Times New Roman" w:hAnsi="Times New Roman" w:cs="Times New Roman"/>
              </w:rPr>
              <w:t>any influences of those factors can be examined</w:t>
            </w:r>
            <w:r w:rsidRPr="00321BBC">
              <w:rPr>
                <w:rFonts w:ascii="Times New Roman" w:hAnsi="Times New Roman" w:cs="Times New Roman"/>
                <w:spacing w:val="-13"/>
              </w:rPr>
              <w:t xml:space="preserve"> </w:t>
            </w:r>
            <w:r w:rsidRPr="00321BBC">
              <w:rPr>
                <w:rFonts w:ascii="Times New Roman" w:hAnsi="Times New Roman" w:cs="Times New Roman"/>
              </w:rPr>
              <w:t>statistically.</w:t>
            </w:r>
          </w:p>
        </w:tc>
      </w:tr>
      <w:tr w:rsidR="0021261B" w:rsidRPr="00321BBC" w14:paraId="710749D3" w14:textId="77777777" w:rsidTr="00C416B4">
        <w:tc>
          <w:tcPr>
            <w:tcW w:w="900" w:type="pct"/>
          </w:tcPr>
          <w:p w14:paraId="6948F748"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Scope</w:t>
            </w:r>
          </w:p>
        </w:tc>
        <w:tc>
          <w:tcPr>
            <w:tcW w:w="4100" w:type="pct"/>
          </w:tcPr>
          <w:p w14:paraId="2F4380B7" w14:textId="77777777" w:rsidR="0021261B" w:rsidRPr="00321BBC" w:rsidRDefault="0021261B" w:rsidP="0021261B">
            <w:pPr>
              <w:pStyle w:val="TableParagraph"/>
              <w:adjustRightInd w:val="0"/>
              <w:snapToGrid w:val="0"/>
              <w:ind w:right="101"/>
              <w:rPr>
                <w:rFonts w:ascii="Times New Roman" w:hAnsi="Times New Roman" w:cs="Times New Roman"/>
              </w:rPr>
            </w:pPr>
            <w:r w:rsidRPr="00321BBC">
              <w:rPr>
                <w:rFonts w:ascii="Times New Roman" w:hAnsi="Times New Roman" w:cs="Times New Roman"/>
              </w:rPr>
              <w:t>The scope of work is divided into three stages. The ability to undertake the second stage will depend on access to existing data, in particular acoustic biomass estimates, and the ability to relate set-level events to FAD-specific acoustic data.</w:t>
            </w:r>
          </w:p>
          <w:p w14:paraId="4BADB41D"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61E388E3" w14:textId="77777777" w:rsidR="0021261B" w:rsidRPr="00321BBC" w:rsidRDefault="0021261B" w:rsidP="0021261B">
            <w:pPr>
              <w:pStyle w:val="TableParagraph"/>
              <w:adjustRightInd w:val="0"/>
              <w:snapToGrid w:val="0"/>
              <w:ind w:right="101" w:hanging="40"/>
              <w:rPr>
                <w:rFonts w:ascii="Times New Roman" w:hAnsi="Times New Roman" w:cs="Times New Roman"/>
              </w:rPr>
            </w:pPr>
            <w:r w:rsidRPr="00321BBC">
              <w:rPr>
                <w:rFonts w:ascii="Times New Roman" w:hAnsi="Times New Roman" w:cs="Times New Roman"/>
                <w:i/>
              </w:rPr>
              <w:t xml:space="preserve"> Stage 1. Examination of existing data to investigate the relationship between total biomass/catch and the proportion of small bigeye/yellowfin</w:t>
            </w:r>
            <w:r w:rsidRPr="00321BBC">
              <w:rPr>
                <w:rFonts w:ascii="Times New Roman" w:hAnsi="Times New Roman" w:cs="Times New Roman"/>
                <w:i/>
                <w:shd w:val="clear" w:color="auto" w:fill="FDE67E"/>
              </w:rPr>
              <w:t xml:space="preserve"> </w:t>
            </w:r>
            <w:r w:rsidRPr="00321BBC">
              <w:rPr>
                <w:rFonts w:ascii="Times New Roman" w:hAnsi="Times New Roman" w:cs="Times New Roman"/>
              </w:rPr>
              <w:t>Based upon existing combined logsheet/observer data from FAD sets, investigate  the  relationship  between  total  biomass/catch  size  and   the</w:t>
            </w:r>
          </w:p>
        </w:tc>
      </w:tr>
      <w:tr w:rsidR="0021261B" w:rsidRPr="00321BBC" w14:paraId="33820C07" w14:textId="77777777" w:rsidTr="00C416B4">
        <w:tc>
          <w:tcPr>
            <w:tcW w:w="900" w:type="pct"/>
          </w:tcPr>
          <w:p w14:paraId="2C91C70E" w14:textId="77777777" w:rsidR="0021261B" w:rsidRPr="00321BBC" w:rsidRDefault="0021261B" w:rsidP="0021261B">
            <w:pPr>
              <w:adjustRightInd w:val="0"/>
              <w:snapToGrid w:val="0"/>
              <w:spacing w:after="0"/>
              <w:rPr>
                <w:rFonts w:ascii="Times New Roman" w:hAnsi="Times New Roman" w:cs="Times New Roman"/>
              </w:rPr>
            </w:pPr>
          </w:p>
        </w:tc>
        <w:tc>
          <w:tcPr>
            <w:tcW w:w="4100" w:type="pct"/>
          </w:tcPr>
          <w:p w14:paraId="6F8E2486" w14:textId="77777777" w:rsidR="0021261B" w:rsidRPr="00321BBC" w:rsidRDefault="0021261B" w:rsidP="0021261B">
            <w:pPr>
              <w:pStyle w:val="TableParagraph"/>
              <w:adjustRightInd w:val="0"/>
              <w:snapToGrid w:val="0"/>
              <w:ind w:right="99"/>
              <w:rPr>
                <w:rFonts w:ascii="Times New Roman" w:hAnsi="Times New Roman" w:cs="Times New Roman"/>
              </w:rPr>
            </w:pPr>
            <w:proofErr w:type="gramStart"/>
            <w:r w:rsidRPr="00321BBC">
              <w:rPr>
                <w:rFonts w:ascii="Times New Roman" w:hAnsi="Times New Roman" w:cs="Times New Roman"/>
              </w:rPr>
              <w:t>degree</w:t>
            </w:r>
            <w:proofErr w:type="gramEnd"/>
            <w:r w:rsidRPr="00321BBC">
              <w:rPr>
                <w:rFonts w:ascii="Times New Roman" w:hAnsi="Times New Roman" w:cs="Times New Roman"/>
              </w:rPr>
              <w:t xml:space="preserve"> of small bigeye/yellowfin, both spatially and temporally within the WCPO. Based upon these analyses, identify the level of definition required by echo-sounder buoys to render this strategy effective.</w:t>
            </w:r>
          </w:p>
          <w:p w14:paraId="3B1C0A9D"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DCFEC19"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In addition, review available information on the vertical behaviour of individuals of different sizes relative to e.g. thermoclines, to examine whether a depth layer can be used to discriminate between species/sizes.</w:t>
            </w:r>
          </w:p>
          <w:p w14:paraId="6CA1445C"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1C86FFE" w14:textId="77777777" w:rsidR="0021261B" w:rsidRPr="00321BBC" w:rsidRDefault="0021261B" w:rsidP="0021261B">
            <w:pPr>
              <w:pStyle w:val="TableParagraph"/>
              <w:adjustRightInd w:val="0"/>
              <w:snapToGrid w:val="0"/>
              <w:rPr>
                <w:rFonts w:ascii="Times New Roman" w:hAnsi="Times New Roman" w:cs="Times New Roman"/>
                <w:i/>
              </w:rPr>
            </w:pPr>
            <w:r w:rsidRPr="00321BBC">
              <w:rPr>
                <w:rFonts w:ascii="Times New Roman" w:hAnsi="Times New Roman" w:cs="Times New Roman"/>
                <w:i/>
              </w:rPr>
              <w:t>Stage 2. Examination of existing (historical) observer-based FAD set data and</w:t>
            </w:r>
          </w:p>
          <w:p w14:paraId="017D0C6A" w14:textId="77777777" w:rsidR="0021261B" w:rsidRPr="00321BBC" w:rsidRDefault="0021261B" w:rsidP="0021261B">
            <w:pPr>
              <w:pStyle w:val="TableParagraph"/>
              <w:adjustRightInd w:val="0"/>
              <w:snapToGrid w:val="0"/>
              <w:ind w:left="64"/>
              <w:rPr>
                <w:rFonts w:ascii="Times New Roman" w:hAnsi="Times New Roman" w:cs="Times New Roman"/>
                <w:i/>
              </w:rPr>
            </w:pPr>
            <w:r w:rsidRPr="00321BBC">
              <w:rPr>
                <w:rFonts w:ascii="Times New Roman" w:hAnsi="Times New Roman" w:cs="Times New Roman"/>
                <w:i/>
              </w:rPr>
              <w:t xml:space="preserve"> echo-sounder buoy data</w:t>
            </w:r>
          </w:p>
          <w:p w14:paraId="3551E746" w14:textId="77777777" w:rsidR="0021261B" w:rsidRPr="00321BBC" w:rsidRDefault="0021261B" w:rsidP="0021261B">
            <w:pPr>
              <w:pStyle w:val="TableParagraph"/>
              <w:adjustRightInd w:val="0"/>
              <w:snapToGrid w:val="0"/>
              <w:ind w:right="100"/>
              <w:rPr>
                <w:rFonts w:ascii="Times New Roman" w:hAnsi="Times New Roman" w:cs="Times New Roman"/>
              </w:rPr>
            </w:pPr>
            <w:r w:rsidRPr="00321BBC">
              <w:rPr>
                <w:rFonts w:ascii="Times New Roman" w:hAnsi="Times New Roman" w:cs="Times New Roman"/>
              </w:rPr>
              <w:t>Where data are available to link an observed FAD set event to acoustic information, compare the most appropriate set-level overall catch and corresponding species composition to available acoustic information. Where data allow, further compare to relevant operational factors (e.g. location, FAD and vessel information, regional FAD density, etc.) to identify potential relationships.</w:t>
            </w:r>
          </w:p>
          <w:p w14:paraId="22222BB6"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13F3B033" w14:textId="77777777" w:rsidR="0021261B" w:rsidRPr="00321BBC" w:rsidRDefault="0021261B" w:rsidP="0021261B">
            <w:pPr>
              <w:pStyle w:val="TableParagraph"/>
              <w:adjustRightInd w:val="0"/>
              <w:snapToGrid w:val="0"/>
              <w:ind w:right="102"/>
              <w:rPr>
                <w:rFonts w:ascii="Times New Roman" w:hAnsi="Times New Roman" w:cs="Times New Roman"/>
                <w:i/>
              </w:rPr>
            </w:pPr>
            <w:r w:rsidRPr="00321BBC">
              <w:rPr>
                <w:rFonts w:ascii="Times New Roman" w:hAnsi="Times New Roman" w:cs="Times New Roman"/>
                <w:i/>
              </w:rPr>
              <w:t>Stage 2. Undertake at-sea experimental fishing trials to identify effective acoustic equipment and operational approaches</w:t>
            </w:r>
          </w:p>
          <w:p w14:paraId="06BB4828" w14:textId="77777777" w:rsidR="0021261B" w:rsidRPr="00321BBC" w:rsidRDefault="0021261B"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In collaboration with industry, and building on outputs from Stages 1 and</w:t>
            </w:r>
            <w:r w:rsidRPr="00321BBC">
              <w:rPr>
                <w:rFonts w:ascii="Times New Roman" w:hAnsi="Times New Roman" w:cs="Times New Roman"/>
                <w:spacing w:val="-34"/>
              </w:rPr>
              <w:t xml:space="preserve"> </w:t>
            </w:r>
            <w:r w:rsidRPr="00321BBC">
              <w:rPr>
                <w:rFonts w:ascii="Times New Roman" w:hAnsi="Times New Roman" w:cs="Times New Roman"/>
              </w:rPr>
              <w:t>2, design and implement a limited fishing trial of current and alternative cutting-edge</w:t>
            </w:r>
            <w:r w:rsidRPr="00321BBC">
              <w:rPr>
                <w:rFonts w:ascii="Times New Roman" w:hAnsi="Times New Roman" w:cs="Times New Roman"/>
                <w:spacing w:val="-9"/>
              </w:rPr>
              <w:t xml:space="preserve"> </w:t>
            </w:r>
            <w:r w:rsidRPr="00321BBC">
              <w:rPr>
                <w:rFonts w:ascii="Times New Roman" w:hAnsi="Times New Roman" w:cs="Times New Roman"/>
              </w:rPr>
              <w:t>acoustic</w:t>
            </w:r>
            <w:r w:rsidRPr="00321BBC">
              <w:rPr>
                <w:rFonts w:ascii="Times New Roman" w:hAnsi="Times New Roman" w:cs="Times New Roman"/>
                <w:spacing w:val="-10"/>
              </w:rPr>
              <w:t xml:space="preserve"> </w:t>
            </w:r>
            <w:r w:rsidRPr="00321BBC">
              <w:rPr>
                <w:rFonts w:ascii="Times New Roman" w:hAnsi="Times New Roman" w:cs="Times New Roman"/>
              </w:rPr>
              <w:t>gear/settings</w:t>
            </w:r>
            <w:r w:rsidRPr="00321BBC">
              <w:rPr>
                <w:rFonts w:ascii="Times New Roman" w:hAnsi="Times New Roman" w:cs="Times New Roman"/>
                <w:spacing w:val="-12"/>
              </w:rPr>
              <w:t xml:space="preserve"> </w:t>
            </w:r>
            <w:r w:rsidRPr="00321BBC">
              <w:rPr>
                <w:rFonts w:ascii="Times New Roman" w:hAnsi="Times New Roman" w:cs="Times New Roman"/>
              </w:rPr>
              <w:t>(e.g.</w:t>
            </w:r>
            <w:r w:rsidRPr="00321BBC">
              <w:rPr>
                <w:rFonts w:ascii="Times New Roman" w:hAnsi="Times New Roman" w:cs="Times New Roman"/>
                <w:spacing w:val="-12"/>
              </w:rPr>
              <w:t xml:space="preserve"> </w:t>
            </w:r>
            <w:r w:rsidRPr="00321BBC">
              <w:rPr>
                <w:rFonts w:ascii="Times New Roman" w:hAnsi="Times New Roman" w:cs="Times New Roman"/>
              </w:rPr>
              <w:t>multi-frequency)</w:t>
            </w:r>
            <w:r w:rsidRPr="00321BBC">
              <w:rPr>
                <w:rFonts w:ascii="Times New Roman" w:hAnsi="Times New Roman" w:cs="Times New Roman"/>
                <w:spacing w:val="-12"/>
              </w:rPr>
              <w:t xml:space="preserve"> </w:t>
            </w:r>
            <w:r w:rsidRPr="00321BBC">
              <w:rPr>
                <w:rFonts w:ascii="Times New Roman" w:hAnsi="Times New Roman" w:cs="Times New Roman"/>
              </w:rPr>
              <w:t>to</w:t>
            </w:r>
            <w:r w:rsidRPr="00321BBC">
              <w:rPr>
                <w:rFonts w:ascii="Times New Roman" w:hAnsi="Times New Roman" w:cs="Times New Roman"/>
                <w:spacing w:val="-13"/>
              </w:rPr>
              <w:t xml:space="preserve"> </w:t>
            </w:r>
            <w:r w:rsidRPr="00321BBC">
              <w:rPr>
                <w:rFonts w:ascii="Times New Roman" w:hAnsi="Times New Roman" w:cs="Times New Roman"/>
              </w:rPr>
              <w:t>obtain</w:t>
            </w:r>
            <w:r w:rsidRPr="00321BBC">
              <w:rPr>
                <w:rFonts w:ascii="Times New Roman" w:hAnsi="Times New Roman" w:cs="Times New Roman"/>
                <w:spacing w:val="-10"/>
              </w:rPr>
              <w:t xml:space="preserve"> </w:t>
            </w:r>
            <w:r w:rsidRPr="00321BBC">
              <w:rPr>
                <w:rFonts w:ascii="Times New Roman" w:hAnsi="Times New Roman" w:cs="Times New Roman"/>
              </w:rPr>
              <w:t>acoustic information on FAD-associated tuna biomass and species/size composition, and related fishing trials to ‘ground-truth’ that information based upon resulting catches. Gaining target strength measurements for single schools (in particular of yellowfin) will be particularly important. Trials should be sufficiently extensive to examine the influence of spatial and potentially oceanographic</w:t>
            </w:r>
            <w:r w:rsidRPr="00321BBC">
              <w:rPr>
                <w:rFonts w:ascii="Times New Roman" w:hAnsi="Times New Roman" w:cs="Times New Roman"/>
                <w:spacing w:val="-2"/>
              </w:rPr>
              <w:t xml:space="preserve"> </w:t>
            </w:r>
            <w:r w:rsidRPr="00321BBC">
              <w:rPr>
                <w:rFonts w:ascii="Times New Roman" w:hAnsi="Times New Roman" w:cs="Times New Roman"/>
              </w:rPr>
              <w:t>factors.</w:t>
            </w:r>
          </w:p>
          <w:p w14:paraId="59CBDFC6"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7D54A670" w14:textId="77777777" w:rsidR="0021261B" w:rsidRPr="00321BBC" w:rsidRDefault="0021261B" w:rsidP="0021261B">
            <w:pPr>
              <w:pStyle w:val="TableParagraph"/>
              <w:adjustRightInd w:val="0"/>
              <w:snapToGrid w:val="0"/>
              <w:ind w:right="101"/>
              <w:rPr>
                <w:rFonts w:ascii="Times New Roman" w:hAnsi="Times New Roman" w:cs="Times New Roman"/>
              </w:rPr>
            </w:pPr>
            <w:r w:rsidRPr="00321BBC">
              <w:rPr>
                <w:rFonts w:ascii="Times New Roman" w:hAnsi="Times New Roman" w:cs="Times New Roman"/>
              </w:rPr>
              <w:t>Analyses of results from each stage should be presented to WCPFC SC for scientific review and where relevant for the consideration of advice to TCC and the Commission.</w:t>
            </w:r>
          </w:p>
        </w:tc>
      </w:tr>
      <w:tr w:rsidR="0021261B" w:rsidRPr="00321BBC" w14:paraId="294C60A7" w14:textId="77777777" w:rsidTr="0021261B">
        <w:trPr>
          <w:trHeight w:hRule="exact" w:val="278"/>
        </w:trPr>
        <w:tc>
          <w:tcPr>
            <w:tcW w:w="900" w:type="pct"/>
          </w:tcPr>
          <w:p w14:paraId="1F142D41"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Timeframe</w:t>
            </w:r>
          </w:p>
        </w:tc>
        <w:tc>
          <w:tcPr>
            <w:tcW w:w="4100" w:type="pct"/>
          </w:tcPr>
          <w:p w14:paraId="6418DFBE"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Approximately 36 months (see below)</w:t>
            </w:r>
          </w:p>
        </w:tc>
      </w:tr>
      <w:tr w:rsidR="0021261B" w:rsidRPr="00321BBC" w14:paraId="68FBC234" w14:textId="77777777" w:rsidTr="0021261B">
        <w:trPr>
          <w:trHeight w:hRule="exact" w:val="2965"/>
        </w:trPr>
        <w:tc>
          <w:tcPr>
            <w:tcW w:w="900" w:type="pct"/>
          </w:tcPr>
          <w:p w14:paraId="7224BE55"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Budget</w:t>
            </w:r>
          </w:p>
        </w:tc>
        <w:tc>
          <w:tcPr>
            <w:tcW w:w="4100" w:type="pct"/>
          </w:tcPr>
          <w:p w14:paraId="06A6B0A7"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Stage 1</w:t>
            </w:r>
          </w:p>
          <w:p w14:paraId="43D3AE31" w14:textId="77777777" w:rsidR="0021261B" w:rsidRPr="00321BBC" w:rsidRDefault="0021261B" w:rsidP="0021261B">
            <w:pPr>
              <w:pStyle w:val="TableParagraph"/>
              <w:adjustRightInd w:val="0"/>
              <w:snapToGrid w:val="0"/>
              <w:ind w:right="5121"/>
              <w:jc w:val="left"/>
              <w:rPr>
                <w:rFonts w:ascii="Times New Roman" w:hAnsi="Times New Roman" w:cs="Times New Roman"/>
              </w:rPr>
            </w:pPr>
            <w:r w:rsidRPr="00321BBC">
              <w:rPr>
                <w:rFonts w:ascii="Times New Roman" w:hAnsi="Times New Roman" w:cs="Times New Roman"/>
              </w:rPr>
              <w:t>1.5 year FTE at SPC USD$182,000</w:t>
            </w:r>
          </w:p>
          <w:p w14:paraId="2ACE5822" w14:textId="77777777" w:rsidR="0021261B" w:rsidRPr="00321BBC" w:rsidRDefault="0021261B" w:rsidP="0021261B">
            <w:pPr>
              <w:pStyle w:val="TableParagraph"/>
              <w:adjustRightInd w:val="0"/>
              <w:snapToGrid w:val="0"/>
              <w:ind w:right="1214"/>
              <w:jc w:val="left"/>
              <w:rPr>
                <w:rFonts w:ascii="Times New Roman" w:hAnsi="Times New Roman" w:cs="Times New Roman"/>
              </w:rPr>
            </w:pPr>
            <w:r w:rsidRPr="00321BBC">
              <w:rPr>
                <w:rFonts w:ascii="Times New Roman" w:hAnsi="Times New Roman" w:cs="Times New Roman"/>
              </w:rPr>
              <w:t>Associated travel and subsistence to relevant WCPFC meetings USD$10,000</w:t>
            </w:r>
          </w:p>
          <w:p w14:paraId="4917CB05"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0D46146"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Stage 2</w:t>
            </w:r>
          </w:p>
          <w:p w14:paraId="5EA487D4" w14:textId="77777777" w:rsidR="0021261B" w:rsidRPr="00321BBC" w:rsidRDefault="0021261B" w:rsidP="0021261B">
            <w:pPr>
              <w:pStyle w:val="TableParagraph"/>
              <w:adjustRightInd w:val="0"/>
              <w:snapToGrid w:val="0"/>
              <w:ind w:right="104"/>
              <w:rPr>
                <w:rFonts w:ascii="Times New Roman" w:hAnsi="Times New Roman" w:cs="Times New Roman"/>
              </w:rPr>
            </w:pPr>
            <w:r w:rsidRPr="00321BBC">
              <w:rPr>
                <w:rFonts w:ascii="Times New Roman" w:hAnsi="Times New Roman" w:cs="Times New Roman"/>
              </w:rPr>
              <w:t>Not costed at this time. It is likely to be on the scale of project one or two, but</w:t>
            </w:r>
            <w:r w:rsidRPr="00321BBC">
              <w:rPr>
                <w:rFonts w:ascii="Times New Roman" w:hAnsi="Times New Roman" w:cs="Times New Roman"/>
                <w:spacing w:val="-11"/>
              </w:rPr>
              <w:t xml:space="preserve"> </w:t>
            </w:r>
            <w:r w:rsidRPr="00321BBC">
              <w:rPr>
                <w:rFonts w:ascii="Times New Roman" w:hAnsi="Times New Roman" w:cs="Times New Roman"/>
              </w:rPr>
              <w:t>there</w:t>
            </w:r>
            <w:r w:rsidRPr="00321BBC">
              <w:rPr>
                <w:rFonts w:ascii="Times New Roman" w:hAnsi="Times New Roman" w:cs="Times New Roman"/>
                <w:spacing w:val="-13"/>
              </w:rPr>
              <w:t xml:space="preserve"> </w:t>
            </w:r>
            <w:r w:rsidRPr="00321BBC">
              <w:rPr>
                <w:rFonts w:ascii="Times New Roman" w:hAnsi="Times New Roman" w:cs="Times New Roman"/>
              </w:rPr>
              <w:t>may</w:t>
            </w:r>
            <w:r w:rsidRPr="00321BBC">
              <w:rPr>
                <w:rFonts w:ascii="Times New Roman" w:hAnsi="Times New Roman" w:cs="Times New Roman"/>
                <w:spacing w:val="-11"/>
              </w:rPr>
              <w:t xml:space="preserve"> </w:t>
            </w:r>
            <w:r w:rsidRPr="00321BBC">
              <w:rPr>
                <w:rFonts w:ascii="Times New Roman" w:hAnsi="Times New Roman" w:cs="Times New Roman"/>
              </w:rPr>
              <w:t>be</w:t>
            </w:r>
            <w:r w:rsidRPr="00321BBC">
              <w:rPr>
                <w:rFonts w:ascii="Times New Roman" w:hAnsi="Times New Roman" w:cs="Times New Roman"/>
                <w:spacing w:val="-11"/>
              </w:rPr>
              <w:t xml:space="preserve"> </w:t>
            </w:r>
            <w:r w:rsidRPr="00321BBC">
              <w:rPr>
                <w:rFonts w:ascii="Times New Roman" w:hAnsi="Times New Roman" w:cs="Times New Roman"/>
              </w:rPr>
              <w:t>some</w:t>
            </w:r>
            <w:r w:rsidRPr="00321BBC">
              <w:rPr>
                <w:rFonts w:ascii="Times New Roman" w:hAnsi="Times New Roman" w:cs="Times New Roman"/>
                <w:spacing w:val="-16"/>
              </w:rPr>
              <w:t xml:space="preserve"> </w:t>
            </w:r>
            <w:r w:rsidRPr="00321BBC">
              <w:rPr>
                <w:rFonts w:ascii="Times New Roman" w:hAnsi="Times New Roman" w:cs="Times New Roman"/>
              </w:rPr>
              <w:t>other</w:t>
            </w:r>
            <w:r w:rsidRPr="00321BBC">
              <w:rPr>
                <w:rFonts w:ascii="Times New Roman" w:hAnsi="Times New Roman" w:cs="Times New Roman"/>
                <w:spacing w:val="-11"/>
              </w:rPr>
              <w:t xml:space="preserve"> </w:t>
            </w:r>
            <w:r w:rsidRPr="00321BBC">
              <w:rPr>
                <w:rFonts w:ascii="Times New Roman" w:hAnsi="Times New Roman" w:cs="Times New Roman"/>
              </w:rPr>
              <w:t>cost</w:t>
            </w:r>
            <w:r w:rsidRPr="00321BBC">
              <w:rPr>
                <w:rFonts w:ascii="Times New Roman" w:hAnsi="Times New Roman" w:cs="Times New Roman"/>
                <w:spacing w:val="-13"/>
              </w:rPr>
              <w:t xml:space="preserve"> </w:t>
            </w:r>
            <w:r w:rsidRPr="00321BBC">
              <w:rPr>
                <w:rFonts w:ascii="Times New Roman" w:hAnsi="Times New Roman" w:cs="Times New Roman"/>
              </w:rPr>
              <w:t>savings</w:t>
            </w:r>
            <w:r w:rsidRPr="00321BBC">
              <w:rPr>
                <w:rFonts w:ascii="Times New Roman" w:hAnsi="Times New Roman" w:cs="Times New Roman"/>
                <w:spacing w:val="-14"/>
              </w:rPr>
              <w:t xml:space="preserve"> </w:t>
            </w:r>
            <w:r w:rsidRPr="00321BBC">
              <w:rPr>
                <w:rFonts w:ascii="Times New Roman" w:hAnsi="Times New Roman" w:cs="Times New Roman"/>
              </w:rPr>
              <w:t>to</w:t>
            </w:r>
            <w:r w:rsidRPr="00321BBC">
              <w:rPr>
                <w:rFonts w:ascii="Times New Roman" w:hAnsi="Times New Roman" w:cs="Times New Roman"/>
                <w:spacing w:val="-12"/>
              </w:rPr>
              <w:t xml:space="preserve"> </w:t>
            </w:r>
            <w:r w:rsidRPr="00321BBC">
              <w:rPr>
                <w:rFonts w:ascii="Times New Roman" w:hAnsi="Times New Roman" w:cs="Times New Roman"/>
              </w:rPr>
              <w:t>be</w:t>
            </w:r>
            <w:r w:rsidRPr="00321BBC">
              <w:rPr>
                <w:rFonts w:ascii="Times New Roman" w:hAnsi="Times New Roman" w:cs="Times New Roman"/>
                <w:spacing w:val="-16"/>
              </w:rPr>
              <w:t xml:space="preserve"> </w:t>
            </w:r>
            <w:r w:rsidRPr="00321BBC">
              <w:rPr>
                <w:rFonts w:ascii="Times New Roman" w:hAnsi="Times New Roman" w:cs="Times New Roman"/>
              </w:rPr>
              <w:t>made</w:t>
            </w:r>
            <w:r w:rsidRPr="00321BBC">
              <w:rPr>
                <w:rFonts w:ascii="Times New Roman" w:hAnsi="Times New Roman" w:cs="Times New Roman"/>
                <w:spacing w:val="-16"/>
              </w:rPr>
              <w:t xml:space="preserve"> </w:t>
            </w:r>
            <w:r w:rsidRPr="00321BBC">
              <w:rPr>
                <w:rFonts w:ascii="Times New Roman" w:hAnsi="Times New Roman" w:cs="Times New Roman"/>
              </w:rPr>
              <w:t>by</w:t>
            </w:r>
            <w:r w:rsidRPr="00321BBC">
              <w:rPr>
                <w:rFonts w:ascii="Times New Roman" w:hAnsi="Times New Roman" w:cs="Times New Roman"/>
                <w:spacing w:val="-11"/>
              </w:rPr>
              <w:t xml:space="preserve"> </w:t>
            </w:r>
            <w:r w:rsidRPr="00321BBC">
              <w:rPr>
                <w:rFonts w:ascii="Times New Roman" w:hAnsi="Times New Roman" w:cs="Times New Roman"/>
              </w:rPr>
              <w:t>incorporating</w:t>
            </w:r>
            <w:r w:rsidRPr="00321BBC">
              <w:rPr>
                <w:rFonts w:ascii="Times New Roman" w:hAnsi="Times New Roman" w:cs="Times New Roman"/>
                <w:spacing w:val="-12"/>
              </w:rPr>
              <w:t xml:space="preserve"> </w:t>
            </w:r>
            <w:r w:rsidRPr="00321BBC">
              <w:rPr>
                <w:rFonts w:ascii="Times New Roman" w:hAnsi="Times New Roman" w:cs="Times New Roman"/>
              </w:rPr>
              <w:t>some fieldwork into the 2018 or 2020 tag research</w:t>
            </w:r>
            <w:r w:rsidRPr="00321BBC">
              <w:rPr>
                <w:rFonts w:ascii="Times New Roman" w:hAnsi="Times New Roman" w:cs="Times New Roman"/>
                <w:spacing w:val="-20"/>
              </w:rPr>
              <w:t xml:space="preserve"> </w:t>
            </w:r>
            <w:r w:rsidRPr="00321BBC">
              <w:rPr>
                <w:rFonts w:ascii="Times New Roman" w:hAnsi="Times New Roman" w:cs="Times New Roman"/>
              </w:rPr>
              <w:t>voyages.</w:t>
            </w:r>
          </w:p>
        </w:tc>
      </w:tr>
      <w:tr w:rsidR="0021261B" w:rsidRPr="00321BBC" w14:paraId="732D76C6" w14:textId="77777777" w:rsidTr="0021261B">
        <w:trPr>
          <w:trHeight w:hRule="exact" w:val="1085"/>
        </w:trPr>
        <w:tc>
          <w:tcPr>
            <w:tcW w:w="900" w:type="pct"/>
          </w:tcPr>
          <w:p w14:paraId="1D563E34" w14:textId="77777777" w:rsidR="0021261B" w:rsidRPr="00321BBC" w:rsidRDefault="0021261B" w:rsidP="0021261B">
            <w:pPr>
              <w:pStyle w:val="TableParagraph"/>
              <w:adjustRightInd w:val="0"/>
              <w:snapToGrid w:val="0"/>
              <w:ind w:right="83"/>
              <w:jc w:val="left"/>
              <w:rPr>
                <w:rFonts w:ascii="Times New Roman" w:hAnsi="Times New Roman" w:cs="Times New Roman"/>
              </w:rPr>
            </w:pPr>
            <w:r w:rsidRPr="00321BBC">
              <w:rPr>
                <w:rFonts w:ascii="Times New Roman" w:hAnsi="Times New Roman" w:cs="Times New Roman"/>
              </w:rPr>
              <w:t>Additional considerations</w:t>
            </w:r>
          </w:p>
        </w:tc>
        <w:tc>
          <w:tcPr>
            <w:tcW w:w="4100" w:type="pct"/>
          </w:tcPr>
          <w:p w14:paraId="109D074B" w14:textId="77777777" w:rsidR="0021261B" w:rsidRPr="00321BBC" w:rsidRDefault="0021261B" w:rsidP="0021261B">
            <w:pPr>
              <w:pStyle w:val="TableParagraph"/>
              <w:adjustRightInd w:val="0"/>
              <w:snapToGrid w:val="0"/>
              <w:ind w:right="103"/>
              <w:rPr>
                <w:rFonts w:ascii="Times New Roman" w:hAnsi="Times New Roman" w:cs="Times New Roman"/>
              </w:rPr>
            </w:pPr>
            <w:r w:rsidRPr="00321BBC">
              <w:rPr>
                <w:rFonts w:ascii="Times New Roman" w:hAnsi="Times New Roman" w:cs="Times New Roman"/>
              </w:rPr>
              <w:t>If this proceeds to a fieldwork stage, additional input on the design of the at-sea component should include consideration of concurrent data collection in the context of tuna foraging and links to ecosystem modelling (e.g. SEAPODYM).</w:t>
            </w:r>
          </w:p>
        </w:tc>
      </w:tr>
    </w:tbl>
    <w:p w14:paraId="6A8780D4" w14:textId="77777777" w:rsidR="0021261B" w:rsidRDefault="0021261B" w:rsidP="0021261B">
      <w:pPr>
        <w:pStyle w:val="BodyText"/>
        <w:adjustRightInd w:val="0"/>
        <w:snapToGrid w:val="0"/>
        <w:rPr>
          <w:rFonts w:ascii="Times New Roman" w:hAnsi="Times New Roman" w:cs="Times New Roman"/>
        </w:rPr>
      </w:pPr>
    </w:p>
    <w:p w14:paraId="078C0E16" w14:textId="77777777" w:rsidR="00B738F6" w:rsidRPr="00321BBC" w:rsidRDefault="00B738F6" w:rsidP="0021261B">
      <w:pPr>
        <w:pStyle w:val="BodyText"/>
        <w:adjustRightInd w:val="0"/>
        <w:snapToGrid w:val="0"/>
        <w:rPr>
          <w:rFonts w:ascii="Times New Roman" w:hAnsi="Times New Roman" w:cs="Times New Roman"/>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57"/>
        <w:gridCol w:w="7813"/>
      </w:tblGrid>
      <w:tr w:rsidR="0021261B" w:rsidRPr="00321BBC" w14:paraId="4BB41B73" w14:textId="77777777" w:rsidTr="0021261B">
        <w:trPr>
          <w:trHeight w:hRule="exact" w:val="278"/>
        </w:trPr>
        <w:tc>
          <w:tcPr>
            <w:tcW w:w="5000" w:type="pct"/>
            <w:gridSpan w:val="2"/>
            <w:shd w:val="clear" w:color="auto" w:fill="4AACC5"/>
          </w:tcPr>
          <w:p w14:paraId="6B663960"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FAD Project #4</w:t>
            </w:r>
          </w:p>
        </w:tc>
      </w:tr>
      <w:tr w:rsidR="0021261B" w:rsidRPr="00321BBC" w14:paraId="60676D1D" w14:textId="77777777" w:rsidTr="0021261B">
        <w:trPr>
          <w:trHeight w:hRule="exact" w:val="278"/>
        </w:trPr>
        <w:tc>
          <w:tcPr>
            <w:tcW w:w="831" w:type="pct"/>
            <w:tcBorders>
              <w:bottom w:val="single" w:sz="4" w:space="0" w:color="FFFFFF"/>
            </w:tcBorders>
            <w:shd w:val="clear" w:color="auto" w:fill="92D050"/>
          </w:tcPr>
          <w:p w14:paraId="578DE31E"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Project</w:t>
            </w:r>
          </w:p>
        </w:tc>
        <w:tc>
          <w:tcPr>
            <w:tcW w:w="4169" w:type="pct"/>
            <w:tcBorders>
              <w:bottom w:val="single" w:sz="4" w:space="0" w:color="FFFFFF"/>
            </w:tcBorders>
            <w:shd w:val="clear" w:color="auto" w:fill="92D050"/>
          </w:tcPr>
          <w:p w14:paraId="794ED5A7" w14:textId="77777777" w:rsidR="0021261B" w:rsidRPr="00321BBC" w:rsidRDefault="0021261B" w:rsidP="0021261B">
            <w:pPr>
              <w:pStyle w:val="TableParagraph"/>
              <w:adjustRightInd w:val="0"/>
              <w:snapToGrid w:val="0"/>
              <w:jc w:val="left"/>
              <w:rPr>
                <w:rFonts w:ascii="Times New Roman" w:hAnsi="Times New Roman" w:cs="Times New Roman"/>
                <w:b/>
              </w:rPr>
            </w:pPr>
            <w:r w:rsidRPr="00321BBC">
              <w:rPr>
                <w:rFonts w:ascii="Times New Roman" w:hAnsi="Times New Roman" w:cs="Times New Roman"/>
                <w:b/>
              </w:rPr>
              <w:t>Fleet behaviour</w:t>
            </w:r>
          </w:p>
        </w:tc>
      </w:tr>
      <w:tr w:rsidR="0021261B" w:rsidRPr="00321BBC" w14:paraId="6749D30A" w14:textId="77777777" w:rsidTr="0021261B">
        <w:trPr>
          <w:trHeight w:hRule="exact" w:val="547"/>
        </w:trPr>
        <w:tc>
          <w:tcPr>
            <w:tcW w:w="831" w:type="pct"/>
            <w:tcBorders>
              <w:top w:val="single" w:sz="4" w:space="0" w:color="FFFFFF"/>
            </w:tcBorders>
          </w:tcPr>
          <w:p w14:paraId="7AD1DEB4"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Objectives</w:t>
            </w:r>
          </w:p>
        </w:tc>
        <w:tc>
          <w:tcPr>
            <w:tcW w:w="4169" w:type="pct"/>
            <w:tcBorders>
              <w:top w:val="single" w:sz="4" w:space="0" w:color="FFFFFF"/>
            </w:tcBorders>
          </w:tcPr>
          <w:p w14:paraId="6059922E" w14:textId="77777777" w:rsidR="0021261B" w:rsidRPr="00321BBC" w:rsidRDefault="0021261B" w:rsidP="0021261B">
            <w:pPr>
              <w:pStyle w:val="TableParagraph"/>
              <w:adjustRightInd w:val="0"/>
              <w:snapToGrid w:val="0"/>
              <w:ind w:hanging="40"/>
              <w:jc w:val="left"/>
              <w:rPr>
                <w:rFonts w:ascii="Times New Roman" w:hAnsi="Times New Roman" w:cs="Times New Roman"/>
              </w:rPr>
            </w:pPr>
            <w:r w:rsidRPr="00321BBC">
              <w:rPr>
                <w:rFonts w:ascii="Times New Roman" w:hAnsi="Times New Roman" w:cs="Times New Roman"/>
                <w:shd w:val="clear" w:color="auto" w:fill="FDE67E"/>
              </w:rPr>
              <w:t xml:space="preserve"> </w:t>
            </w:r>
            <w:r w:rsidRPr="00321BBC">
              <w:rPr>
                <w:rFonts w:ascii="Times New Roman" w:hAnsi="Times New Roman" w:cs="Times New Roman"/>
              </w:rPr>
              <w:t>Characterisation of effort creep due to FAD use and fleet specific factors resulting in large catches of ‘non-target’ species.</w:t>
            </w:r>
          </w:p>
        </w:tc>
      </w:tr>
      <w:tr w:rsidR="0021261B" w:rsidRPr="00321BBC" w14:paraId="53578C78" w14:textId="77777777" w:rsidTr="0021261B">
        <w:trPr>
          <w:trHeight w:hRule="exact" w:val="2182"/>
        </w:trPr>
        <w:tc>
          <w:tcPr>
            <w:tcW w:w="831" w:type="pct"/>
          </w:tcPr>
          <w:p w14:paraId="163208CB"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Rationale</w:t>
            </w:r>
          </w:p>
        </w:tc>
        <w:tc>
          <w:tcPr>
            <w:tcW w:w="4169" w:type="pct"/>
          </w:tcPr>
          <w:p w14:paraId="18880547" w14:textId="77777777" w:rsidR="0021261B" w:rsidRPr="00321BBC" w:rsidRDefault="0021261B" w:rsidP="0074425A">
            <w:pPr>
              <w:pStyle w:val="TableParagraph"/>
              <w:numPr>
                <w:ilvl w:val="0"/>
                <w:numId w:val="108"/>
              </w:numPr>
              <w:tabs>
                <w:tab w:val="left" w:pos="420"/>
              </w:tabs>
              <w:adjustRightInd w:val="0"/>
              <w:snapToGrid w:val="0"/>
              <w:ind w:right="99"/>
              <w:rPr>
                <w:rFonts w:ascii="Times New Roman" w:hAnsi="Times New Roman" w:cs="Times New Roman"/>
              </w:rPr>
            </w:pPr>
            <w:r w:rsidRPr="00321BBC">
              <w:rPr>
                <w:rFonts w:ascii="Times New Roman" w:hAnsi="Times New Roman" w:cs="Times New Roman"/>
              </w:rPr>
              <w:t>Understanding</w:t>
            </w:r>
            <w:r w:rsidRPr="00321BBC">
              <w:rPr>
                <w:rFonts w:ascii="Times New Roman" w:hAnsi="Times New Roman" w:cs="Times New Roman"/>
                <w:spacing w:val="-11"/>
              </w:rPr>
              <w:t xml:space="preserve"> </w:t>
            </w:r>
            <w:r w:rsidRPr="00321BBC">
              <w:rPr>
                <w:rFonts w:ascii="Times New Roman" w:hAnsi="Times New Roman" w:cs="Times New Roman"/>
              </w:rPr>
              <w:t>how</w:t>
            </w:r>
            <w:r w:rsidRPr="00321BBC">
              <w:rPr>
                <w:rFonts w:ascii="Times New Roman" w:hAnsi="Times New Roman" w:cs="Times New Roman"/>
                <w:spacing w:val="-11"/>
              </w:rPr>
              <w:t xml:space="preserve"> </w:t>
            </w:r>
            <w:r w:rsidRPr="00321BBC">
              <w:rPr>
                <w:rFonts w:ascii="Times New Roman" w:hAnsi="Times New Roman" w:cs="Times New Roman"/>
              </w:rPr>
              <w:t>rapid</w:t>
            </w:r>
            <w:r w:rsidRPr="00321BBC">
              <w:rPr>
                <w:rFonts w:ascii="Times New Roman" w:hAnsi="Times New Roman" w:cs="Times New Roman"/>
                <w:spacing w:val="-13"/>
              </w:rPr>
              <w:t xml:space="preserve"> </w:t>
            </w:r>
            <w:r w:rsidRPr="00321BBC">
              <w:rPr>
                <w:rFonts w:ascii="Times New Roman" w:hAnsi="Times New Roman" w:cs="Times New Roman"/>
              </w:rPr>
              <w:t>developments</w:t>
            </w:r>
            <w:r w:rsidRPr="00321BBC">
              <w:rPr>
                <w:rFonts w:ascii="Times New Roman" w:hAnsi="Times New Roman" w:cs="Times New Roman"/>
                <w:spacing w:val="-12"/>
              </w:rPr>
              <w:t xml:space="preserve"> </w:t>
            </w:r>
            <w:r w:rsidRPr="00321BBC">
              <w:rPr>
                <w:rFonts w:ascii="Times New Roman" w:hAnsi="Times New Roman" w:cs="Times New Roman"/>
              </w:rPr>
              <w:t>in</w:t>
            </w:r>
            <w:r w:rsidRPr="00321BBC">
              <w:rPr>
                <w:rFonts w:ascii="Times New Roman" w:hAnsi="Times New Roman" w:cs="Times New Roman"/>
                <w:spacing w:val="-13"/>
              </w:rPr>
              <w:t xml:space="preserve"> </w:t>
            </w:r>
            <w:r w:rsidRPr="00321BBC">
              <w:rPr>
                <w:rFonts w:ascii="Times New Roman" w:hAnsi="Times New Roman" w:cs="Times New Roman"/>
              </w:rPr>
              <w:t>FAD</w:t>
            </w:r>
            <w:r w:rsidRPr="00321BBC">
              <w:rPr>
                <w:rFonts w:ascii="Times New Roman" w:hAnsi="Times New Roman" w:cs="Times New Roman"/>
                <w:spacing w:val="-11"/>
              </w:rPr>
              <w:t xml:space="preserve"> </w:t>
            </w:r>
            <w:r w:rsidRPr="00321BBC">
              <w:rPr>
                <w:rFonts w:ascii="Times New Roman" w:hAnsi="Times New Roman" w:cs="Times New Roman"/>
              </w:rPr>
              <w:t>technology</w:t>
            </w:r>
            <w:r w:rsidRPr="00321BBC">
              <w:rPr>
                <w:rFonts w:ascii="Times New Roman" w:hAnsi="Times New Roman" w:cs="Times New Roman"/>
                <w:spacing w:val="-11"/>
              </w:rPr>
              <w:t xml:space="preserve"> </w:t>
            </w:r>
            <w:r w:rsidRPr="00321BBC">
              <w:rPr>
                <w:rFonts w:ascii="Times New Roman" w:hAnsi="Times New Roman" w:cs="Times New Roman"/>
              </w:rPr>
              <w:t>and</w:t>
            </w:r>
            <w:r w:rsidRPr="00321BBC">
              <w:rPr>
                <w:rFonts w:ascii="Times New Roman" w:hAnsi="Times New Roman" w:cs="Times New Roman"/>
                <w:spacing w:val="-10"/>
              </w:rPr>
              <w:t xml:space="preserve"> </w:t>
            </w:r>
            <w:r w:rsidRPr="00321BBC">
              <w:rPr>
                <w:rFonts w:ascii="Times New Roman" w:hAnsi="Times New Roman" w:cs="Times New Roman"/>
              </w:rPr>
              <w:t>their</w:t>
            </w:r>
            <w:r w:rsidRPr="00321BBC">
              <w:rPr>
                <w:rFonts w:ascii="Times New Roman" w:hAnsi="Times New Roman" w:cs="Times New Roman"/>
                <w:spacing w:val="-12"/>
              </w:rPr>
              <w:t xml:space="preserve"> </w:t>
            </w:r>
            <w:r w:rsidRPr="00321BBC">
              <w:rPr>
                <w:rFonts w:ascii="Times New Roman" w:hAnsi="Times New Roman" w:cs="Times New Roman"/>
              </w:rPr>
              <w:t>use within the WCPO can influence FAD-related catch rates will provide additional information for key stock assessments and the harvest strategy approach, and scientific advice that can inform discussions under future tropical tuna</w:t>
            </w:r>
            <w:r w:rsidRPr="00321BBC">
              <w:rPr>
                <w:rFonts w:ascii="Times New Roman" w:hAnsi="Times New Roman" w:cs="Times New Roman"/>
                <w:spacing w:val="-10"/>
              </w:rPr>
              <w:t xml:space="preserve"> </w:t>
            </w:r>
            <w:r w:rsidRPr="00321BBC">
              <w:rPr>
                <w:rFonts w:ascii="Times New Roman" w:hAnsi="Times New Roman" w:cs="Times New Roman"/>
              </w:rPr>
              <w:t>CMMs.</w:t>
            </w:r>
          </w:p>
          <w:p w14:paraId="353F2ABE" w14:textId="703EB7DF" w:rsidR="0021261B" w:rsidRPr="00321BBC" w:rsidRDefault="0021261B" w:rsidP="0074425A">
            <w:pPr>
              <w:pStyle w:val="TableParagraph"/>
              <w:numPr>
                <w:ilvl w:val="0"/>
                <w:numId w:val="108"/>
              </w:numPr>
              <w:tabs>
                <w:tab w:val="left" w:pos="420"/>
              </w:tabs>
              <w:adjustRightInd w:val="0"/>
              <w:snapToGrid w:val="0"/>
              <w:ind w:right="99"/>
              <w:rPr>
                <w:rFonts w:ascii="Times New Roman" w:hAnsi="Times New Roman" w:cs="Times New Roman"/>
              </w:rPr>
            </w:pPr>
            <w:r w:rsidRPr="00321BBC">
              <w:rPr>
                <w:rFonts w:ascii="Times New Roman" w:hAnsi="Times New Roman" w:cs="Times New Roman"/>
              </w:rPr>
              <w:t>Analyses will complement activities currently underway on PNA FAD tracking and those undertaken through the EU-funded ‘</w:t>
            </w:r>
            <w:r w:rsidR="00977B42">
              <w:rPr>
                <w:rFonts w:ascii="Times New Roman" w:hAnsi="Times New Roman" w:cs="Times New Roman"/>
              </w:rPr>
              <w:t>bigeye tuna</w:t>
            </w:r>
            <w:r w:rsidRPr="00321BBC">
              <w:rPr>
                <w:rFonts w:ascii="Times New Roman" w:hAnsi="Times New Roman" w:cs="Times New Roman"/>
              </w:rPr>
              <w:t xml:space="preserve"> hotspot’ analysis presented to</w:t>
            </w:r>
            <w:r w:rsidRPr="00321BBC">
              <w:rPr>
                <w:rFonts w:ascii="Times New Roman" w:hAnsi="Times New Roman" w:cs="Times New Roman"/>
                <w:spacing w:val="-7"/>
              </w:rPr>
              <w:t xml:space="preserve"> </w:t>
            </w:r>
            <w:r w:rsidRPr="00321BBC">
              <w:rPr>
                <w:rFonts w:ascii="Times New Roman" w:hAnsi="Times New Roman" w:cs="Times New Roman"/>
              </w:rPr>
              <w:t>SC13.</w:t>
            </w:r>
          </w:p>
        </w:tc>
      </w:tr>
      <w:tr w:rsidR="0021261B" w:rsidRPr="00321BBC" w14:paraId="1C36A243" w14:textId="77777777" w:rsidTr="00C416B4">
        <w:tc>
          <w:tcPr>
            <w:tcW w:w="831" w:type="pct"/>
          </w:tcPr>
          <w:p w14:paraId="60B4C271"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Assumptions</w:t>
            </w:r>
          </w:p>
        </w:tc>
        <w:tc>
          <w:tcPr>
            <w:tcW w:w="4169" w:type="pct"/>
          </w:tcPr>
          <w:p w14:paraId="119443A4" w14:textId="77777777" w:rsidR="0021261B" w:rsidRPr="00321BBC" w:rsidRDefault="0021261B" w:rsidP="0074425A">
            <w:pPr>
              <w:pStyle w:val="TableParagraph"/>
              <w:numPr>
                <w:ilvl w:val="0"/>
                <w:numId w:val="107"/>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Sufficient data on FAD design and technology are available for</w:t>
            </w:r>
            <w:r w:rsidRPr="00321BBC">
              <w:rPr>
                <w:rFonts w:ascii="Times New Roman" w:hAnsi="Times New Roman" w:cs="Times New Roman"/>
                <w:spacing w:val="-22"/>
              </w:rPr>
              <w:t xml:space="preserve"> </w:t>
            </w:r>
            <w:r w:rsidRPr="00321BBC">
              <w:rPr>
                <w:rFonts w:ascii="Times New Roman" w:hAnsi="Times New Roman" w:cs="Times New Roman"/>
              </w:rPr>
              <w:t>analysis.</w:t>
            </w:r>
          </w:p>
          <w:p w14:paraId="7FF3B534" w14:textId="77777777" w:rsidR="0021261B" w:rsidRPr="00321BBC" w:rsidRDefault="0021261B" w:rsidP="0074425A">
            <w:pPr>
              <w:pStyle w:val="TableParagraph"/>
              <w:numPr>
                <w:ilvl w:val="0"/>
                <w:numId w:val="107"/>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Sufficient time series of data are available to support</w:t>
            </w:r>
            <w:r w:rsidRPr="00321BBC">
              <w:rPr>
                <w:rFonts w:ascii="Times New Roman" w:hAnsi="Times New Roman" w:cs="Times New Roman"/>
                <w:spacing w:val="-20"/>
              </w:rPr>
              <w:t xml:space="preserve"> </w:t>
            </w:r>
            <w:r w:rsidRPr="00321BBC">
              <w:rPr>
                <w:rFonts w:ascii="Times New Roman" w:hAnsi="Times New Roman" w:cs="Times New Roman"/>
              </w:rPr>
              <w:t>analyses.</w:t>
            </w:r>
          </w:p>
          <w:p w14:paraId="437B88CC" w14:textId="77777777" w:rsidR="0021261B" w:rsidRPr="00321BBC" w:rsidRDefault="0021261B" w:rsidP="0074425A">
            <w:pPr>
              <w:pStyle w:val="TableParagraph"/>
              <w:numPr>
                <w:ilvl w:val="0"/>
                <w:numId w:val="107"/>
              </w:numPr>
              <w:tabs>
                <w:tab w:val="left" w:pos="419"/>
                <w:tab w:val="left" w:pos="420"/>
              </w:tabs>
              <w:adjustRightInd w:val="0"/>
              <w:snapToGrid w:val="0"/>
              <w:ind w:right="104"/>
              <w:jc w:val="left"/>
              <w:rPr>
                <w:rFonts w:ascii="Times New Roman" w:hAnsi="Times New Roman" w:cs="Times New Roman"/>
              </w:rPr>
            </w:pPr>
            <w:r w:rsidRPr="00321BBC">
              <w:rPr>
                <w:rFonts w:ascii="Times New Roman" w:hAnsi="Times New Roman" w:cs="Times New Roman"/>
              </w:rPr>
              <w:t>Information is sufficiently detailed and accurate to allow analyses to be performed.</w:t>
            </w:r>
          </w:p>
          <w:p w14:paraId="753BCC27" w14:textId="77777777" w:rsidR="0021261B" w:rsidRPr="00321BBC" w:rsidRDefault="0021261B" w:rsidP="0074425A">
            <w:pPr>
              <w:pStyle w:val="TableParagraph"/>
              <w:numPr>
                <w:ilvl w:val="0"/>
                <w:numId w:val="107"/>
              </w:numPr>
              <w:tabs>
                <w:tab w:val="left" w:pos="419"/>
                <w:tab w:val="left" w:pos="420"/>
              </w:tabs>
              <w:adjustRightInd w:val="0"/>
              <w:snapToGrid w:val="0"/>
              <w:ind w:right="99"/>
              <w:jc w:val="left"/>
              <w:rPr>
                <w:rFonts w:ascii="Times New Roman" w:hAnsi="Times New Roman" w:cs="Times New Roman"/>
              </w:rPr>
            </w:pPr>
            <w:r w:rsidRPr="00321BBC">
              <w:rPr>
                <w:rFonts w:ascii="Times New Roman" w:hAnsi="Times New Roman" w:cs="Times New Roman"/>
              </w:rPr>
              <w:t>Fishing sets can be related to specific FADs and associated FAD/vessel technological</w:t>
            </w:r>
            <w:r w:rsidRPr="00321BBC">
              <w:rPr>
                <w:rFonts w:ascii="Times New Roman" w:hAnsi="Times New Roman" w:cs="Times New Roman"/>
                <w:spacing w:val="-6"/>
              </w:rPr>
              <w:t xml:space="preserve"> </w:t>
            </w:r>
            <w:r w:rsidRPr="00321BBC">
              <w:rPr>
                <w:rFonts w:ascii="Times New Roman" w:hAnsi="Times New Roman" w:cs="Times New Roman"/>
              </w:rPr>
              <w:t>information.</w:t>
            </w:r>
          </w:p>
          <w:p w14:paraId="1213F067" w14:textId="77777777" w:rsidR="0021261B" w:rsidRPr="00321BBC" w:rsidRDefault="0021261B" w:rsidP="0074425A">
            <w:pPr>
              <w:pStyle w:val="TableParagraph"/>
              <w:numPr>
                <w:ilvl w:val="0"/>
                <w:numId w:val="107"/>
              </w:numPr>
              <w:tabs>
                <w:tab w:val="left" w:pos="419"/>
                <w:tab w:val="left" w:pos="420"/>
              </w:tabs>
              <w:adjustRightInd w:val="0"/>
              <w:snapToGrid w:val="0"/>
              <w:jc w:val="left"/>
              <w:rPr>
                <w:rFonts w:ascii="Times New Roman" w:hAnsi="Times New Roman" w:cs="Times New Roman"/>
              </w:rPr>
            </w:pPr>
            <w:r w:rsidRPr="00321BBC">
              <w:rPr>
                <w:rFonts w:ascii="Times New Roman" w:hAnsi="Times New Roman" w:cs="Times New Roman"/>
              </w:rPr>
              <w:t>Fleet behaviours that influence fishing performance can be</w:t>
            </w:r>
            <w:r w:rsidRPr="00321BBC">
              <w:rPr>
                <w:rFonts w:ascii="Times New Roman" w:hAnsi="Times New Roman" w:cs="Times New Roman"/>
                <w:spacing w:val="-19"/>
              </w:rPr>
              <w:t xml:space="preserve"> </w:t>
            </w:r>
            <w:r w:rsidRPr="00321BBC">
              <w:rPr>
                <w:rFonts w:ascii="Times New Roman" w:hAnsi="Times New Roman" w:cs="Times New Roman"/>
              </w:rPr>
              <w:t>understood.</w:t>
            </w:r>
          </w:p>
          <w:p w14:paraId="21FA590A" w14:textId="77777777" w:rsidR="0021261B" w:rsidRPr="00321BBC" w:rsidRDefault="0021261B" w:rsidP="0074425A">
            <w:pPr>
              <w:pStyle w:val="TableParagraph"/>
              <w:numPr>
                <w:ilvl w:val="0"/>
                <w:numId w:val="107"/>
              </w:numPr>
              <w:tabs>
                <w:tab w:val="left" w:pos="420"/>
              </w:tabs>
              <w:adjustRightInd w:val="0"/>
              <w:snapToGrid w:val="0"/>
              <w:ind w:right="98"/>
              <w:rPr>
                <w:rFonts w:ascii="Times New Roman" w:hAnsi="Times New Roman" w:cs="Times New Roman"/>
              </w:rPr>
            </w:pPr>
            <w:r w:rsidRPr="00321BBC">
              <w:rPr>
                <w:rFonts w:ascii="Times New Roman" w:hAnsi="Times New Roman" w:cs="Times New Roman"/>
              </w:rPr>
              <w:t>The effort creep component of improved FAD technologies can be separated</w:t>
            </w:r>
            <w:r w:rsidRPr="00321BBC">
              <w:rPr>
                <w:rFonts w:ascii="Times New Roman" w:hAnsi="Times New Roman" w:cs="Times New Roman"/>
                <w:spacing w:val="-13"/>
              </w:rPr>
              <w:t xml:space="preserve"> </w:t>
            </w:r>
            <w:r w:rsidRPr="00321BBC">
              <w:rPr>
                <w:rFonts w:ascii="Times New Roman" w:hAnsi="Times New Roman" w:cs="Times New Roman"/>
              </w:rPr>
              <w:t>from</w:t>
            </w:r>
            <w:r w:rsidRPr="00321BBC">
              <w:rPr>
                <w:rFonts w:ascii="Times New Roman" w:hAnsi="Times New Roman" w:cs="Times New Roman"/>
                <w:spacing w:val="-11"/>
              </w:rPr>
              <w:t xml:space="preserve"> </w:t>
            </w:r>
            <w:r w:rsidRPr="00321BBC">
              <w:rPr>
                <w:rFonts w:ascii="Times New Roman" w:hAnsi="Times New Roman" w:cs="Times New Roman"/>
              </w:rPr>
              <w:t>other</w:t>
            </w:r>
            <w:r w:rsidRPr="00321BBC">
              <w:rPr>
                <w:rFonts w:ascii="Times New Roman" w:hAnsi="Times New Roman" w:cs="Times New Roman"/>
                <w:spacing w:val="-13"/>
              </w:rPr>
              <w:t xml:space="preserve"> </w:t>
            </w:r>
            <w:r w:rsidRPr="00321BBC">
              <w:rPr>
                <w:rFonts w:ascii="Times New Roman" w:hAnsi="Times New Roman" w:cs="Times New Roman"/>
              </w:rPr>
              <w:t>elements</w:t>
            </w:r>
            <w:r w:rsidRPr="00321BBC">
              <w:rPr>
                <w:rFonts w:ascii="Times New Roman" w:hAnsi="Times New Roman" w:cs="Times New Roman"/>
                <w:spacing w:val="-13"/>
              </w:rPr>
              <w:t xml:space="preserve"> </w:t>
            </w:r>
            <w:r w:rsidRPr="00321BBC">
              <w:rPr>
                <w:rFonts w:ascii="Times New Roman" w:hAnsi="Times New Roman" w:cs="Times New Roman"/>
              </w:rPr>
              <w:t>(schooling</w:t>
            </w:r>
            <w:r w:rsidRPr="00321BBC">
              <w:rPr>
                <w:rFonts w:ascii="Times New Roman" w:hAnsi="Times New Roman" w:cs="Times New Roman"/>
                <w:spacing w:val="-13"/>
              </w:rPr>
              <w:t xml:space="preserve"> </w:t>
            </w:r>
            <w:r w:rsidRPr="00321BBC">
              <w:rPr>
                <w:rFonts w:ascii="Times New Roman" w:hAnsi="Times New Roman" w:cs="Times New Roman"/>
              </w:rPr>
              <w:t>behaviour</w:t>
            </w:r>
            <w:r w:rsidRPr="00321BBC">
              <w:rPr>
                <w:rFonts w:ascii="Times New Roman" w:hAnsi="Times New Roman" w:cs="Times New Roman"/>
                <w:spacing w:val="-10"/>
              </w:rPr>
              <w:t xml:space="preserve"> </w:t>
            </w:r>
            <w:r w:rsidRPr="00321BBC">
              <w:rPr>
                <w:rFonts w:ascii="Times New Roman" w:hAnsi="Times New Roman" w:cs="Times New Roman"/>
              </w:rPr>
              <w:t>of</w:t>
            </w:r>
            <w:r w:rsidRPr="00321BBC">
              <w:rPr>
                <w:rFonts w:ascii="Times New Roman" w:hAnsi="Times New Roman" w:cs="Times New Roman"/>
                <w:spacing w:val="-13"/>
              </w:rPr>
              <w:t xml:space="preserve"> </w:t>
            </w:r>
            <w:r w:rsidRPr="00321BBC">
              <w:rPr>
                <w:rFonts w:ascii="Times New Roman" w:hAnsi="Times New Roman" w:cs="Times New Roman"/>
              </w:rPr>
              <w:t>fish,</w:t>
            </w:r>
            <w:r w:rsidRPr="00321BBC">
              <w:rPr>
                <w:rFonts w:ascii="Times New Roman" w:hAnsi="Times New Roman" w:cs="Times New Roman"/>
                <w:spacing w:val="-12"/>
              </w:rPr>
              <w:t xml:space="preserve"> </w:t>
            </w:r>
            <w:r w:rsidRPr="00321BBC">
              <w:rPr>
                <w:rFonts w:ascii="Times New Roman" w:hAnsi="Times New Roman" w:cs="Times New Roman"/>
              </w:rPr>
              <w:t>overall</w:t>
            </w:r>
            <w:r w:rsidRPr="00321BBC">
              <w:rPr>
                <w:rFonts w:ascii="Times New Roman" w:hAnsi="Times New Roman" w:cs="Times New Roman"/>
                <w:spacing w:val="-13"/>
              </w:rPr>
              <w:t xml:space="preserve"> </w:t>
            </w:r>
            <w:r w:rsidRPr="00321BBC">
              <w:rPr>
                <w:rFonts w:ascii="Times New Roman" w:hAnsi="Times New Roman" w:cs="Times New Roman"/>
              </w:rPr>
              <w:t>fleet behaviour,</w:t>
            </w:r>
            <w:r w:rsidRPr="00321BBC">
              <w:rPr>
                <w:rFonts w:ascii="Times New Roman" w:hAnsi="Times New Roman" w:cs="Times New Roman"/>
                <w:spacing w:val="-9"/>
              </w:rPr>
              <w:t xml:space="preserve"> </w:t>
            </w:r>
            <w:r w:rsidRPr="00321BBC">
              <w:rPr>
                <w:rFonts w:ascii="Times New Roman" w:hAnsi="Times New Roman" w:cs="Times New Roman"/>
              </w:rPr>
              <w:t>stock</w:t>
            </w:r>
            <w:r w:rsidRPr="00321BBC">
              <w:rPr>
                <w:rFonts w:ascii="Times New Roman" w:hAnsi="Times New Roman" w:cs="Times New Roman"/>
                <w:spacing w:val="-8"/>
              </w:rPr>
              <w:t xml:space="preserve"> </w:t>
            </w:r>
            <w:r w:rsidRPr="00321BBC">
              <w:rPr>
                <w:rFonts w:ascii="Times New Roman" w:hAnsi="Times New Roman" w:cs="Times New Roman"/>
              </w:rPr>
              <w:t>size,</w:t>
            </w:r>
            <w:r w:rsidRPr="00321BBC">
              <w:rPr>
                <w:rFonts w:ascii="Times New Roman" w:hAnsi="Times New Roman" w:cs="Times New Roman"/>
                <w:spacing w:val="-10"/>
              </w:rPr>
              <w:t xml:space="preserve"> </w:t>
            </w:r>
            <w:r w:rsidRPr="00321BBC">
              <w:rPr>
                <w:rFonts w:ascii="Times New Roman" w:hAnsi="Times New Roman" w:cs="Times New Roman"/>
              </w:rPr>
              <w:t>oceanography,</w:t>
            </w:r>
            <w:r w:rsidRPr="00321BBC">
              <w:rPr>
                <w:rFonts w:ascii="Times New Roman" w:hAnsi="Times New Roman" w:cs="Times New Roman"/>
                <w:spacing w:val="-8"/>
              </w:rPr>
              <w:t xml:space="preserve"> </w:t>
            </w:r>
            <w:r w:rsidRPr="00321BBC">
              <w:rPr>
                <w:rFonts w:ascii="Times New Roman" w:hAnsi="Times New Roman" w:cs="Times New Roman"/>
              </w:rPr>
              <w:t>other</w:t>
            </w:r>
            <w:r w:rsidRPr="00321BBC">
              <w:rPr>
                <w:rFonts w:ascii="Times New Roman" w:hAnsi="Times New Roman" w:cs="Times New Roman"/>
                <w:spacing w:val="-9"/>
              </w:rPr>
              <w:t xml:space="preserve"> </w:t>
            </w:r>
            <w:r w:rsidRPr="00321BBC">
              <w:rPr>
                <w:rFonts w:ascii="Times New Roman" w:hAnsi="Times New Roman" w:cs="Times New Roman"/>
              </w:rPr>
              <w:t>technological</w:t>
            </w:r>
            <w:r w:rsidRPr="00321BBC">
              <w:rPr>
                <w:rFonts w:ascii="Times New Roman" w:hAnsi="Times New Roman" w:cs="Times New Roman"/>
                <w:spacing w:val="-9"/>
              </w:rPr>
              <w:t xml:space="preserve"> </w:t>
            </w:r>
            <w:r w:rsidRPr="00321BBC">
              <w:rPr>
                <w:rFonts w:ascii="Times New Roman" w:hAnsi="Times New Roman" w:cs="Times New Roman"/>
              </w:rPr>
              <w:t>advances</w:t>
            </w:r>
            <w:r w:rsidRPr="00321BBC">
              <w:rPr>
                <w:rFonts w:ascii="Times New Roman" w:hAnsi="Times New Roman" w:cs="Times New Roman"/>
                <w:spacing w:val="-9"/>
              </w:rPr>
              <w:t xml:space="preserve"> </w:t>
            </w:r>
            <w:r w:rsidRPr="00321BBC">
              <w:rPr>
                <w:rFonts w:ascii="Times New Roman" w:hAnsi="Times New Roman" w:cs="Times New Roman"/>
              </w:rPr>
              <w:t>etc.).</w:t>
            </w:r>
          </w:p>
        </w:tc>
      </w:tr>
      <w:tr w:rsidR="0021261B" w:rsidRPr="00321BBC" w14:paraId="599170D2" w14:textId="77777777" w:rsidTr="00C416B4">
        <w:tc>
          <w:tcPr>
            <w:tcW w:w="831" w:type="pct"/>
          </w:tcPr>
          <w:p w14:paraId="76FB9EB5" w14:textId="77777777" w:rsidR="0021261B" w:rsidRPr="00321BBC" w:rsidRDefault="0021261B"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Scope</w:t>
            </w:r>
          </w:p>
        </w:tc>
        <w:tc>
          <w:tcPr>
            <w:tcW w:w="4169" w:type="pct"/>
          </w:tcPr>
          <w:p w14:paraId="2E0472B3" w14:textId="77777777" w:rsidR="0021261B" w:rsidRPr="00321BBC" w:rsidRDefault="0021261B"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The proposed work programme comprises a data compilation activity, subsequent statistical analysis activities and a data review activity. These are briefly outlined below:</w:t>
            </w:r>
          </w:p>
          <w:p w14:paraId="7BB11AE9"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54624D56"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Evaluate</w:t>
            </w:r>
            <w:r w:rsidRPr="00321BBC">
              <w:rPr>
                <w:rFonts w:ascii="Times New Roman" w:hAnsi="Times New Roman" w:cs="Times New Roman"/>
                <w:spacing w:val="-11"/>
              </w:rPr>
              <w:t xml:space="preserve"> </w:t>
            </w:r>
            <w:r w:rsidRPr="00321BBC">
              <w:rPr>
                <w:rFonts w:ascii="Times New Roman" w:hAnsi="Times New Roman" w:cs="Times New Roman"/>
              </w:rPr>
              <w:t>and</w:t>
            </w:r>
            <w:r w:rsidRPr="00321BBC">
              <w:rPr>
                <w:rFonts w:ascii="Times New Roman" w:hAnsi="Times New Roman" w:cs="Times New Roman"/>
                <w:spacing w:val="-14"/>
              </w:rPr>
              <w:t xml:space="preserve"> </w:t>
            </w:r>
            <w:r w:rsidRPr="00321BBC">
              <w:rPr>
                <w:rFonts w:ascii="Times New Roman" w:hAnsi="Times New Roman" w:cs="Times New Roman"/>
              </w:rPr>
              <w:t>combine</w:t>
            </w:r>
            <w:r w:rsidRPr="00321BBC">
              <w:rPr>
                <w:rFonts w:ascii="Times New Roman" w:hAnsi="Times New Roman" w:cs="Times New Roman"/>
                <w:spacing w:val="-12"/>
              </w:rPr>
              <w:t xml:space="preserve"> </w:t>
            </w:r>
            <w:r w:rsidRPr="00321BBC">
              <w:rPr>
                <w:rFonts w:ascii="Times New Roman" w:hAnsi="Times New Roman" w:cs="Times New Roman"/>
              </w:rPr>
              <w:t>available</w:t>
            </w:r>
            <w:r w:rsidRPr="00321BBC">
              <w:rPr>
                <w:rFonts w:ascii="Times New Roman" w:hAnsi="Times New Roman" w:cs="Times New Roman"/>
                <w:spacing w:val="-10"/>
              </w:rPr>
              <w:t xml:space="preserve"> </w:t>
            </w:r>
            <w:r w:rsidRPr="00321BBC">
              <w:rPr>
                <w:rFonts w:ascii="Times New Roman" w:hAnsi="Times New Roman" w:cs="Times New Roman"/>
              </w:rPr>
              <w:t>logsheet,</w:t>
            </w:r>
            <w:r w:rsidRPr="00321BBC">
              <w:rPr>
                <w:rFonts w:ascii="Times New Roman" w:hAnsi="Times New Roman" w:cs="Times New Roman"/>
                <w:spacing w:val="-15"/>
              </w:rPr>
              <w:t xml:space="preserve"> </w:t>
            </w:r>
            <w:r w:rsidRPr="00321BBC">
              <w:rPr>
                <w:rFonts w:ascii="Times New Roman" w:hAnsi="Times New Roman" w:cs="Times New Roman"/>
              </w:rPr>
              <w:t>observer</w:t>
            </w:r>
            <w:r w:rsidRPr="00321BBC">
              <w:rPr>
                <w:rFonts w:ascii="Times New Roman" w:hAnsi="Times New Roman" w:cs="Times New Roman"/>
                <w:spacing w:val="-11"/>
              </w:rPr>
              <w:t xml:space="preserve"> </w:t>
            </w:r>
            <w:r w:rsidRPr="00321BBC">
              <w:rPr>
                <w:rFonts w:ascii="Times New Roman" w:hAnsi="Times New Roman" w:cs="Times New Roman"/>
              </w:rPr>
              <w:t>and</w:t>
            </w:r>
            <w:r w:rsidRPr="00321BBC">
              <w:rPr>
                <w:rFonts w:ascii="Times New Roman" w:hAnsi="Times New Roman" w:cs="Times New Roman"/>
                <w:spacing w:val="-14"/>
              </w:rPr>
              <w:t xml:space="preserve"> </w:t>
            </w:r>
            <w:r w:rsidRPr="00321BBC">
              <w:rPr>
                <w:rFonts w:ascii="Times New Roman" w:hAnsi="Times New Roman" w:cs="Times New Roman"/>
              </w:rPr>
              <w:t>VMS</w:t>
            </w:r>
            <w:r w:rsidRPr="00321BBC">
              <w:rPr>
                <w:rFonts w:ascii="Times New Roman" w:hAnsi="Times New Roman" w:cs="Times New Roman"/>
                <w:spacing w:val="-13"/>
              </w:rPr>
              <w:t xml:space="preserve"> </w:t>
            </w:r>
            <w:r w:rsidRPr="00321BBC">
              <w:rPr>
                <w:rFonts w:ascii="Times New Roman" w:hAnsi="Times New Roman" w:cs="Times New Roman"/>
              </w:rPr>
              <w:t>data</w:t>
            </w:r>
            <w:r w:rsidRPr="00321BBC">
              <w:rPr>
                <w:rFonts w:ascii="Times New Roman" w:hAnsi="Times New Roman" w:cs="Times New Roman"/>
                <w:spacing w:val="-13"/>
              </w:rPr>
              <w:t xml:space="preserve"> </w:t>
            </w:r>
            <w:r w:rsidRPr="00321BBC">
              <w:rPr>
                <w:rFonts w:ascii="Times New Roman" w:hAnsi="Times New Roman" w:cs="Times New Roman"/>
              </w:rPr>
              <w:t>to</w:t>
            </w:r>
            <w:r w:rsidRPr="00321BBC">
              <w:rPr>
                <w:rFonts w:ascii="Times New Roman" w:hAnsi="Times New Roman" w:cs="Times New Roman"/>
                <w:spacing w:val="-11"/>
              </w:rPr>
              <w:t xml:space="preserve"> </w:t>
            </w:r>
            <w:r w:rsidRPr="00321BBC">
              <w:rPr>
                <w:rFonts w:ascii="Times New Roman" w:hAnsi="Times New Roman" w:cs="Times New Roman"/>
              </w:rPr>
              <w:t>develop a comprehensive purse seine associated fishing data set. This data set should also include available (time series of) vessel and technical FAD characteristics, where</w:t>
            </w:r>
            <w:r w:rsidRPr="00321BBC">
              <w:rPr>
                <w:rFonts w:ascii="Times New Roman" w:hAnsi="Times New Roman" w:cs="Times New Roman"/>
                <w:spacing w:val="-7"/>
              </w:rPr>
              <w:t xml:space="preserve"> </w:t>
            </w:r>
            <w:r w:rsidRPr="00321BBC">
              <w:rPr>
                <w:rFonts w:ascii="Times New Roman" w:hAnsi="Times New Roman" w:cs="Times New Roman"/>
              </w:rPr>
              <w:t>possible.</w:t>
            </w:r>
          </w:p>
          <w:p w14:paraId="5A3DBD46"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0D9308E4" w14:textId="77777777" w:rsidR="0021261B" w:rsidRPr="00321BBC"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Analyse patterns of fleet activity relative to FAD setting based upon VMS/logsheet</w:t>
            </w:r>
            <w:r w:rsidRPr="00321BBC">
              <w:rPr>
                <w:rFonts w:ascii="Times New Roman" w:hAnsi="Times New Roman" w:cs="Times New Roman"/>
                <w:spacing w:val="-4"/>
              </w:rPr>
              <w:t xml:space="preserve"> </w:t>
            </w:r>
            <w:r w:rsidRPr="00321BBC">
              <w:rPr>
                <w:rFonts w:ascii="Times New Roman" w:hAnsi="Times New Roman" w:cs="Times New Roman"/>
              </w:rPr>
              <w:t>data,</w:t>
            </w:r>
            <w:r w:rsidRPr="00321BBC">
              <w:rPr>
                <w:rFonts w:ascii="Times New Roman" w:hAnsi="Times New Roman" w:cs="Times New Roman"/>
                <w:spacing w:val="-7"/>
              </w:rPr>
              <w:t xml:space="preserve"> </w:t>
            </w:r>
            <w:r w:rsidRPr="00321BBC">
              <w:rPr>
                <w:rFonts w:ascii="Times New Roman" w:hAnsi="Times New Roman" w:cs="Times New Roman"/>
              </w:rPr>
              <w:t>to</w:t>
            </w:r>
            <w:r w:rsidRPr="00321BBC">
              <w:rPr>
                <w:rFonts w:ascii="Times New Roman" w:hAnsi="Times New Roman" w:cs="Times New Roman"/>
                <w:spacing w:val="-3"/>
              </w:rPr>
              <w:t xml:space="preserve"> </w:t>
            </w:r>
            <w:r w:rsidRPr="00321BBC">
              <w:rPr>
                <w:rFonts w:ascii="Times New Roman" w:hAnsi="Times New Roman" w:cs="Times New Roman"/>
              </w:rPr>
              <w:t>assess</w:t>
            </w:r>
            <w:r w:rsidRPr="00321BBC">
              <w:rPr>
                <w:rFonts w:ascii="Times New Roman" w:hAnsi="Times New Roman" w:cs="Times New Roman"/>
                <w:spacing w:val="-4"/>
              </w:rPr>
              <w:t xml:space="preserve"> </w:t>
            </w:r>
            <w:r w:rsidRPr="00321BBC">
              <w:rPr>
                <w:rFonts w:ascii="Times New Roman" w:hAnsi="Times New Roman" w:cs="Times New Roman"/>
              </w:rPr>
              <w:t>changes</w:t>
            </w:r>
            <w:r w:rsidRPr="00321BBC">
              <w:rPr>
                <w:rFonts w:ascii="Times New Roman" w:hAnsi="Times New Roman" w:cs="Times New Roman"/>
                <w:spacing w:val="-4"/>
              </w:rPr>
              <w:t xml:space="preserve"> </w:t>
            </w:r>
            <w:r w:rsidRPr="00321BBC">
              <w:rPr>
                <w:rFonts w:ascii="Times New Roman" w:hAnsi="Times New Roman" w:cs="Times New Roman"/>
              </w:rPr>
              <w:t>in</w:t>
            </w:r>
            <w:r w:rsidRPr="00321BBC">
              <w:rPr>
                <w:rFonts w:ascii="Times New Roman" w:hAnsi="Times New Roman" w:cs="Times New Roman"/>
                <w:spacing w:val="-8"/>
              </w:rPr>
              <w:t xml:space="preserve"> </w:t>
            </w:r>
            <w:r w:rsidRPr="00321BBC">
              <w:rPr>
                <w:rFonts w:ascii="Times New Roman" w:hAnsi="Times New Roman" w:cs="Times New Roman"/>
              </w:rPr>
              <w:t>vessel</w:t>
            </w:r>
            <w:r w:rsidRPr="00321BBC">
              <w:rPr>
                <w:rFonts w:ascii="Times New Roman" w:hAnsi="Times New Roman" w:cs="Times New Roman"/>
                <w:spacing w:val="-4"/>
              </w:rPr>
              <w:t xml:space="preserve"> </w:t>
            </w:r>
            <w:r w:rsidRPr="00321BBC">
              <w:rPr>
                <w:rFonts w:ascii="Times New Roman" w:hAnsi="Times New Roman" w:cs="Times New Roman"/>
              </w:rPr>
              <w:t>searching</w:t>
            </w:r>
            <w:r w:rsidRPr="00321BBC">
              <w:rPr>
                <w:rFonts w:ascii="Times New Roman" w:hAnsi="Times New Roman" w:cs="Times New Roman"/>
                <w:spacing w:val="-5"/>
              </w:rPr>
              <w:t xml:space="preserve"> </w:t>
            </w:r>
            <w:r w:rsidRPr="00321BBC">
              <w:rPr>
                <w:rFonts w:ascii="Times New Roman" w:hAnsi="Times New Roman" w:cs="Times New Roman"/>
              </w:rPr>
              <w:t>activity,</w:t>
            </w:r>
            <w:r w:rsidRPr="00321BBC">
              <w:rPr>
                <w:rFonts w:ascii="Times New Roman" w:hAnsi="Times New Roman" w:cs="Times New Roman"/>
                <w:spacing w:val="-4"/>
              </w:rPr>
              <w:t xml:space="preserve"> </w:t>
            </w:r>
            <w:r w:rsidRPr="00321BBC">
              <w:rPr>
                <w:rFonts w:ascii="Times New Roman" w:hAnsi="Times New Roman" w:cs="Times New Roman"/>
              </w:rPr>
              <w:t>as</w:t>
            </w:r>
            <w:r w:rsidRPr="00321BBC">
              <w:rPr>
                <w:rFonts w:ascii="Times New Roman" w:hAnsi="Times New Roman" w:cs="Times New Roman"/>
                <w:spacing w:val="-4"/>
              </w:rPr>
              <w:t xml:space="preserve"> </w:t>
            </w:r>
            <w:r w:rsidRPr="00321BBC">
              <w:rPr>
                <w:rFonts w:ascii="Times New Roman" w:hAnsi="Times New Roman" w:cs="Times New Roman"/>
              </w:rPr>
              <w:t>well</w:t>
            </w:r>
            <w:r w:rsidRPr="00321BBC">
              <w:rPr>
                <w:rFonts w:ascii="Times New Roman" w:hAnsi="Times New Roman" w:cs="Times New Roman"/>
                <w:spacing w:val="-5"/>
              </w:rPr>
              <w:t xml:space="preserve"> </w:t>
            </w:r>
            <w:r w:rsidRPr="00321BBC">
              <w:rPr>
                <w:rFonts w:ascii="Times New Roman" w:hAnsi="Times New Roman" w:cs="Times New Roman"/>
              </w:rPr>
              <w:t>as trip length. This may also be compared within and outside the FAD closure period, and be related to location (e.g. distance from port), time of the year/day, the period of the trip,</w:t>
            </w:r>
            <w:r w:rsidRPr="00321BBC">
              <w:rPr>
                <w:rFonts w:ascii="Times New Roman" w:hAnsi="Times New Roman" w:cs="Times New Roman"/>
                <w:spacing w:val="-11"/>
              </w:rPr>
              <w:t xml:space="preserve"> </w:t>
            </w:r>
            <w:r w:rsidRPr="00321BBC">
              <w:rPr>
                <w:rFonts w:ascii="Times New Roman" w:hAnsi="Times New Roman" w:cs="Times New Roman"/>
              </w:rPr>
              <w:t>etc.</w:t>
            </w:r>
          </w:p>
          <w:p w14:paraId="5CC8B9DD"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1B8F457A" w14:textId="77777777" w:rsidR="0021261B" w:rsidRPr="00321BBC" w:rsidRDefault="0021261B" w:rsidP="0021261B">
            <w:pPr>
              <w:pStyle w:val="TableParagraph"/>
              <w:adjustRightInd w:val="0"/>
              <w:snapToGrid w:val="0"/>
              <w:rPr>
                <w:rFonts w:ascii="Times New Roman" w:hAnsi="Times New Roman" w:cs="Times New Roman"/>
              </w:rPr>
            </w:pPr>
            <w:r w:rsidRPr="00321BBC">
              <w:rPr>
                <w:rFonts w:ascii="Times New Roman" w:hAnsi="Times New Roman" w:cs="Times New Roman"/>
              </w:rPr>
              <w:t>Examine changes in the ‘reliance’ on FAD    fishing over time, at the fleet or</w:t>
            </w:r>
          </w:p>
          <w:p w14:paraId="62692C44" w14:textId="77777777" w:rsidR="0021261B" w:rsidRPr="00321BBC" w:rsidRDefault="0021261B" w:rsidP="0021261B">
            <w:pPr>
              <w:pStyle w:val="TableParagraph"/>
              <w:adjustRightInd w:val="0"/>
              <w:snapToGrid w:val="0"/>
              <w:rPr>
                <w:rFonts w:ascii="Times New Roman" w:hAnsi="Times New Roman" w:cs="Times New Roman"/>
              </w:rPr>
            </w:pPr>
            <w:proofErr w:type="gramStart"/>
            <w:r w:rsidRPr="00321BBC">
              <w:rPr>
                <w:rFonts w:ascii="Times New Roman" w:hAnsi="Times New Roman" w:cs="Times New Roman"/>
              </w:rPr>
              <w:t>vessel</w:t>
            </w:r>
            <w:proofErr w:type="gramEnd"/>
            <w:r w:rsidRPr="00321BBC">
              <w:rPr>
                <w:rFonts w:ascii="Times New Roman" w:hAnsi="Times New Roman" w:cs="Times New Roman"/>
              </w:rPr>
              <w:t xml:space="preserve"> level. Relate the reliance on FADs to geographic location.</w:t>
            </w:r>
          </w:p>
          <w:p w14:paraId="77D40976" w14:textId="77777777" w:rsidR="0021261B" w:rsidRPr="00321BBC" w:rsidRDefault="0021261B" w:rsidP="0021261B">
            <w:pPr>
              <w:pStyle w:val="TableParagraph"/>
              <w:adjustRightInd w:val="0"/>
              <w:snapToGrid w:val="0"/>
              <w:ind w:left="0"/>
              <w:jc w:val="left"/>
              <w:rPr>
                <w:rFonts w:ascii="Times New Roman" w:hAnsi="Times New Roman" w:cs="Times New Roman"/>
              </w:rPr>
            </w:pPr>
          </w:p>
          <w:p w14:paraId="38C5052E" w14:textId="77777777" w:rsidR="0021261B" w:rsidRDefault="0021261B"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Analyse</w:t>
            </w:r>
            <w:r w:rsidRPr="00321BBC">
              <w:rPr>
                <w:rFonts w:ascii="Times New Roman" w:hAnsi="Times New Roman" w:cs="Times New Roman"/>
                <w:spacing w:val="-5"/>
              </w:rPr>
              <w:t xml:space="preserve"> </w:t>
            </w:r>
            <w:r w:rsidRPr="00321BBC">
              <w:rPr>
                <w:rFonts w:ascii="Times New Roman" w:hAnsi="Times New Roman" w:cs="Times New Roman"/>
              </w:rPr>
              <w:t>using</w:t>
            </w:r>
            <w:r w:rsidRPr="00321BBC">
              <w:rPr>
                <w:rFonts w:ascii="Times New Roman" w:hAnsi="Times New Roman" w:cs="Times New Roman"/>
                <w:spacing w:val="-7"/>
              </w:rPr>
              <w:t xml:space="preserve"> </w:t>
            </w:r>
            <w:r w:rsidRPr="00321BBC">
              <w:rPr>
                <w:rFonts w:ascii="Times New Roman" w:hAnsi="Times New Roman" w:cs="Times New Roman"/>
              </w:rPr>
              <w:t>appropriate</w:t>
            </w:r>
            <w:r w:rsidRPr="00321BBC">
              <w:rPr>
                <w:rFonts w:ascii="Times New Roman" w:hAnsi="Times New Roman" w:cs="Times New Roman"/>
                <w:spacing w:val="-6"/>
              </w:rPr>
              <w:t xml:space="preserve"> </w:t>
            </w:r>
            <w:r w:rsidRPr="00321BBC">
              <w:rPr>
                <w:rFonts w:ascii="Times New Roman" w:hAnsi="Times New Roman" w:cs="Times New Roman"/>
              </w:rPr>
              <w:t>statistical</w:t>
            </w:r>
            <w:r w:rsidRPr="00321BBC">
              <w:rPr>
                <w:rFonts w:ascii="Times New Roman" w:hAnsi="Times New Roman" w:cs="Times New Roman"/>
                <w:spacing w:val="-8"/>
              </w:rPr>
              <w:t xml:space="preserve"> </w:t>
            </w:r>
            <w:r w:rsidRPr="00321BBC">
              <w:rPr>
                <w:rFonts w:ascii="Times New Roman" w:hAnsi="Times New Roman" w:cs="Times New Roman"/>
              </w:rPr>
              <w:t>techniques</w:t>
            </w:r>
            <w:r w:rsidRPr="00321BBC">
              <w:rPr>
                <w:rFonts w:ascii="Times New Roman" w:hAnsi="Times New Roman" w:cs="Times New Roman"/>
                <w:spacing w:val="-6"/>
              </w:rPr>
              <w:t xml:space="preserve"> </w:t>
            </w:r>
            <w:r w:rsidRPr="00321BBC">
              <w:rPr>
                <w:rFonts w:ascii="Times New Roman" w:hAnsi="Times New Roman" w:cs="Times New Roman"/>
              </w:rPr>
              <w:t>factors</w:t>
            </w:r>
            <w:r w:rsidRPr="00321BBC">
              <w:rPr>
                <w:rFonts w:ascii="Times New Roman" w:hAnsi="Times New Roman" w:cs="Times New Roman"/>
                <w:spacing w:val="-7"/>
              </w:rPr>
              <w:t xml:space="preserve"> </w:t>
            </w:r>
            <w:r w:rsidRPr="00321BBC">
              <w:rPr>
                <w:rFonts w:ascii="Times New Roman" w:hAnsi="Times New Roman" w:cs="Times New Roman"/>
              </w:rPr>
              <w:t>that</w:t>
            </w:r>
            <w:r w:rsidRPr="00321BBC">
              <w:rPr>
                <w:rFonts w:ascii="Times New Roman" w:hAnsi="Times New Roman" w:cs="Times New Roman"/>
                <w:spacing w:val="-7"/>
              </w:rPr>
              <w:t xml:space="preserve"> </w:t>
            </w:r>
            <w:r w:rsidRPr="00321BBC">
              <w:rPr>
                <w:rFonts w:ascii="Times New Roman" w:hAnsi="Times New Roman" w:cs="Times New Roman"/>
              </w:rPr>
              <w:t>could</w:t>
            </w:r>
            <w:r w:rsidRPr="00321BBC">
              <w:rPr>
                <w:rFonts w:ascii="Times New Roman" w:hAnsi="Times New Roman" w:cs="Times New Roman"/>
                <w:spacing w:val="-8"/>
              </w:rPr>
              <w:t xml:space="preserve"> </w:t>
            </w:r>
            <w:r w:rsidRPr="00321BBC">
              <w:rPr>
                <w:rFonts w:ascii="Times New Roman" w:hAnsi="Times New Roman" w:cs="Times New Roman"/>
              </w:rPr>
              <w:t>influence time</w:t>
            </w:r>
            <w:r w:rsidRPr="00321BBC">
              <w:rPr>
                <w:rFonts w:ascii="Times New Roman" w:hAnsi="Times New Roman" w:cs="Times New Roman"/>
                <w:spacing w:val="-10"/>
              </w:rPr>
              <w:t xml:space="preserve"> </w:t>
            </w:r>
            <w:r w:rsidRPr="00321BBC">
              <w:rPr>
                <w:rFonts w:ascii="Times New Roman" w:hAnsi="Times New Roman" w:cs="Times New Roman"/>
              </w:rPr>
              <w:t>series</w:t>
            </w:r>
            <w:r w:rsidRPr="00321BBC">
              <w:rPr>
                <w:rFonts w:ascii="Times New Roman" w:hAnsi="Times New Roman" w:cs="Times New Roman"/>
                <w:spacing w:val="-9"/>
              </w:rPr>
              <w:t xml:space="preserve"> </w:t>
            </w:r>
            <w:r w:rsidRPr="00321BBC">
              <w:rPr>
                <w:rFonts w:ascii="Times New Roman" w:hAnsi="Times New Roman" w:cs="Times New Roman"/>
              </w:rPr>
              <w:t>or</w:t>
            </w:r>
            <w:r w:rsidRPr="00321BBC">
              <w:rPr>
                <w:rFonts w:ascii="Times New Roman" w:hAnsi="Times New Roman" w:cs="Times New Roman"/>
                <w:spacing w:val="-8"/>
              </w:rPr>
              <w:t xml:space="preserve"> </w:t>
            </w:r>
            <w:r w:rsidRPr="00321BBC">
              <w:rPr>
                <w:rFonts w:ascii="Times New Roman" w:hAnsi="Times New Roman" w:cs="Times New Roman"/>
              </w:rPr>
              <w:t>relative</w:t>
            </w:r>
            <w:r w:rsidRPr="00321BBC">
              <w:rPr>
                <w:rFonts w:ascii="Times New Roman" w:hAnsi="Times New Roman" w:cs="Times New Roman"/>
                <w:spacing w:val="-10"/>
              </w:rPr>
              <w:t xml:space="preserve"> </w:t>
            </w:r>
            <w:r w:rsidRPr="00321BBC">
              <w:rPr>
                <w:rFonts w:ascii="Times New Roman" w:hAnsi="Times New Roman" w:cs="Times New Roman"/>
              </w:rPr>
              <w:t>patterns</w:t>
            </w:r>
            <w:r w:rsidRPr="00321BBC">
              <w:rPr>
                <w:rFonts w:ascii="Times New Roman" w:hAnsi="Times New Roman" w:cs="Times New Roman"/>
                <w:spacing w:val="-8"/>
              </w:rPr>
              <w:t xml:space="preserve"> </w:t>
            </w:r>
            <w:r w:rsidRPr="00321BBC">
              <w:rPr>
                <w:rFonts w:ascii="Times New Roman" w:hAnsi="Times New Roman" w:cs="Times New Roman"/>
              </w:rPr>
              <w:t>in</w:t>
            </w:r>
            <w:r w:rsidRPr="00321BBC">
              <w:rPr>
                <w:rFonts w:ascii="Times New Roman" w:hAnsi="Times New Roman" w:cs="Times New Roman"/>
                <w:spacing w:val="-9"/>
              </w:rPr>
              <w:t xml:space="preserve"> </w:t>
            </w:r>
            <w:r w:rsidRPr="00321BBC">
              <w:rPr>
                <w:rFonts w:ascii="Times New Roman" w:hAnsi="Times New Roman" w:cs="Times New Roman"/>
              </w:rPr>
              <w:t>purse</w:t>
            </w:r>
            <w:r w:rsidRPr="00321BBC">
              <w:rPr>
                <w:rFonts w:ascii="Times New Roman" w:hAnsi="Times New Roman" w:cs="Times New Roman"/>
                <w:spacing w:val="-10"/>
              </w:rPr>
              <w:t xml:space="preserve"> </w:t>
            </w:r>
            <w:r w:rsidRPr="00321BBC">
              <w:rPr>
                <w:rFonts w:ascii="Times New Roman" w:hAnsi="Times New Roman" w:cs="Times New Roman"/>
              </w:rPr>
              <w:t>seine</w:t>
            </w:r>
            <w:r w:rsidRPr="00321BBC">
              <w:rPr>
                <w:rFonts w:ascii="Times New Roman" w:hAnsi="Times New Roman" w:cs="Times New Roman"/>
                <w:spacing w:val="-10"/>
              </w:rPr>
              <w:t xml:space="preserve"> </w:t>
            </w:r>
            <w:r w:rsidRPr="00321BBC">
              <w:rPr>
                <w:rFonts w:ascii="Times New Roman" w:hAnsi="Times New Roman" w:cs="Times New Roman"/>
              </w:rPr>
              <w:t>associated</w:t>
            </w:r>
            <w:r w:rsidRPr="00321BBC">
              <w:rPr>
                <w:rFonts w:ascii="Times New Roman" w:hAnsi="Times New Roman" w:cs="Times New Roman"/>
                <w:spacing w:val="-9"/>
              </w:rPr>
              <w:t xml:space="preserve"> </w:t>
            </w:r>
            <w:r w:rsidRPr="00321BBC">
              <w:rPr>
                <w:rFonts w:ascii="Times New Roman" w:hAnsi="Times New Roman" w:cs="Times New Roman"/>
              </w:rPr>
              <w:t>set</w:t>
            </w:r>
            <w:r w:rsidRPr="00321BBC">
              <w:rPr>
                <w:rFonts w:ascii="Times New Roman" w:hAnsi="Times New Roman" w:cs="Times New Roman"/>
                <w:spacing w:val="-10"/>
              </w:rPr>
              <w:t xml:space="preserve"> </w:t>
            </w:r>
            <w:r w:rsidRPr="00321BBC">
              <w:rPr>
                <w:rFonts w:ascii="Times New Roman" w:hAnsi="Times New Roman" w:cs="Times New Roman"/>
              </w:rPr>
              <w:t>CPUE</w:t>
            </w:r>
            <w:r w:rsidRPr="00321BBC">
              <w:rPr>
                <w:rFonts w:ascii="Times New Roman" w:hAnsi="Times New Roman" w:cs="Times New Roman"/>
                <w:spacing w:val="-10"/>
              </w:rPr>
              <w:t xml:space="preserve"> </w:t>
            </w:r>
            <w:r w:rsidRPr="00321BBC">
              <w:rPr>
                <w:rFonts w:ascii="Times New Roman" w:hAnsi="Times New Roman" w:cs="Times New Roman"/>
              </w:rPr>
              <w:t>(catch</w:t>
            </w:r>
            <w:r w:rsidRPr="00321BBC">
              <w:rPr>
                <w:rFonts w:ascii="Times New Roman" w:hAnsi="Times New Roman" w:cs="Times New Roman"/>
                <w:spacing w:val="-8"/>
              </w:rPr>
              <w:t xml:space="preserve"> </w:t>
            </w:r>
            <w:r w:rsidRPr="00321BBC">
              <w:rPr>
                <w:rFonts w:ascii="Times New Roman" w:hAnsi="Times New Roman" w:cs="Times New Roman"/>
                <w:spacing w:val="-2"/>
              </w:rPr>
              <w:t xml:space="preserve">per </w:t>
            </w:r>
            <w:r w:rsidRPr="00321BBC">
              <w:rPr>
                <w:rFonts w:ascii="Times New Roman" w:hAnsi="Times New Roman" w:cs="Times New Roman"/>
              </w:rPr>
              <w:t>set, but catch per day or trip may also be examined), including fleet, location, oceanography, FAD set density (as a proxy for FAD density), observed FAD design, vessel characteristics, stock abundance, etc.</w:t>
            </w:r>
            <w:r w:rsidRPr="00321BBC">
              <w:rPr>
                <w:rFonts w:ascii="Times New Roman" w:hAnsi="Times New Roman" w:cs="Times New Roman"/>
                <w:spacing w:val="-36"/>
              </w:rPr>
              <w:t xml:space="preserve"> </w:t>
            </w:r>
            <w:r w:rsidRPr="00321BBC">
              <w:rPr>
                <w:rFonts w:ascii="Times New Roman" w:hAnsi="Times New Roman" w:cs="Times New Roman"/>
              </w:rPr>
              <w:t>This may evaluate the probability of a successful set, as well as the level of catch if a set were</w:t>
            </w:r>
            <w:r w:rsidRPr="00321BBC">
              <w:rPr>
                <w:rFonts w:ascii="Times New Roman" w:hAnsi="Times New Roman" w:cs="Times New Roman"/>
                <w:spacing w:val="-10"/>
              </w:rPr>
              <w:t xml:space="preserve"> </w:t>
            </w:r>
            <w:r w:rsidRPr="00321BBC">
              <w:rPr>
                <w:rFonts w:ascii="Times New Roman" w:hAnsi="Times New Roman" w:cs="Times New Roman"/>
              </w:rPr>
              <w:t>successful.</w:t>
            </w:r>
          </w:p>
          <w:p w14:paraId="79647CAA" w14:textId="77777777" w:rsidR="00C416B4" w:rsidRDefault="00C416B4" w:rsidP="0021261B">
            <w:pPr>
              <w:pStyle w:val="TableParagraph"/>
              <w:adjustRightInd w:val="0"/>
              <w:snapToGrid w:val="0"/>
              <w:ind w:right="98"/>
              <w:rPr>
                <w:rFonts w:ascii="Times New Roman" w:hAnsi="Times New Roman" w:cs="Times New Roman"/>
              </w:rPr>
            </w:pPr>
          </w:p>
          <w:p w14:paraId="0626EA5F" w14:textId="77777777" w:rsidR="00C416B4" w:rsidRDefault="00C416B4" w:rsidP="00C416B4">
            <w:pPr>
              <w:pStyle w:val="TableParagraph"/>
              <w:adjustRightInd w:val="0"/>
              <w:snapToGrid w:val="0"/>
              <w:ind w:right="101"/>
              <w:rPr>
                <w:rFonts w:ascii="Times New Roman" w:hAnsi="Times New Roman" w:cs="Times New Roman"/>
              </w:rPr>
            </w:pPr>
            <w:r w:rsidRPr="00321BBC">
              <w:rPr>
                <w:rFonts w:ascii="Times New Roman" w:hAnsi="Times New Roman" w:cs="Times New Roman"/>
              </w:rPr>
              <w:t>Identify data gaps and provide advice on potential areas of additional data collection to improve future analyses.</w:t>
            </w:r>
          </w:p>
          <w:p w14:paraId="1704DCC2" w14:textId="77777777" w:rsidR="00C416B4" w:rsidRPr="00321BBC" w:rsidRDefault="00C416B4" w:rsidP="00C416B4">
            <w:pPr>
              <w:pStyle w:val="TableParagraph"/>
              <w:adjustRightInd w:val="0"/>
              <w:snapToGrid w:val="0"/>
              <w:ind w:right="101"/>
              <w:rPr>
                <w:rFonts w:ascii="Times New Roman" w:hAnsi="Times New Roman" w:cs="Times New Roman"/>
              </w:rPr>
            </w:pPr>
          </w:p>
          <w:p w14:paraId="1C7BEF20" w14:textId="6E3B0B79" w:rsidR="00C416B4" w:rsidRPr="00321BBC" w:rsidRDefault="00C416B4" w:rsidP="0021261B">
            <w:pPr>
              <w:pStyle w:val="TableParagraph"/>
              <w:adjustRightInd w:val="0"/>
              <w:snapToGrid w:val="0"/>
              <w:ind w:right="98"/>
              <w:rPr>
                <w:rFonts w:ascii="Times New Roman" w:hAnsi="Times New Roman" w:cs="Times New Roman"/>
              </w:rPr>
            </w:pPr>
            <w:r w:rsidRPr="00321BBC">
              <w:rPr>
                <w:rFonts w:ascii="Times New Roman" w:hAnsi="Times New Roman" w:cs="Times New Roman"/>
              </w:rPr>
              <w:t>Where observer information is sufficient, work will also examine the number and activities of supply vessels, including identifying which particular purse seine vessels each support, and the number of FADs being deployed and serviced by such vessels.</w:t>
            </w:r>
          </w:p>
        </w:tc>
      </w:tr>
      <w:tr w:rsidR="00C416B4" w:rsidRPr="00321BBC" w14:paraId="2A006D72" w14:textId="77777777" w:rsidTr="00C416B4">
        <w:trPr>
          <w:trHeight w:val="106"/>
        </w:trPr>
        <w:tc>
          <w:tcPr>
            <w:tcW w:w="831" w:type="pct"/>
          </w:tcPr>
          <w:p w14:paraId="2C1823A8" w14:textId="40CB69D0" w:rsidR="00C416B4" w:rsidRPr="00321BBC" w:rsidRDefault="00C416B4"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Timeframe</w:t>
            </w:r>
          </w:p>
        </w:tc>
        <w:tc>
          <w:tcPr>
            <w:tcW w:w="4169" w:type="pct"/>
          </w:tcPr>
          <w:p w14:paraId="351CB960" w14:textId="56A733B1" w:rsidR="00C416B4" w:rsidRPr="00321BBC" w:rsidRDefault="00C416B4"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18 months</w:t>
            </w:r>
          </w:p>
        </w:tc>
      </w:tr>
      <w:tr w:rsidR="00C416B4" w:rsidRPr="00321BBC" w14:paraId="35E4C542" w14:textId="77777777" w:rsidTr="00C416B4">
        <w:trPr>
          <w:trHeight w:val="876"/>
        </w:trPr>
        <w:tc>
          <w:tcPr>
            <w:tcW w:w="831" w:type="pct"/>
          </w:tcPr>
          <w:p w14:paraId="12DD909F" w14:textId="5C3C1FAB" w:rsidR="00C416B4" w:rsidRPr="00321BBC" w:rsidRDefault="00C416B4" w:rsidP="0021261B">
            <w:pPr>
              <w:pStyle w:val="TableParagraph"/>
              <w:adjustRightInd w:val="0"/>
              <w:snapToGrid w:val="0"/>
              <w:jc w:val="left"/>
              <w:rPr>
                <w:rFonts w:ascii="Times New Roman" w:hAnsi="Times New Roman" w:cs="Times New Roman"/>
              </w:rPr>
            </w:pPr>
            <w:r w:rsidRPr="00321BBC">
              <w:rPr>
                <w:rFonts w:ascii="Times New Roman" w:hAnsi="Times New Roman" w:cs="Times New Roman"/>
              </w:rPr>
              <w:t>Budget</w:t>
            </w:r>
          </w:p>
        </w:tc>
        <w:tc>
          <w:tcPr>
            <w:tcW w:w="4169" w:type="pct"/>
          </w:tcPr>
          <w:p w14:paraId="0997CC2D" w14:textId="77777777" w:rsidR="00C416B4" w:rsidRPr="00321BBC" w:rsidRDefault="00C416B4" w:rsidP="0009474D">
            <w:pPr>
              <w:pStyle w:val="TableParagraph"/>
              <w:adjustRightInd w:val="0"/>
              <w:snapToGrid w:val="0"/>
              <w:ind w:right="5119"/>
              <w:jc w:val="left"/>
              <w:rPr>
                <w:rFonts w:ascii="Times New Roman" w:hAnsi="Times New Roman" w:cs="Times New Roman"/>
              </w:rPr>
            </w:pPr>
            <w:r w:rsidRPr="00321BBC">
              <w:rPr>
                <w:rFonts w:ascii="Times New Roman" w:hAnsi="Times New Roman" w:cs="Times New Roman"/>
              </w:rPr>
              <w:t>1.5 year FTE at SPC USD$182,000</w:t>
            </w:r>
          </w:p>
          <w:p w14:paraId="5901D211" w14:textId="1F8080CA" w:rsidR="00C416B4" w:rsidRPr="00321BBC" w:rsidRDefault="00C416B4" w:rsidP="0021261B">
            <w:pPr>
              <w:pStyle w:val="TableParagraph"/>
              <w:adjustRightInd w:val="0"/>
              <w:snapToGrid w:val="0"/>
              <w:ind w:right="99"/>
              <w:rPr>
                <w:rFonts w:ascii="Times New Roman" w:hAnsi="Times New Roman" w:cs="Times New Roman"/>
              </w:rPr>
            </w:pPr>
            <w:r w:rsidRPr="00321BBC">
              <w:rPr>
                <w:rFonts w:ascii="Times New Roman" w:hAnsi="Times New Roman" w:cs="Times New Roman"/>
              </w:rPr>
              <w:t>Associated travel and subsistence to relevant WCPFC meetings USD$20,000</w:t>
            </w:r>
          </w:p>
        </w:tc>
      </w:tr>
    </w:tbl>
    <w:p w14:paraId="1FD97FD4" w14:textId="77777777" w:rsidR="00C416B4" w:rsidRDefault="00C416B4"/>
    <w:p w14:paraId="5D2396EB" w14:textId="77777777" w:rsidR="00C416B4" w:rsidRDefault="00C416B4"/>
    <w:p w14:paraId="3961ADDB" w14:textId="615C079A" w:rsidR="0072610C" w:rsidRDefault="0072610C">
      <w:pPr>
        <w:spacing w:after="0"/>
        <w:jc w:val="left"/>
      </w:pPr>
      <w:r>
        <w:br w:type="page"/>
      </w:r>
    </w:p>
    <w:p w14:paraId="6CFFAD12" w14:textId="48DC6B61" w:rsidR="0072610C" w:rsidRPr="0072610C" w:rsidRDefault="0072610C" w:rsidP="0072610C">
      <w:pPr>
        <w:autoSpaceDE w:val="0"/>
        <w:autoSpaceDN w:val="0"/>
        <w:adjustRightInd w:val="0"/>
        <w:snapToGrid w:val="0"/>
        <w:spacing w:after="0"/>
        <w:jc w:val="right"/>
        <w:rPr>
          <w:rFonts w:ascii="Times New Roman" w:hAnsi="Times New Roman"/>
          <w:b/>
          <w:bCs/>
          <w:lang w:val="en-AU" w:eastAsia="en-NZ"/>
        </w:rPr>
      </w:pPr>
      <w:r w:rsidRPr="0072610C">
        <w:rPr>
          <w:rFonts w:ascii="Times New Roman" w:hAnsi="Times New Roman"/>
          <w:b/>
          <w:bCs/>
          <w:lang w:val="en-AU" w:eastAsia="en-NZ"/>
        </w:rPr>
        <w:t>Attachment F</w:t>
      </w:r>
    </w:p>
    <w:p w14:paraId="279F774A" w14:textId="77777777" w:rsidR="0072610C" w:rsidRPr="0072610C" w:rsidRDefault="0072610C" w:rsidP="0072610C">
      <w:pPr>
        <w:autoSpaceDE w:val="0"/>
        <w:autoSpaceDN w:val="0"/>
        <w:adjustRightInd w:val="0"/>
        <w:snapToGrid w:val="0"/>
        <w:spacing w:after="0"/>
        <w:jc w:val="center"/>
        <w:rPr>
          <w:rFonts w:ascii="Times New Roman" w:hAnsi="Times New Roman"/>
          <w:b/>
          <w:bCs/>
          <w:lang w:val="en-AU" w:eastAsia="en-NZ"/>
        </w:rPr>
      </w:pPr>
    </w:p>
    <w:p w14:paraId="2BB00D01" w14:textId="77777777" w:rsidR="0072610C" w:rsidRPr="0072610C" w:rsidRDefault="0072610C" w:rsidP="0072610C">
      <w:pPr>
        <w:autoSpaceDE w:val="0"/>
        <w:autoSpaceDN w:val="0"/>
        <w:adjustRightInd w:val="0"/>
        <w:snapToGrid w:val="0"/>
        <w:spacing w:after="0"/>
        <w:jc w:val="center"/>
        <w:rPr>
          <w:rFonts w:ascii="Times New Roman" w:hAnsi="Times New Roman"/>
          <w:b/>
          <w:bCs/>
          <w:lang w:val="en-AU" w:eastAsia="en-NZ"/>
        </w:rPr>
      </w:pPr>
      <w:r w:rsidRPr="0072610C">
        <w:rPr>
          <w:rFonts w:ascii="Times New Roman" w:hAnsi="Times New Roman"/>
          <w:b/>
          <w:bCs/>
          <w:lang w:val="en-AU" w:eastAsia="en-NZ"/>
        </w:rPr>
        <w:t xml:space="preserve">The Commission for the Conservation and Management of </w:t>
      </w:r>
      <w:r w:rsidRPr="0072610C">
        <w:rPr>
          <w:rFonts w:ascii="Times New Roman" w:hAnsi="Times New Roman"/>
          <w:b/>
          <w:bCs/>
          <w:lang w:val="en-AU" w:eastAsia="en-NZ"/>
        </w:rPr>
        <w:br/>
        <w:t>Highly Migratory Fish Stocks in the Western and Central Pacific Ocean</w:t>
      </w:r>
    </w:p>
    <w:p w14:paraId="1BEF9EE8" w14:textId="77777777" w:rsidR="0072610C" w:rsidRPr="0072610C" w:rsidRDefault="0072610C" w:rsidP="0072610C">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 xml:space="preserve">Scientific Committee </w:t>
      </w:r>
    </w:p>
    <w:p w14:paraId="52AFDEF4" w14:textId="77777777" w:rsidR="0072610C" w:rsidRPr="0072610C" w:rsidRDefault="0072610C" w:rsidP="0072610C">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Thirteenth Regular Session</w:t>
      </w:r>
    </w:p>
    <w:p w14:paraId="40092B14" w14:textId="77777777" w:rsidR="0072610C" w:rsidRPr="0072610C" w:rsidRDefault="0072610C" w:rsidP="0072610C">
      <w:pPr>
        <w:autoSpaceDE w:val="0"/>
        <w:autoSpaceDN w:val="0"/>
        <w:adjustRightInd w:val="0"/>
        <w:snapToGrid w:val="0"/>
        <w:spacing w:after="0"/>
        <w:jc w:val="center"/>
        <w:rPr>
          <w:rFonts w:ascii="Times New Roman" w:hAnsi="Times New Roman"/>
          <w:bCs/>
          <w:lang w:val="en-AU" w:eastAsia="en-NZ"/>
        </w:rPr>
      </w:pPr>
      <w:r w:rsidRPr="0072610C">
        <w:rPr>
          <w:rFonts w:ascii="Times New Roman" w:hAnsi="Times New Roman"/>
          <w:bCs/>
          <w:lang w:val="en-AU" w:eastAsia="en-NZ"/>
        </w:rPr>
        <w:t>Rarotonga, Cook Islands</w:t>
      </w:r>
      <w:r w:rsidRPr="0072610C">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72610C" w:rsidRPr="0072610C" w14:paraId="176EDDFD" w14:textId="77777777" w:rsidTr="0009474D">
        <w:tc>
          <w:tcPr>
            <w:tcW w:w="9576" w:type="dxa"/>
            <w:tcBorders>
              <w:top w:val="single" w:sz="12" w:space="0" w:color="auto"/>
              <w:left w:val="nil"/>
              <w:bottom w:val="single" w:sz="12" w:space="0" w:color="auto"/>
              <w:right w:val="nil"/>
            </w:tcBorders>
            <w:hideMark/>
          </w:tcPr>
          <w:p w14:paraId="3AC68272" w14:textId="38FF51D6" w:rsidR="0072610C" w:rsidRPr="0072610C" w:rsidRDefault="0072610C" w:rsidP="0072610C">
            <w:pPr>
              <w:adjustRightInd w:val="0"/>
              <w:snapToGrid w:val="0"/>
              <w:spacing w:after="0"/>
              <w:jc w:val="center"/>
              <w:rPr>
                <w:rFonts w:ascii="Times New Roman" w:hAnsi="Times New Roman"/>
                <w:b/>
                <w:lang w:val="en-US"/>
              </w:rPr>
            </w:pPr>
            <w:r w:rsidRPr="0072610C">
              <w:rPr>
                <w:rFonts w:ascii="Times New Roman" w:hAnsi="Times New Roman"/>
                <w:b/>
                <w:lang w:val="en-US"/>
              </w:rPr>
              <w:t>Report of the ISG-08</w:t>
            </w:r>
          </w:p>
          <w:p w14:paraId="6C8723A2" w14:textId="006BBCAF" w:rsidR="0072610C" w:rsidRPr="0072610C" w:rsidRDefault="0072610C" w:rsidP="0072610C">
            <w:pPr>
              <w:adjustRightInd w:val="0"/>
              <w:snapToGrid w:val="0"/>
              <w:spacing w:after="0"/>
              <w:jc w:val="center"/>
              <w:rPr>
                <w:rFonts w:ascii="Times New Roman" w:eastAsia="맑은 고딕" w:hAnsi="Times New Roman"/>
                <w:b/>
                <w:lang w:val="en-AU" w:eastAsia="ko-KR"/>
              </w:rPr>
            </w:pPr>
            <w:r w:rsidRPr="0072610C">
              <w:rPr>
                <w:rFonts w:ascii="Times New Roman" w:hAnsi="Times New Roman"/>
                <w:b/>
              </w:rPr>
              <w:t>Performance Indicators and Monitoring Strategies</w:t>
            </w:r>
          </w:p>
        </w:tc>
      </w:tr>
    </w:tbl>
    <w:p w14:paraId="1346E830" w14:textId="77777777" w:rsidR="0072610C" w:rsidRPr="0072610C" w:rsidRDefault="0072610C" w:rsidP="0072610C">
      <w:pPr>
        <w:autoSpaceDE w:val="0"/>
        <w:autoSpaceDN w:val="0"/>
        <w:adjustRightInd w:val="0"/>
        <w:snapToGrid w:val="0"/>
        <w:spacing w:after="0"/>
        <w:rPr>
          <w:rFonts w:ascii="Times New Roman" w:hAnsi="Times New Roman"/>
          <w:lang w:val="en-AU"/>
        </w:rPr>
      </w:pPr>
    </w:p>
    <w:p w14:paraId="22463289" w14:textId="77777777" w:rsidR="0072610C" w:rsidRPr="0072610C" w:rsidRDefault="0072610C" w:rsidP="0072610C">
      <w:pPr>
        <w:adjustRightInd w:val="0"/>
        <w:snapToGrid w:val="0"/>
        <w:spacing w:after="0"/>
        <w:rPr>
          <w:rFonts w:ascii="Times New Roman" w:hAnsi="Times New Roman"/>
          <w:b/>
          <w:lang w:val="en-US"/>
        </w:rPr>
      </w:pPr>
    </w:p>
    <w:p w14:paraId="59F1EBCB" w14:textId="5ADBF23E" w:rsidR="0072610C" w:rsidRPr="0072610C" w:rsidRDefault="0072610C" w:rsidP="0072610C">
      <w:pPr>
        <w:adjustRightInd w:val="0"/>
        <w:snapToGrid w:val="0"/>
        <w:spacing w:after="0"/>
        <w:rPr>
          <w:rFonts w:ascii="Times New Roman" w:hAnsi="Times New Roman"/>
        </w:rPr>
      </w:pPr>
      <w:r w:rsidRPr="0072610C">
        <w:rPr>
          <w:rFonts w:ascii="Times New Roman" w:hAnsi="Times New Roman"/>
        </w:rPr>
        <w:t>ISG-8 met twice during SC13 (on Saturday 13</w:t>
      </w:r>
      <w:r w:rsidRPr="0072610C">
        <w:rPr>
          <w:rFonts w:ascii="Times New Roman" w:hAnsi="Times New Roman"/>
          <w:vertAlign w:val="superscript"/>
        </w:rPr>
        <w:t>th</w:t>
      </w:r>
      <w:r w:rsidRPr="0072610C">
        <w:rPr>
          <w:rFonts w:ascii="Times New Roman" w:hAnsi="Times New Roman"/>
        </w:rPr>
        <w:t xml:space="preserve"> August during the lunch break and Monday 15</w:t>
      </w:r>
      <w:r w:rsidRPr="0072610C">
        <w:rPr>
          <w:rFonts w:ascii="Times New Roman" w:hAnsi="Times New Roman"/>
          <w:vertAlign w:val="superscript"/>
        </w:rPr>
        <w:t>th</w:t>
      </w:r>
      <w:r w:rsidRPr="0072610C">
        <w:rPr>
          <w:rFonts w:ascii="Times New Roman" w:hAnsi="Times New Roman"/>
        </w:rPr>
        <w:t xml:space="preserve"> August during the afternoon-tea break). Robert Campbell (Australia) acted as facilitator and R</w:t>
      </w:r>
      <w:r w:rsidR="007E066D">
        <w:rPr>
          <w:rFonts w:ascii="Times New Roman" w:hAnsi="Times New Roman" w:hint="eastAsia"/>
          <w:lang w:eastAsia="ko-KR"/>
        </w:rPr>
        <w:t>.</w:t>
      </w:r>
      <w:r w:rsidRPr="0072610C">
        <w:rPr>
          <w:rFonts w:ascii="Times New Roman" w:hAnsi="Times New Roman"/>
        </w:rPr>
        <w:t xml:space="preserve"> Scott was rapporteur.</w:t>
      </w:r>
    </w:p>
    <w:p w14:paraId="30EFAEDA" w14:textId="77777777" w:rsidR="0072610C" w:rsidRPr="0072610C" w:rsidRDefault="0072610C" w:rsidP="0072610C">
      <w:pPr>
        <w:adjustRightInd w:val="0"/>
        <w:snapToGrid w:val="0"/>
        <w:spacing w:after="0"/>
        <w:rPr>
          <w:rFonts w:ascii="Times New Roman" w:hAnsi="Times New Roman"/>
        </w:rPr>
      </w:pPr>
    </w:p>
    <w:p w14:paraId="7613AE72" w14:textId="77777777" w:rsidR="0072610C" w:rsidRPr="0072610C" w:rsidRDefault="0072610C" w:rsidP="0072610C">
      <w:pPr>
        <w:adjustRightInd w:val="0"/>
        <w:snapToGrid w:val="0"/>
        <w:spacing w:after="0"/>
        <w:rPr>
          <w:rFonts w:ascii="Times New Roman" w:hAnsi="Times New Roman"/>
        </w:rPr>
      </w:pPr>
      <w:r w:rsidRPr="0072610C">
        <w:rPr>
          <w:rFonts w:ascii="Times New Roman" w:hAnsi="Times New Roman"/>
        </w:rPr>
        <w:t>The Terms of Reference for ISW-8 were to discuss and review the performance indicators and monitoring strategies proposed in working papers MI-WP-02 (</w:t>
      </w:r>
      <w:r w:rsidRPr="0072610C">
        <w:rPr>
          <w:rFonts w:ascii="Times New Roman" w:hAnsi="Times New Roman"/>
          <w:i/>
        </w:rPr>
        <w:t>Performance indicators and monitoring strategies for South Pacific Albacore compatible with candidate management objectives for the Southern Longline Fishery</w:t>
      </w:r>
      <w:r w:rsidRPr="0072610C">
        <w:rPr>
          <w:rFonts w:ascii="Times New Roman" w:hAnsi="Times New Roman"/>
        </w:rPr>
        <w:t xml:space="preserve"> ) and MI-WP-03 (</w:t>
      </w:r>
      <w:r w:rsidRPr="0072610C">
        <w:rPr>
          <w:rFonts w:ascii="Times New Roman" w:hAnsi="Times New Roman"/>
          <w:i/>
        </w:rPr>
        <w:t>Performance indicators and monitoring strategies for Bigeye and Yellowfin Tuna compatible with candidate management objectives for the Tropical Longline Fishery</w:t>
      </w:r>
      <w:r w:rsidRPr="0072610C">
        <w:rPr>
          <w:rFonts w:ascii="Times New Roman" w:hAnsi="Times New Roman"/>
        </w:rPr>
        <w:t xml:space="preserve">) and agree on a final list of candidate performance indicators and monitoring strategies for inclusion in the revisions of these working papers to be submitted to WCPFC14.  </w:t>
      </w:r>
    </w:p>
    <w:p w14:paraId="6C182FAA" w14:textId="77777777" w:rsidR="0072610C" w:rsidRPr="0072610C" w:rsidRDefault="0072610C" w:rsidP="0072610C">
      <w:pPr>
        <w:adjustRightInd w:val="0"/>
        <w:snapToGrid w:val="0"/>
        <w:spacing w:after="0"/>
        <w:rPr>
          <w:rFonts w:ascii="Times New Roman" w:hAnsi="Times New Roman"/>
        </w:rPr>
      </w:pPr>
    </w:p>
    <w:p w14:paraId="76E98E4E" w14:textId="77777777" w:rsidR="0072610C" w:rsidRPr="0072610C" w:rsidRDefault="0072610C" w:rsidP="0072610C">
      <w:pPr>
        <w:adjustRightInd w:val="0"/>
        <w:snapToGrid w:val="0"/>
        <w:spacing w:after="0"/>
        <w:rPr>
          <w:rFonts w:ascii="Times New Roman" w:hAnsi="Times New Roman"/>
        </w:rPr>
      </w:pPr>
      <w:r w:rsidRPr="0072610C">
        <w:rPr>
          <w:rFonts w:ascii="Times New Roman" w:hAnsi="Times New Roman"/>
        </w:rPr>
        <w:t xml:space="preserve">The finalised lists of performance indicators and associated monitoring strategies supported by ISG-8 for the </w:t>
      </w:r>
      <w:r w:rsidRPr="0072610C">
        <w:rPr>
          <w:rFonts w:ascii="Times New Roman" w:hAnsi="Times New Roman"/>
          <w:i/>
        </w:rPr>
        <w:t>Southern Longline Fishery</w:t>
      </w:r>
      <w:r w:rsidRPr="0072610C">
        <w:rPr>
          <w:rFonts w:ascii="Times New Roman" w:hAnsi="Times New Roman"/>
        </w:rPr>
        <w:t xml:space="preserve"> are displayed in Table 1 and for the </w:t>
      </w:r>
      <w:r w:rsidRPr="0072610C">
        <w:rPr>
          <w:rFonts w:ascii="Times New Roman" w:hAnsi="Times New Roman"/>
          <w:i/>
        </w:rPr>
        <w:t>Tropical Longline Fishery</w:t>
      </w:r>
      <w:r w:rsidRPr="0072610C">
        <w:rPr>
          <w:rFonts w:ascii="Times New Roman" w:hAnsi="Times New Roman"/>
        </w:rPr>
        <w:t xml:space="preserve"> in Table 2. </w:t>
      </w:r>
    </w:p>
    <w:p w14:paraId="790548C8" w14:textId="77777777" w:rsidR="0072610C" w:rsidRPr="0072610C" w:rsidRDefault="0072610C" w:rsidP="0072610C">
      <w:pPr>
        <w:adjustRightInd w:val="0"/>
        <w:snapToGrid w:val="0"/>
        <w:spacing w:after="0"/>
        <w:rPr>
          <w:rFonts w:ascii="Times New Roman" w:hAnsi="Times New Roman"/>
        </w:rPr>
      </w:pPr>
    </w:p>
    <w:p w14:paraId="5AC62A00" w14:textId="77777777" w:rsidR="0072610C" w:rsidRPr="0072610C" w:rsidRDefault="0072610C" w:rsidP="0072610C">
      <w:pPr>
        <w:adjustRightInd w:val="0"/>
        <w:snapToGrid w:val="0"/>
        <w:spacing w:after="0"/>
        <w:rPr>
          <w:rFonts w:ascii="Times New Roman" w:hAnsi="Times New Roman"/>
        </w:rPr>
      </w:pPr>
      <w:r w:rsidRPr="0072610C">
        <w:rPr>
          <w:rFonts w:ascii="Times New Roman" w:hAnsi="Times New Roman"/>
        </w:rPr>
        <w:t>In reviewing and discussing the above working papers, ISW-8 also noted the following:</w:t>
      </w:r>
    </w:p>
    <w:p w14:paraId="7F4619E3" w14:textId="77777777" w:rsidR="0072610C" w:rsidRPr="0072610C" w:rsidRDefault="0072610C" w:rsidP="0074425A">
      <w:pPr>
        <w:pStyle w:val="ListParagraph"/>
        <w:numPr>
          <w:ilvl w:val="0"/>
          <w:numId w:val="117"/>
        </w:numPr>
        <w:adjustRightInd w:val="0"/>
        <w:snapToGrid w:val="0"/>
        <w:contextualSpacing w:val="0"/>
        <w:rPr>
          <w:rFonts w:ascii="Times New Roman" w:hAnsi="Times New Roman"/>
        </w:rPr>
      </w:pPr>
      <w:r w:rsidRPr="0072610C">
        <w:rPr>
          <w:rFonts w:ascii="Times New Roman" w:hAnsi="Times New Roman"/>
        </w:rPr>
        <w:t xml:space="preserve">Due to the finer-scale data requirements of some performance indicators (e.g. catch at the level of individual CCMs), and/or a dependency on information which will not be modelled within the MSE operating model (e.g. multi-species interactions for ecosystem effects), ISW-8 recognised that some performance indicators will not be included in the outputs of the Harvest Strategy Work Plan (at least in the short-term). Nevertheless, it may be possible to evaluate these objectives independently of the outputs of the MSE operating model (e.g. using data collected by individual CCMs), as part of the monitoring strategy. </w:t>
      </w:r>
    </w:p>
    <w:p w14:paraId="3F5C1C24" w14:textId="77777777" w:rsidR="0072610C" w:rsidRPr="0072610C" w:rsidRDefault="0072610C" w:rsidP="0074425A">
      <w:pPr>
        <w:pStyle w:val="ListParagraph"/>
        <w:numPr>
          <w:ilvl w:val="0"/>
          <w:numId w:val="117"/>
        </w:numPr>
        <w:adjustRightInd w:val="0"/>
        <w:snapToGrid w:val="0"/>
        <w:contextualSpacing w:val="0"/>
        <w:rPr>
          <w:rFonts w:ascii="Times New Roman" w:hAnsi="Times New Roman"/>
        </w:rPr>
      </w:pPr>
      <w:r w:rsidRPr="0072610C">
        <w:rPr>
          <w:rFonts w:ascii="Times New Roman" w:hAnsi="Times New Roman"/>
        </w:rPr>
        <w:t>While it may not be possible to evaluate all performance indicators in the short-term (especially via the outcomes of the MSE operating model), the Commission should nevertheless not lose sight of the monitoring strategies required to support the management framework to achieve the Commission’s longer term management objectives.</w:t>
      </w:r>
    </w:p>
    <w:p w14:paraId="4BB06286" w14:textId="77777777" w:rsidR="0072610C" w:rsidRPr="0072610C" w:rsidRDefault="0072610C" w:rsidP="0074425A">
      <w:pPr>
        <w:pStyle w:val="ListParagraph"/>
        <w:numPr>
          <w:ilvl w:val="0"/>
          <w:numId w:val="117"/>
        </w:numPr>
        <w:adjustRightInd w:val="0"/>
        <w:snapToGrid w:val="0"/>
        <w:contextualSpacing w:val="0"/>
        <w:rPr>
          <w:rFonts w:ascii="Times New Roman" w:hAnsi="Times New Roman"/>
        </w:rPr>
      </w:pPr>
      <w:r w:rsidRPr="0072610C">
        <w:rPr>
          <w:rFonts w:ascii="Times New Roman" w:hAnsi="Times New Roman"/>
        </w:rPr>
        <w:t>In the short-term it was seen as best practice to support a broad range of performance indicators in support of the multiple management objectives already identified by the Commission. However, ISW-8 noted that there will be scope to iteratively refine both the management objectives and related performance indicators and monitoring strategies in light of the outcomes of the current Harvest Strategy Work Plan and the development of the management framework within the WCPFC.</w:t>
      </w:r>
    </w:p>
    <w:p w14:paraId="48C09987" w14:textId="77777777" w:rsidR="0072610C" w:rsidRPr="0072610C" w:rsidRDefault="0072610C" w:rsidP="0072610C">
      <w:pPr>
        <w:adjustRightInd w:val="0"/>
        <w:snapToGrid w:val="0"/>
        <w:spacing w:after="0"/>
        <w:rPr>
          <w:rFonts w:ascii="Times New Roman" w:hAnsi="Times New Roman"/>
        </w:rPr>
      </w:pPr>
    </w:p>
    <w:p w14:paraId="1FCEAAA2" w14:textId="77777777" w:rsidR="0072610C" w:rsidRPr="0072610C" w:rsidRDefault="0072610C" w:rsidP="0072610C">
      <w:pPr>
        <w:adjustRightInd w:val="0"/>
        <w:snapToGrid w:val="0"/>
        <w:spacing w:after="0"/>
        <w:rPr>
          <w:rFonts w:ascii="Times New Roman" w:hAnsi="Times New Roman"/>
        </w:rPr>
      </w:pPr>
    </w:p>
    <w:p w14:paraId="5674D37B" w14:textId="77777777" w:rsidR="0072610C" w:rsidRPr="0072610C" w:rsidRDefault="0072610C" w:rsidP="0072610C">
      <w:pPr>
        <w:adjustRightInd w:val="0"/>
        <w:snapToGrid w:val="0"/>
        <w:spacing w:after="0"/>
        <w:jc w:val="left"/>
        <w:rPr>
          <w:rFonts w:ascii="Times New Roman" w:hAnsi="Times New Roman"/>
          <w:b/>
        </w:rPr>
      </w:pPr>
      <w:r w:rsidRPr="0072610C">
        <w:rPr>
          <w:rFonts w:ascii="Times New Roman" w:hAnsi="Times New Roman"/>
          <w:b/>
        </w:rPr>
        <w:br w:type="page"/>
      </w:r>
    </w:p>
    <w:p w14:paraId="28303F0B" w14:textId="77777777" w:rsidR="0072610C" w:rsidRPr="0072610C" w:rsidRDefault="0072610C" w:rsidP="0072610C">
      <w:pPr>
        <w:adjustRightInd w:val="0"/>
        <w:snapToGrid w:val="0"/>
        <w:spacing w:after="0"/>
        <w:rPr>
          <w:rFonts w:ascii="Times New Roman" w:hAnsi="Times New Roman"/>
        </w:rPr>
      </w:pPr>
      <w:proofErr w:type="gramStart"/>
      <w:r w:rsidRPr="0072610C">
        <w:rPr>
          <w:rFonts w:ascii="Times New Roman" w:hAnsi="Times New Roman"/>
          <w:b/>
        </w:rPr>
        <w:t>Table 1</w:t>
      </w:r>
      <w:r w:rsidRPr="0072610C">
        <w:rPr>
          <w:rFonts w:ascii="Times New Roman" w:hAnsi="Times New Roman"/>
        </w:rPr>
        <w:t>.</w:t>
      </w:r>
      <w:proofErr w:type="gramEnd"/>
      <w:r w:rsidRPr="0072610C">
        <w:rPr>
          <w:rFonts w:ascii="Times New Roman" w:hAnsi="Times New Roman"/>
        </w:rPr>
        <w:t xml:space="preserve"> Revised candidate management objectives for the southern longline fishery and proposed performance indicators and monitoring strategies for the purpose of the evaluation of harvest control rules.</w:t>
      </w:r>
    </w:p>
    <w:tbl>
      <w:tblPr>
        <w:tblStyle w:val="TableGrid"/>
        <w:tblW w:w="9385" w:type="dxa"/>
        <w:tblInd w:w="108" w:type="dxa"/>
        <w:shd w:val="clear" w:color="auto" w:fill="FFFFFF" w:themeFill="background1"/>
        <w:tblLook w:val="04A0" w:firstRow="1" w:lastRow="0" w:firstColumn="1" w:lastColumn="0" w:noHBand="0" w:noVBand="1"/>
      </w:tblPr>
      <w:tblGrid>
        <w:gridCol w:w="1083"/>
        <w:gridCol w:w="1816"/>
        <w:gridCol w:w="2161"/>
        <w:gridCol w:w="2034"/>
        <w:gridCol w:w="2291"/>
      </w:tblGrid>
      <w:tr w:rsidR="0072610C" w:rsidRPr="0072610C" w14:paraId="59B174C8" w14:textId="77777777" w:rsidTr="0072610C">
        <w:tc>
          <w:tcPr>
            <w:tcW w:w="738" w:type="dxa"/>
            <w:shd w:val="clear" w:color="auto" w:fill="FFFFFF" w:themeFill="background1"/>
          </w:tcPr>
          <w:p w14:paraId="5DEF57E5" w14:textId="77777777" w:rsidR="0072610C" w:rsidRPr="0072610C" w:rsidRDefault="0072610C" w:rsidP="0072610C">
            <w:pPr>
              <w:adjustRightInd w:val="0"/>
              <w:snapToGrid w:val="0"/>
              <w:spacing w:after="0"/>
              <w:rPr>
                <w:rFonts w:ascii="Times New Roman" w:hAnsi="Times New Roman"/>
                <w:b/>
                <w:sz w:val="20"/>
                <w:szCs w:val="20"/>
              </w:rPr>
            </w:pPr>
            <w:r w:rsidRPr="0072610C">
              <w:rPr>
                <w:rFonts w:ascii="Times New Roman" w:hAnsi="Times New Roman"/>
                <w:b/>
                <w:sz w:val="20"/>
                <w:szCs w:val="20"/>
              </w:rPr>
              <w:t>Objective Type</w:t>
            </w:r>
          </w:p>
        </w:tc>
        <w:tc>
          <w:tcPr>
            <w:tcW w:w="1843" w:type="dxa"/>
            <w:shd w:val="clear" w:color="auto" w:fill="FFFFFF" w:themeFill="background1"/>
          </w:tcPr>
          <w:p w14:paraId="420BD04C" w14:textId="77777777" w:rsidR="0072610C" w:rsidRPr="0072610C" w:rsidRDefault="0072610C" w:rsidP="0072610C">
            <w:pPr>
              <w:adjustRightInd w:val="0"/>
              <w:snapToGrid w:val="0"/>
              <w:spacing w:after="0"/>
              <w:rPr>
                <w:rFonts w:ascii="Times New Roman" w:hAnsi="Times New Roman"/>
                <w:b/>
                <w:sz w:val="20"/>
                <w:szCs w:val="20"/>
              </w:rPr>
            </w:pPr>
            <w:r w:rsidRPr="0072610C">
              <w:rPr>
                <w:rFonts w:ascii="Times New Roman" w:hAnsi="Times New Roman"/>
                <w:b/>
                <w:sz w:val="20"/>
                <w:szCs w:val="20"/>
              </w:rPr>
              <w:t>Objective Description</w:t>
            </w:r>
          </w:p>
        </w:tc>
        <w:tc>
          <w:tcPr>
            <w:tcW w:w="2268" w:type="dxa"/>
            <w:shd w:val="clear" w:color="auto" w:fill="FFFFFF" w:themeFill="background1"/>
          </w:tcPr>
          <w:p w14:paraId="5A42C0DC" w14:textId="77777777" w:rsidR="0072610C" w:rsidRPr="0072610C" w:rsidRDefault="0072610C" w:rsidP="0072610C">
            <w:pPr>
              <w:adjustRightInd w:val="0"/>
              <w:snapToGrid w:val="0"/>
              <w:spacing w:after="0"/>
              <w:rPr>
                <w:rFonts w:ascii="Times New Roman" w:hAnsi="Times New Roman"/>
                <w:b/>
                <w:sz w:val="20"/>
                <w:szCs w:val="20"/>
              </w:rPr>
            </w:pPr>
            <w:r w:rsidRPr="0072610C">
              <w:rPr>
                <w:rFonts w:ascii="Times New Roman" w:hAnsi="Times New Roman"/>
                <w:b/>
                <w:sz w:val="20"/>
                <w:szCs w:val="20"/>
              </w:rPr>
              <w:t>Performance Indicators</w:t>
            </w:r>
          </w:p>
        </w:tc>
        <w:tc>
          <w:tcPr>
            <w:tcW w:w="2126" w:type="dxa"/>
            <w:shd w:val="clear" w:color="auto" w:fill="FFFFFF" w:themeFill="background1"/>
          </w:tcPr>
          <w:p w14:paraId="4DED9C2D" w14:textId="77777777" w:rsidR="0072610C" w:rsidRPr="0072610C" w:rsidRDefault="0072610C" w:rsidP="0072610C">
            <w:pPr>
              <w:adjustRightInd w:val="0"/>
              <w:snapToGrid w:val="0"/>
              <w:spacing w:after="0"/>
              <w:rPr>
                <w:rFonts w:ascii="Times New Roman" w:hAnsi="Times New Roman"/>
                <w:b/>
                <w:sz w:val="20"/>
                <w:szCs w:val="20"/>
              </w:rPr>
            </w:pPr>
            <w:r w:rsidRPr="0072610C">
              <w:rPr>
                <w:rFonts w:ascii="Times New Roman" w:hAnsi="Times New Roman"/>
                <w:b/>
                <w:sz w:val="20"/>
                <w:szCs w:val="20"/>
              </w:rPr>
              <w:t>Monitoring Strategy</w:t>
            </w:r>
          </w:p>
        </w:tc>
        <w:tc>
          <w:tcPr>
            <w:tcW w:w="2410" w:type="dxa"/>
            <w:shd w:val="clear" w:color="auto" w:fill="FFFFFF" w:themeFill="background1"/>
          </w:tcPr>
          <w:p w14:paraId="2F8D4589" w14:textId="77777777" w:rsidR="0072610C" w:rsidRPr="0072610C" w:rsidRDefault="0072610C" w:rsidP="0072610C">
            <w:pPr>
              <w:adjustRightInd w:val="0"/>
              <w:snapToGrid w:val="0"/>
              <w:spacing w:after="0"/>
              <w:rPr>
                <w:rFonts w:ascii="Times New Roman" w:hAnsi="Times New Roman"/>
                <w:b/>
                <w:sz w:val="20"/>
                <w:szCs w:val="20"/>
              </w:rPr>
            </w:pPr>
            <w:r w:rsidRPr="0072610C">
              <w:rPr>
                <w:rFonts w:ascii="Times New Roman" w:hAnsi="Times New Roman"/>
                <w:b/>
                <w:sz w:val="20"/>
                <w:szCs w:val="20"/>
              </w:rPr>
              <w:t>ISW-8 Comment</w:t>
            </w:r>
          </w:p>
        </w:tc>
      </w:tr>
      <w:tr w:rsidR="0072610C" w:rsidRPr="0072610C" w14:paraId="0ED6D9E6" w14:textId="77777777" w:rsidTr="0072610C">
        <w:tc>
          <w:tcPr>
            <w:tcW w:w="738" w:type="dxa"/>
            <w:shd w:val="clear" w:color="auto" w:fill="FFFFFF" w:themeFill="background1"/>
          </w:tcPr>
          <w:p w14:paraId="42A34EF9"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 xml:space="preserve">Biological </w:t>
            </w:r>
          </w:p>
        </w:tc>
        <w:tc>
          <w:tcPr>
            <w:tcW w:w="1843" w:type="dxa"/>
            <w:shd w:val="clear" w:color="auto" w:fill="FFFFFF" w:themeFill="background1"/>
          </w:tcPr>
          <w:p w14:paraId="0E1980AD"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Maintain albacore (and SWO, YFT &amp; BET) biomass at or above levels that provide stock sustainability throughout their range.</w:t>
            </w:r>
          </w:p>
        </w:tc>
        <w:tc>
          <w:tcPr>
            <w:tcW w:w="2268" w:type="dxa"/>
            <w:shd w:val="clear" w:color="auto" w:fill="FFFFFF" w:themeFill="background1"/>
          </w:tcPr>
          <w:p w14:paraId="036A14A3"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Probability of SB</w:t>
            </w:r>
            <w:r w:rsidRPr="0072610C">
              <w:rPr>
                <w:rFonts w:ascii="Times New Roman" w:hAnsi="Times New Roman"/>
                <w:sz w:val="20"/>
                <w:szCs w:val="20"/>
                <w:vertAlign w:val="subscript"/>
              </w:rPr>
              <w:t>recent</w:t>
            </w:r>
            <w:r w:rsidRPr="0072610C">
              <w:rPr>
                <w:rFonts w:ascii="Times New Roman" w:hAnsi="Times New Roman"/>
                <w:sz w:val="20"/>
                <w:szCs w:val="20"/>
              </w:rPr>
              <w:t xml:space="preserve"> /SB</w:t>
            </w:r>
            <w:r w:rsidRPr="0072610C">
              <w:rPr>
                <w:rFonts w:ascii="Times New Roman" w:hAnsi="Times New Roman"/>
                <w:sz w:val="20"/>
                <w:szCs w:val="20"/>
                <w:vertAlign w:val="subscript"/>
              </w:rPr>
              <w:t>F=0</w:t>
            </w:r>
            <w:r w:rsidRPr="0072610C">
              <w:rPr>
                <w:rFonts w:ascii="Times New Roman" w:hAnsi="Times New Roman"/>
                <w:sz w:val="20"/>
                <w:szCs w:val="20"/>
              </w:rPr>
              <w:t>&gt; 20% as determined from the MSE.</w:t>
            </w:r>
          </w:p>
        </w:tc>
        <w:tc>
          <w:tcPr>
            <w:tcW w:w="2126" w:type="dxa"/>
            <w:shd w:val="clear" w:color="auto" w:fill="FFFFFF" w:themeFill="background1"/>
          </w:tcPr>
          <w:p w14:paraId="17A67600"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Probability of SB</w:t>
            </w:r>
            <w:r w:rsidRPr="0072610C">
              <w:rPr>
                <w:rFonts w:ascii="Times New Roman" w:hAnsi="Times New Roman"/>
                <w:sz w:val="20"/>
                <w:szCs w:val="20"/>
                <w:vertAlign w:val="subscript"/>
              </w:rPr>
              <w:t>recent</w:t>
            </w:r>
            <w:r w:rsidRPr="0072610C">
              <w:rPr>
                <w:rFonts w:ascii="Times New Roman" w:hAnsi="Times New Roman"/>
                <w:sz w:val="20"/>
                <w:szCs w:val="20"/>
              </w:rPr>
              <w:t>/SB</w:t>
            </w:r>
            <w:r w:rsidRPr="0072610C">
              <w:rPr>
                <w:rFonts w:ascii="Times New Roman" w:hAnsi="Times New Roman"/>
                <w:sz w:val="20"/>
                <w:szCs w:val="20"/>
                <w:vertAlign w:val="subscript"/>
              </w:rPr>
              <w:t>F=0</w:t>
            </w:r>
            <w:r w:rsidRPr="0072610C">
              <w:rPr>
                <w:rFonts w:ascii="Times New Roman" w:hAnsi="Times New Roman"/>
                <w:sz w:val="20"/>
                <w:szCs w:val="20"/>
              </w:rPr>
              <w:t>&gt; 20% in the long-term as determined from the reference set of MSE operating models (updated and reconditioned periodically, as appropriate).</w:t>
            </w:r>
          </w:p>
        </w:tc>
        <w:tc>
          <w:tcPr>
            <w:tcW w:w="2410" w:type="dxa"/>
            <w:shd w:val="clear" w:color="auto" w:fill="FFFFFF" w:themeFill="background1"/>
          </w:tcPr>
          <w:p w14:paraId="6809AE19"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b/>
                <w:sz w:val="20"/>
                <w:szCs w:val="20"/>
              </w:rPr>
              <w:t>Supported:</w:t>
            </w:r>
          </w:p>
          <w:p w14:paraId="5668D597"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ISG-8 noted the new definition of ‘recent’ to now include the last 4 years in the definition. Some discussion as to exactly how this will be calculated, e.g. final year of the model time-frame or over some time period.</w:t>
            </w:r>
          </w:p>
        </w:tc>
      </w:tr>
      <w:tr w:rsidR="0072610C" w:rsidRPr="0072610C" w14:paraId="32B59439" w14:textId="77777777" w:rsidTr="0072610C">
        <w:tc>
          <w:tcPr>
            <w:tcW w:w="738" w:type="dxa"/>
            <w:vMerge w:val="restart"/>
            <w:shd w:val="clear" w:color="auto" w:fill="FFFFFF" w:themeFill="background1"/>
          </w:tcPr>
          <w:p w14:paraId="63721070"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Economic</w:t>
            </w:r>
          </w:p>
        </w:tc>
        <w:tc>
          <w:tcPr>
            <w:tcW w:w="1843" w:type="dxa"/>
            <w:shd w:val="clear" w:color="auto" w:fill="FFFFFF" w:themeFill="background1"/>
          </w:tcPr>
          <w:p w14:paraId="29ED8842"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Maximise economic yield from the fishery.</w:t>
            </w:r>
          </w:p>
        </w:tc>
        <w:tc>
          <w:tcPr>
            <w:tcW w:w="2268" w:type="dxa"/>
            <w:tcBorders>
              <w:bottom w:val="single" w:sz="4" w:space="0" w:color="auto"/>
            </w:tcBorders>
            <w:shd w:val="clear" w:color="auto" w:fill="FFFFFF" w:themeFill="background1"/>
          </w:tcPr>
          <w:p w14:paraId="18911137"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Predicted effort relative to E</w:t>
            </w:r>
            <w:r w:rsidRPr="0072610C">
              <w:rPr>
                <w:rFonts w:ascii="Times New Roman" w:hAnsi="Times New Roman"/>
                <w:sz w:val="20"/>
                <w:szCs w:val="20"/>
                <w:vertAlign w:val="subscript"/>
              </w:rPr>
              <w:t>MEY</w:t>
            </w:r>
            <w:r w:rsidRPr="0072610C">
              <w:rPr>
                <w:rFonts w:ascii="Times New Roman" w:hAnsi="Times New Roman"/>
                <w:sz w:val="20"/>
                <w:szCs w:val="20"/>
              </w:rPr>
              <w:t xml:space="preserve"> (to take account of multi-species considerations, BET and other spp; may be calculated at the individual fishery level).</w:t>
            </w:r>
          </w:p>
          <w:p w14:paraId="104E182A"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B</w:t>
            </w:r>
            <w:r w:rsidRPr="0072610C">
              <w:rPr>
                <w:rFonts w:ascii="Times New Roman" w:hAnsi="Times New Roman"/>
                <w:sz w:val="20"/>
                <w:szCs w:val="20"/>
                <w:vertAlign w:val="subscript"/>
              </w:rPr>
              <w:t>MEY</w:t>
            </w:r>
            <w:r w:rsidRPr="0072610C">
              <w:rPr>
                <w:rFonts w:ascii="Times New Roman" w:hAnsi="Times New Roman"/>
                <w:sz w:val="20"/>
                <w:szCs w:val="20"/>
              </w:rPr>
              <w:t xml:space="preserve"> and F</w:t>
            </w:r>
            <w:r w:rsidRPr="0072610C">
              <w:rPr>
                <w:rFonts w:ascii="Times New Roman" w:hAnsi="Times New Roman"/>
                <w:sz w:val="20"/>
                <w:szCs w:val="20"/>
                <w:vertAlign w:val="subscript"/>
              </w:rPr>
              <w:t>MEY</w:t>
            </w:r>
            <w:r w:rsidRPr="0072610C">
              <w:rPr>
                <w:rFonts w:ascii="Times New Roman" w:hAnsi="Times New Roman"/>
                <w:sz w:val="20"/>
                <w:szCs w:val="20"/>
              </w:rPr>
              <w:t xml:space="preserve"> may also be considered at a single species level.</w:t>
            </w:r>
          </w:p>
        </w:tc>
        <w:tc>
          <w:tcPr>
            <w:tcW w:w="2126" w:type="dxa"/>
            <w:shd w:val="clear" w:color="auto" w:fill="FFFFFF" w:themeFill="background1"/>
          </w:tcPr>
          <w:p w14:paraId="1F01CB0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Observed effort in the fishery relative to E</w:t>
            </w:r>
            <w:r w:rsidRPr="0072610C">
              <w:rPr>
                <w:rFonts w:ascii="Times New Roman" w:hAnsi="Times New Roman"/>
                <w:sz w:val="20"/>
                <w:szCs w:val="20"/>
                <w:vertAlign w:val="subscript"/>
              </w:rPr>
              <w:t>MEY</w:t>
            </w:r>
            <w:r w:rsidRPr="0072610C">
              <w:rPr>
                <w:rFonts w:ascii="Times New Roman" w:hAnsi="Times New Roman"/>
                <w:sz w:val="20"/>
                <w:szCs w:val="20"/>
              </w:rPr>
              <w:t>.</w:t>
            </w:r>
          </w:p>
        </w:tc>
        <w:tc>
          <w:tcPr>
            <w:tcW w:w="2410" w:type="dxa"/>
            <w:shd w:val="clear" w:color="auto" w:fill="FFFFFF" w:themeFill="background1"/>
          </w:tcPr>
          <w:p w14:paraId="22D718E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b/>
                <w:sz w:val="20"/>
                <w:szCs w:val="20"/>
              </w:rPr>
              <w:t>Supported</w:t>
            </w:r>
            <w:r w:rsidRPr="0072610C">
              <w:rPr>
                <w:rFonts w:ascii="Times New Roman" w:hAnsi="Times New Roman"/>
                <w:sz w:val="20"/>
                <w:szCs w:val="20"/>
              </w:rPr>
              <w:t xml:space="preserve"> </w:t>
            </w:r>
          </w:p>
          <w:p w14:paraId="30E3EAD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 xml:space="preserve">ISG8 noted that MEY can be difficult to calculate and will be dependent on availability of economic data. As such, the PI will likely be modelled in a similar manner as the economic indicators described in working paper ST-WP-08. In turn, relative economic performance, rather than maximising economic yields, may be appropriate. </w:t>
            </w:r>
          </w:p>
        </w:tc>
      </w:tr>
      <w:tr w:rsidR="0072610C" w:rsidRPr="0072610C" w14:paraId="0D89886A" w14:textId="77777777" w:rsidTr="0072610C">
        <w:tc>
          <w:tcPr>
            <w:tcW w:w="738" w:type="dxa"/>
            <w:vMerge/>
            <w:shd w:val="clear" w:color="auto" w:fill="FFFFFF" w:themeFill="background1"/>
          </w:tcPr>
          <w:p w14:paraId="7B041F2D"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682D04B2"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Maximise catch</w:t>
            </w:r>
          </w:p>
        </w:tc>
        <w:tc>
          <w:tcPr>
            <w:tcW w:w="2268" w:type="dxa"/>
            <w:shd w:val="clear" w:color="auto" w:fill="FFFFFF" w:themeFill="background1"/>
          </w:tcPr>
          <w:p w14:paraId="221A0A8A"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Average expected catch. (may also be calculated at the assessment region level)</w:t>
            </w:r>
          </w:p>
        </w:tc>
        <w:tc>
          <w:tcPr>
            <w:tcW w:w="2126" w:type="dxa"/>
            <w:shd w:val="clear" w:color="auto" w:fill="FFFFFF" w:themeFill="background1"/>
          </w:tcPr>
          <w:p w14:paraId="5C131CD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Observed catch information</w:t>
            </w:r>
          </w:p>
          <w:p w14:paraId="6446FDC2" w14:textId="77777777" w:rsidR="0072610C" w:rsidRPr="0072610C" w:rsidRDefault="0072610C" w:rsidP="0072610C">
            <w:pPr>
              <w:adjustRightInd w:val="0"/>
              <w:snapToGrid w:val="0"/>
              <w:spacing w:after="0"/>
              <w:jc w:val="left"/>
              <w:rPr>
                <w:rFonts w:ascii="Times New Roman" w:hAnsi="Times New Roman"/>
                <w:sz w:val="20"/>
                <w:szCs w:val="20"/>
              </w:rPr>
            </w:pPr>
          </w:p>
        </w:tc>
        <w:tc>
          <w:tcPr>
            <w:tcW w:w="2410" w:type="dxa"/>
            <w:shd w:val="clear" w:color="auto" w:fill="FFFFFF" w:themeFill="background1"/>
          </w:tcPr>
          <w:p w14:paraId="1281F384"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b/>
                <w:sz w:val="20"/>
                <w:szCs w:val="20"/>
              </w:rPr>
              <w:t>Supported</w:t>
            </w:r>
          </w:p>
          <w:p w14:paraId="1E67C1F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ISG-8 noted that catch will be modelled by the ‘fleet’ and region structure included in the MSE operating model.</w:t>
            </w:r>
          </w:p>
        </w:tc>
      </w:tr>
      <w:tr w:rsidR="0072610C" w:rsidRPr="0072610C" w14:paraId="716978D0" w14:textId="77777777" w:rsidTr="0072610C">
        <w:tc>
          <w:tcPr>
            <w:tcW w:w="738" w:type="dxa"/>
            <w:vMerge/>
            <w:shd w:val="clear" w:color="auto" w:fill="FFFFFF" w:themeFill="background1"/>
          </w:tcPr>
          <w:p w14:paraId="7042EFE5"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52FA168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Maintain acceptable CPUE.</w:t>
            </w:r>
          </w:p>
        </w:tc>
        <w:tc>
          <w:tcPr>
            <w:tcW w:w="2268" w:type="dxa"/>
            <w:shd w:val="clear" w:color="auto" w:fill="FFFFFF" w:themeFill="background1"/>
          </w:tcPr>
          <w:p w14:paraId="5F3F4049"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Average deviation of predicted CPUE from reference period levels.</w:t>
            </w:r>
          </w:p>
        </w:tc>
        <w:tc>
          <w:tcPr>
            <w:tcW w:w="2126" w:type="dxa"/>
            <w:shd w:val="clear" w:color="auto" w:fill="FFFFFF" w:themeFill="background1"/>
          </w:tcPr>
          <w:p w14:paraId="18922B6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Observed CPUE data from the longline fishery</w:t>
            </w:r>
          </w:p>
        </w:tc>
        <w:tc>
          <w:tcPr>
            <w:tcW w:w="2410" w:type="dxa"/>
            <w:shd w:val="clear" w:color="auto" w:fill="FFFFFF" w:themeFill="background1"/>
          </w:tcPr>
          <w:p w14:paraId="3A97E410"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b/>
                <w:sz w:val="20"/>
                <w:szCs w:val="20"/>
              </w:rPr>
              <w:t>Supported</w:t>
            </w:r>
          </w:p>
          <w:p w14:paraId="701504E3"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sz w:val="20"/>
                <w:szCs w:val="20"/>
              </w:rPr>
              <w:t>ISG-8 noted that CPUE will be modelled by the ‘fleet’ and region structure included in the MSE operating model</w:t>
            </w:r>
          </w:p>
        </w:tc>
      </w:tr>
      <w:tr w:rsidR="0072610C" w:rsidRPr="0072610C" w14:paraId="4FDB5CE9" w14:textId="77777777" w:rsidTr="0072610C">
        <w:tc>
          <w:tcPr>
            <w:tcW w:w="738" w:type="dxa"/>
            <w:vMerge/>
            <w:shd w:val="clear" w:color="auto" w:fill="FFFFFF" w:themeFill="background1"/>
          </w:tcPr>
          <w:p w14:paraId="764CC99B"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7ADF3DD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Maximise SIDS revenues from resource rents.</w:t>
            </w:r>
          </w:p>
        </w:tc>
        <w:tc>
          <w:tcPr>
            <w:tcW w:w="2268" w:type="dxa"/>
            <w:shd w:val="clear" w:color="auto" w:fill="auto"/>
          </w:tcPr>
          <w:p w14:paraId="6155192E"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Average value of SIDS/non-SIDS catch</w:t>
            </w:r>
          </w:p>
        </w:tc>
        <w:tc>
          <w:tcPr>
            <w:tcW w:w="2126" w:type="dxa"/>
            <w:shd w:val="clear" w:color="auto" w:fill="FFFFFF" w:themeFill="background1"/>
          </w:tcPr>
          <w:p w14:paraId="18B3E815"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Observed proportion of SIDS-effort/catch to total effort/catch in SIDS waters from log-sheet or VMS data.</w:t>
            </w:r>
          </w:p>
        </w:tc>
        <w:tc>
          <w:tcPr>
            <w:tcW w:w="2410" w:type="dxa"/>
            <w:shd w:val="clear" w:color="auto" w:fill="FFFFFF" w:themeFill="background1"/>
          </w:tcPr>
          <w:p w14:paraId="48DB3676"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b/>
                <w:sz w:val="20"/>
                <w:szCs w:val="20"/>
              </w:rPr>
              <w:t>Supported</w:t>
            </w:r>
          </w:p>
          <w:p w14:paraId="1CC515A0"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sz w:val="20"/>
                <w:szCs w:val="20"/>
              </w:rPr>
              <w:t xml:space="preserve">ISG8 noted that implementation of this PI will be dependent on the ability to separate SIDS and non-SIDS fleets in the MSE operating model. </w:t>
            </w:r>
          </w:p>
        </w:tc>
      </w:tr>
      <w:tr w:rsidR="0072610C" w:rsidRPr="0072610C" w14:paraId="582296A9" w14:textId="77777777" w:rsidTr="0072610C">
        <w:tc>
          <w:tcPr>
            <w:tcW w:w="738" w:type="dxa"/>
            <w:vMerge/>
            <w:shd w:val="clear" w:color="auto" w:fill="FFFFFF" w:themeFill="background1"/>
          </w:tcPr>
          <w:p w14:paraId="2D8842EB"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5F7BF6E7"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Catch stability.</w:t>
            </w:r>
          </w:p>
        </w:tc>
        <w:tc>
          <w:tcPr>
            <w:tcW w:w="2268" w:type="dxa"/>
            <w:tcBorders>
              <w:bottom w:val="single" w:sz="4" w:space="0" w:color="auto"/>
            </w:tcBorders>
            <w:shd w:val="clear" w:color="auto" w:fill="FFFFFF" w:themeFill="background1"/>
          </w:tcPr>
          <w:p w14:paraId="31BBEB56"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Average annual variation in catch.</w:t>
            </w:r>
          </w:p>
        </w:tc>
        <w:tc>
          <w:tcPr>
            <w:tcW w:w="2126" w:type="dxa"/>
            <w:shd w:val="clear" w:color="auto" w:fill="FFFFFF" w:themeFill="background1"/>
          </w:tcPr>
          <w:p w14:paraId="11401FE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Observed variation in catch as estimated</w:t>
            </w:r>
          </w:p>
          <w:p w14:paraId="6414BCB4"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from logsheet and other data</w:t>
            </w:r>
          </w:p>
        </w:tc>
        <w:tc>
          <w:tcPr>
            <w:tcW w:w="2410" w:type="dxa"/>
            <w:shd w:val="clear" w:color="auto" w:fill="FFFFFF" w:themeFill="background1"/>
          </w:tcPr>
          <w:p w14:paraId="0A9832CA"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b/>
                <w:sz w:val="20"/>
                <w:szCs w:val="20"/>
              </w:rPr>
              <w:t>Supported</w:t>
            </w:r>
            <w:r w:rsidRPr="0072610C">
              <w:rPr>
                <w:rFonts w:ascii="Times New Roman" w:hAnsi="Times New Roman"/>
                <w:sz w:val="20"/>
                <w:szCs w:val="20"/>
              </w:rPr>
              <w:t xml:space="preserve"> </w:t>
            </w:r>
          </w:p>
          <w:p w14:paraId="0BE12A5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ISG-8 again noted that catch will be modelled by the ‘fleet’ and region structure included in the MSE operating model</w:t>
            </w:r>
          </w:p>
        </w:tc>
      </w:tr>
      <w:tr w:rsidR="0072610C" w:rsidRPr="0072610C" w14:paraId="4A0ED9A3" w14:textId="77777777" w:rsidTr="0072610C">
        <w:tc>
          <w:tcPr>
            <w:tcW w:w="738" w:type="dxa"/>
            <w:vMerge/>
            <w:shd w:val="clear" w:color="auto" w:fill="FFFFFF" w:themeFill="background1"/>
          </w:tcPr>
          <w:p w14:paraId="41FAB4AD"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49F21E2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Effort predictability</w:t>
            </w:r>
          </w:p>
        </w:tc>
        <w:tc>
          <w:tcPr>
            <w:tcW w:w="2268" w:type="dxa"/>
            <w:shd w:val="clear" w:color="auto" w:fill="FFFFFF" w:themeFill="background1"/>
          </w:tcPr>
          <w:p w14:paraId="687C6934"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Effort variation relative to reference period level (may also be calculated at the assessment region level).</w:t>
            </w:r>
          </w:p>
        </w:tc>
        <w:tc>
          <w:tcPr>
            <w:tcW w:w="2126" w:type="dxa"/>
            <w:shd w:val="clear" w:color="auto" w:fill="FFFFFF" w:themeFill="background1"/>
          </w:tcPr>
          <w:p w14:paraId="07DCED53"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 xml:space="preserve">Observed effort levels </w:t>
            </w:r>
          </w:p>
          <w:p w14:paraId="41893F2D"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from log-sheet or VMS data</w:t>
            </w:r>
          </w:p>
        </w:tc>
        <w:tc>
          <w:tcPr>
            <w:tcW w:w="2410" w:type="dxa"/>
            <w:shd w:val="clear" w:color="auto" w:fill="FFFFFF" w:themeFill="background1"/>
          </w:tcPr>
          <w:p w14:paraId="494979C3"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b/>
                <w:sz w:val="20"/>
                <w:szCs w:val="20"/>
              </w:rPr>
              <w:t>Supported</w:t>
            </w:r>
            <w:r w:rsidRPr="0072610C">
              <w:rPr>
                <w:rFonts w:ascii="Times New Roman" w:hAnsi="Times New Roman"/>
                <w:sz w:val="20"/>
                <w:szCs w:val="20"/>
              </w:rPr>
              <w:t xml:space="preserve"> </w:t>
            </w:r>
          </w:p>
          <w:p w14:paraId="22D11492"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Based on effort from the harvest strategy model for the modelled fleets.</w:t>
            </w:r>
          </w:p>
        </w:tc>
      </w:tr>
      <w:tr w:rsidR="0072610C" w:rsidRPr="0072610C" w14:paraId="4DE3CE14" w14:textId="77777777" w:rsidTr="0072610C">
        <w:tc>
          <w:tcPr>
            <w:tcW w:w="738" w:type="dxa"/>
            <w:vMerge/>
            <w:shd w:val="clear" w:color="auto" w:fill="FFFFFF" w:themeFill="background1"/>
          </w:tcPr>
          <w:p w14:paraId="36C02FB0"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05F234E1"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Maintain ALB, BET, YFT, SWO stock sizes around the TRP (where adopted)</w:t>
            </w:r>
          </w:p>
        </w:tc>
        <w:tc>
          <w:tcPr>
            <w:tcW w:w="2268" w:type="dxa"/>
            <w:tcBorders>
              <w:bottom w:val="single" w:sz="4" w:space="0" w:color="auto"/>
            </w:tcBorders>
            <w:shd w:val="clear" w:color="auto" w:fill="FFFFFF" w:themeFill="background1"/>
          </w:tcPr>
          <w:p w14:paraId="37E3493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Probability of and deviation from SB</w:t>
            </w:r>
            <w:r w:rsidRPr="0072610C">
              <w:rPr>
                <w:rFonts w:ascii="Times New Roman" w:hAnsi="Times New Roman"/>
                <w:sz w:val="20"/>
                <w:szCs w:val="20"/>
                <w:vertAlign w:val="subscript"/>
              </w:rPr>
              <w:t>recent</w:t>
            </w:r>
            <w:r w:rsidRPr="0072610C">
              <w:rPr>
                <w:rFonts w:ascii="Times New Roman" w:hAnsi="Times New Roman"/>
                <w:sz w:val="20"/>
                <w:szCs w:val="20"/>
              </w:rPr>
              <w:t xml:space="preserve"> /SB</w:t>
            </w:r>
            <w:r w:rsidRPr="0072610C">
              <w:rPr>
                <w:rFonts w:ascii="Times New Roman" w:hAnsi="Times New Roman"/>
                <w:sz w:val="20"/>
                <w:szCs w:val="20"/>
                <w:vertAlign w:val="subscript"/>
              </w:rPr>
              <w:t>F=0</w:t>
            </w:r>
            <w:r w:rsidRPr="0072610C">
              <w:rPr>
                <w:rFonts w:ascii="Times New Roman" w:hAnsi="Times New Roman"/>
                <w:sz w:val="20"/>
                <w:szCs w:val="20"/>
              </w:rPr>
              <w:t>&gt; X in the short- medium- long-term as determined from MSE (may also be calculated at the assessment region level).</w:t>
            </w:r>
          </w:p>
        </w:tc>
        <w:tc>
          <w:tcPr>
            <w:tcW w:w="2126" w:type="dxa"/>
            <w:shd w:val="clear" w:color="auto" w:fill="FFFFFF" w:themeFill="background1"/>
          </w:tcPr>
          <w:p w14:paraId="257CCD00"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Current median adult biomass, as determined from the reference set of operating models.</w:t>
            </w:r>
          </w:p>
        </w:tc>
        <w:tc>
          <w:tcPr>
            <w:tcW w:w="2410" w:type="dxa"/>
            <w:shd w:val="clear" w:color="auto" w:fill="FFFFFF" w:themeFill="background1"/>
          </w:tcPr>
          <w:p w14:paraId="3FD142CE" w14:textId="77777777" w:rsidR="0072610C" w:rsidRPr="0072610C" w:rsidRDefault="0072610C" w:rsidP="0072610C">
            <w:pPr>
              <w:adjustRightInd w:val="0"/>
              <w:snapToGrid w:val="0"/>
              <w:spacing w:after="0"/>
              <w:jc w:val="left"/>
              <w:rPr>
                <w:rFonts w:ascii="Times New Roman" w:hAnsi="Times New Roman"/>
                <w:b/>
                <w:sz w:val="20"/>
                <w:szCs w:val="20"/>
              </w:rPr>
            </w:pPr>
            <w:r w:rsidRPr="0072610C">
              <w:rPr>
                <w:rFonts w:ascii="Times New Roman" w:hAnsi="Times New Roman"/>
                <w:b/>
                <w:sz w:val="20"/>
                <w:szCs w:val="20"/>
              </w:rPr>
              <w:t>Supported</w:t>
            </w:r>
          </w:p>
          <w:p w14:paraId="59FCAF74"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ISG-8 noted that this will be a direct outcome of the Harvest Strategy Work Plan</w:t>
            </w:r>
          </w:p>
        </w:tc>
      </w:tr>
      <w:tr w:rsidR="0072610C" w:rsidRPr="0072610C" w14:paraId="364381EB" w14:textId="77777777" w:rsidTr="0072610C">
        <w:tc>
          <w:tcPr>
            <w:tcW w:w="738" w:type="dxa"/>
            <w:vMerge w:val="restart"/>
            <w:shd w:val="clear" w:color="auto" w:fill="FFFFFF" w:themeFill="background1"/>
          </w:tcPr>
          <w:p w14:paraId="3765C66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Social</w:t>
            </w:r>
          </w:p>
        </w:tc>
        <w:tc>
          <w:tcPr>
            <w:tcW w:w="1843" w:type="dxa"/>
            <w:shd w:val="clear" w:color="auto" w:fill="FFFFFF" w:themeFill="background1"/>
          </w:tcPr>
          <w:p w14:paraId="56796842"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Food security in developing states (import replacement)</w:t>
            </w:r>
          </w:p>
        </w:tc>
        <w:tc>
          <w:tcPr>
            <w:tcW w:w="2268" w:type="dxa"/>
            <w:tcBorders>
              <w:bottom w:val="single" w:sz="4" w:space="0" w:color="auto"/>
            </w:tcBorders>
            <w:shd w:val="clear" w:color="auto" w:fill="FFFFFF" w:themeFill="background1"/>
          </w:tcPr>
          <w:p w14:paraId="0AA19C13"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As a proxy: Average proportion of CCMs-catch to total catch for fisheries operating in specific regions.</w:t>
            </w:r>
          </w:p>
        </w:tc>
        <w:tc>
          <w:tcPr>
            <w:tcW w:w="2126" w:type="dxa"/>
            <w:shd w:val="clear" w:color="auto" w:fill="FFFFFF" w:themeFill="background1"/>
          </w:tcPr>
          <w:p w14:paraId="74ED2E2F"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Ratio of locally marketed fish to imported fish products.</w:t>
            </w:r>
          </w:p>
        </w:tc>
        <w:tc>
          <w:tcPr>
            <w:tcW w:w="2410" w:type="dxa"/>
            <w:vMerge w:val="restart"/>
            <w:shd w:val="clear" w:color="auto" w:fill="FFFFFF" w:themeFill="background1"/>
          </w:tcPr>
          <w:p w14:paraId="4A11C480"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b/>
                <w:sz w:val="20"/>
                <w:szCs w:val="20"/>
              </w:rPr>
              <w:t>Supported</w:t>
            </w:r>
            <w:r w:rsidRPr="0072610C">
              <w:rPr>
                <w:rFonts w:ascii="Times New Roman" w:hAnsi="Times New Roman"/>
                <w:sz w:val="20"/>
                <w:szCs w:val="20"/>
              </w:rPr>
              <w:t xml:space="preserve"> </w:t>
            </w:r>
          </w:p>
          <w:p w14:paraId="26AC2CE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 xml:space="preserve">ISG8 noted that due to the often fine-spatial scale of these PIs as opposed to the broader scale of fishery impacts being modelled in the MSE operating model that it would be difficult to implement these PIs at the required region scale for some CCMS at this stage. </w:t>
            </w:r>
          </w:p>
        </w:tc>
      </w:tr>
      <w:tr w:rsidR="0072610C" w:rsidRPr="0072610C" w14:paraId="6092D375" w14:textId="77777777" w:rsidTr="0072610C">
        <w:tc>
          <w:tcPr>
            <w:tcW w:w="738" w:type="dxa"/>
            <w:vMerge/>
            <w:shd w:val="clear" w:color="auto" w:fill="FFFFFF" w:themeFill="background1"/>
          </w:tcPr>
          <w:p w14:paraId="56DBF2B4"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4EFAD787"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Avoid adverse impacts on small scale fishers.</w:t>
            </w:r>
          </w:p>
        </w:tc>
        <w:tc>
          <w:tcPr>
            <w:tcW w:w="2268" w:type="dxa"/>
            <w:shd w:val="clear" w:color="auto" w:fill="FFFFFF" w:themeFill="background1"/>
          </w:tcPr>
          <w:p w14:paraId="082B44B7"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As a proxy: Average catch for small-scale fisheries.</w:t>
            </w:r>
          </w:p>
        </w:tc>
        <w:tc>
          <w:tcPr>
            <w:tcW w:w="2126" w:type="dxa"/>
            <w:shd w:val="clear" w:color="auto" w:fill="FFFFFF" w:themeFill="background1"/>
          </w:tcPr>
          <w:p w14:paraId="7EF7DED1"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Monitoring of fisheries in CCMs</w:t>
            </w:r>
          </w:p>
        </w:tc>
        <w:tc>
          <w:tcPr>
            <w:tcW w:w="2410" w:type="dxa"/>
            <w:vMerge/>
            <w:shd w:val="clear" w:color="auto" w:fill="FFFFFF" w:themeFill="background1"/>
          </w:tcPr>
          <w:p w14:paraId="062BFCED" w14:textId="77777777" w:rsidR="0072610C" w:rsidRPr="0072610C" w:rsidRDefault="0072610C" w:rsidP="0072610C">
            <w:pPr>
              <w:adjustRightInd w:val="0"/>
              <w:snapToGrid w:val="0"/>
              <w:spacing w:after="0"/>
              <w:jc w:val="left"/>
              <w:rPr>
                <w:rFonts w:ascii="Times New Roman" w:hAnsi="Times New Roman"/>
                <w:sz w:val="20"/>
                <w:szCs w:val="20"/>
              </w:rPr>
            </w:pPr>
          </w:p>
        </w:tc>
      </w:tr>
      <w:tr w:rsidR="0072610C" w:rsidRPr="0072610C" w14:paraId="08EA028D" w14:textId="77777777" w:rsidTr="0072610C">
        <w:tc>
          <w:tcPr>
            <w:tcW w:w="738" w:type="dxa"/>
            <w:vMerge/>
            <w:shd w:val="clear" w:color="auto" w:fill="FFFFFF" w:themeFill="background1"/>
          </w:tcPr>
          <w:p w14:paraId="7BC714A7"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1F70531D"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Maintain/develop domestic fishery</w:t>
            </w:r>
          </w:p>
        </w:tc>
        <w:tc>
          <w:tcPr>
            <w:tcW w:w="2268" w:type="dxa"/>
            <w:shd w:val="clear" w:color="auto" w:fill="FFFFFF" w:themeFill="background1"/>
          </w:tcPr>
          <w:p w14:paraId="33315089"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Levels of effort and catch in domestic fishery.</w:t>
            </w:r>
          </w:p>
        </w:tc>
        <w:tc>
          <w:tcPr>
            <w:tcW w:w="2126" w:type="dxa"/>
            <w:shd w:val="clear" w:color="auto" w:fill="FFFFFF" w:themeFill="background1"/>
          </w:tcPr>
          <w:p w14:paraId="05EB58D0"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Monitoring of fisheries catch and effort in CCMs</w:t>
            </w:r>
          </w:p>
        </w:tc>
        <w:tc>
          <w:tcPr>
            <w:tcW w:w="2410" w:type="dxa"/>
            <w:vMerge/>
            <w:shd w:val="clear" w:color="auto" w:fill="FFFFFF" w:themeFill="background1"/>
          </w:tcPr>
          <w:p w14:paraId="30BACA27" w14:textId="77777777" w:rsidR="0072610C" w:rsidRPr="0072610C" w:rsidRDefault="0072610C" w:rsidP="0072610C">
            <w:pPr>
              <w:adjustRightInd w:val="0"/>
              <w:snapToGrid w:val="0"/>
              <w:spacing w:after="0"/>
              <w:jc w:val="left"/>
              <w:rPr>
                <w:rFonts w:ascii="Times New Roman" w:hAnsi="Times New Roman"/>
                <w:sz w:val="20"/>
                <w:szCs w:val="20"/>
              </w:rPr>
            </w:pPr>
          </w:p>
        </w:tc>
      </w:tr>
      <w:tr w:rsidR="0072610C" w:rsidRPr="0072610C" w14:paraId="3217B874" w14:textId="77777777" w:rsidTr="0072610C">
        <w:tc>
          <w:tcPr>
            <w:tcW w:w="738" w:type="dxa"/>
            <w:vMerge/>
            <w:shd w:val="clear" w:color="auto" w:fill="FFFFFF" w:themeFill="background1"/>
          </w:tcPr>
          <w:p w14:paraId="1470A089" w14:textId="77777777" w:rsidR="0072610C" w:rsidRPr="0072610C" w:rsidRDefault="0072610C" w:rsidP="0072610C">
            <w:pPr>
              <w:adjustRightInd w:val="0"/>
              <w:snapToGrid w:val="0"/>
              <w:spacing w:after="0"/>
              <w:jc w:val="left"/>
              <w:rPr>
                <w:rFonts w:ascii="Times New Roman" w:hAnsi="Times New Roman"/>
                <w:sz w:val="20"/>
                <w:szCs w:val="20"/>
              </w:rPr>
            </w:pPr>
          </w:p>
        </w:tc>
        <w:tc>
          <w:tcPr>
            <w:tcW w:w="1843" w:type="dxa"/>
            <w:shd w:val="clear" w:color="auto" w:fill="FFFFFF" w:themeFill="background1"/>
          </w:tcPr>
          <w:p w14:paraId="3FCB5BE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Human resource development</w:t>
            </w:r>
          </w:p>
        </w:tc>
        <w:tc>
          <w:tcPr>
            <w:tcW w:w="2268" w:type="dxa"/>
            <w:shd w:val="clear" w:color="auto" w:fill="FFFFFF" w:themeFill="background1"/>
          </w:tcPr>
          <w:p w14:paraId="77923064"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Employment – though use catch of domestic catch as proxy.</w:t>
            </w:r>
          </w:p>
        </w:tc>
        <w:tc>
          <w:tcPr>
            <w:tcW w:w="2126" w:type="dxa"/>
            <w:shd w:val="clear" w:color="auto" w:fill="FFFFFF" w:themeFill="background1"/>
          </w:tcPr>
          <w:p w14:paraId="3E576D5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Employment in the fishing sector monitored via number of domestic vessels and resulting catch in domestic fishery.</w:t>
            </w:r>
          </w:p>
        </w:tc>
        <w:tc>
          <w:tcPr>
            <w:tcW w:w="2410" w:type="dxa"/>
            <w:vMerge/>
            <w:shd w:val="clear" w:color="auto" w:fill="FFFFFF" w:themeFill="background1"/>
          </w:tcPr>
          <w:p w14:paraId="3B0B0DA8" w14:textId="77777777" w:rsidR="0072610C" w:rsidRPr="0072610C" w:rsidRDefault="0072610C" w:rsidP="0072610C">
            <w:pPr>
              <w:adjustRightInd w:val="0"/>
              <w:snapToGrid w:val="0"/>
              <w:spacing w:after="0"/>
              <w:jc w:val="left"/>
              <w:rPr>
                <w:rFonts w:ascii="Times New Roman" w:hAnsi="Times New Roman"/>
                <w:sz w:val="20"/>
                <w:szCs w:val="20"/>
              </w:rPr>
            </w:pPr>
          </w:p>
        </w:tc>
      </w:tr>
      <w:tr w:rsidR="0072610C" w:rsidRPr="0072610C" w14:paraId="6988DC4F" w14:textId="77777777" w:rsidTr="0072610C">
        <w:tc>
          <w:tcPr>
            <w:tcW w:w="738" w:type="dxa"/>
            <w:shd w:val="clear" w:color="auto" w:fill="FFFFFF" w:themeFill="background1"/>
          </w:tcPr>
          <w:p w14:paraId="530C0C7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Ecosystem</w:t>
            </w:r>
          </w:p>
        </w:tc>
        <w:tc>
          <w:tcPr>
            <w:tcW w:w="1843" w:type="dxa"/>
            <w:shd w:val="clear" w:color="auto" w:fill="FFFFFF" w:themeFill="background1"/>
          </w:tcPr>
          <w:p w14:paraId="1047E2CB"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Minimise catch of non-target species.</w:t>
            </w:r>
          </w:p>
        </w:tc>
        <w:tc>
          <w:tcPr>
            <w:tcW w:w="2268" w:type="dxa"/>
            <w:shd w:val="clear" w:color="auto" w:fill="FFFFFF" w:themeFill="background1"/>
          </w:tcPr>
          <w:p w14:paraId="30D42EE2"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Expected catch of other species</w:t>
            </w:r>
          </w:p>
        </w:tc>
        <w:tc>
          <w:tcPr>
            <w:tcW w:w="2126" w:type="dxa"/>
            <w:shd w:val="clear" w:color="auto" w:fill="FFFFFF" w:themeFill="background1"/>
          </w:tcPr>
          <w:p w14:paraId="5717633A"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Ratio of target species catch to catch of non-target species based on bycatch data from observer program</w:t>
            </w:r>
          </w:p>
        </w:tc>
        <w:tc>
          <w:tcPr>
            <w:tcW w:w="2410" w:type="dxa"/>
            <w:shd w:val="clear" w:color="auto" w:fill="FFFFFF" w:themeFill="background1"/>
          </w:tcPr>
          <w:p w14:paraId="37467AB8"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b/>
                <w:sz w:val="20"/>
                <w:szCs w:val="20"/>
              </w:rPr>
              <w:t>Supported</w:t>
            </w:r>
            <w:r w:rsidRPr="0072610C">
              <w:rPr>
                <w:rFonts w:ascii="Times New Roman" w:hAnsi="Times New Roman"/>
                <w:sz w:val="20"/>
                <w:szCs w:val="20"/>
              </w:rPr>
              <w:t xml:space="preserve"> </w:t>
            </w:r>
          </w:p>
          <w:p w14:paraId="25DEA5BC" w14:textId="77777777" w:rsidR="0072610C" w:rsidRPr="0072610C" w:rsidRDefault="0072610C" w:rsidP="0072610C">
            <w:pPr>
              <w:adjustRightInd w:val="0"/>
              <w:snapToGrid w:val="0"/>
              <w:spacing w:after="0"/>
              <w:jc w:val="left"/>
              <w:rPr>
                <w:rFonts w:ascii="Times New Roman" w:hAnsi="Times New Roman"/>
                <w:sz w:val="20"/>
                <w:szCs w:val="20"/>
              </w:rPr>
            </w:pPr>
            <w:r w:rsidRPr="0072610C">
              <w:rPr>
                <w:rFonts w:ascii="Times New Roman" w:hAnsi="Times New Roman"/>
                <w:sz w:val="20"/>
                <w:szCs w:val="20"/>
              </w:rPr>
              <w:t>Noted use of proxy bycatch ratio information.</w:t>
            </w:r>
          </w:p>
        </w:tc>
      </w:tr>
    </w:tbl>
    <w:p w14:paraId="7102F275" w14:textId="77777777" w:rsidR="0072610C" w:rsidRDefault="0072610C" w:rsidP="0072610C">
      <w:pPr>
        <w:adjustRightInd w:val="0"/>
        <w:snapToGrid w:val="0"/>
        <w:spacing w:after="0"/>
        <w:rPr>
          <w:rFonts w:ascii="Times New Roman" w:hAnsi="Times New Roman"/>
        </w:rPr>
      </w:pPr>
      <w:r w:rsidRPr="0072610C">
        <w:rPr>
          <w:rFonts w:ascii="Times New Roman" w:hAnsi="Times New Roman"/>
          <w:u w:val="single"/>
        </w:rPr>
        <w:t>Note:</w:t>
      </w:r>
      <w:r w:rsidRPr="0072610C">
        <w:rPr>
          <w:rFonts w:ascii="Times New Roman" w:hAnsi="Times New Roman"/>
        </w:rPr>
        <w:t xml:space="preserve"> </w:t>
      </w:r>
    </w:p>
    <w:p w14:paraId="2C785980" w14:textId="191C6140" w:rsidR="0072610C" w:rsidRPr="0072610C" w:rsidRDefault="0072610C" w:rsidP="0072610C">
      <w:pPr>
        <w:adjustRightInd w:val="0"/>
        <w:snapToGrid w:val="0"/>
        <w:spacing w:after="0"/>
        <w:rPr>
          <w:rFonts w:ascii="Times New Roman" w:hAnsi="Times New Roman"/>
        </w:rPr>
      </w:pPr>
      <w:r w:rsidRPr="0072610C">
        <w:rPr>
          <w:rFonts w:ascii="Times New Roman" w:hAnsi="Times New Roman"/>
        </w:rPr>
        <w:t>The Management Objective “Optimise Capacity” (and related performance indicators and monitoring strategies) which had been included in Table 2 of SC13-MI-WP-02 was considered to be encompassed by the Management Objective “Optimise Economic Yield from the Fishery” which was already included in the Economic Section of Table 1.</w:t>
      </w:r>
    </w:p>
    <w:p w14:paraId="200E3EB2" w14:textId="77777777" w:rsidR="0072610C" w:rsidRPr="0072610C" w:rsidRDefault="0072610C" w:rsidP="0072610C">
      <w:pPr>
        <w:adjustRightInd w:val="0"/>
        <w:snapToGrid w:val="0"/>
        <w:spacing w:after="0"/>
        <w:rPr>
          <w:rFonts w:ascii="Times New Roman" w:hAnsi="Times New Roman"/>
        </w:rPr>
      </w:pPr>
    </w:p>
    <w:p w14:paraId="5D87F92C" w14:textId="77777777" w:rsidR="0072610C" w:rsidRPr="0072610C" w:rsidRDefault="0072610C" w:rsidP="0072610C">
      <w:pPr>
        <w:adjustRightInd w:val="0"/>
        <w:snapToGrid w:val="0"/>
        <w:spacing w:after="0"/>
        <w:jc w:val="left"/>
        <w:rPr>
          <w:rFonts w:ascii="Times New Roman" w:hAnsi="Times New Roman"/>
        </w:rPr>
      </w:pPr>
      <w:r w:rsidRPr="0072610C">
        <w:rPr>
          <w:rFonts w:ascii="Times New Roman" w:hAnsi="Times New Roman"/>
        </w:rPr>
        <w:br w:type="page"/>
      </w:r>
    </w:p>
    <w:p w14:paraId="446EE3E7" w14:textId="4DCEDD76" w:rsidR="0072610C" w:rsidRPr="0072610C" w:rsidRDefault="0072610C" w:rsidP="0072610C">
      <w:pPr>
        <w:adjustRightInd w:val="0"/>
        <w:snapToGrid w:val="0"/>
        <w:spacing w:after="0"/>
        <w:rPr>
          <w:rFonts w:ascii="Times New Roman" w:hAnsi="Times New Roman"/>
        </w:rPr>
      </w:pPr>
      <w:proofErr w:type="gramStart"/>
      <w:r w:rsidRPr="0072610C">
        <w:rPr>
          <w:rFonts w:ascii="Times New Roman" w:hAnsi="Times New Roman"/>
          <w:b/>
        </w:rPr>
        <w:t>Table 2.</w:t>
      </w:r>
      <w:proofErr w:type="gramEnd"/>
      <w:r>
        <w:rPr>
          <w:rFonts w:ascii="Times New Roman" w:hAnsi="Times New Roman"/>
        </w:rPr>
        <w:t xml:space="preserve"> </w:t>
      </w:r>
      <w:proofErr w:type="gramStart"/>
      <w:r w:rsidRPr="0072610C">
        <w:rPr>
          <w:rFonts w:ascii="Times New Roman" w:hAnsi="Times New Roman"/>
        </w:rPr>
        <w:t>Candidate management objectives for the tropical longline fishery and proposed performance indicators and monitoring strategies for bigeye and yellowfin tuna for the purpose of evaluation of HCRs.</w:t>
      </w:r>
      <w:proofErr w:type="gramEnd"/>
    </w:p>
    <w:tbl>
      <w:tblPr>
        <w:tblStyle w:val="TableGrid"/>
        <w:tblW w:w="9385" w:type="dxa"/>
        <w:tblInd w:w="108" w:type="dxa"/>
        <w:shd w:val="clear" w:color="auto" w:fill="FFFFFF" w:themeFill="background1"/>
        <w:tblLook w:val="04A0" w:firstRow="1" w:lastRow="0" w:firstColumn="1" w:lastColumn="0" w:noHBand="0" w:noVBand="1"/>
      </w:tblPr>
      <w:tblGrid>
        <w:gridCol w:w="1141"/>
        <w:gridCol w:w="1723"/>
        <w:gridCol w:w="2126"/>
        <w:gridCol w:w="1985"/>
        <w:gridCol w:w="2410"/>
      </w:tblGrid>
      <w:tr w:rsidR="0072610C" w:rsidRPr="0072610C" w14:paraId="33F20697" w14:textId="77777777" w:rsidTr="00571D79">
        <w:tc>
          <w:tcPr>
            <w:tcW w:w="1141" w:type="dxa"/>
            <w:shd w:val="clear" w:color="auto" w:fill="FFFFFF" w:themeFill="background1"/>
          </w:tcPr>
          <w:p w14:paraId="6D29E35E"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Objective Type</w:t>
            </w:r>
          </w:p>
        </w:tc>
        <w:tc>
          <w:tcPr>
            <w:tcW w:w="1723" w:type="dxa"/>
            <w:shd w:val="clear" w:color="auto" w:fill="FFFFFF" w:themeFill="background1"/>
          </w:tcPr>
          <w:p w14:paraId="7B046DCD"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Objective Description</w:t>
            </w:r>
          </w:p>
        </w:tc>
        <w:tc>
          <w:tcPr>
            <w:tcW w:w="2126" w:type="dxa"/>
            <w:shd w:val="clear" w:color="auto" w:fill="FFFFFF" w:themeFill="background1"/>
          </w:tcPr>
          <w:p w14:paraId="73F55DCF"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Performance Indicators</w:t>
            </w:r>
          </w:p>
        </w:tc>
        <w:tc>
          <w:tcPr>
            <w:tcW w:w="1985" w:type="dxa"/>
            <w:shd w:val="clear" w:color="auto" w:fill="FFFFFF" w:themeFill="background1"/>
          </w:tcPr>
          <w:p w14:paraId="271CD6A5"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Monitoring Strategy</w:t>
            </w:r>
          </w:p>
        </w:tc>
        <w:tc>
          <w:tcPr>
            <w:tcW w:w="2410" w:type="dxa"/>
            <w:shd w:val="clear" w:color="auto" w:fill="FFFFFF" w:themeFill="background1"/>
          </w:tcPr>
          <w:p w14:paraId="186348F1"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ISW-8 Comment</w:t>
            </w:r>
          </w:p>
        </w:tc>
      </w:tr>
      <w:tr w:rsidR="0072610C" w:rsidRPr="0072610C" w14:paraId="5318E5E3" w14:textId="77777777" w:rsidTr="00571D79">
        <w:tc>
          <w:tcPr>
            <w:tcW w:w="1141" w:type="dxa"/>
            <w:shd w:val="clear" w:color="auto" w:fill="FFFFFF" w:themeFill="background1"/>
          </w:tcPr>
          <w:p w14:paraId="66F39BCE"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FFFFFF" w:themeFill="background1"/>
          </w:tcPr>
          <w:p w14:paraId="2AAD1C95"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tcBorders>
              <w:bottom w:val="single" w:sz="4" w:space="0" w:color="auto"/>
            </w:tcBorders>
            <w:shd w:val="clear" w:color="auto" w:fill="FFFFFF" w:themeFill="background1"/>
          </w:tcPr>
          <w:p w14:paraId="4E2E4570" w14:textId="77777777" w:rsidR="0072610C" w:rsidRPr="00571D79" w:rsidRDefault="0072610C" w:rsidP="0072610C">
            <w:pPr>
              <w:adjustRightInd w:val="0"/>
              <w:snapToGrid w:val="0"/>
              <w:spacing w:after="0"/>
              <w:jc w:val="left"/>
              <w:rPr>
                <w:rFonts w:ascii="Times New Roman" w:hAnsi="Times New Roman"/>
                <w:sz w:val="20"/>
                <w:szCs w:val="20"/>
              </w:rPr>
            </w:pPr>
          </w:p>
        </w:tc>
        <w:tc>
          <w:tcPr>
            <w:tcW w:w="1985" w:type="dxa"/>
            <w:tcBorders>
              <w:bottom w:val="single" w:sz="4" w:space="0" w:color="auto"/>
            </w:tcBorders>
            <w:shd w:val="clear" w:color="auto" w:fill="FFFFFF" w:themeFill="background1"/>
          </w:tcPr>
          <w:p w14:paraId="602AB433" w14:textId="77777777" w:rsidR="0072610C" w:rsidRPr="00571D79" w:rsidRDefault="0072610C" w:rsidP="0072610C">
            <w:pPr>
              <w:adjustRightInd w:val="0"/>
              <w:snapToGrid w:val="0"/>
              <w:spacing w:after="0"/>
              <w:jc w:val="left"/>
              <w:rPr>
                <w:rFonts w:ascii="Times New Roman" w:hAnsi="Times New Roman"/>
                <w:sz w:val="20"/>
                <w:szCs w:val="20"/>
              </w:rPr>
            </w:pPr>
          </w:p>
        </w:tc>
        <w:tc>
          <w:tcPr>
            <w:tcW w:w="2410" w:type="dxa"/>
            <w:tcBorders>
              <w:bottom w:val="single" w:sz="4" w:space="0" w:color="auto"/>
            </w:tcBorders>
            <w:shd w:val="clear" w:color="auto" w:fill="FFFFFF" w:themeFill="background1"/>
          </w:tcPr>
          <w:p w14:paraId="614FF28D" w14:textId="77777777" w:rsidR="0072610C" w:rsidRPr="00571D79" w:rsidRDefault="0072610C" w:rsidP="0072610C">
            <w:pPr>
              <w:adjustRightInd w:val="0"/>
              <w:snapToGrid w:val="0"/>
              <w:spacing w:after="0"/>
              <w:jc w:val="left"/>
              <w:rPr>
                <w:rFonts w:ascii="Times New Roman" w:hAnsi="Times New Roman"/>
                <w:sz w:val="20"/>
                <w:szCs w:val="20"/>
              </w:rPr>
            </w:pPr>
          </w:p>
        </w:tc>
      </w:tr>
      <w:tr w:rsidR="0072610C" w:rsidRPr="0072610C" w14:paraId="3ECF7D06" w14:textId="77777777" w:rsidTr="00571D79">
        <w:tc>
          <w:tcPr>
            <w:tcW w:w="1141" w:type="dxa"/>
            <w:shd w:val="clear" w:color="auto" w:fill="FFFFFF" w:themeFill="background1"/>
          </w:tcPr>
          <w:p w14:paraId="7D38070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Biological </w:t>
            </w:r>
          </w:p>
        </w:tc>
        <w:tc>
          <w:tcPr>
            <w:tcW w:w="1723" w:type="dxa"/>
            <w:tcBorders>
              <w:bottom w:val="single" w:sz="4" w:space="0" w:color="auto"/>
            </w:tcBorders>
            <w:shd w:val="clear" w:color="auto" w:fill="auto"/>
          </w:tcPr>
          <w:p w14:paraId="6973C33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Maintain YFT and BET (and SWO) biomass at or above levels that provide stock sustainability throughout their range.</w:t>
            </w:r>
          </w:p>
          <w:p w14:paraId="1915A725"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tcBorders>
              <w:bottom w:val="single" w:sz="4" w:space="0" w:color="auto"/>
            </w:tcBorders>
            <w:shd w:val="clear" w:color="auto" w:fill="auto"/>
          </w:tcPr>
          <w:p w14:paraId="6EBA01D1"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Probability of SB</w:t>
            </w:r>
            <w:r w:rsidRPr="00571D79">
              <w:rPr>
                <w:rFonts w:ascii="Times New Roman" w:hAnsi="Times New Roman"/>
                <w:sz w:val="20"/>
                <w:szCs w:val="20"/>
                <w:vertAlign w:val="subscript"/>
              </w:rPr>
              <w:t>recent</w:t>
            </w:r>
            <w:r w:rsidRPr="00571D79">
              <w:rPr>
                <w:rFonts w:ascii="Times New Roman" w:hAnsi="Times New Roman"/>
                <w:sz w:val="20"/>
                <w:szCs w:val="20"/>
              </w:rPr>
              <w:t xml:space="preserve"> /SB</w:t>
            </w:r>
            <w:r w:rsidRPr="00571D79">
              <w:rPr>
                <w:rFonts w:ascii="Times New Roman" w:hAnsi="Times New Roman"/>
                <w:sz w:val="20"/>
                <w:szCs w:val="20"/>
                <w:vertAlign w:val="subscript"/>
              </w:rPr>
              <w:t>F=0</w:t>
            </w:r>
            <w:r w:rsidRPr="00571D79">
              <w:rPr>
                <w:rFonts w:ascii="Times New Roman" w:hAnsi="Times New Roman"/>
                <w:sz w:val="20"/>
                <w:szCs w:val="20"/>
              </w:rPr>
              <w:t>&gt; 20% as determined from the MSE.</w:t>
            </w:r>
          </w:p>
        </w:tc>
        <w:tc>
          <w:tcPr>
            <w:tcW w:w="1985" w:type="dxa"/>
            <w:tcBorders>
              <w:bottom w:val="single" w:sz="4" w:space="0" w:color="auto"/>
            </w:tcBorders>
            <w:shd w:val="clear" w:color="auto" w:fill="auto"/>
          </w:tcPr>
          <w:p w14:paraId="70E4A4C9"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Probability of SB</w:t>
            </w:r>
            <w:r w:rsidRPr="00571D79">
              <w:rPr>
                <w:rFonts w:ascii="Times New Roman" w:hAnsi="Times New Roman"/>
                <w:sz w:val="20"/>
                <w:szCs w:val="20"/>
                <w:vertAlign w:val="subscript"/>
              </w:rPr>
              <w:t>recent</w:t>
            </w:r>
            <w:r w:rsidRPr="00571D79">
              <w:rPr>
                <w:rFonts w:ascii="Times New Roman" w:hAnsi="Times New Roman"/>
                <w:sz w:val="20"/>
                <w:szCs w:val="20"/>
              </w:rPr>
              <w:t>/SB</w:t>
            </w:r>
            <w:r w:rsidRPr="00571D79">
              <w:rPr>
                <w:rFonts w:ascii="Times New Roman" w:hAnsi="Times New Roman"/>
                <w:sz w:val="20"/>
                <w:szCs w:val="20"/>
                <w:vertAlign w:val="subscript"/>
              </w:rPr>
              <w:t>F=0</w:t>
            </w:r>
            <w:r w:rsidRPr="00571D79">
              <w:rPr>
                <w:rFonts w:ascii="Times New Roman" w:hAnsi="Times New Roman"/>
                <w:sz w:val="20"/>
                <w:szCs w:val="20"/>
              </w:rPr>
              <w:t>&gt; 20% in the long-term as determined from the reference set of MSE operating models (updated and reconditioned periodically, as appropriate).</w:t>
            </w:r>
          </w:p>
        </w:tc>
        <w:tc>
          <w:tcPr>
            <w:tcW w:w="2410" w:type="dxa"/>
            <w:tcBorders>
              <w:bottom w:val="single" w:sz="4" w:space="0" w:color="auto"/>
            </w:tcBorders>
            <w:shd w:val="clear" w:color="auto" w:fill="auto"/>
          </w:tcPr>
          <w:p w14:paraId="0E92A896"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2B5A35D2"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noted the new definition of ‘recent’ to now include the last 4 years in the definition. Some discussion as to exactly how this will be calculated, e.g. final year of the model time-frame or over some time period.</w:t>
            </w:r>
          </w:p>
        </w:tc>
      </w:tr>
      <w:tr w:rsidR="0072610C" w:rsidRPr="0072610C" w14:paraId="252655D2" w14:textId="77777777" w:rsidTr="00571D79">
        <w:tc>
          <w:tcPr>
            <w:tcW w:w="1141" w:type="dxa"/>
            <w:vMerge w:val="restart"/>
            <w:shd w:val="clear" w:color="auto" w:fill="FFFFFF" w:themeFill="background1"/>
          </w:tcPr>
          <w:p w14:paraId="38FC30D0"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Economic</w:t>
            </w:r>
          </w:p>
        </w:tc>
        <w:tc>
          <w:tcPr>
            <w:tcW w:w="1723" w:type="dxa"/>
            <w:tcBorders>
              <w:bottom w:val="single" w:sz="4" w:space="0" w:color="auto"/>
            </w:tcBorders>
            <w:shd w:val="clear" w:color="auto" w:fill="auto"/>
          </w:tcPr>
          <w:p w14:paraId="3DE9690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Maximise economic yield from the fishery.</w:t>
            </w:r>
          </w:p>
        </w:tc>
        <w:tc>
          <w:tcPr>
            <w:tcW w:w="2126" w:type="dxa"/>
            <w:tcBorders>
              <w:bottom w:val="single" w:sz="4" w:space="0" w:color="auto"/>
            </w:tcBorders>
            <w:shd w:val="clear" w:color="auto" w:fill="auto"/>
          </w:tcPr>
          <w:p w14:paraId="3E6F776E"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Predicted effort relative to E</w:t>
            </w:r>
            <w:r w:rsidRPr="00571D79">
              <w:rPr>
                <w:rFonts w:ascii="Times New Roman" w:hAnsi="Times New Roman"/>
                <w:sz w:val="20"/>
                <w:szCs w:val="20"/>
                <w:vertAlign w:val="subscript"/>
              </w:rPr>
              <w:t>MEY</w:t>
            </w:r>
            <w:r w:rsidRPr="00571D79">
              <w:rPr>
                <w:rFonts w:ascii="Times New Roman" w:hAnsi="Times New Roman"/>
                <w:sz w:val="20"/>
                <w:szCs w:val="20"/>
              </w:rPr>
              <w:t xml:space="preserve"> (to take account of multi-species considerations including impacts on PS fisheries; may be calculated at the individual fishery level).</w:t>
            </w:r>
          </w:p>
          <w:p w14:paraId="554585C9"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B</w:t>
            </w:r>
            <w:r w:rsidRPr="00571D79">
              <w:rPr>
                <w:rFonts w:ascii="Times New Roman" w:hAnsi="Times New Roman"/>
                <w:sz w:val="20"/>
                <w:szCs w:val="20"/>
                <w:vertAlign w:val="subscript"/>
              </w:rPr>
              <w:t>MEY</w:t>
            </w:r>
            <w:r w:rsidRPr="00571D79">
              <w:rPr>
                <w:rFonts w:ascii="Times New Roman" w:hAnsi="Times New Roman"/>
                <w:sz w:val="20"/>
                <w:szCs w:val="20"/>
              </w:rPr>
              <w:t xml:space="preserve"> and F</w:t>
            </w:r>
            <w:r w:rsidRPr="00571D79">
              <w:rPr>
                <w:rFonts w:ascii="Times New Roman" w:hAnsi="Times New Roman"/>
                <w:sz w:val="20"/>
                <w:szCs w:val="20"/>
                <w:vertAlign w:val="subscript"/>
              </w:rPr>
              <w:t>MEY</w:t>
            </w:r>
            <w:r w:rsidRPr="00571D79">
              <w:rPr>
                <w:rFonts w:ascii="Times New Roman" w:hAnsi="Times New Roman"/>
                <w:sz w:val="20"/>
                <w:szCs w:val="20"/>
              </w:rPr>
              <w:t xml:space="preserve"> may also be considered at a single species level.</w:t>
            </w:r>
          </w:p>
        </w:tc>
        <w:tc>
          <w:tcPr>
            <w:tcW w:w="1985" w:type="dxa"/>
            <w:tcBorders>
              <w:bottom w:val="single" w:sz="4" w:space="0" w:color="auto"/>
            </w:tcBorders>
            <w:shd w:val="clear" w:color="auto" w:fill="auto"/>
          </w:tcPr>
          <w:p w14:paraId="672A4D27"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Observed effort in the fishery relative to E</w:t>
            </w:r>
            <w:r w:rsidRPr="00571D79">
              <w:rPr>
                <w:rFonts w:ascii="Times New Roman" w:hAnsi="Times New Roman"/>
                <w:sz w:val="20"/>
                <w:szCs w:val="20"/>
                <w:vertAlign w:val="subscript"/>
              </w:rPr>
              <w:t>MEY</w:t>
            </w:r>
            <w:r w:rsidRPr="00571D79">
              <w:rPr>
                <w:rFonts w:ascii="Times New Roman" w:hAnsi="Times New Roman"/>
                <w:sz w:val="20"/>
                <w:szCs w:val="20"/>
              </w:rPr>
              <w:t>.</w:t>
            </w:r>
          </w:p>
        </w:tc>
        <w:tc>
          <w:tcPr>
            <w:tcW w:w="2410" w:type="dxa"/>
            <w:tcBorders>
              <w:bottom w:val="single" w:sz="4" w:space="0" w:color="auto"/>
            </w:tcBorders>
            <w:shd w:val="clear" w:color="auto" w:fill="auto"/>
          </w:tcPr>
          <w:p w14:paraId="5CDEC8E7"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69CE29CC"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noted that MEY can be difficult to calculate and will be dependent on availability of economic data. As such, the PI will likely be modelled in a similar manner as the economic indicators described in working paper ST-WP-08</w:t>
            </w:r>
          </w:p>
        </w:tc>
      </w:tr>
      <w:tr w:rsidR="0072610C" w:rsidRPr="0072610C" w14:paraId="1E205062" w14:textId="77777777" w:rsidTr="00571D79">
        <w:tc>
          <w:tcPr>
            <w:tcW w:w="1141" w:type="dxa"/>
            <w:vMerge/>
            <w:shd w:val="clear" w:color="auto" w:fill="FFFFFF" w:themeFill="background1"/>
          </w:tcPr>
          <w:p w14:paraId="4AB7238B"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shd w:val="clear" w:color="auto" w:fill="auto"/>
          </w:tcPr>
          <w:p w14:paraId="6EDB658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Maintain acceptable CPUE.</w:t>
            </w:r>
          </w:p>
        </w:tc>
        <w:tc>
          <w:tcPr>
            <w:tcW w:w="2126" w:type="dxa"/>
            <w:shd w:val="clear" w:color="auto" w:fill="auto"/>
          </w:tcPr>
          <w:p w14:paraId="71D40586"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Average deviation of predicted CPUE from reference period levels.</w:t>
            </w:r>
          </w:p>
        </w:tc>
        <w:tc>
          <w:tcPr>
            <w:tcW w:w="1985" w:type="dxa"/>
            <w:shd w:val="clear" w:color="auto" w:fill="auto"/>
          </w:tcPr>
          <w:p w14:paraId="6DE4D92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Observed CPUE maintained at or greater than specified levels.</w:t>
            </w:r>
          </w:p>
        </w:tc>
        <w:tc>
          <w:tcPr>
            <w:tcW w:w="2410" w:type="dxa"/>
            <w:shd w:val="clear" w:color="auto" w:fill="auto"/>
          </w:tcPr>
          <w:p w14:paraId="7F6B36D5"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4F2373D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noted that CPUE will be modelled by the ‘fleet’ and region structure included in the MSE operating model.</w:t>
            </w:r>
          </w:p>
        </w:tc>
      </w:tr>
      <w:tr w:rsidR="0072610C" w:rsidRPr="0072610C" w14:paraId="2F60C893" w14:textId="77777777" w:rsidTr="00571D79">
        <w:tc>
          <w:tcPr>
            <w:tcW w:w="1141" w:type="dxa"/>
            <w:vMerge/>
            <w:shd w:val="clear" w:color="auto" w:fill="FFFFFF" w:themeFill="background1"/>
          </w:tcPr>
          <w:p w14:paraId="58B87F70"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shd w:val="clear" w:color="auto" w:fill="FFFFFF" w:themeFill="background1"/>
          </w:tcPr>
          <w:p w14:paraId="38FDE299"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Increase fisheries-based development within developing states economies</w:t>
            </w:r>
          </w:p>
        </w:tc>
        <w:tc>
          <w:tcPr>
            <w:tcW w:w="2126" w:type="dxa"/>
            <w:shd w:val="clear" w:color="auto" w:fill="FFFFFF" w:themeFill="background1"/>
          </w:tcPr>
          <w:p w14:paraId="7EEAEB88"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Amount and proportional contribution of SIDS fleet catch/catch in SIDS waters</w:t>
            </w:r>
          </w:p>
        </w:tc>
        <w:tc>
          <w:tcPr>
            <w:tcW w:w="1985" w:type="dxa"/>
            <w:shd w:val="clear" w:color="auto" w:fill="FFFFFF" w:themeFill="background1"/>
          </w:tcPr>
          <w:p w14:paraId="155ACC7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Amount and value of product (exported or catches) from SIDS</w:t>
            </w:r>
          </w:p>
        </w:tc>
        <w:tc>
          <w:tcPr>
            <w:tcW w:w="2410" w:type="dxa"/>
            <w:shd w:val="clear" w:color="auto" w:fill="FFFFFF" w:themeFill="background1"/>
          </w:tcPr>
          <w:p w14:paraId="57621DFC"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6A252DF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ISG8 noted that implementation of this PI will be dependent on the ability to separate SIDS and non-SIDS fleets in the MSE operating model. </w:t>
            </w:r>
          </w:p>
        </w:tc>
      </w:tr>
      <w:tr w:rsidR="0072610C" w:rsidRPr="0072610C" w14:paraId="0C8FBD94" w14:textId="77777777" w:rsidTr="00571D79">
        <w:tc>
          <w:tcPr>
            <w:tcW w:w="1141" w:type="dxa"/>
            <w:vMerge/>
            <w:shd w:val="clear" w:color="auto" w:fill="FFFFFF" w:themeFill="background1"/>
          </w:tcPr>
          <w:p w14:paraId="2EFB8E90"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FFFFFF" w:themeFill="background1"/>
          </w:tcPr>
          <w:p w14:paraId="0398F80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Optimize fishing effort</w:t>
            </w:r>
          </w:p>
          <w:p w14:paraId="1E6F72CB"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tcBorders>
              <w:bottom w:val="single" w:sz="4" w:space="0" w:color="auto"/>
            </w:tcBorders>
            <w:shd w:val="clear" w:color="auto" w:fill="FFFFFF" w:themeFill="background1"/>
          </w:tcPr>
          <w:p w14:paraId="34939835"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w:t>
            </w:r>
            <w:r w:rsidRPr="00571D79">
              <w:rPr>
                <w:rFonts w:ascii="Times New Roman" w:hAnsi="Times New Roman"/>
                <w:sz w:val="20"/>
                <w:szCs w:val="20"/>
                <w:vertAlign w:val="subscript"/>
              </w:rPr>
              <w:t>MEY</w:t>
            </w:r>
            <w:r w:rsidRPr="00571D79">
              <w:rPr>
                <w:rFonts w:ascii="Times New Roman" w:hAnsi="Times New Roman"/>
                <w:sz w:val="20"/>
                <w:szCs w:val="20"/>
              </w:rPr>
              <w:t xml:space="preserve"> (as for Maximise economic yield) or some other economic measure</w:t>
            </w:r>
          </w:p>
          <w:p w14:paraId="1D430784" w14:textId="77777777" w:rsidR="0072610C" w:rsidRPr="00571D79" w:rsidRDefault="0072610C" w:rsidP="0072610C">
            <w:pPr>
              <w:adjustRightInd w:val="0"/>
              <w:snapToGrid w:val="0"/>
              <w:spacing w:after="0"/>
              <w:jc w:val="left"/>
              <w:rPr>
                <w:rFonts w:ascii="Times New Roman" w:hAnsi="Times New Roman"/>
                <w:sz w:val="20"/>
                <w:szCs w:val="20"/>
              </w:rPr>
            </w:pPr>
          </w:p>
          <w:p w14:paraId="2F8419C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Effort consistent with specified level.</w:t>
            </w:r>
          </w:p>
        </w:tc>
        <w:tc>
          <w:tcPr>
            <w:tcW w:w="1985" w:type="dxa"/>
            <w:tcBorders>
              <w:bottom w:val="single" w:sz="4" w:space="0" w:color="auto"/>
            </w:tcBorders>
            <w:shd w:val="clear" w:color="auto" w:fill="FFFFFF" w:themeFill="background1"/>
          </w:tcPr>
          <w:p w14:paraId="79DD1A4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Annual monitoring through logbooks and VMS</w:t>
            </w:r>
          </w:p>
        </w:tc>
        <w:tc>
          <w:tcPr>
            <w:tcW w:w="2410" w:type="dxa"/>
            <w:tcBorders>
              <w:bottom w:val="single" w:sz="4" w:space="0" w:color="auto"/>
            </w:tcBorders>
            <w:shd w:val="clear" w:color="auto" w:fill="FFFFFF" w:themeFill="background1"/>
          </w:tcPr>
          <w:p w14:paraId="32458709"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305A202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noted that effort will be modelled by the ‘fleet’ and region structure included in the MSE operating model</w:t>
            </w:r>
          </w:p>
        </w:tc>
      </w:tr>
      <w:tr w:rsidR="0072610C" w:rsidRPr="0072610C" w14:paraId="572DB0F9" w14:textId="77777777" w:rsidTr="00571D79">
        <w:tc>
          <w:tcPr>
            <w:tcW w:w="1141" w:type="dxa"/>
            <w:vMerge/>
            <w:shd w:val="clear" w:color="auto" w:fill="FFFFFF" w:themeFill="background1"/>
          </w:tcPr>
          <w:p w14:paraId="01688899"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224D010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Maximise SIDS revenues from resource rents.</w:t>
            </w:r>
          </w:p>
        </w:tc>
        <w:tc>
          <w:tcPr>
            <w:tcW w:w="2126" w:type="dxa"/>
            <w:tcBorders>
              <w:bottom w:val="single" w:sz="4" w:space="0" w:color="auto"/>
            </w:tcBorders>
            <w:shd w:val="clear" w:color="auto" w:fill="auto"/>
          </w:tcPr>
          <w:p w14:paraId="7F2DC3F5"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Average value of SIDS/non-SIDS catch</w:t>
            </w:r>
          </w:p>
        </w:tc>
        <w:tc>
          <w:tcPr>
            <w:tcW w:w="1985" w:type="dxa"/>
            <w:tcBorders>
              <w:bottom w:val="single" w:sz="4" w:space="0" w:color="auto"/>
            </w:tcBorders>
            <w:shd w:val="clear" w:color="auto" w:fill="auto"/>
          </w:tcPr>
          <w:p w14:paraId="19C385D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Observed proportion of SIDS-effort/catch to total effort/catch in SIDS waters from log-sheet or VMS data.</w:t>
            </w:r>
          </w:p>
        </w:tc>
        <w:tc>
          <w:tcPr>
            <w:tcW w:w="2410" w:type="dxa"/>
            <w:tcBorders>
              <w:bottom w:val="single" w:sz="4" w:space="0" w:color="auto"/>
            </w:tcBorders>
            <w:shd w:val="clear" w:color="auto" w:fill="auto"/>
          </w:tcPr>
          <w:p w14:paraId="7CF2D761"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0B3DA69E"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ISG8 noted that implementation of this PI will be dependent on the ability to separate SIDS and non-SIDS fleets in the MSE operating model. </w:t>
            </w:r>
          </w:p>
        </w:tc>
      </w:tr>
      <w:tr w:rsidR="0072610C" w:rsidRPr="0072610C" w14:paraId="56EC155C" w14:textId="77777777" w:rsidTr="00571D79">
        <w:tc>
          <w:tcPr>
            <w:tcW w:w="1141" w:type="dxa"/>
            <w:vMerge/>
            <w:shd w:val="clear" w:color="auto" w:fill="FFFFFF" w:themeFill="background1"/>
          </w:tcPr>
          <w:p w14:paraId="0EEB156E"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6BA1CFA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Catch stability</w:t>
            </w:r>
          </w:p>
          <w:p w14:paraId="39A96BA7"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[Stability and continuity of market supply]</w:t>
            </w:r>
          </w:p>
          <w:p w14:paraId="3393C1E8"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tcBorders>
              <w:bottom w:val="single" w:sz="4" w:space="0" w:color="auto"/>
            </w:tcBorders>
            <w:shd w:val="clear" w:color="auto" w:fill="auto"/>
          </w:tcPr>
          <w:p w14:paraId="4682ABC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Average annual variation in catch.</w:t>
            </w:r>
          </w:p>
        </w:tc>
        <w:tc>
          <w:tcPr>
            <w:tcW w:w="1985" w:type="dxa"/>
            <w:tcBorders>
              <w:bottom w:val="single" w:sz="4" w:space="0" w:color="auto"/>
            </w:tcBorders>
            <w:shd w:val="clear" w:color="auto" w:fill="auto"/>
          </w:tcPr>
          <w:p w14:paraId="1E04207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Observed variation in catch from log-sheet data</w:t>
            </w:r>
          </w:p>
        </w:tc>
        <w:tc>
          <w:tcPr>
            <w:tcW w:w="2410" w:type="dxa"/>
            <w:tcBorders>
              <w:bottom w:val="single" w:sz="4" w:space="0" w:color="auto"/>
            </w:tcBorders>
            <w:shd w:val="clear" w:color="auto" w:fill="auto"/>
          </w:tcPr>
          <w:p w14:paraId="1F5D8FA1"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635BE1A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again noted that catch will be modelled by the ‘fleet’ and region structure included in the MSE operating model</w:t>
            </w:r>
          </w:p>
        </w:tc>
      </w:tr>
      <w:tr w:rsidR="0072610C" w:rsidRPr="0072610C" w14:paraId="52967C87" w14:textId="77777777" w:rsidTr="00571D79">
        <w:tc>
          <w:tcPr>
            <w:tcW w:w="1141" w:type="dxa"/>
            <w:vMerge/>
            <w:shd w:val="clear" w:color="auto" w:fill="FFFFFF" w:themeFill="background1"/>
          </w:tcPr>
          <w:p w14:paraId="39FC60E2"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221D9E9D"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Effort predictability</w:t>
            </w:r>
          </w:p>
        </w:tc>
        <w:tc>
          <w:tcPr>
            <w:tcW w:w="2126" w:type="dxa"/>
            <w:tcBorders>
              <w:bottom w:val="single" w:sz="4" w:space="0" w:color="auto"/>
            </w:tcBorders>
            <w:shd w:val="clear" w:color="auto" w:fill="auto"/>
          </w:tcPr>
          <w:p w14:paraId="655A9EB6"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Effort variation relative to reference period level (may also be calculated at the assessment region level).</w:t>
            </w:r>
          </w:p>
        </w:tc>
        <w:tc>
          <w:tcPr>
            <w:tcW w:w="1985" w:type="dxa"/>
            <w:tcBorders>
              <w:bottom w:val="single" w:sz="4" w:space="0" w:color="auto"/>
            </w:tcBorders>
            <w:shd w:val="clear" w:color="auto" w:fill="auto"/>
          </w:tcPr>
          <w:p w14:paraId="6087965D"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Observed effort levels </w:t>
            </w:r>
          </w:p>
          <w:p w14:paraId="4CA05D5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from log-sheet or VMS data</w:t>
            </w:r>
          </w:p>
        </w:tc>
        <w:tc>
          <w:tcPr>
            <w:tcW w:w="2410" w:type="dxa"/>
            <w:tcBorders>
              <w:bottom w:val="single" w:sz="4" w:space="0" w:color="auto"/>
            </w:tcBorders>
            <w:shd w:val="clear" w:color="auto" w:fill="auto"/>
          </w:tcPr>
          <w:p w14:paraId="3F2A314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50B1DDC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Based on effort from the harvest strategy model for the modelled fleets</w:t>
            </w:r>
          </w:p>
        </w:tc>
      </w:tr>
      <w:tr w:rsidR="0072610C" w:rsidRPr="0072610C" w14:paraId="3D885F3E" w14:textId="77777777" w:rsidTr="00571D79">
        <w:tc>
          <w:tcPr>
            <w:tcW w:w="1141" w:type="dxa"/>
            <w:vMerge/>
            <w:shd w:val="clear" w:color="auto" w:fill="FFFFFF" w:themeFill="background1"/>
          </w:tcPr>
          <w:p w14:paraId="72342154"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54EF8EF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Maintain  BET, YFT (and ALB &amp;SWO) stock sizes around the TRP (where adopted)</w:t>
            </w:r>
          </w:p>
        </w:tc>
        <w:tc>
          <w:tcPr>
            <w:tcW w:w="2126" w:type="dxa"/>
            <w:tcBorders>
              <w:bottom w:val="single" w:sz="4" w:space="0" w:color="auto"/>
            </w:tcBorders>
            <w:shd w:val="clear" w:color="auto" w:fill="auto"/>
          </w:tcPr>
          <w:p w14:paraId="054DB3A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Probability of and deviation from SB/SB</w:t>
            </w:r>
            <w:r w:rsidRPr="00571D79">
              <w:rPr>
                <w:rFonts w:ascii="Times New Roman" w:hAnsi="Times New Roman"/>
                <w:sz w:val="20"/>
                <w:szCs w:val="20"/>
                <w:vertAlign w:val="subscript"/>
              </w:rPr>
              <w:t>F=0</w:t>
            </w:r>
            <w:r w:rsidRPr="00571D79">
              <w:rPr>
                <w:rFonts w:ascii="Times New Roman" w:hAnsi="Times New Roman"/>
                <w:sz w:val="20"/>
                <w:szCs w:val="20"/>
              </w:rPr>
              <w:t>&gt; X in the short- medium- long-term as determined from MSE (may also be calculated at the assessment region level).</w:t>
            </w:r>
          </w:p>
        </w:tc>
        <w:tc>
          <w:tcPr>
            <w:tcW w:w="1985" w:type="dxa"/>
            <w:tcBorders>
              <w:bottom w:val="single" w:sz="4" w:space="0" w:color="auto"/>
            </w:tcBorders>
            <w:shd w:val="clear" w:color="auto" w:fill="auto"/>
          </w:tcPr>
          <w:p w14:paraId="10F2513C"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Current median adult biomass, as determined from the reference set of operating models.</w:t>
            </w:r>
          </w:p>
        </w:tc>
        <w:tc>
          <w:tcPr>
            <w:tcW w:w="2410" w:type="dxa"/>
            <w:tcBorders>
              <w:bottom w:val="single" w:sz="4" w:space="0" w:color="auto"/>
            </w:tcBorders>
            <w:shd w:val="clear" w:color="auto" w:fill="auto"/>
          </w:tcPr>
          <w:p w14:paraId="3B23216C" w14:textId="77777777" w:rsidR="0072610C" w:rsidRPr="00571D79" w:rsidRDefault="0072610C" w:rsidP="0072610C">
            <w:pPr>
              <w:adjustRightInd w:val="0"/>
              <w:snapToGrid w:val="0"/>
              <w:spacing w:after="0"/>
              <w:jc w:val="left"/>
              <w:rPr>
                <w:rFonts w:ascii="Times New Roman" w:hAnsi="Times New Roman"/>
                <w:b/>
                <w:sz w:val="20"/>
                <w:szCs w:val="20"/>
              </w:rPr>
            </w:pPr>
            <w:r w:rsidRPr="00571D79">
              <w:rPr>
                <w:rFonts w:ascii="Times New Roman" w:hAnsi="Times New Roman"/>
                <w:b/>
                <w:sz w:val="20"/>
                <w:szCs w:val="20"/>
              </w:rPr>
              <w:t>Supported</w:t>
            </w:r>
          </w:p>
          <w:p w14:paraId="4DC5EFA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ISG-8 noted that this will be a direct outcome of the Harvest Strategy Work Plan</w:t>
            </w:r>
          </w:p>
        </w:tc>
      </w:tr>
      <w:tr w:rsidR="0072610C" w:rsidRPr="0072610C" w14:paraId="61CF38D2" w14:textId="77777777" w:rsidTr="00571D79">
        <w:tc>
          <w:tcPr>
            <w:tcW w:w="1141" w:type="dxa"/>
            <w:vMerge w:val="restart"/>
            <w:shd w:val="clear" w:color="auto" w:fill="FFFFFF" w:themeFill="background1"/>
          </w:tcPr>
          <w:p w14:paraId="33BAAB7C"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Social</w:t>
            </w:r>
          </w:p>
        </w:tc>
        <w:tc>
          <w:tcPr>
            <w:tcW w:w="1723" w:type="dxa"/>
            <w:tcBorders>
              <w:bottom w:val="single" w:sz="4" w:space="0" w:color="auto"/>
            </w:tcBorders>
            <w:shd w:val="clear" w:color="auto" w:fill="auto"/>
          </w:tcPr>
          <w:p w14:paraId="1B518559"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Food security in developing states (import replacement) [affordable protein for coastal communities]</w:t>
            </w:r>
          </w:p>
        </w:tc>
        <w:tc>
          <w:tcPr>
            <w:tcW w:w="2126" w:type="dxa"/>
            <w:tcBorders>
              <w:bottom w:val="single" w:sz="4" w:space="0" w:color="auto"/>
            </w:tcBorders>
            <w:shd w:val="clear" w:color="auto" w:fill="auto"/>
          </w:tcPr>
          <w:p w14:paraId="21755DE2"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As a proxy: Average proportion of CCMs-catch to total catch for fisheries operating in specific regions.</w:t>
            </w:r>
          </w:p>
        </w:tc>
        <w:tc>
          <w:tcPr>
            <w:tcW w:w="1985" w:type="dxa"/>
            <w:tcBorders>
              <w:bottom w:val="single" w:sz="4" w:space="0" w:color="auto"/>
            </w:tcBorders>
            <w:shd w:val="clear" w:color="auto" w:fill="auto"/>
          </w:tcPr>
          <w:p w14:paraId="2E9F6392"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Ratio of locally marketed fish to imported fish products.</w:t>
            </w:r>
          </w:p>
        </w:tc>
        <w:tc>
          <w:tcPr>
            <w:tcW w:w="2410" w:type="dxa"/>
            <w:vMerge w:val="restart"/>
            <w:shd w:val="clear" w:color="auto" w:fill="auto"/>
          </w:tcPr>
          <w:p w14:paraId="33BBA1E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403F91F5"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ISG8 noted that due to the often fine-spatial scale of these PIs as opposed to the broader scale of fishery impacts being modelled in the MSE operating model that it would be difficult to implement these PIs at the required region scale for some CCMS at this stage. </w:t>
            </w:r>
          </w:p>
        </w:tc>
      </w:tr>
      <w:tr w:rsidR="0072610C" w:rsidRPr="0072610C" w14:paraId="32EBA647" w14:textId="77777777" w:rsidTr="00571D79">
        <w:tc>
          <w:tcPr>
            <w:tcW w:w="1141" w:type="dxa"/>
            <w:vMerge/>
            <w:shd w:val="clear" w:color="auto" w:fill="FFFFFF" w:themeFill="background1"/>
          </w:tcPr>
          <w:p w14:paraId="65C3C1CE"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21EEDCCC"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Employment opportunities</w:t>
            </w:r>
          </w:p>
          <w:p w14:paraId="6399333B"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tcBorders>
              <w:bottom w:val="single" w:sz="4" w:space="0" w:color="auto"/>
            </w:tcBorders>
            <w:shd w:val="clear" w:color="auto" w:fill="auto"/>
          </w:tcPr>
          <w:p w14:paraId="074F565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As a proxy: Average proportion of CCMs-catch to total catch for fisheries operating in specific regions</w:t>
            </w:r>
          </w:p>
        </w:tc>
        <w:tc>
          <w:tcPr>
            <w:tcW w:w="1985" w:type="dxa"/>
            <w:tcBorders>
              <w:bottom w:val="single" w:sz="4" w:space="0" w:color="auto"/>
            </w:tcBorders>
            <w:shd w:val="clear" w:color="auto" w:fill="auto"/>
          </w:tcPr>
          <w:p w14:paraId="09AF533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 xml:space="preserve">Numbers employed in fishing and processing sector relative to some target </w:t>
            </w:r>
          </w:p>
        </w:tc>
        <w:tc>
          <w:tcPr>
            <w:tcW w:w="2410" w:type="dxa"/>
            <w:vMerge/>
            <w:shd w:val="clear" w:color="auto" w:fill="auto"/>
          </w:tcPr>
          <w:p w14:paraId="261947FE" w14:textId="77777777" w:rsidR="0072610C" w:rsidRPr="00571D79" w:rsidRDefault="0072610C" w:rsidP="0072610C">
            <w:pPr>
              <w:adjustRightInd w:val="0"/>
              <w:snapToGrid w:val="0"/>
              <w:spacing w:after="0"/>
              <w:jc w:val="left"/>
              <w:rPr>
                <w:rFonts w:ascii="Times New Roman" w:hAnsi="Times New Roman"/>
                <w:sz w:val="20"/>
                <w:szCs w:val="20"/>
              </w:rPr>
            </w:pPr>
          </w:p>
        </w:tc>
      </w:tr>
      <w:tr w:rsidR="0072610C" w:rsidRPr="0072610C" w14:paraId="2A03A97F" w14:textId="77777777" w:rsidTr="00571D79">
        <w:tc>
          <w:tcPr>
            <w:tcW w:w="1141" w:type="dxa"/>
            <w:vMerge/>
            <w:shd w:val="clear" w:color="auto" w:fill="FFFFFF" w:themeFill="background1"/>
          </w:tcPr>
          <w:p w14:paraId="1556C4D1"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3CC9434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Maintain/develop domestic fishery</w:t>
            </w:r>
          </w:p>
        </w:tc>
        <w:tc>
          <w:tcPr>
            <w:tcW w:w="2126" w:type="dxa"/>
            <w:tcBorders>
              <w:bottom w:val="single" w:sz="4" w:space="0" w:color="auto"/>
            </w:tcBorders>
            <w:shd w:val="clear" w:color="auto" w:fill="auto"/>
          </w:tcPr>
          <w:p w14:paraId="10276506"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Ratio of domestic catch to total catch</w:t>
            </w:r>
          </w:p>
        </w:tc>
        <w:tc>
          <w:tcPr>
            <w:tcW w:w="1985" w:type="dxa"/>
            <w:tcBorders>
              <w:bottom w:val="single" w:sz="4" w:space="0" w:color="auto"/>
            </w:tcBorders>
            <w:shd w:val="clear" w:color="auto" w:fill="auto"/>
          </w:tcPr>
          <w:p w14:paraId="525B4350"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Monitoring of fisheries in CCMs</w:t>
            </w:r>
          </w:p>
        </w:tc>
        <w:tc>
          <w:tcPr>
            <w:tcW w:w="2410" w:type="dxa"/>
            <w:vMerge/>
            <w:shd w:val="clear" w:color="auto" w:fill="auto"/>
          </w:tcPr>
          <w:p w14:paraId="12322D61" w14:textId="77777777" w:rsidR="0072610C" w:rsidRPr="00571D79" w:rsidRDefault="0072610C" w:rsidP="0072610C">
            <w:pPr>
              <w:adjustRightInd w:val="0"/>
              <w:snapToGrid w:val="0"/>
              <w:spacing w:after="0"/>
              <w:jc w:val="left"/>
              <w:rPr>
                <w:rFonts w:ascii="Times New Roman" w:hAnsi="Times New Roman"/>
                <w:sz w:val="20"/>
                <w:szCs w:val="20"/>
              </w:rPr>
            </w:pPr>
          </w:p>
        </w:tc>
      </w:tr>
      <w:tr w:rsidR="0072610C" w:rsidRPr="0072610C" w14:paraId="394A7FE5" w14:textId="77777777" w:rsidTr="00571D79">
        <w:tc>
          <w:tcPr>
            <w:tcW w:w="1141" w:type="dxa"/>
            <w:vMerge/>
            <w:shd w:val="clear" w:color="auto" w:fill="FFFFFF" w:themeFill="background1"/>
          </w:tcPr>
          <w:p w14:paraId="698A3D02"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775367B0"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Human resource development</w:t>
            </w:r>
          </w:p>
        </w:tc>
        <w:tc>
          <w:tcPr>
            <w:tcW w:w="2126" w:type="dxa"/>
            <w:tcBorders>
              <w:bottom w:val="single" w:sz="4" w:space="0" w:color="auto"/>
            </w:tcBorders>
            <w:shd w:val="clear" w:color="auto" w:fill="auto"/>
          </w:tcPr>
          <w:p w14:paraId="55BDD5B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As a proxy: Ratio of domestic catch to total catch</w:t>
            </w:r>
          </w:p>
        </w:tc>
        <w:tc>
          <w:tcPr>
            <w:tcW w:w="1985" w:type="dxa"/>
            <w:tcBorders>
              <w:bottom w:val="single" w:sz="4" w:space="0" w:color="auto"/>
            </w:tcBorders>
            <w:shd w:val="clear" w:color="auto" w:fill="auto"/>
          </w:tcPr>
          <w:p w14:paraId="6EBC4383"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Monitoring of fisheries in CCMs</w:t>
            </w:r>
          </w:p>
        </w:tc>
        <w:tc>
          <w:tcPr>
            <w:tcW w:w="2410" w:type="dxa"/>
            <w:vMerge/>
            <w:shd w:val="clear" w:color="auto" w:fill="auto"/>
          </w:tcPr>
          <w:p w14:paraId="4776F2B9" w14:textId="77777777" w:rsidR="0072610C" w:rsidRPr="00571D79" w:rsidRDefault="0072610C" w:rsidP="0072610C">
            <w:pPr>
              <w:adjustRightInd w:val="0"/>
              <w:snapToGrid w:val="0"/>
              <w:spacing w:after="0"/>
              <w:jc w:val="left"/>
              <w:rPr>
                <w:rFonts w:ascii="Times New Roman" w:hAnsi="Times New Roman"/>
                <w:sz w:val="20"/>
                <w:szCs w:val="20"/>
              </w:rPr>
            </w:pPr>
          </w:p>
        </w:tc>
      </w:tr>
      <w:tr w:rsidR="0072610C" w:rsidRPr="0072610C" w14:paraId="194FD47E" w14:textId="77777777" w:rsidTr="00571D79">
        <w:tc>
          <w:tcPr>
            <w:tcW w:w="1141" w:type="dxa"/>
            <w:vMerge/>
            <w:shd w:val="clear" w:color="auto" w:fill="FFFFFF" w:themeFill="background1"/>
          </w:tcPr>
          <w:p w14:paraId="7A19421D"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tcBorders>
              <w:bottom w:val="single" w:sz="4" w:space="0" w:color="auto"/>
            </w:tcBorders>
            <w:shd w:val="clear" w:color="auto" w:fill="auto"/>
          </w:tcPr>
          <w:p w14:paraId="360A4F2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Avoid adverse impacts on small scale fishers.</w:t>
            </w:r>
          </w:p>
        </w:tc>
        <w:tc>
          <w:tcPr>
            <w:tcW w:w="2126" w:type="dxa"/>
            <w:tcBorders>
              <w:bottom w:val="single" w:sz="4" w:space="0" w:color="auto"/>
            </w:tcBorders>
            <w:shd w:val="clear" w:color="auto" w:fill="auto"/>
          </w:tcPr>
          <w:p w14:paraId="448AF49D" w14:textId="77777777" w:rsidR="0072610C" w:rsidRPr="00571D79" w:rsidRDefault="0072610C" w:rsidP="0072610C">
            <w:pPr>
              <w:adjustRightInd w:val="0"/>
              <w:snapToGrid w:val="0"/>
              <w:spacing w:after="0"/>
              <w:jc w:val="left"/>
              <w:rPr>
                <w:rFonts w:ascii="Times New Roman" w:hAnsi="Times New Roman"/>
                <w:sz w:val="20"/>
                <w:szCs w:val="20"/>
              </w:rPr>
            </w:pPr>
          </w:p>
        </w:tc>
        <w:tc>
          <w:tcPr>
            <w:tcW w:w="1985" w:type="dxa"/>
            <w:tcBorders>
              <w:bottom w:val="single" w:sz="4" w:space="0" w:color="auto"/>
            </w:tcBorders>
            <w:shd w:val="clear" w:color="auto" w:fill="auto"/>
          </w:tcPr>
          <w:p w14:paraId="21D71164"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Monitoring of fisheries in CCMs</w:t>
            </w:r>
          </w:p>
        </w:tc>
        <w:tc>
          <w:tcPr>
            <w:tcW w:w="2410" w:type="dxa"/>
            <w:vMerge/>
            <w:tcBorders>
              <w:bottom w:val="single" w:sz="4" w:space="0" w:color="auto"/>
            </w:tcBorders>
            <w:shd w:val="clear" w:color="auto" w:fill="auto"/>
          </w:tcPr>
          <w:p w14:paraId="52C2E173" w14:textId="77777777" w:rsidR="0072610C" w:rsidRPr="00571D79" w:rsidRDefault="0072610C" w:rsidP="0072610C">
            <w:pPr>
              <w:adjustRightInd w:val="0"/>
              <w:snapToGrid w:val="0"/>
              <w:spacing w:after="0"/>
              <w:jc w:val="left"/>
              <w:rPr>
                <w:rFonts w:ascii="Times New Roman" w:hAnsi="Times New Roman"/>
                <w:sz w:val="20"/>
                <w:szCs w:val="20"/>
              </w:rPr>
            </w:pPr>
          </w:p>
        </w:tc>
      </w:tr>
      <w:tr w:rsidR="0072610C" w:rsidRPr="0072610C" w14:paraId="010324EA" w14:textId="77777777" w:rsidTr="00571D79">
        <w:tc>
          <w:tcPr>
            <w:tcW w:w="1141" w:type="dxa"/>
            <w:vMerge w:val="restart"/>
            <w:shd w:val="clear" w:color="auto" w:fill="FFFFFF" w:themeFill="background1"/>
          </w:tcPr>
          <w:p w14:paraId="2697A5D7"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Ecosystem</w:t>
            </w:r>
          </w:p>
        </w:tc>
        <w:tc>
          <w:tcPr>
            <w:tcW w:w="1723" w:type="dxa"/>
            <w:tcBorders>
              <w:bottom w:val="single" w:sz="4" w:space="0" w:color="auto"/>
            </w:tcBorders>
            <w:shd w:val="clear" w:color="auto" w:fill="auto"/>
          </w:tcPr>
          <w:p w14:paraId="22C1E832"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Minimise catch of non-target species.</w:t>
            </w:r>
          </w:p>
        </w:tc>
        <w:tc>
          <w:tcPr>
            <w:tcW w:w="2126" w:type="dxa"/>
            <w:tcBorders>
              <w:bottom w:val="single" w:sz="4" w:space="0" w:color="auto"/>
            </w:tcBorders>
            <w:shd w:val="clear" w:color="auto" w:fill="auto"/>
          </w:tcPr>
          <w:p w14:paraId="03F59DC2"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Expected catch of other species based on observer data</w:t>
            </w:r>
          </w:p>
        </w:tc>
        <w:tc>
          <w:tcPr>
            <w:tcW w:w="1985" w:type="dxa"/>
            <w:tcBorders>
              <w:bottom w:val="single" w:sz="4" w:space="0" w:color="auto"/>
            </w:tcBorders>
            <w:shd w:val="clear" w:color="auto" w:fill="auto"/>
          </w:tcPr>
          <w:p w14:paraId="00B1DBE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Ratio of target species catch to catch of non-target species from observer program</w:t>
            </w:r>
          </w:p>
        </w:tc>
        <w:tc>
          <w:tcPr>
            <w:tcW w:w="2410" w:type="dxa"/>
            <w:tcBorders>
              <w:bottom w:val="single" w:sz="4" w:space="0" w:color="auto"/>
            </w:tcBorders>
            <w:shd w:val="clear" w:color="auto" w:fill="auto"/>
          </w:tcPr>
          <w:p w14:paraId="424E81F0"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58DBBD89"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Noted use of proxy bycatch ratio information</w:t>
            </w:r>
          </w:p>
        </w:tc>
      </w:tr>
      <w:tr w:rsidR="0072610C" w:rsidRPr="0072610C" w14:paraId="2B07632A" w14:textId="77777777" w:rsidTr="00571D79">
        <w:tc>
          <w:tcPr>
            <w:tcW w:w="1141" w:type="dxa"/>
            <w:vMerge/>
            <w:shd w:val="clear" w:color="auto" w:fill="FFFFFF" w:themeFill="background1"/>
          </w:tcPr>
          <w:p w14:paraId="70ABC6F3" w14:textId="77777777" w:rsidR="0072610C" w:rsidRPr="00571D79" w:rsidRDefault="0072610C" w:rsidP="0072610C">
            <w:pPr>
              <w:adjustRightInd w:val="0"/>
              <w:snapToGrid w:val="0"/>
              <w:spacing w:after="0"/>
              <w:jc w:val="left"/>
              <w:rPr>
                <w:rFonts w:ascii="Times New Roman" w:hAnsi="Times New Roman"/>
                <w:sz w:val="20"/>
                <w:szCs w:val="20"/>
              </w:rPr>
            </w:pPr>
          </w:p>
        </w:tc>
        <w:tc>
          <w:tcPr>
            <w:tcW w:w="1723" w:type="dxa"/>
            <w:shd w:val="clear" w:color="auto" w:fill="auto"/>
          </w:tcPr>
          <w:p w14:paraId="08FC3CFC"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Minimise fishery impact on the ecosystem</w:t>
            </w:r>
          </w:p>
          <w:p w14:paraId="4FBC535B" w14:textId="77777777" w:rsidR="0072610C" w:rsidRPr="00571D79" w:rsidRDefault="0072610C" w:rsidP="0072610C">
            <w:pPr>
              <w:adjustRightInd w:val="0"/>
              <w:snapToGrid w:val="0"/>
              <w:spacing w:after="0"/>
              <w:jc w:val="left"/>
              <w:rPr>
                <w:rFonts w:ascii="Times New Roman" w:hAnsi="Times New Roman"/>
                <w:sz w:val="20"/>
                <w:szCs w:val="20"/>
              </w:rPr>
            </w:pPr>
          </w:p>
        </w:tc>
        <w:tc>
          <w:tcPr>
            <w:tcW w:w="2126" w:type="dxa"/>
            <w:shd w:val="clear" w:color="auto" w:fill="auto"/>
          </w:tcPr>
          <w:p w14:paraId="06D6B2A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Similar to previous PI. As a proxy use the expected catch of other species based on observer data</w:t>
            </w:r>
          </w:p>
        </w:tc>
        <w:tc>
          <w:tcPr>
            <w:tcW w:w="1985" w:type="dxa"/>
            <w:shd w:val="clear" w:color="auto" w:fill="auto"/>
          </w:tcPr>
          <w:p w14:paraId="7590C6BF"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Ratio of target species catch to catch of non-target species</w:t>
            </w:r>
          </w:p>
        </w:tc>
        <w:tc>
          <w:tcPr>
            <w:tcW w:w="2410" w:type="dxa"/>
            <w:shd w:val="clear" w:color="auto" w:fill="auto"/>
          </w:tcPr>
          <w:p w14:paraId="4E2586EB"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b/>
                <w:sz w:val="20"/>
                <w:szCs w:val="20"/>
              </w:rPr>
              <w:t>Supported</w:t>
            </w:r>
            <w:r w:rsidRPr="00571D79">
              <w:rPr>
                <w:rFonts w:ascii="Times New Roman" w:hAnsi="Times New Roman"/>
                <w:sz w:val="20"/>
                <w:szCs w:val="20"/>
              </w:rPr>
              <w:t xml:space="preserve"> </w:t>
            </w:r>
          </w:p>
          <w:p w14:paraId="10B5D70A" w14:textId="77777777" w:rsidR="0072610C" w:rsidRPr="00571D79" w:rsidRDefault="0072610C" w:rsidP="0072610C">
            <w:pPr>
              <w:adjustRightInd w:val="0"/>
              <w:snapToGrid w:val="0"/>
              <w:spacing w:after="0"/>
              <w:jc w:val="left"/>
              <w:rPr>
                <w:rFonts w:ascii="Times New Roman" w:hAnsi="Times New Roman"/>
                <w:sz w:val="20"/>
                <w:szCs w:val="20"/>
              </w:rPr>
            </w:pPr>
            <w:r w:rsidRPr="00571D79">
              <w:rPr>
                <w:rFonts w:ascii="Times New Roman" w:hAnsi="Times New Roman"/>
                <w:sz w:val="20"/>
                <w:szCs w:val="20"/>
              </w:rPr>
              <w:t>Noted use of proxy bycatch ratio information</w:t>
            </w:r>
          </w:p>
        </w:tc>
      </w:tr>
    </w:tbl>
    <w:p w14:paraId="55741581" w14:textId="77777777" w:rsidR="0072610C" w:rsidRPr="0072610C" w:rsidRDefault="0072610C" w:rsidP="0072610C">
      <w:pPr>
        <w:adjustRightInd w:val="0"/>
        <w:snapToGrid w:val="0"/>
        <w:spacing w:after="0"/>
        <w:rPr>
          <w:rFonts w:ascii="Times New Roman" w:hAnsi="Times New Roman"/>
        </w:rPr>
      </w:pPr>
    </w:p>
    <w:p w14:paraId="229C9B54" w14:textId="7A5FC0A7" w:rsidR="00571D79" w:rsidRDefault="00571D79">
      <w:pPr>
        <w:spacing w:after="0"/>
        <w:jc w:val="left"/>
        <w:rPr>
          <w:rFonts w:ascii="Times New Roman" w:hAnsi="Times New Roman"/>
        </w:rPr>
      </w:pPr>
      <w:r>
        <w:rPr>
          <w:rFonts w:ascii="Times New Roman" w:hAnsi="Times New Roman"/>
        </w:rPr>
        <w:br w:type="page"/>
      </w:r>
    </w:p>
    <w:p w14:paraId="5A523509" w14:textId="698575BC" w:rsidR="00571D79" w:rsidRPr="0072610C" w:rsidRDefault="00571D79" w:rsidP="00571D79">
      <w:pPr>
        <w:autoSpaceDE w:val="0"/>
        <w:autoSpaceDN w:val="0"/>
        <w:adjustRightInd w:val="0"/>
        <w:snapToGrid w:val="0"/>
        <w:spacing w:after="0"/>
        <w:jc w:val="right"/>
        <w:rPr>
          <w:rFonts w:ascii="Times New Roman" w:hAnsi="Times New Roman"/>
          <w:b/>
          <w:bCs/>
          <w:lang w:val="en-AU" w:eastAsia="en-NZ"/>
        </w:rPr>
      </w:pPr>
      <w:r w:rsidRPr="0072610C">
        <w:rPr>
          <w:rFonts w:ascii="Times New Roman" w:hAnsi="Times New Roman"/>
          <w:b/>
          <w:bCs/>
          <w:lang w:val="en-AU" w:eastAsia="en-NZ"/>
        </w:rPr>
        <w:t xml:space="preserve">Attachment </w:t>
      </w:r>
      <w:r>
        <w:rPr>
          <w:rFonts w:ascii="Times New Roman" w:hAnsi="Times New Roman"/>
          <w:b/>
          <w:bCs/>
          <w:lang w:val="en-AU" w:eastAsia="en-NZ"/>
        </w:rPr>
        <w:t>G</w:t>
      </w:r>
    </w:p>
    <w:p w14:paraId="1EC97F93" w14:textId="77777777" w:rsidR="00571D79" w:rsidRPr="0072610C" w:rsidRDefault="00571D79" w:rsidP="00571D79">
      <w:pPr>
        <w:autoSpaceDE w:val="0"/>
        <w:autoSpaceDN w:val="0"/>
        <w:adjustRightInd w:val="0"/>
        <w:snapToGrid w:val="0"/>
        <w:spacing w:after="0"/>
        <w:jc w:val="center"/>
        <w:rPr>
          <w:rFonts w:ascii="Times New Roman" w:hAnsi="Times New Roman"/>
          <w:b/>
          <w:bCs/>
          <w:lang w:val="en-AU" w:eastAsia="en-NZ"/>
        </w:rPr>
      </w:pPr>
    </w:p>
    <w:p w14:paraId="332FF40F" w14:textId="77777777" w:rsidR="00571D79" w:rsidRPr="0072610C" w:rsidRDefault="00571D79" w:rsidP="00571D79">
      <w:pPr>
        <w:autoSpaceDE w:val="0"/>
        <w:autoSpaceDN w:val="0"/>
        <w:adjustRightInd w:val="0"/>
        <w:snapToGrid w:val="0"/>
        <w:spacing w:after="0"/>
        <w:jc w:val="center"/>
        <w:rPr>
          <w:rFonts w:ascii="Times New Roman" w:hAnsi="Times New Roman"/>
          <w:b/>
          <w:bCs/>
          <w:lang w:val="en-AU" w:eastAsia="en-NZ"/>
        </w:rPr>
      </w:pPr>
      <w:r w:rsidRPr="0072610C">
        <w:rPr>
          <w:rFonts w:ascii="Times New Roman" w:hAnsi="Times New Roman"/>
          <w:b/>
          <w:bCs/>
          <w:lang w:val="en-AU" w:eastAsia="en-NZ"/>
        </w:rPr>
        <w:t xml:space="preserve">The Commission for the Conservation and Management of </w:t>
      </w:r>
      <w:r w:rsidRPr="0072610C">
        <w:rPr>
          <w:rFonts w:ascii="Times New Roman" w:hAnsi="Times New Roman"/>
          <w:b/>
          <w:bCs/>
          <w:lang w:val="en-AU" w:eastAsia="en-NZ"/>
        </w:rPr>
        <w:br/>
        <w:t>Highly Migratory Fish Stocks in the Western and Central Pacific Ocean</w:t>
      </w:r>
    </w:p>
    <w:p w14:paraId="51B2AC21" w14:textId="77777777" w:rsidR="00571D79" w:rsidRPr="0072610C" w:rsidRDefault="00571D79" w:rsidP="00571D79">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 xml:space="preserve">Scientific Committee </w:t>
      </w:r>
    </w:p>
    <w:p w14:paraId="4E824F2B" w14:textId="77777777" w:rsidR="00571D79" w:rsidRPr="0072610C" w:rsidRDefault="00571D79" w:rsidP="00571D79">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Thirteenth Regular Session</w:t>
      </w:r>
    </w:p>
    <w:p w14:paraId="78241503" w14:textId="77777777" w:rsidR="00571D79" w:rsidRPr="00571D79" w:rsidRDefault="00571D79" w:rsidP="00571D79">
      <w:pPr>
        <w:autoSpaceDE w:val="0"/>
        <w:autoSpaceDN w:val="0"/>
        <w:adjustRightInd w:val="0"/>
        <w:snapToGrid w:val="0"/>
        <w:spacing w:after="0"/>
        <w:jc w:val="center"/>
        <w:rPr>
          <w:rFonts w:ascii="Times New Roman" w:hAnsi="Times New Roman"/>
          <w:bCs/>
          <w:lang w:val="en-AU" w:eastAsia="en-NZ"/>
        </w:rPr>
      </w:pPr>
      <w:r w:rsidRPr="0072610C">
        <w:rPr>
          <w:rFonts w:ascii="Times New Roman" w:hAnsi="Times New Roman"/>
          <w:bCs/>
          <w:lang w:val="en-AU" w:eastAsia="en-NZ"/>
        </w:rPr>
        <w:t>Rarotonga</w:t>
      </w:r>
      <w:r w:rsidRPr="00571D79">
        <w:rPr>
          <w:rFonts w:ascii="Times New Roman" w:hAnsi="Times New Roman"/>
          <w:bCs/>
          <w:lang w:val="en-AU" w:eastAsia="en-NZ"/>
        </w:rPr>
        <w:t>, Cook Islands</w:t>
      </w:r>
      <w:r w:rsidRPr="00571D79">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571D79" w:rsidRPr="00571D79" w14:paraId="71AC90CE" w14:textId="77777777" w:rsidTr="0009474D">
        <w:tc>
          <w:tcPr>
            <w:tcW w:w="9576" w:type="dxa"/>
            <w:tcBorders>
              <w:top w:val="single" w:sz="12" w:space="0" w:color="auto"/>
              <w:left w:val="nil"/>
              <w:bottom w:val="single" w:sz="12" w:space="0" w:color="auto"/>
              <w:right w:val="nil"/>
            </w:tcBorders>
            <w:hideMark/>
          </w:tcPr>
          <w:p w14:paraId="1B46FF9D" w14:textId="3F7993AF" w:rsidR="00571D79" w:rsidRPr="00571D79" w:rsidRDefault="00571D79" w:rsidP="0009474D">
            <w:pPr>
              <w:adjustRightInd w:val="0"/>
              <w:snapToGrid w:val="0"/>
              <w:spacing w:after="0"/>
              <w:jc w:val="center"/>
              <w:rPr>
                <w:rFonts w:ascii="Times New Roman" w:hAnsi="Times New Roman"/>
                <w:b/>
                <w:lang w:val="en-US"/>
              </w:rPr>
            </w:pPr>
            <w:r w:rsidRPr="00571D79">
              <w:rPr>
                <w:rFonts w:ascii="Times New Roman" w:hAnsi="Times New Roman"/>
                <w:b/>
                <w:lang w:val="en-US"/>
              </w:rPr>
              <w:t>Report of the ISG-06</w:t>
            </w:r>
          </w:p>
          <w:p w14:paraId="09993AC1" w14:textId="77777777" w:rsidR="00571D79" w:rsidRDefault="00571D79" w:rsidP="0009474D">
            <w:pPr>
              <w:adjustRightInd w:val="0"/>
              <w:snapToGrid w:val="0"/>
              <w:spacing w:after="0"/>
              <w:jc w:val="center"/>
              <w:rPr>
                <w:rFonts w:ascii="Times New Roman" w:hAnsi="Times New Roman"/>
                <w:b/>
                <w:iCs/>
              </w:rPr>
            </w:pPr>
            <w:r w:rsidRPr="00571D79">
              <w:rPr>
                <w:rFonts w:ascii="Times New Roman" w:hAnsi="Times New Roman"/>
                <w:b/>
              </w:rPr>
              <w:t xml:space="preserve">Options for the development of a comprehensive </w:t>
            </w:r>
            <w:r w:rsidRPr="00571D79">
              <w:rPr>
                <w:rFonts w:ascii="Times New Roman" w:hAnsi="Times New Roman"/>
                <w:b/>
                <w:iCs/>
              </w:rPr>
              <w:t xml:space="preserve">approach to </w:t>
            </w:r>
          </w:p>
          <w:p w14:paraId="0DC8F6B1" w14:textId="566FB51C" w:rsidR="00571D79" w:rsidRPr="00571D79" w:rsidRDefault="00571D79" w:rsidP="0009474D">
            <w:pPr>
              <w:adjustRightInd w:val="0"/>
              <w:snapToGrid w:val="0"/>
              <w:spacing w:after="0"/>
              <w:jc w:val="center"/>
              <w:rPr>
                <w:rFonts w:ascii="Times New Roman" w:eastAsia="맑은 고딕" w:hAnsi="Times New Roman"/>
                <w:b/>
                <w:lang w:val="en-AU" w:eastAsia="ko-KR"/>
              </w:rPr>
            </w:pPr>
            <w:r w:rsidRPr="00571D79">
              <w:rPr>
                <w:rFonts w:ascii="Times New Roman" w:hAnsi="Times New Roman"/>
                <w:b/>
                <w:iCs/>
              </w:rPr>
              <w:t>shark and ray conservation and management</w:t>
            </w:r>
          </w:p>
        </w:tc>
      </w:tr>
    </w:tbl>
    <w:p w14:paraId="043C2AFF" w14:textId="77777777" w:rsidR="00571D79" w:rsidRPr="00571D79" w:rsidRDefault="00571D79" w:rsidP="00571D79">
      <w:pPr>
        <w:autoSpaceDE w:val="0"/>
        <w:autoSpaceDN w:val="0"/>
        <w:adjustRightInd w:val="0"/>
        <w:snapToGrid w:val="0"/>
        <w:spacing w:after="0"/>
        <w:rPr>
          <w:rFonts w:ascii="Times New Roman" w:hAnsi="Times New Roman"/>
          <w:lang w:val="en-AU"/>
        </w:rPr>
      </w:pPr>
    </w:p>
    <w:p w14:paraId="134A2B5E" w14:textId="77777777" w:rsidR="00571D79" w:rsidRPr="00571D79" w:rsidRDefault="00571D79" w:rsidP="00571D79">
      <w:pPr>
        <w:adjustRightInd w:val="0"/>
        <w:snapToGrid w:val="0"/>
        <w:spacing w:after="0"/>
        <w:rPr>
          <w:rFonts w:ascii="Times New Roman" w:hAnsi="Times New Roman"/>
          <w:b/>
          <w:lang w:val="en-US"/>
        </w:rPr>
      </w:pPr>
    </w:p>
    <w:p w14:paraId="4D60A192" w14:textId="77777777" w:rsidR="00571D79" w:rsidRPr="00F73C92" w:rsidRDefault="00571D79" w:rsidP="00571D79">
      <w:pPr>
        <w:pStyle w:val="Default"/>
        <w:rPr>
          <w:rFonts w:ascii="Times New Roman" w:hAnsi="Times New Roman" w:cs="Times New Roman"/>
          <w:iCs/>
          <w:sz w:val="22"/>
          <w:szCs w:val="22"/>
        </w:rPr>
      </w:pPr>
      <w:r w:rsidRPr="00F73C92">
        <w:rPr>
          <w:rFonts w:ascii="Times New Roman" w:hAnsi="Times New Roman" w:cs="Times New Roman"/>
          <w:iCs/>
          <w:sz w:val="22"/>
          <w:szCs w:val="22"/>
        </w:rPr>
        <w:t xml:space="preserve">WCPFC13 requested that SC13 and TCC13, with support from the Secretariat, work towards the development of a comprehensive approach to shark and ray conservation and management with a view to adopting a new CMM at the Commission’s annual meeting in 2018. </w:t>
      </w:r>
    </w:p>
    <w:p w14:paraId="0F232B98" w14:textId="77777777" w:rsidR="00571D79" w:rsidRPr="00F73C92" w:rsidRDefault="00571D79" w:rsidP="00571D79">
      <w:pPr>
        <w:pStyle w:val="Default"/>
        <w:rPr>
          <w:rFonts w:ascii="Times New Roman" w:hAnsi="Times New Roman" w:cs="Times New Roman"/>
          <w:iCs/>
          <w:sz w:val="22"/>
          <w:szCs w:val="22"/>
        </w:rPr>
      </w:pPr>
    </w:p>
    <w:p w14:paraId="534C199E" w14:textId="77777777" w:rsidR="00571D79" w:rsidRPr="00F73C92" w:rsidRDefault="00571D79" w:rsidP="00571D79">
      <w:pPr>
        <w:pStyle w:val="Default"/>
        <w:rPr>
          <w:rFonts w:ascii="Times New Roman" w:hAnsi="Times New Roman" w:cs="Times New Roman"/>
          <w:iCs/>
          <w:sz w:val="22"/>
          <w:szCs w:val="22"/>
        </w:rPr>
      </w:pPr>
      <w:r w:rsidRPr="00F73C92">
        <w:rPr>
          <w:rFonts w:ascii="Times New Roman" w:hAnsi="Times New Roman" w:cs="Times New Roman"/>
          <w:iCs/>
          <w:sz w:val="22"/>
          <w:szCs w:val="22"/>
        </w:rPr>
        <w:t>The new CMM should seek to:</w:t>
      </w:r>
    </w:p>
    <w:p w14:paraId="297FB378" w14:textId="77777777" w:rsidR="00571D79" w:rsidRPr="00F73C92" w:rsidRDefault="00571D79" w:rsidP="0074425A">
      <w:pPr>
        <w:pStyle w:val="Default"/>
        <w:numPr>
          <w:ilvl w:val="0"/>
          <w:numId w:val="118"/>
        </w:numPr>
        <w:adjustRightInd w:val="0"/>
        <w:rPr>
          <w:rFonts w:ascii="Times New Roman" w:hAnsi="Times New Roman" w:cs="Times New Roman"/>
          <w:iCs/>
          <w:sz w:val="22"/>
          <w:szCs w:val="22"/>
        </w:rPr>
      </w:pPr>
      <w:r w:rsidRPr="00F73C92">
        <w:rPr>
          <w:rFonts w:ascii="Times New Roman" w:hAnsi="Times New Roman" w:cs="Times New Roman"/>
          <w:iCs/>
          <w:sz w:val="22"/>
          <w:szCs w:val="22"/>
        </w:rPr>
        <w:t xml:space="preserve">unify the WCPFC’s existing shark CMMs; </w:t>
      </w:r>
    </w:p>
    <w:p w14:paraId="2314B9BE" w14:textId="77777777" w:rsidR="00571D79" w:rsidRPr="00F73C92" w:rsidRDefault="00571D79" w:rsidP="0074425A">
      <w:pPr>
        <w:pStyle w:val="Default"/>
        <w:numPr>
          <w:ilvl w:val="0"/>
          <w:numId w:val="118"/>
        </w:numPr>
        <w:adjustRightInd w:val="0"/>
        <w:rPr>
          <w:rFonts w:ascii="Times New Roman" w:hAnsi="Times New Roman" w:cs="Times New Roman"/>
          <w:iCs/>
          <w:sz w:val="22"/>
          <w:szCs w:val="22"/>
        </w:rPr>
      </w:pPr>
      <w:r w:rsidRPr="00F73C92">
        <w:rPr>
          <w:rFonts w:ascii="Times New Roman" w:hAnsi="Times New Roman" w:cs="Times New Roman"/>
          <w:iCs/>
          <w:sz w:val="22"/>
          <w:szCs w:val="22"/>
        </w:rPr>
        <w:t xml:space="preserve">take account of relevant national and international policies and measures; and </w:t>
      </w:r>
    </w:p>
    <w:p w14:paraId="6D267BDF" w14:textId="77777777" w:rsidR="00571D79" w:rsidRPr="00F73C92" w:rsidRDefault="00571D79" w:rsidP="0074425A">
      <w:pPr>
        <w:pStyle w:val="Default"/>
        <w:numPr>
          <w:ilvl w:val="0"/>
          <w:numId w:val="118"/>
        </w:numPr>
        <w:adjustRightInd w:val="0"/>
        <w:rPr>
          <w:rFonts w:ascii="Times New Roman" w:hAnsi="Times New Roman" w:cs="Times New Roman"/>
          <w:iCs/>
          <w:color w:val="auto"/>
          <w:sz w:val="22"/>
          <w:szCs w:val="22"/>
        </w:rPr>
      </w:pPr>
      <w:proofErr w:type="gramStart"/>
      <w:r w:rsidRPr="00F73C92">
        <w:rPr>
          <w:rFonts w:ascii="Times New Roman" w:hAnsi="Times New Roman" w:cs="Times New Roman"/>
          <w:iCs/>
          <w:sz w:val="22"/>
          <w:szCs w:val="22"/>
        </w:rPr>
        <w:t>provide</w:t>
      </w:r>
      <w:proofErr w:type="gramEnd"/>
      <w:r w:rsidRPr="00F73C92">
        <w:rPr>
          <w:rFonts w:ascii="Times New Roman" w:hAnsi="Times New Roman" w:cs="Times New Roman"/>
          <w:iCs/>
          <w:sz w:val="22"/>
          <w:szCs w:val="22"/>
        </w:rPr>
        <w:t xml:space="preserve"> a framework for </w:t>
      </w:r>
      <w:r w:rsidRPr="00F73C92">
        <w:rPr>
          <w:rFonts w:ascii="Times New Roman" w:hAnsi="Times New Roman" w:cs="Times New Roman"/>
          <w:iCs/>
          <w:color w:val="auto"/>
          <w:sz w:val="22"/>
          <w:szCs w:val="22"/>
        </w:rPr>
        <w:t xml:space="preserve">adopting new components as needs and datasets evolve. Elements that could be considered for the new CMM include: </w:t>
      </w:r>
    </w:p>
    <w:p w14:paraId="786B0FA5" w14:textId="77777777" w:rsidR="00571D79" w:rsidRPr="00F73C92" w:rsidRDefault="00571D79" w:rsidP="0074425A">
      <w:pPr>
        <w:pStyle w:val="Default"/>
        <w:numPr>
          <w:ilvl w:val="0"/>
          <w:numId w:val="119"/>
        </w:numPr>
        <w:adjustRightInd w:val="0"/>
        <w:jc w:val="left"/>
        <w:rPr>
          <w:rFonts w:ascii="Times New Roman" w:hAnsi="Times New Roman" w:cs="Times New Roman"/>
          <w:iCs/>
          <w:color w:val="auto"/>
          <w:sz w:val="22"/>
          <w:szCs w:val="22"/>
        </w:rPr>
      </w:pPr>
      <w:r w:rsidRPr="00F73C92">
        <w:rPr>
          <w:rFonts w:ascii="Times New Roman" w:hAnsi="Times New Roman" w:cs="Times New Roman"/>
          <w:iCs/>
          <w:color w:val="auto"/>
          <w:sz w:val="22"/>
          <w:szCs w:val="22"/>
        </w:rPr>
        <w:t xml:space="preserve">policies on full utilization/prohibition on finning; </w:t>
      </w:r>
    </w:p>
    <w:p w14:paraId="3E4433E3"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no retention policies; </w:t>
      </w:r>
    </w:p>
    <w:p w14:paraId="59876A8C"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safe release and handling practices; </w:t>
      </w:r>
    </w:p>
    <w:p w14:paraId="3B0F69F5"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gear mitigation, size limits or closures; </w:t>
      </w:r>
    </w:p>
    <w:p w14:paraId="5960A176"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management plans/catch limits; </w:t>
      </w:r>
    </w:p>
    <w:p w14:paraId="6B1F1451"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key species and their assessment schedules; </w:t>
      </w:r>
    </w:p>
    <w:p w14:paraId="225B4936" w14:textId="77777777" w:rsidR="00571D79" w:rsidRPr="00F73C92" w:rsidRDefault="00571D79" w:rsidP="0074425A">
      <w:pPr>
        <w:pStyle w:val="Default"/>
        <w:numPr>
          <w:ilvl w:val="0"/>
          <w:numId w:val="119"/>
        </w:numPr>
        <w:adjustRightInd w:val="0"/>
        <w:jc w:val="left"/>
        <w:rPr>
          <w:rFonts w:ascii="Times New Roman" w:hAnsi="Times New Roman" w:cs="Times New Roman"/>
          <w:color w:val="auto"/>
          <w:sz w:val="22"/>
          <w:szCs w:val="22"/>
        </w:rPr>
      </w:pPr>
      <w:r w:rsidRPr="00F73C92">
        <w:rPr>
          <w:rFonts w:ascii="Times New Roman" w:hAnsi="Times New Roman" w:cs="Times New Roman"/>
          <w:iCs/>
          <w:color w:val="auto"/>
          <w:sz w:val="22"/>
          <w:szCs w:val="22"/>
        </w:rPr>
        <w:t xml:space="preserve">species-specific limit reference points; and </w:t>
      </w:r>
    </w:p>
    <w:p w14:paraId="231451BE" w14:textId="77777777" w:rsidR="00571D79" w:rsidRPr="00F73C92" w:rsidRDefault="00571D79" w:rsidP="0074425A">
      <w:pPr>
        <w:pStyle w:val="ListParagraph"/>
        <w:numPr>
          <w:ilvl w:val="0"/>
          <w:numId w:val="119"/>
        </w:numPr>
        <w:spacing w:after="120"/>
        <w:jc w:val="left"/>
        <w:rPr>
          <w:rFonts w:ascii="Times New Roman" w:hAnsi="Times New Roman"/>
          <w:iCs/>
        </w:rPr>
      </w:pPr>
      <w:proofErr w:type="gramStart"/>
      <w:r w:rsidRPr="00F73C92">
        <w:rPr>
          <w:rFonts w:ascii="Times New Roman" w:hAnsi="Times New Roman"/>
          <w:iCs/>
        </w:rPr>
        <w:t>any</w:t>
      </w:r>
      <w:proofErr w:type="gramEnd"/>
      <w:r w:rsidRPr="00F73C92">
        <w:rPr>
          <w:rFonts w:ascii="Times New Roman" w:hAnsi="Times New Roman"/>
          <w:iCs/>
        </w:rPr>
        <w:t xml:space="preserve"> data reporting requirements beyond those contained in “Scientific Data to be Provided to the Commission.”</w:t>
      </w:r>
    </w:p>
    <w:p w14:paraId="5D90B78B" w14:textId="77777777" w:rsidR="00571D79" w:rsidRPr="00F73C92" w:rsidRDefault="00571D79" w:rsidP="00571D79">
      <w:pPr>
        <w:rPr>
          <w:rFonts w:ascii="Times New Roman" w:hAnsi="Times New Roman"/>
          <w:iCs/>
          <w:u w:val="single"/>
        </w:rPr>
      </w:pPr>
      <w:r w:rsidRPr="00F73C92">
        <w:rPr>
          <w:rFonts w:ascii="Times New Roman" w:hAnsi="Times New Roman"/>
          <w:iCs/>
          <w:u w:val="single"/>
        </w:rPr>
        <w:t>ISG discussions and outcomes:</w:t>
      </w:r>
    </w:p>
    <w:p w14:paraId="13DE4151" w14:textId="77777777" w:rsidR="00571D79" w:rsidRPr="00F73C92" w:rsidRDefault="00571D79" w:rsidP="00571D79">
      <w:pPr>
        <w:rPr>
          <w:rFonts w:ascii="Times New Roman" w:hAnsi="Times New Roman"/>
          <w:iCs/>
        </w:rPr>
      </w:pPr>
    </w:p>
    <w:p w14:paraId="507C7087" w14:textId="77777777" w:rsidR="00571D79" w:rsidRPr="00F73C92" w:rsidRDefault="00571D79" w:rsidP="00571D79">
      <w:pPr>
        <w:rPr>
          <w:rFonts w:ascii="Times New Roman" w:hAnsi="Times New Roman"/>
          <w:iCs/>
        </w:rPr>
      </w:pPr>
      <w:r w:rsidRPr="00F73C92">
        <w:rPr>
          <w:rFonts w:ascii="Times New Roman" w:hAnsi="Times New Roman"/>
          <w:iCs/>
        </w:rPr>
        <w:t>SC13 has considered two possible options in view of responding to WCPFC13 request:</w:t>
      </w:r>
    </w:p>
    <w:p w14:paraId="50F5DC69" w14:textId="77777777" w:rsidR="00571D79" w:rsidRPr="00F73C92" w:rsidRDefault="00571D79" w:rsidP="0074425A">
      <w:pPr>
        <w:pStyle w:val="ListParagraph"/>
        <w:numPr>
          <w:ilvl w:val="0"/>
          <w:numId w:val="120"/>
        </w:numPr>
        <w:spacing w:after="120"/>
        <w:rPr>
          <w:rFonts w:ascii="Times New Roman" w:hAnsi="Times New Roman"/>
          <w:iCs/>
        </w:rPr>
      </w:pPr>
      <w:r w:rsidRPr="00F73C92">
        <w:rPr>
          <w:rFonts w:ascii="Times New Roman" w:hAnsi="Times New Roman"/>
          <w:iCs/>
        </w:rPr>
        <w:t>The first option would be to simply collate the existing CMMs. It would involve a limited role for the SC.</w:t>
      </w:r>
    </w:p>
    <w:p w14:paraId="03157B2B" w14:textId="77777777" w:rsidR="00571D79" w:rsidRPr="00F73C92" w:rsidRDefault="00571D79" w:rsidP="0074425A">
      <w:pPr>
        <w:pStyle w:val="ListParagraph"/>
        <w:numPr>
          <w:ilvl w:val="0"/>
          <w:numId w:val="120"/>
        </w:numPr>
        <w:spacing w:after="120"/>
        <w:rPr>
          <w:rFonts w:ascii="Times New Roman" w:hAnsi="Times New Roman"/>
          <w:iCs/>
        </w:rPr>
      </w:pPr>
      <w:r w:rsidRPr="00F73C92">
        <w:rPr>
          <w:rFonts w:ascii="Times New Roman" w:hAnsi="Times New Roman"/>
          <w:iCs/>
        </w:rPr>
        <w:t>The second would consist in developing a framework for a comprehensive approach to shark conservation and management along the general lines presented in the preliminary template displayed in Annex XX. The content of the table is indicative; it was discussed at SC13 but not necessarily agreed. SC would have a significant role under this option.</w:t>
      </w:r>
    </w:p>
    <w:p w14:paraId="6A22DDFC" w14:textId="77777777" w:rsidR="00571D79" w:rsidRPr="00F73C92" w:rsidRDefault="00571D79" w:rsidP="00571D79">
      <w:pPr>
        <w:rPr>
          <w:rFonts w:ascii="Times New Roman" w:hAnsi="Times New Roman"/>
          <w:iCs/>
        </w:rPr>
      </w:pPr>
      <w:r w:rsidRPr="00F73C92">
        <w:rPr>
          <w:rFonts w:ascii="Times New Roman" w:hAnsi="Times New Roman"/>
          <w:iCs/>
        </w:rPr>
        <w:t xml:space="preserve">SC13 recommends that TCC13 and WCPFC14 note the two options considered by the SC for the development of a comprehensive approach and/or CMM for the conservation and management of sharks in the WCPFC and that WCPFC14 provides advice to SC14 and TCC14 on the way forward. </w:t>
      </w:r>
    </w:p>
    <w:p w14:paraId="466EB7F6" w14:textId="3DF72174" w:rsidR="00571D79" w:rsidRDefault="00571D79">
      <w:pPr>
        <w:spacing w:after="0"/>
        <w:jc w:val="left"/>
        <w:rPr>
          <w:rFonts w:ascii="Times New Roman" w:hAnsi="Times New Roman"/>
        </w:rPr>
      </w:pPr>
      <w:r>
        <w:rPr>
          <w:rFonts w:ascii="Times New Roman" w:hAnsi="Times New Roman"/>
        </w:rPr>
        <w:br w:type="page"/>
      </w:r>
    </w:p>
    <w:p w14:paraId="1649E35D" w14:textId="77777777" w:rsidR="00571D79" w:rsidRDefault="00571D79" w:rsidP="00571D79">
      <w:pPr>
        <w:adjustRightInd w:val="0"/>
        <w:snapToGrid w:val="0"/>
        <w:spacing w:after="0"/>
        <w:jc w:val="right"/>
        <w:rPr>
          <w:rFonts w:ascii="Times New Roman" w:hAnsi="Times New Roman"/>
          <w:b/>
        </w:rPr>
        <w:sectPr w:rsidR="00571D79" w:rsidSect="00C06F80">
          <w:pgSz w:w="12240" w:h="15840" w:code="1"/>
          <w:pgMar w:top="1440" w:right="1440" w:bottom="1440" w:left="1440" w:header="720" w:footer="720" w:gutter="0"/>
          <w:cols w:space="720"/>
        </w:sectPr>
      </w:pPr>
    </w:p>
    <w:p w14:paraId="23FC8BFD" w14:textId="28EC8F80" w:rsidR="00571D79" w:rsidRPr="00571D79" w:rsidRDefault="00571D79" w:rsidP="00571D79">
      <w:pPr>
        <w:adjustRightInd w:val="0"/>
        <w:snapToGrid w:val="0"/>
        <w:spacing w:after="0"/>
        <w:jc w:val="right"/>
        <w:rPr>
          <w:rFonts w:ascii="Times New Roman" w:hAnsi="Times New Roman"/>
          <w:b/>
        </w:rPr>
      </w:pPr>
      <w:r w:rsidRPr="00571D79">
        <w:rPr>
          <w:rFonts w:ascii="Times New Roman" w:hAnsi="Times New Roman"/>
          <w:b/>
        </w:rPr>
        <w:t>Attachment G, Annex</w:t>
      </w:r>
    </w:p>
    <w:p w14:paraId="1C93B097" w14:textId="77777777" w:rsidR="00571D79" w:rsidRPr="00571D79" w:rsidRDefault="00571D79" w:rsidP="00571D79">
      <w:pPr>
        <w:adjustRightInd w:val="0"/>
        <w:snapToGrid w:val="0"/>
        <w:spacing w:after="0"/>
        <w:rPr>
          <w:rFonts w:ascii="Times New Roman" w:hAnsi="Times New Roman"/>
          <w:b/>
        </w:rPr>
      </w:pPr>
    </w:p>
    <w:p w14:paraId="2C611AD4" w14:textId="52072C57" w:rsidR="00571D79" w:rsidRPr="00571D79" w:rsidRDefault="00571D79" w:rsidP="00571D79">
      <w:pPr>
        <w:adjustRightInd w:val="0"/>
        <w:snapToGrid w:val="0"/>
        <w:spacing w:after="0"/>
        <w:rPr>
          <w:rFonts w:ascii="Times New Roman" w:hAnsi="Times New Roman"/>
          <w:b/>
        </w:rPr>
      </w:pPr>
      <w:r w:rsidRPr="00571D79">
        <w:rPr>
          <w:rFonts w:ascii="Times New Roman" w:hAnsi="Times New Roman"/>
          <w:b/>
        </w:rPr>
        <w:t>Draft framework for the development of a comprehensive approach and/or CMM for sharks in the WCPFC</w:t>
      </w:r>
    </w:p>
    <w:p w14:paraId="244F10C8" w14:textId="77777777" w:rsidR="00571D79" w:rsidRPr="00571D79" w:rsidRDefault="00571D79" w:rsidP="00571D79">
      <w:pPr>
        <w:adjustRightInd w:val="0"/>
        <w:snapToGrid w:val="0"/>
        <w:spacing w:after="0"/>
        <w:rPr>
          <w:rFonts w:ascii="Times New Roman" w:hAnsi="Times New Roman"/>
          <w:iCs/>
        </w:rPr>
      </w:pPr>
    </w:p>
    <w:p w14:paraId="0843935D" w14:textId="77777777" w:rsidR="00571D79" w:rsidRPr="00571D79" w:rsidRDefault="00571D79" w:rsidP="00571D79">
      <w:pPr>
        <w:pStyle w:val="SCCHeading2"/>
        <w:adjustRightInd w:val="0"/>
        <w:snapToGrid w:val="0"/>
        <w:rPr>
          <w:rFonts w:ascii="Times New Roman" w:hAnsi="Times New Roman"/>
          <w:sz w:val="22"/>
          <w:szCs w:val="22"/>
        </w:rPr>
      </w:pPr>
      <w:r w:rsidRPr="00571D79">
        <w:rPr>
          <w:rFonts w:ascii="Times New Roman" w:hAnsi="Times New Roman"/>
          <w:sz w:val="22"/>
          <w:szCs w:val="22"/>
        </w:rPr>
        <w:t>Policies on full utilization/prohibition on finning</w:t>
      </w:r>
    </w:p>
    <w:tbl>
      <w:tblPr>
        <w:tblStyle w:val="TableGrid"/>
        <w:tblW w:w="0" w:type="auto"/>
        <w:tblLook w:val="04A0" w:firstRow="1" w:lastRow="0" w:firstColumn="1" w:lastColumn="0" w:noHBand="0" w:noVBand="1"/>
      </w:tblPr>
      <w:tblGrid>
        <w:gridCol w:w="1720"/>
        <w:gridCol w:w="2353"/>
        <w:gridCol w:w="1810"/>
        <w:gridCol w:w="1653"/>
        <w:gridCol w:w="1775"/>
        <w:gridCol w:w="2137"/>
        <w:gridCol w:w="1728"/>
      </w:tblGrid>
      <w:tr w:rsidR="00571D79" w:rsidRPr="00F73C92" w14:paraId="35E5BCA8" w14:textId="77777777" w:rsidTr="005C4FDC">
        <w:tc>
          <w:tcPr>
            <w:tcW w:w="1720" w:type="dxa"/>
            <w:shd w:val="clear" w:color="auto" w:fill="95B3D7" w:themeFill="accent1" w:themeFillTint="99"/>
            <w:vAlign w:val="center"/>
          </w:tcPr>
          <w:p w14:paraId="761857AC"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Issues</w:t>
            </w:r>
          </w:p>
        </w:tc>
        <w:tc>
          <w:tcPr>
            <w:tcW w:w="2353" w:type="dxa"/>
            <w:shd w:val="clear" w:color="auto" w:fill="95B3D7" w:themeFill="accent1" w:themeFillTint="99"/>
            <w:vAlign w:val="center"/>
          </w:tcPr>
          <w:p w14:paraId="1EE85720"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References/species covered already</w:t>
            </w:r>
          </w:p>
        </w:tc>
        <w:tc>
          <w:tcPr>
            <w:tcW w:w="1810" w:type="dxa"/>
            <w:shd w:val="clear" w:color="auto" w:fill="95B3D7" w:themeFill="accent1" w:themeFillTint="99"/>
            <w:vAlign w:val="center"/>
          </w:tcPr>
          <w:p w14:paraId="526320D8"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SC role as per CMM</w:t>
            </w:r>
          </w:p>
        </w:tc>
        <w:tc>
          <w:tcPr>
            <w:tcW w:w="1653" w:type="dxa"/>
            <w:shd w:val="clear" w:color="auto" w:fill="95B3D7" w:themeFill="accent1" w:themeFillTint="99"/>
            <w:vAlign w:val="center"/>
          </w:tcPr>
          <w:p w14:paraId="3FEFDD7A"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Status</w:t>
            </w:r>
          </w:p>
        </w:tc>
        <w:tc>
          <w:tcPr>
            <w:tcW w:w="1775" w:type="dxa"/>
            <w:shd w:val="clear" w:color="auto" w:fill="95B3D7" w:themeFill="accent1" w:themeFillTint="99"/>
            <w:vAlign w:val="center"/>
          </w:tcPr>
          <w:p w14:paraId="70107772"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Needs for  data and/or adequate methodologies /coverage under SRP</w:t>
            </w:r>
          </w:p>
        </w:tc>
        <w:tc>
          <w:tcPr>
            <w:tcW w:w="2137" w:type="dxa"/>
            <w:shd w:val="clear" w:color="auto" w:fill="95B3D7" w:themeFill="accent1" w:themeFillTint="99"/>
            <w:vAlign w:val="center"/>
          </w:tcPr>
          <w:p w14:paraId="42C3405B"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Possible SC Recommendation</w:t>
            </w:r>
          </w:p>
        </w:tc>
        <w:tc>
          <w:tcPr>
            <w:tcW w:w="1728" w:type="dxa"/>
            <w:shd w:val="clear" w:color="auto" w:fill="95B3D7" w:themeFill="accent1" w:themeFillTint="99"/>
            <w:vAlign w:val="center"/>
          </w:tcPr>
          <w:p w14:paraId="5788CB22" w14:textId="77777777" w:rsidR="00571D79" w:rsidRPr="0009474D" w:rsidRDefault="00571D79" w:rsidP="0009474D">
            <w:pPr>
              <w:adjustRightInd w:val="0"/>
              <w:snapToGrid w:val="0"/>
              <w:spacing w:after="0"/>
              <w:jc w:val="center"/>
              <w:rPr>
                <w:rFonts w:ascii="Times New Roman" w:hAnsi="Times New Roman"/>
                <w:sz w:val="20"/>
                <w:szCs w:val="20"/>
              </w:rPr>
            </w:pPr>
            <w:r w:rsidRPr="0009474D">
              <w:rPr>
                <w:rFonts w:ascii="Times New Roman" w:hAnsi="Times New Roman"/>
                <w:sz w:val="20"/>
                <w:szCs w:val="20"/>
              </w:rPr>
              <w:t>TCC role /Recommendation</w:t>
            </w:r>
          </w:p>
        </w:tc>
      </w:tr>
      <w:tr w:rsidR="00571D79" w:rsidRPr="00F73C92" w14:paraId="32B2BDB6" w14:textId="77777777" w:rsidTr="005C4FDC">
        <w:tc>
          <w:tcPr>
            <w:tcW w:w="1720" w:type="dxa"/>
            <w:vMerge w:val="restart"/>
          </w:tcPr>
          <w:p w14:paraId="498342AF" w14:textId="77777777" w:rsidR="00571D79" w:rsidRPr="0009474D" w:rsidRDefault="00571D79" w:rsidP="0009474D">
            <w:pPr>
              <w:adjustRightInd w:val="0"/>
              <w:snapToGrid w:val="0"/>
              <w:spacing w:after="0"/>
              <w:jc w:val="left"/>
              <w:rPr>
                <w:rFonts w:ascii="Times New Roman" w:hAnsi="Times New Roman"/>
                <w:sz w:val="20"/>
                <w:szCs w:val="20"/>
              </w:rPr>
            </w:pPr>
          </w:p>
          <w:p w14:paraId="4BA2229E" w14:textId="77777777" w:rsidR="00571D79" w:rsidRPr="0009474D" w:rsidRDefault="00571D79" w:rsidP="0009474D">
            <w:pPr>
              <w:adjustRightInd w:val="0"/>
              <w:snapToGrid w:val="0"/>
              <w:spacing w:after="0"/>
              <w:jc w:val="left"/>
              <w:rPr>
                <w:rFonts w:ascii="Times New Roman" w:hAnsi="Times New Roman"/>
                <w:sz w:val="20"/>
                <w:szCs w:val="20"/>
              </w:rPr>
            </w:pPr>
          </w:p>
          <w:p w14:paraId="2616E895" w14:textId="77777777" w:rsidR="00571D79" w:rsidRPr="0009474D" w:rsidRDefault="00571D79" w:rsidP="0009474D">
            <w:pPr>
              <w:adjustRightInd w:val="0"/>
              <w:snapToGrid w:val="0"/>
              <w:spacing w:after="0"/>
              <w:jc w:val="left"/>
              <w:rPr>
                <w:rFonts w:ascii="Times New Roman" w:hAnsi="Times New Roman"/>
                <w:sz w:val="20"/>
                <w:szCs w:val="20"/>
              </w:rPr>
            </w:pPr>
          </w:p>
          <w:p w14:paraId="57E56628" w14:textId="77777777" w:rsidR="00571D79" w:rsidRPr="0009474D" w:rsidRDefault="00571D79" w:rsidP="0009474D">
            <w:pPr>
              <w:adjustRightInd w:val="0"/>
              <w:snapToGrid w:val="0"/>
              <w:spacing w:after="0"/>
              <w:jc w:val="left"/>
              <w:rPr>
                <w:rFonts w:ascii="Times New Roman" w:hAnsi="Times New Roman"/>
                <w:sz w:val="20"/>
                <w:szCs w:val="20"/>
              </w:rPr>
            </w:pPr>
          </w:p>
          <w:p w14:paraId="168CF80E" w14:textId="77777777" w:rsidR="00571D79" w:rsidRPr="0009474D" w:rsidRDefault="00571D79" w:rsidP="0009474D">
            <w:pPr>
              <w:adjustRightInd w:val="0"/>
              <w:snapToGrid w:val="0"/>
              <w:spacing w:after="0"/>
              <w:jc w:val="left"/>
              <w:rPr>
                <w:rFonts w:ascii="Times New Roman" w:hAnsi="Times New Roman"/>
                <w:sz w:val="20"/>
                <w:szCs w:val="20"/>
              </w:rPr>
            </w:pPr>
          </w:p>
          <w:p w14:paraId="3914FDA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Ensure full utilization of retained sharks</w:t>
            </w:r>
          </w:p>
          <w:p w14:paraId="75542EA8" w14:textId="77777777" w:rsidR="00571D79" w:rsidRPr="0009474D" w:rsidRDefault="00571D79" w:rsidP="0009474D">
            <w:pPr>
              <w:adjustRightInd w:val="0"/>
              <w:snapToGrid w:val="0"/>
              <w:spacing w:after="0"/>
              <w:jc w:val="left"/>
              <w:rPr>
                <w:rFonts w:ascii="Times New Roman" w:hAnsi="Times New Roman"/>
                <w:sz w:val="20"/>
                <w:szCs w:val="20"/>
              </w:rPr>
            </w:pPr>
          </w:p>
          <w:p w14:paraId="398EE34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Ensure effective implementation of the finning ban</w:t>
            </w:r>
          </w:p>
          <w:p w14:paraId="39B32657" w14:textId="77777777" w:rsidR="00571D79" w:rsidRPr="0009474D" w:rsidRDefault="00571D79" w:rsidP="0009474D">
            <w:pPr>
              <w:adjustRightInd w:val="0"/>
              <w:snapToGrid w:val="0"/>
              <w:spacing w:after="0"/>
              <w:jc w:val="left"/>
              <w:rPr>
                <w:rFonts w:ascii="Times New Roman" w:hAnsi="Times New Roman"/>
                <w:sz w:val="20"/>
                <w:szCs w:val="20"/>
              </w:rPr>
            </w:pPr>
          </w:p>
          <w:p w14:paraId="28D2ACE0"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Minimise discards and waste</w:t>
            </w:r>
          </w:p>
          <w:p w14:paraId="353EDBFA" w14:textId="77777777" w:rsidR="00571D79" w:rsidRPr="0009474D" w:rsidRDefault="00571D79" w:rsidP="0009474D">
            <w:pPr>
              <w:adjustRightInd w:val="0"/>
              <w:snapToGrid w:val="0"/>
              <w:spacing w:after="0"/>
              <w:jc w:val="left"/>
              <w:rPr>
                <w:rFonts w:ascii="Times New Roman" w:hAnsi="Times New Roman"/>
                <w:sz w:val="20"/>
                <w:szCs w:val="20"/>
              </w:rPr>
            </w:pPr>
          </w:p>
          <w:p w14:paraId="4789CE0D" w14:textId="77777777" w:rsidR="00571D79" w:rsidRPr="0009474D" w:rsidRDefault="00571D79" w:rsidP="0009474D">
            <w:pPr>
              <w:adjustRightInd w:val="0"/>
              <w:snapToGrid w:val="0"/>
              <w:spacing w:after="0"/>
              <w:jc w:val="left"/>
              <w:rPr>
                <w:rFonts w:ascii="Times New Roman" w:hAnsi="Times New Roman"/>
                <w:sz w:val="20"/>
                <w:szCs w:val="20"/>
              </w:rPr>
            </w:pPr>
          </w:p>
        </w:tc>
        <w:tc>
          <w:tcPr>
            <w:tcW w:w="2353" w:type="dxa"/>
          </w:tcPr>
          <w:p w14:paraId="0CB2A676"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2010-07, para. 13</w:t>
            </w:r>
          </w:p>
          <w:p w14:paraId="3CA8B943" w14:textId="77777777" w:rsidR="00571D79" w:rsidRPr="0009474D" w:rsidRDefault="00571D79" w:rsidP="0009474D">
            <w:pPr>
              <w:adjustRightInd w:val="0"/>
              <w:snapToGrid w:val="0"/>
              <w:spacing w:after="0"/>
              <w:jc w:val="left"/>
              <w:rPr>
                <w:rFonts w:ascii="Times New Roman" w:hAnsi="Times New Roman"/>
                <w:sz w:val="20"/>
                <w:szCs w:val="20"/>
              </w:rPr>
            </w:pPr>
          </w:p>
          <w:p w14:paraId="2FD8024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All species</w:t>
            </w:r>
          </w:p>
        </w:tc>
        <w:tc>
          <w:tcPr>
            <w:tcW w:w="1810" w:type="dxa"/>
          </w:tcPr>
          <w:p w14:paraId="0CDB32F6"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SC is required to review the implementation and effectiveness of CMM 2010-07 </w:t>
            </w:r>
          </w:p>
        </w:tc>
        <w:tc>
          <w:tcPr>
            <w:tcW w:w="1653" w:type="dxa"/>
          </w:tcPr>
          <w:p w14:paraId="503EB573"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75" w:type="dxa"/>
          </w:tcPr>
          <w:p w14:paraId="10C3CB75"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37" w:type="dxa"/>
          </w:tcPr>
          <w:p w14:paraId="4260F057" w14:textId="77777777" w:rsidR="00571D79" w:rsidRPr="0009474D" w:rsidRDefault="00571D79" w:rsidP="0009474D">
            <w:pPr>
              <w:adjustRightInd w:val="0"/>
              <w:snapToGrid w:val="0"/>
              <w:spacing w:after="0"/>
              <w:jc w:val="left"/>
              <w:rPr>
                <w:rFonts w:ascii="Times New Roman" w:hAnsi="Times New Roman"/>
                <w:sz w:val="20"/>
                <w:szCs w:val="20"/>
              </w:rPr>
            </w:pPr>
          </w:p>
          <w:p w14:paraId="1BF1133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w:t>
            </w:r>
          </w:p>
        </w:tc>
        <w:tc>
          <w:tcPr>
            <w:tcW w:w="1728" w:type="dxa"/>
          </w:tcPr>
          <w:p w14:paraId="0A7B2E7A"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0876AB3D" w14:textId="77777777" w:rsidTr="005C4FDC">
        <w:tc>
          <w:tcPr>
            <w:tcW w:w="1720" w:type="dxa"/>
            <w:vMerge/>
          </w:tcPr>
          <w:p w14:paraId="0E24BC39" w14:textId="77777777" w:rsidR="00571D79" w:rsidRPr="0009474D" w:rsidRDefault="00571D79" w:rsidP="0009474D">
            <w:pPr>
              <w:adjustRightInd w:val="0"/>
              <w:snapToGrid w:val="0"/>
              <w:spacing w:after="0"/>
              <w:jc w:val="left"/>
              <w:rPr>
                <w:rFonts w:ascii="Times New Roman" w:hAnsi="Times New Roman"/>
                <w:sz w:val="20"/>
                <w:szCs w:val="20"/>
              </w:rPr>
            </w:pPr>
          </w:p>
        </w:tc>
        <w:tc>
          <w:tcPr>
            <w:tcW w:w="2353" w:type="dxa"/>
          </w:tcPr>
          <w:p w14:paraId="325586A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2010-07, para. 7</w:t>
            </w:r>
          </w:p>
          <w:p w14:paraId="161BE4D4" w14:textId="77777777" w:rsidR="00571D79" w:rsidRPr="0009474D" w:rsidRDefault="00571D79" w:rsidP="0009474D">
            <w:pPr>
              <w:adjustRightInd w:val="0"/>
              <w:snapToGrid w:val="0"/>
              <w:spacing w:after="0"/>
              <w:jc w:val="left"/>
              <w:rPr>
                <w:rFonts w:ascii="Times New Roman" w:hAnsi="Times New Roman"/>
                <w:sz w:val="20"/>
                <w:szCs w:val="20"/>
              </w:rPr>
            </w:pPr>
          </w:p>
          <w:p w14:paraId="47264DE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All species</w:t>
            </w:r>
          </w:p>
        </w:tc>
        <w:tc>
          <w:tcPr>
            <w:tcW w:w="1810" w:type="dxa"/>
          </w:tcPr>
          <w:p w14:paraId="2387ECFD" w14:textId="77777777" w:rsidR="00571D79" w:rsidRPr="0009474D" w:rsidRDefault="00571D79" w:rsidP="0009474D">
            <w:pPr>
              <w:pStyle w:val="ListParagraph"/>
              <w:adjustRightInd w:val="0"/>
              <w:snapToGrid w:val="0"/>
              <w:ind w:left="24" w:firstLine="0"/>
              <w:contextualSpacing w:val="0"/>
              <w:jc w:val="left"/>
              <w:rPr>
                <w:rFonts w:ascii="Times New Roman" w:hAnsi="Times New Roman"/>
                <w:sz w:val="20"/>
                <w:szCs w:val="20"/>
              </w:rPr>
            </w:pPr>
            <w:r w:rsidRPr="0009474D">
              <w:rPr>
                <w:rFonts w:ascii="Times New Roman" w:hAnsi="Times New Roman"/>
                <w:sz w:val="20"/>
                <w:szCs w:val="20"/>
              </w:rPr>
              <w:t>SC shall periodically review the specification of the ratio of fin weight to shark weight and recommend any appropriate revisions to the Commission</w:t>
            </w:r>
          </w:p>
          <w:p w14:paraId="309B7DBA" w14:textId="77777777" w:rsidR="00571D79" w:rsidRPr="0009474D" w:rsidRDefault="00571D79" w:rsidP="0009474D">
            <w:pPr>
              <w:adjustRightInd w:val="0"/>
              <w:snapToGrid w:val="0"/>
              <w:spacing w:after="0"/>
              <w:jc w:val="left"/>
              <w:rPr>
                <w:rFonts w:ascii="Times New Roman" w:hAnsi="Times New Roman"/>
                <w:sz w:val="20"/>
                <w:szCs w:val="20"/>
              </w:rPr>
            </w:pPr>
          </w:p>
        </w:tc>
        <w:tc>
          <w:tcPr>
            <w:tcW w:w="1653" w:type="dxa"/>
          </w:tcPr>
          <w:p w14:paraId="58331DE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SC12, para. 117</w:t>
            </w:r>
          </w:p>
          <w:p w14:paraId="3C0F6F9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“an evaluation of the 5% ratio is not currently possible due to insufficient information for all but one of the major fleets implementing these ratios”</w:t>
            </w:r>
          </w:p>
        </w:tc>
        <w:tc>
          <w:tcPr>
            <w:tcW w:w="1775" w:type="dxa"/>
          </w:tcPr>
          <w:p w14:paraId="373844E0"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Observer data recording condition and fate of sharks and</w:t>
            </w:r>
          </w:p>
          <w:p w14:paraId="04B7237D"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Weight sampling of fins and carcasses at port and on vessel for CCMs implementing fin-carcass ratio</w:t>
            </w:r>
          </w:p>
        </w:tc>
        <w:tc>
          <w:tcPr>
            <w:tcW w:w="2137" w:type="dxa"/>
          </w:tcPr>
          <w:p w14:paraId="00D92B4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w:t>
            </w:r>
          </w:p>
        </w:tc>
        <w:tc>
          <w:tcPr>
            <w:tcW w:w="1728" w:type="dxa"/>
          </w:tcPr>
          <w:p w14:paraId="265E3DD4"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0848F7BE" w14:textId="77777777" w:rsidTr="005C4FDC">
        <w:tc>
          <w:tcPr>
            <w:tcW w:w="1720" w:type="dxa"/>
            <w:vMerge/>
          </w:tcPr>
          <w:p w14:paraId="4B93EB22" w14:textId="77777777" w:rsidR="00571D79" w:rsidRPr="0009474D" w:rsidRDefault="00571D79" w:rsidP="0009474D">
            <w:pPr>
              <w:adjustRightInd w:val="0"/>
              <w:snapToGrid w:val="0"/>
              <w:spacing w:after="0"/>
              <w:jc w:val="left"/>
              <w:rPr>
                <w:rFonts w:ascii="Times New Roman" w:hAnsi="Times New Roman"/>
                <w:sz w:val="20"/>
                <w:szCs w:val="20"/>
              </w:rPr>
            </w:pPr>
          </w:p>
        </w:tc>
        <w:tc>
          <w:tcPr>
            <w:tcW w:w="2353" w:type="dxa"/>
          </w:tcPr>
          <w:p w14:paraId="04B060BE"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National/international policies</w:t>
            </w:r>
          </w:p>
        </w:tc>
        <w:tc>
          <w:tcPr>
            <w:tcW w:w="1810" w:type="dxa"/>
          </w:tcPr>
          <w:p w14:paraId="7D7C0BAC" w14:textId="77777777" w:rsidR="00571D79" w:rsidRPr="0009474D" w:rsidRDefault="00571D79" w:rsidP="0009474D">
            <w:pPr>
              <w:pStyle w:val="ListParagraph"/>
              <w:adjustRightInd w:val="0"/>
              <w:snapToGrid w:val="0"/>
              <w:ind w:left="24" w:firstLine="0"/>
              <w:contextualSpacing w:val="0"/>
              <w:jc w:val="left"/>
              <w:rPr>
                <w:rFonts w:ascii="Times New Roman" w:hAnsi="Times New Roman"/>
                <w:sz w:val="20"/>
                <w:szCs w:val="20"/>
              </w:rPr>
            </w:pPr>
          </w:p>
        </w:tc>
        <w:tc>
          <w:tcPr>
            <w:tcW w:w="1653" w:type="dxa"/>
          </w:tcPr>
          <w:p w14:paraId="1AD8BD99"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75" w:type="dxa"/>
          </w:tcPr>
          <w:p w14:paraId="07EE50A8"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37" w:type="dxa"/>
          </w:tcPr>
          <w:p w14:paraId="5C98E7BD"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28" w:type="dxa"/>
          </w:tcPr>
          <w:p w14:paraId="70FF2C07" w14:textId="77777777" w:rsidR="00571D79" w:rsidRPr="0009474D" w:rsidRDefault="00571D79" w:rsidP="0009474D">
            <w:pPr>
              <w:adjustRightInd w:val="0"/>
              <w:snapToGrid w:val="0"/>
              <w:spacing w:after="0"/>
              <w:jc w:val="left"/>
              <w:rPr>
                <w:rFonts w:ascii="Times New Roman" w:hAnsi="Times New Roman"/>
                <w:sz w:val="20"/>
                <w:szCs w:val="20"/>
              </w:rPr>
            </w:pPr>
          </w:p>
        </w:tc>
      </w:tr>
    </w:tbl>
    <w:p w14:paraId="7254D66A" w14:textId="77777777" w:rsidR="00571D79" w:rsidRPr="00F73C92" w:rsidRDefault="00571D79" w:rsidP="00571D79">
      <w:pPr>
        <w:pStyle w:val="SCCHeading2"/>
        <w:numPr>
          <w:ilvl w:val="0"/>
          <w:numId w:val="0"/>
        </w:numPr>
        <w:adjustRightInd w:val="0"/>
        <w:snapToGrid w:val="0"/>
        <w:rPr>
          <w:rFonts w:ascii="Times New Roman" w:hAnsi="Times New Roman"/>
          <w:lang w:val="en-US"/>
        </w:rPr>
      </w:pPr>
    </w:p>
    <w:p w14:paraId="6DE4AFD5"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No retention policies and bycatch mitigation (gear adaptation/modification, spatial closures, size limits etc))</w:t>
      </w:r>
    </w:p>
    <w:tbl>
      <w:tblPr>
        <w:tblStyle w:val="TableGrid"/>
        <w:tblW w:w="13176" w:type="dxa"/>
        <w:tblLayout w:type="fixed"/>
        <w:tblLook w:val="04A0" w:firstRow="1" w:lastRow="0" w:firstColumn="1" w:lastColumn="0" w:noHBand="0" w:noVBand="1"/>
      </w:tblPr>
      <w:tblGrid>
        <w:gridCol w:w="2376"/>
        <w:gridCol w:w="2127"/>
        <w:gridCol w:w="1406"/>
        <w:gridCol w:w="1579"/>
        <w:gridCol w:w="2118"/>
        <w:gridCol w:w="1842"/>
        <w:gridCol w:w="1728"/>
      </w:tblGrid>
      <w:tr w:rsidR="00571D79" w:rsidRPr="00F73C92" w14:paraId="564F2C27" w14:textId="77777777" w:rsidTr="005C4FDC">
        <w:tc>
          <w:tcPr>
            <w:tcW w:w="2376" w:type="dxa"/>
            <w:shd w:val="clear" w:color="auto" w:fill="95B3D7" w:themeFill="accent1" w:themeFillTint="99"/>
            <w:vAlign w:val="center"/>
          </w:tcPr>
          <w:p w14:paraId="5461A883"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2127" w:type="dxa"/>
            <w:shd w:val="clear" w:color="auto" w:fill="95B3D7" w:themeFill="accent1" w:themeFillTint="99"/>
            <w:vAlign w:val="center"/>
          </w:tcPr>
          <w:p w14:paraId="418A91F7"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 todate</w:t>
            </w:r>
          </w:p>
        </w:tc>
        <w:tc>
          <w:tcPr>
            <w:tcW w:w="1406" w:type="dxa"/>
            <w:shd w:val="clear" w:color="auto" w:fill="95B3D7" w:themeFill="accent1" w:themeFillTint="99"/>
            <w:vAlign w:val="center"/>
          </w:tcPr>
          <w:p w14:paraId="7C0E8B8A"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 as per CMM</w:t>
            </w:r>
          </w:p>
        </w:tc>
        <w:tc>
          <w:tcPr>
            <w:tcW w:w="1579" w:type="dxa"/>
            <w:shd w:val="clear" w:color="auto" w:fill="95B3D7" w:themeFill="accent1" w:themeFillTint="99"/>
            <w:vAlign w:val="center"/>
          </w:tcPr>
          <w:p w14:paraId="550C3307"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2118" w:type="dxa"/>
            <w:shd w:val="clear" w:color="auto" w:fill="95B3D7" w:themeFill="accent1" w:themeFillTint="99"/>
            <w:vAlign w:val="center"/>
          </w:tcPr>
          <w:p w14:paraId="500E8429"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1842" w:type="dxa"/>
            <w:shd w:val="clear" w:color="auto" w:fill="95B3D7" w:themeFill="accent1" w:themeFillTint="99"/>
            <w:vAlign w:val="center"/>
          </w:tcPr>
          <w:p w14:paraId="57F0F2F5"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1728" w:type="dxa"/>
            <w:shd w:val="clear" w:color="auto" w:fill="95B3D7" w:themeFill="accent1" w:themeFillTint="99"/>
            <w:vAlign w:val="center"/>
          </w:tcPr>
          <w:p w14:paraId="51A58794"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role/ Recommendation</w:t>
            </w:r>
          </w:p>
        </w:tc>
      </w:tr>
      <w:tr w:rsidR="00571D79" w:rsidRPr="00F73C92" w14:paraId="1BD2CA04" w14:textId="77777777" w:rsidTr="005C4FDC">
        <w:tc>
          <w:tcPr>
            <w:tcW w:w="2376" w:type="dxa"/>
            <w:vMerge w:val="restart"/>
          </w:tcPr>
          <w:p w14:paraId="365DC9E2" w14:textId="77777777" w:rsidR="00571D79" w:rsidRPr="0009474D" w:rsidRDefault="00571D79" w:rsidP="0009474D">
            <w:pPr>
              <w:pStyle w:val="ListParagraph"/>
              <w:adjustRightInd w:val="0"/>
              <w:snapToGrid w:val="0"/>
              <w:ind w:left="360" w:firstLine="0"/>
              <w:contextualSpacing w:val="0"/>
              <w:jc w:val="left"/>
              <w:rPr>
                <w:rFonts w:ascii="Times New Roman" w:hAnsi="Times New Roman"/>
                <w:sz w:val="20"/>
                <w:szCs w:val="20"/>
              </w:rPr>
            </w:pPr>
          </w:p>
          <w:p w14:paraId="4716A44A" w14:textId="77777777" w:rsidR="00571D79" w:rsidRPr="0009474D" w:rsidRDefault="00571D79" w:rsidP="0009474D">
            <w:pPr>
              <w:pStyle w:val="ListParagraph"/>
              <w:adjustRightInd w:val="0"/>
              <w:snapToGrid w:val="0"/>
              <w:ind w:left="360" w:firstLine="0"/>
              <w:contextualSpacing w:val="0"/>
              <w:jc w:val="left"/>
              <w:rPr>
                <w:rFonts w:ascii="Times New Roman" w:hAnsi="Times New Roman"/>
                <w:sz w:val="20"/>
                <w:szCs w:val="20"/>
              </w:rPr>
            </w:pPr>
          </w:p>
          <w:p w14:paraId="4AA985C5"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Ensure protection/conservation of endangered species</w:t>
            </w:r>
          </w:p>
          <w:p w14:paraId="647DBD11" w14:textId="77777777" w:rsidR="00571D79" w:rsidRPr="0009474D" w:rsidRDefault="00571D79" w:rsidP="0009474D">
            <w:pPr>
              <w:adjustRightInd w:val="0"/>
              <w:snapToGrid w:val="0"/>
              <w:spacing w:after="0"/>
              <w:jc w:val="left"/>
              <w:rPr>
                <w:rFonts w:ascii="Times New Roman" w:hAnsi="Times New Roman"/>
                <w:sz w:val="20"/>
                <w:szCs w:val="20"/>
              </w:rPr>
            </w:pPr>
          </w:p>
          <w:p w14:paraId="46CB2199" w14:textId="77777777" w:rsidR="00571D79" w:rsidRPr="0009474D" w:rsidRDefault="00571D79" w:rsidP="0009474D">
            <w:pPr>
              <w:pStyle w:val="ListParagraph"/>
              <w:adjustRightInd w:val="0"/>
              <w:snapToGrid w:val="0"/>
              <w:ind w:left="0" w:firstLine="0"/>
              <w:contextualSpacing w:val="0"/>
              <w:jc w:val="left"/>
              <w:rPr>
                <w:rFonts w:ascii="Times New Roman" w:hAnsi="Times New Roman"/>
                <w:sz w:val="20"/>
                <w:szCs w:val="20"/>
              </w:rPr>
            </w:pPr>
            <w:r w:rsidRPr="0009474D">
              <w:rPr>
                <w:rFonts w:ascii="Times New Roman" w:hAnsi="Times New Roman"/>
                <w:sz w:val="20"/>
                <w:szCs w:val="20"/>
              </w:rPr>
              <w:t>Defining eligible species</w:t>
            </w:r>
          </w:p>
          <w:p w14:paraId="79D4BE0D" w14:textId="77777777" w:rsidR="00571D79" w:rsidRPr="0009474D" w:rsidRDefault="00571D79" w:rsidP="0009474D">
            <w:pPr>
              <w:pStyle w:val="ListParagraph"/>
              <w:adjustRightInd w:val="0"/>
              <w:snapToGrid w:val="0"/>
              <w:ind w:left="0" w:firstLine="0"/>
              <w:contextualSpacing w:val="0"/>
              <w:jc w:val="left"/>
              <w:rPr>
                <w:rFonts w:ascii="Times New Roman" w:hAnsi="Times New Roman"/>
                <w:sz w:val="20"/>
                <w:szCs w:val="20"/>
              </w:rPr>
            </w:pPr>
          </w:p>
          <w:p w14:paraId="718BDFE5" w14:textId="77777777" w:rsidR="00571D79" w:rsidRPr="0009474D" w:rsidRDefault="00571D79" w:rsidP="0009474D">
            <w:pPr>
              <w:pStyle w:val="ListParagraph"/>
              <w:adjustRightInd w:val="0"/>
              <w:snapToGrid w:val="0"/>
              <w:ind w:left="0" w:firstLine="0"/>
              <w:contextualSpacing w:val="0"/>
              <w:jc w:val="left"/>
              <w:rPr>
                <w:rFonts w:ascii="Times New Roman" w:hAnsi="Times New Roman"/>
                <w:sz w:val="20"/>
                <w:szCs w:val="20"/>
              </w:rPr>
            </w:pPr>
            <w:r w:rsidRPr="0009474D">
              <w:rPr>
                <w:rFonts w:ascii="Times New Roman" w:hAnsi="Times New Roman"/>
                <w:sz w:val="20"/>
                <w:szCs w:val="20"/>
              </w:rPr>
              <w:t>Effectiveness in reducing shark mortality</w:t>
            </w:r>
          </w:p>
          <w:p w14:paraId="1E19590B" w14:textId="77777777" w:rsidR="00571D79" w:rsidRPr="0009474D" w:rsidRDefault="00571D79" w:rsidP="0009474D">
            <w:pPr>
              <w:pStyle w:val="ListParagraph"/>
              <w:adjustRightInd w:val="0"/>
              <w:snapToGrid w:val="0"/>
              <w:ind w:left="0" w:firstLine="0"/>
              <w:contextualSpacing w:val="0"/>
              <w:jc w:val="left"/>
              <w:rPr>
                <w:rFonts w:ascii="Times New Roman" w:hAnsi="Times New Roman"/>
                <w:sz w:val="20"/>
                <w:szCs w:val="20"/>
              </w:rPr>
            </w:pPr>
          </w:p>
          <w:p w14:paraId="4D79B06B" w14:textId="77777777" w:rsidR="00571D79" w:rsidRPr="0009474D" w:rsidRDefault="00571D79" w:rsidP="0009474D">
            <w:pPr>
              <w:pStyle w:val="ListParagraph"/>
              <w:adjustRightInd w:val="0"/>
              <w:snapToGrid w:val="0"/>
              <w:ind w:left="0" w:firstLine="0"/>
              <w:contextualSpacing w:val="0"/>
              <w:jc w:val="left"/>
              <w:rPr>
                <w:rFonts w:ascii="Times New Roman" w:hAnsi="Times New Roman"/>
                <w:sz w:val="20"/>
                <w:szCs w:val="20"/>
              </w:rPr>
            </w:pPr>
            <w:r w:rsidRPr="0009474D">
              <w:rPr>
                <w:rFonts w:ascii="Times New Roman" w:hAnsi="Times New Roman"/>
                <w:sz w:val="20"/>
                <w:szCs w:val="20"/>
              </w:rPr>
              <w:t>Assessing post release mortality</w:t>
            </w:r>
          </w:p>
          <w:p w14:paraId="3C9BA009" w14:textId="6FD29EC6" w:rsidR="00571D79" w:rsidRPr="0054190C" w:rsidRDefault="0054190C" w:rsidP="0054190C">
            <w:pPr>
              <w:adjustRightInd w:val="0"/>
              <w:snapToGrid w:val="0"/>
              <w:spacing w:after="0"/>
              <w:jc w:val="left"/>
              <w:rPr>
                <w:rFonts w:ascii="Times New Roman" w:eastAsiaTheme="minorEastAsia" w:hAnsi="Times New Roman"/>
                <w:sz w:val="20"/>
                <w:szCs w:val="20"/>
                <w:lang w:eastAsia="ko-KR"/>
              </w:rPr>
            </w:pPr>
            <w:r>
              <w:rPr>
                <w:rFonts w:ascii="Times New Roman" w:hAnsi="Times New Roman"/>
                <w:sz w:val="20"/>
                <w:szCs w:val="20"/>
              </w:rPr>
              <w:t xml:space="preserve">Minimising unwanted catches </w:t>
            </w:r>
          </w:p>
        </w:tc>
        <w:tc>
          <w:tcPr>
            <w:tcW w:w="2127" w:type="dxa"/>
          </w:tcPr>
          <w:p w14:paraId="3957513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2013-08, para. 6 – Silky shark</w:t>
            </w:r>
          </w:p>
          <w:p w14:paraId="65D44E13" w14:textId="77777777" w:rsidR="00571D79" w:rsidRPr="0009474D" w:rsidRDefault="00571D79" w:rsidP="0009474D">
            <w:pPr>
              <w:adjustRightInd w:val="0"/>
              <w:snapToGrid w:val="0"/>
              <w:spacing w:after="0"/>
              <w:jc w:val="left"/>
              <w:rPr>
                <w:rFonts w:ascii="Times New Roman" w:hAnsi="Times New Roman"/>
                <w:sz w:val="20"/>
                <w:szCs w:val="20"/>
              </w:rPr>
            </w:pPr>
          </w:p>
          <w:p w14:paraId="1CC42298" w14:textId="77777777" w:rsidR="00571D79" w:rsidRPr="0009474D" w:rsidRDefault="00571D79" w:rsidP="0009474D">
            <w:pPr>
              <w:adjustRightInd w:val="0"/>
              <w:snapToGrid w:val="0"/>
              <w:spacing w:after="0"/>
              <w:jc w:val="left"/>
              <w:rPr>
                <w:rFonts w:ascii="Times New Roman" w:hAnsi="Times New Roman"/>
                <w:sz w:val="20"/>
                <w:szCs w:val="20"/>
              </w:rPr>
            </w:pPr>
          </w:p>
        </w:tc>
        <w:tc>
          <w:tcPr>
            <w:tcW w:w="1406" w:type="dxa"/>
          </w:tcPr>
          <w:p w14:paraId="2B6FE61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The Scientific Committee shall continue to evaluate the effectiveness of bycatch mitigation measures</w:t>
            </w:r>
          </w:p>
        </w:tc>
        <w:tc>
          <w:tcPr>
            <w:tcW w:w="1579" w:type="dxa"/>
            <w:vMerge w:val="restart"/>
          </w:tcPr>
          <w:p w14:paraId="7EDA6454" w14:textId="77777777" w:rsidR="00571D79" w:rsidRPr="0009474D" w:rsidRDefault="00571D79" w:rsidP="0009474D">
            <w:pPr>
              <w:adjustRightInd w:val="0"/>
              <w:snapToGrid w:val="0"/>
              <w:spacing w:after="0"/>
              <w:jc w:val="left"/>
              <w:rPr>
                <w:rFonts w:ascii="Times New Roman" w:hAnsi="Times New Roman"/>
                <w:sz w:val="20"/>
                <w:szCs w:val="20"/>
              </w:rPr>
            </w:pPr>
          </w:p>
          <w:p w14:paraId="1B47ED45" w14:textId="77777777" w:rsidR="00571D79" w:rsidRPr="0009474D" w:rsidRDefault="00571D79" w:rsidP="0009474D">
            <w:pPr>
              <w:adjustRightInd w:val="0"/>
              <w:snapToGrid w:val="0"/>
              <w:spacing w:after="0"/>
              <w:jc w:val="left"/>
              <w:rPr>
                <w:rFonts w:ascii="Times New Roman" w:hAnsi="Times New Roman"/>
                <w:sz w:val="20"/>
                <w:szCs w:val="20"/>
              </w:rPr>
            </w:pPr>
          </w:p>
          <w:p w14:paraId="31662232" w14:textId="77777777" w:rsidR="00571D79" w:rsidRPr="0009474D" w:rsidRDefault="00571D79" w:rsidP="0009474D">
            <w:pPr>
              <w:adjustRightInd w:val="0"/>
              <w:snapToGrid w:val="0"/>
              <w:spacing w:after="0"/>
              <w:jc w:val="left"/>
              <w:rPr>
                <w:rFonts w:ascii="Times New Roman" w:hAnsi="Times New Roman"/>
                <w:sz w:val="20"/>
                <w:szCs w:val="20"/>
              </w:rPr>
            </w:pPr>
          </w:p>
          <w:p w14:paraId="363A9F7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Progress limited due to limitation of data, funding for analysis, and confounding effects of diverse operational practices</w:t>
            </w:r>
          </w:p>
        </w:tc>
        <w:tc>
          <w:tcPr>
            <w:tcW w:w="2118" w:type="dxa"/>
          </w:tcPr>
          <w:p w14:paraId="0205A1FC" w14:textId="77777777" w:rsidR="00571D79" w:rsidRPr="0009474D" w:rsidRDefault="00571D79" w:rsidP="0009474D">
            <w:pPr>
              <w:adjustRightInd w:val="0"/>
              <w:snapToGrid w:val="0"/>
              <w:spacing w:after="0"/>
              <w:jc w:val="left"/>
              <w:rPr>
                <w:rFonts w:ascii="Times New Roman" w:hAnsi="Times New Roman"/>
                <w:sz w:val="20"/>
                <w:szCs w:val="20"/>
              </w:rPr>
            </w:pPr>
          </w:p>
        </w:tc>
        <w:tc>
          <w:tcPr>
            <w:tcW w:w="1842" w:type="dxa"/>
            <w:vMerge w:val="restart"/>
          </w:tcPr>
          <w:p w14:paraId="2D23E1AB" w14:textId="77777777" w:rsidR="00571D79" w:rsidRPr="0009474D" w:rsidRDefault="00571D79" w:rsidP="0009474D">
            <w:pPr>
              <w:adjustRightInd w:val="0"/>
              <w:snapToGrid w:val="0"/>
              <w:spacing w:after="0"/>
              <w:jc w:val="left"/>
              <w:rPr>
                <w:rFonts w:ascii="Times New Roman" w:hAnsi="Times New Roman"/>
                <w:sz w:val="20"/>
                <w:szCs w:val="20"/>
              </w:rPr>
            </w:pPr>
          </w:p>
          <w:p w14:paraId="54951B8A" w14:textId="77777777" w:rsidR="00571D79" w:rsidRPr="0009474D" w:rsidRDefault="00571D79" w:rsidP="0009474D">
            <w:pPr>
              <w:adjustRightInd w:val="0"/>
              <w:snapToGrid w:val="0"/>
              <w:spacing w:after="0"/>
              <w:jc w:val="left"/>
              <w:rPr>
                <w:rFonts w:ascii="Times New Roman" w:hAnsi="Times New Roman"/>
                <w:sz w:val="20"/>
                <w:szCs w:val="20"/>
              </w:rPr>
            </w:pPr>
          </w:p>
          <w:p w14:paraId="774E535F" w14:textId="77777777" w:rsidR="00571D79" w:rsidRPr="0009474D" w:rsidRDefault="00571D79" w:rsidP="0009474D">
            <w:pPr>
              <w:adjustRightInd w:val="0"/>
              <w:snapToGrid w:val="0"/>
              <w:spacing w:after="0"/>
              <w:jc w:val="left"/>
              <w:rPr>
                <w:rFonts w:ascii="Times New Roman" w:hAnsi="Times New Roman"/>
                <w:sz w:val="20"/>
                <w:szCs w:val="20"/>
              </w:rPr>
            </w:pPr>
          </w:p>
          <w:p w14:paraId="12E16657" w14:textId="77777777" w:rsidR="00571D79" w:rsidRPr="0009474D" w:rsidRDefault="00571D79" w:rsidP="0009474D">
            <w:pPr>
              <w:adjustRightInd w:val="0"/>
              <w:snapToGrid w:val="0"/>
              <w:spacing w:after="0"/>
              <w:jc w:val="left"/>
              <w:rPr>
                <w:rFonts w:ascii="Times New Roman" w:hAnsi="Times New Roman"/>
                <w:sz w:val="20"/>
                <w:szCs w:val="20"/>
              </w:rPr>
            </w:pPr>
          </w:p>
          <w:p w14:paraId="6C1FD0A0" w14:textId="77777777" w:rsidR="00571D79" w:rsidRPr="0009474D" w:rsidRDefault="00571D79" w:rsidP="0009474D">
            <w:pPr>
              <w:adjustRightInd w:val="0"/>
              <w:snapToGrid w:val="0"/>
              <w:spacing w:after="0"/>
              <w:jc w:val="left"/>
              <w:rPr>
                <w:rFonts w:ascii="Times New Roman" w:hAnsi="Times New Roman"/>
                <w:sz w:val="20"/>
                <w:szCs w:val="20"/>
              </w:rPr>
            </w:pPr>
          </w:p>
          <w:p w14:paraId="1B936CB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w:t>
            </w:r>
          </w:p>
        </w:tc>
        <w:tc>
          <w:tcPr>
            <w:tcW w:w="1728" w:type="dxa"/>
          </w:tcPr>
          <w:p w14:paraId="01BF1D46"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3F142887" w14:textId="77777777" w:rsidTr="005C4FDC">
        <w:tc>
          <w:tcPr>
            <w:tcW w:w="2376" w:type="dxa"/>
            <w:vMerge/>
          </w:tcPr>
          <w:p w14:paraId="009CCF28" w14:textId="77777777" w:rsidR="00571D79" w:rsidRPr="0009474D" w:rsidRDefault="00571D79"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2127" w:type="dxa"/>
          </w:tcPr>
          <w:p w14:paraId="1AC3D187"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2011-04 Oceanic white tip</w:t>
            </w:r>
          </w:p>
        </w:tc>
        <w:tc>
          <w:tcPr>
            <w:tcW w:w="1406" w:type="dxa"/>
          </w:tcPr>
          <w:p w14:paraId="6549F106"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Should be as above</w:t>
            </w:r>
          </w:p>
        </w:tc>
        <w:tc>
          <w:tcPr>
            <w:tcW w:w="1579" w:type="dxa"/>
            <w:vMerge/>
          </w:tcPr>
          <w:p w14:paraId="60B0555F"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18" w:type="dxa"/>
          </w:tcPr>
          <w:p w14:paraId="67C80C1B"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As above </w:t>
            </w:r>
          </w:p>
        </w:tc>
        <w:tc>
          <w:tcPr>
            <w:tcW w:w="1842" w:type="dxa"/>
            <w:vMerge/>
          </w:tcPr>
          <w:p w14:paraId="0085458C"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28" w:type="dxa"/>
          </w:tcPr>
          <w:p w14:paraId="13C9C841"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2B0A6E04" w14:textId="77777777" w:rsidTr="005C4FDC">
        <w:tc>
          <w:tcPr>
            <w:tcW w:w="2376" w:type="dxa"/>
            <w:vMerge/>
          </w:tcPr>
          <w:p w14:paraId="036389E4" w14:textId="77777777" w:rsidR="00571D79" w:rsidRPr="0009474D" w:rsidRDefault="00571D79"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2127" w:type="dxa"/>
          </w:tcPr>
          <w:p w14:paraId="1CADAC9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2012-04 whale shark</w:t>
            </w:r>
          </w:p>
        </w:tc>
        <w:tc>
          <w:tcPr>
            <w:tcW w:w="1406" w:type="dxa"/>
          </w:tcPr>
          <w:p w14:paraId="4DC328F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Should be as above</w:t>
            </w:r>
          </w:p>
        </w:tc>
        <w:tc>
          <w:tcPr>
            <w:tcW w:w="1579" w:type="dxa"/>
            <w:vMerge/>
          </w:tcPr>
          <w:p w14:paraId="5307A58F"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18" w:type="dxa"/>
          </w:tcPr>
          <w:p w14:paraId="6767354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As above </w:t>
            </w:r>
          </w:p>
        </w:tc>
        <w:tc>
          <w:tcPr>
            <w:tcW w:w="1842" w:type="dxa"/>
            <w:vMerge/>
          </w:tcPr>
          <w:p w14:paraId="7D735521"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28" w:type="dxa"/>
          </w:tcPr>
          <w:p w14:paraId="4C95D49D" w14:textId="77777777" w:rsidR="00571D79" w:rsidRPr="0009474D" w:rsidRDefault="00571D79" w:rsidP="0009474D">
            <w:pPr>
              <w:adjustRightInd w:val="0"/>
              <w:snapToGrid w:val="0"/>
              <w:spacing w:after="0"/>
              <w:jc w:val="left"/>
              <w:rPr>
                <w:rFonts w:ascii="Times New Roman" w:hAnsi="Times New Roman"/>
                <w:sz w:val="20"/>
                <w:szCs w:val="20"/>
              </w:rPr>
            </w:pPr>
          </w:p>
        </w:tc>
      </w:tr>
      <w:tr w:rsidR="0054190C" w:rsidRPr="00F73C92" w14:paraId="5147B511" w14:textId="77777777" w:rsidTr="005C4FDC">
        <w:trPr>
          <w:trHeight w:val="230"/>
        </w:trPr>
        <w:tc>
          <w:tcPr>
            <w:tcW w:w="2376" w:type="dxa"/>
            <w:vMerge/>
          </w:tcPr>
          <w:p w14:paraId="4A2B6745" w14:textId="77777777" w:rsidR="0054190C" w:rsidRPr="0009474D" w:rsidRDefault="0054190C"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2127" w:type="dxa"/>
            <w:vMerge w:val="restart"/>
          </w:tcPr>
          <w:p w14:paraId="7E259768" w14:textId="77777777" w:rsidR="0054190C" w:rsidRPr="0009474D" w:rsidRDefault="0054190C" w:rsidP="0009474D">
            <w:pPr>
              <w:adjustRightInd w:val="0"/>
              <w:snapToGrid w:val="0"/>
              <w:spacing w:after="0"/>
              <w:jc w:val="left"/>
              <w:rPr>
                <w:rFonts w:ascii="Times New Roman" w:hAnsi="Times New Roman"/>
                <w:sz w:val="20"/>
                <w:szCs w:val="20"/>
                <w:lang w:val="fr-BE"/>
              </w:rPr>
            </w:pPr>
            <w:r w:rsidRPr="0009474D">
              <w:rPr>
                <w:rFonts w:ascii="Times New Roman" w:hAnsi="Times New Roman"/>
                <w:sz w:val="20"/>
                <w:szCs w:val="20"/>
                <w:lang w:val="fr-BE"/>
              </w:rPr>
              <w:t>National/international policies (sanctuaries etc)</w:t>
            </w:r>
          </w:p>
        </w:tc>
        <w:tc>
          <w:tcPr>
            <w:tcW w:w="1406" w:type="dxa"/>
            <w:vMerge w:val="restart"/>
          </w:tcPr>
          <w:p w14:paraId="032E6CB7" w14:textId="77777777" w:rsidR="0054190C" w:rsidRPr="0009474D" w:rsidRDefault="0054190C"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Should be as above</w:t>
            </w:r>
          </w:p>
        </w:tc>
        <w:tc>
          <w:tcPr>
            <w:tcW w:w="1579" w:type="dxa"/>
            <w:vMerge w:val="restart"/>
          </w:tcPr>
          <w:p w14:paraId="270D6C98" w14:textId="77777777" w:rsidR="0054190C" w:rsidRPr="0009474D" w:rsidRDefault="0054190C" w:rsidP="0009474D">
            <w:pPr>
              <w:adjustRightInd w:val="0"/>
              <w:snapToGrid w:val="0"/>
              <w:spacing w:after="0"/>
              <w:jc w:val="left"/>
              <w:rPr>
                <w:rFonts w:ascii="Times New Roman" w:hAnsi="Times New Roman"/>
                <w:sz w:val="20"/>
                <w:szCs w:val="20"/>
              </w:rPr>
            </w:pPr>
          </w:p>
        </w:tc>
        <w:tc>
          <w:tcPr>
            <w:tcW w:w="2118" w:type="dxa"/>
            <w:vMerge w:val="restart"/>
          </w:tcPr>
          <w:p w14:paraId="490BBAF8" w14:textId="77777777" w:rsidR="0054190C" w:rsidRPr="0009474D" w:rsidRDefault="0054190C" w:rsidP="0009474D">
            <w:pPr>
              <w:adjustRightInd w:val="0"/>
              <w:snapToGrid w:val="0"/>
              <w:spacing w:after="0"/>
              <w:jc w:val="left"/>
              <w:rPr>
                <w:rFonts w:ascii="Times New Roman" w:hAnsi="Times New Roman"/>
                <w:sz w:val="20"/>
                <w:szCs w:val="20"/>
              </w:rPr>
            </w:pPr>
          </w:p>
        </w:tc>
        <w:tc>
          <w:tcPr>
            <w:tcW w:w="1842" w:type="dxa"/>
            <w:vMerge/>
          </w:tcPr>
          <w:p w14:paraId="62108BF7" w14:textId="77777777" w:rsidR="0054190C" w:rsidRPr="0009474D" w:rsidRDefault="0054190C" w:rsidP="0009474D">
            <w:pPr>
              <w:adjustRightInd w:val="0"/>
              <w:snapToGrid w:val="0"/>
              <w:spacing w:after="0"/>
              <w:jc w:val="left"/>
              <w:rPr>
                <w:rFonts w:ascii="Times New Roman" w:hAnsi="Times New Roman"/>
                <w:sz w:val="20"/>
                <w:szCs w:val="20"/>
              </w:rPr>
            </w:pPr>
          </w:p>
        </w:tc>
        <w:tc>
          <w:tcPr>
            <w:tcW w:w="1728" w:type="dxa"/>
            <w:vMerge w:val="restart"/>
          </w:tcPr>
          <w:p w14:paraId="2FD674B3" w14:textId="77777777" w:rsidR="0054190C" w:rsidRPr="0009474D" w:rsidRDefault="0054190C" w:rsidP="0009474D">
            <w:pPr>
              <w:adjustRightInd w:val="0"/>
              <w:snapToGrid w:val="0"/>
              <w:spacing w:after="0"/>
              <w:jc w:val="left"/>
              <w:rPr>
                <w:rFonts w:ascii="Times New Roman" w:hAnsi="Times New Roman"/>
                <w:sz w:val="20"/>
                <w:szCs w:val="20"/>
              </w:rPr>
            </w:pPr>
          </w:p>
        </w:tc>
      </w:tr>
      <w:tr w:rsidR="0054190C" w:rsidRPr="00F73C92" w14:paraId="54FD690C" w14:textId="77777777" w:rsidTr="005C4FDC">
        <w:trPr>
          <w:trHeight w:val="458"/>
        </w:trPr>
        <w:tc>
          <w:tcPr>
            <w:tcW w:w="2376" w:type="dxa"/>
            <w:vMerge/>
          </w:tcPr>
          <w:p w14:paraId="46FA364D" w14:textId="77777777" w:rsidR="0054190C" w:rsidRPr="0009474D" w:rsidRDefault="0054190C"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2127" w:type="dxa"/>
            <w:vMerge/>
          </w:tcPr>
          <w:p w14:paraId="0801FBBF" w14:textId="77777777" w:rsidR="0054190C" w:rsidRPr="0009474D" w:rsidRDefault="0054190C" w:rsidP="0009474D">
            <w:pPr>
              <w:adjustRightInd w:val="0"/>
              <w:snapToGrid w:val="0"/>
              <w:spacing w:after="0"/>
              <w:jc w:val="left"/>
              <w:rPr>
                <w:rFonts w:ascii="Times New Roman" w:hAnsi="Times New Roman"/>
                <w:sz w:val="20"/>
                <w:szCs w:val="20"/>
              </w:rPr>
            </w:pPr>
          </w:p>
        </w:tc>
        <w:tc>
          <w:tcPr>
            <w:tcW w:w="1406" w:type="dxa"/>
            <w:vMerge/>
          </w:tcPr>
          <w:p w14:paraId="4F2384B6" w14:textId="77777777" w:rsidR="0054190C" w:rsidRPr="0009474D" w:rsidRDefault="0054190C" w:rsidP="0009474D">
            <w:pPr>
              <w:adjustRightInd w:val="0"/>
              <w:snapToGrid w:val="0"/>
              <w:spacing w:after="0"/>
              <w:jc w:val="left"/>
              <w:rPr>
                <w:rFonts w:ascii="Times New Roman" w:hAnsi="Times New Roman"/>
                <w:sz w:val="20"/>
                <w:szCs w:val="20"/>
              </w:rPr>
            </w:pPr>
          </w:p>
        </w:tc>
        <w:tc>
          <w:tcPr>
            <w:tcW w:w="1579" w:type="dxa"/>
            <w:vMerge/>
          </w:tcPr>
          <w:p w14:paraId="20A7080B" w14:textId="77777777" w:rsidR="0054190C" w:rsidRPr="0009474D" w:rsidRDefault="0054190C" w:rsidP="0009474D">
            <w:pPr>
              <w:adjustRightInd w:val="0"/>
              <w:snapToGrid w:val="0"/>
              <w:spacing w:after="0"/>
              <w:jc w:val="left"/>
              <w:rPr>
                <w:rFonts w:ascii="Times New Roman" w:hAnsi="Times New Roman"/>
                <w:sz w:val="20"/>
                <w:szCs w:val="20"/>
              </w:rPr>
            </w:pPr>
          </w:p>
        </w:tc>
        <w:tc>
          <w:tcPr>
            <w:tcW w:w="2118" w:type="dxa"/>
            <w:vMerge/>
          </w:tcPr>
          <w:p w14:paraId="42EC643D" w14:textId="77777777" w:rsidR="0054190C" w:rsidRPr="0009474D" w:rsidRDefault="0054190C" w:rsidP="0009474D">
            <w:pPr>
              <w:adjustRightInd w:val="0"/>
              <w:snapToGrid w:val="0"/>
              <w:spacing w:after="0"/>
              <w:jc w:val="left"/>
              <w:rPr>
                <w:rFonts w:ascii="Times New Roman" w:hAnsi="Times New Roman"/>
                <w:sz w:val="20"/>
                <w:szCs w:val="20"/>
              </w:rPr>
            </w:pPr>
          </w:p>
        </w:tc>
        <w:tc>
          <w:tcPr>
            <w:tcW w:w="1842" w:type="dxa"/>
          </w:tcPr>
          <w:p w14:paraId="01CE54A0" w14:textId="77777777" w:rsidR="0054190C" w:rsidRPr="0009474D" w:rsidRDefault="0054190C" w:rsidP="0009474D">
            <w:pPr>
              <w:adjustRightInd w:val="0"/>
              <w:snapToGrid w:val="0"/>
              <w:spacing w:after="0"/>
              <w:jc w:val="left"/>
              <w:rPr>
                <w:rFonts w:ascii="Times New Roman" w:hAnsi="Times New Roman"/>
                <w:sz w:val="20"/>
                <w:szCs w:val="20"/>
              </w:rPr>
            </w:pPr>
          </w:p>
        </w:tc>
        <w:tc>
          <w:tcPr>
            <w:tcW w:w="1728" w:type="dxa"/>
            <w:vMerge/>
          </w:tcPr>
          <w:p w14:paraId="63913725" w14:textId="77777777" w:rsidR="0054190C" w:rsidRPr="0009474D" w:rsidRDefault="0054190C" w:rsidP="0009474D">
            <w:pPr>
              <w:adjustRightInd w:val="0"/>
              <w:snapToGrid w:val="0"/>
              <w:spacing w:after="0"/>
              <w:jc w:val="left"/>
              <w:rPr>
                <w:rFonts w:ascii="Times New Roman" w:hAnsi="Times New Roman"/>
                <w:sz w:val="20"/>
                <w:szCs w:val="20"/>
              </w:rPr>
            </w:pPr>
          </w:p>
        </w:tc>
      </w:tr>
    </w:tbl>
    <w:p w14:paraId="32631665" w14:textId="77777777" w:rsidR="00571D79" w:rsidRPr="00F73C92" w:rsidRDefault="00571D79" w:rsidP="0009474D">
      <w:pPr>
        <w:pStyle w:val="SCCHeading2"/>
        <w:numPr>
          <w:ilvl w:val="0"/>
          <w:numId w:val="0"/>
        </w:numPr>
        <w:adjustRightInd w:val="0"/>
        <w:snapToGrid w:val="0"/>
        <w:rPr>
          <w:rFonts w:ascii="Times New Roman" w:hAnsi="Times New Roman"/>
        </w:rPr>
      </w:pPr>
    </w:p>
    <w:p w14:paraId="1E5EDE0F"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Safe release and handling practices</w:t>
      </w:r>
    </w:p>
    <w:tbl>
      <w:tblPr>
        <w:tblStyle w:val="TableGrid"/>
        <w:tblW w:w="13176" w:type="dxa"/>
        <w:tblLook w:val="04A0" w:firstRow="1" w:lastRow="0" w:firstColumn="1" w:lastColumn="0" w:noHBand="0" w:noVBand="1"/>
      </w:tblPr>
      <w:tblGrid>
        <w:gridCol w:w="2097"/>
        <w:gridCol w:w="2147"/>
        <w:gridCol w:w="1279"/>
        <w:gridCol w:w="1428"/>
        <w:gridCol w:w="2193"/>
        <w:gridCol w:w="2040"/>
        <w:gridCol w:w="1992"/>
      </w:tblGrid>
      <w:tr w:rsidR="00571D79" w:rsidRPr="00F73C92" w14:paraId="1ED3E46E" w14:textId="77777777" w:rsidTr="0009474D">
        <w:tc>
          <w:tcPr>
            <w:tcW w:w="2097" w:type="dxa"/>
            <w:shd w:val="clear" w:color="auto" w:fill="95B3D7" w:themeFill="accent1" w:themeFillTint="99"/>
            <w:vAlign w:val="center"/>
          </w:tcPr>
          <w:p w14:paraId="30507B34"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2147" w:type="dxa"/>
            <w:shd w:val="clear" w:color="auto" w:fill="95B3D7" w:themeFill="accent1" w:themeFillTint="99"/>
            <w:vAlign w:val="center"/>
          </w:tcPr>
          <w:p w14:paraId="1A935335"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 to date</w:t>
            </w:r>
          </w:p>
        </w:tc>
        <w:tc>
          <w:tcPr>
            <w:tcW w:w="1279" w:type="dxa"/>
            <w:shd w:val="clear" w:color="auto" w:fill="95B3D7" w:themeFill="accent1" w:themeFillTint="99"/>
            <w:vAlign w:val="center"/>
          </w:tcPr>
          <w:p w14:paraId="20EBDF83"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 as per CMM</w:t>
            </w:r>
          </w:p>
        </w:tc>
        <w:tc>
          <w:tcPr>
            <w:tcW w:w="1428" w:type="dxa"/>
            <w:shd w:val="clear" w:color="auto" w:fill="95B3D7" w:themeFill="accent1" w:themeFillTint="99"/>
            <w:vAlign w:val="center"/>
          </w:tcPr>
          <w:p w14:paraId="13EA7477"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2193" w:type="dxa"/>
            <w:shd w:val="clear" w:color="auto" w:fill="95B3D7" w:themeFill="accent1" w:themeFillTint="99"/>
            <w:vAlign w:val="center"/>
          </w:tcPr>
          <w:p w14:paraId="2482C4D6"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2040" w:type="dxa"/>
            <w:shd w:val="clear" w:color="auto" w:fill="95B3D7" w:themeFill="accent1" w:themeFillTint="99"/>
            <w:vAlign w:val="center"/>
          </w:tcPr>
          <w:p w14:paraId="47C603C8"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1992" w:type="dxa"/>
            <w:shd w:val="clear" w:color="auto" w:fill="95B3D7" w:themeFill="accent1" w:themeFillTint="99"/>
            <w:vAlign w:val="center"/>
          </w:tcPr>
          <w:p w14:paraId="128BF8C9"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Recommendation?</w:t>
            </w:r>
          </w:p>
        </w:tc>
      </w:tr>
      <w:tr w:rsidR="00571D79" w:rsidRPr="00F73C92" w14:paraId="2DAB1C09" w14:textId="77777777" w:rsidTr="0009474D">
        <w:tc>
          <w:tcPr>
            <w:tcW w:w="2097" w:type="dxa"/>
            <w:vMerge w:val="restart"/>
          </w:tcPr>
          <w:p w14:paraId="41EF0649" w14:textId="77777777" w:rsidR="00571D79" w:rsidRPr="0009474D" w:rsidRDefault="00571D79" w:rsidP="0009474D">
            <w:pPr>
              <w:adjustRightInd w:val="0"/>
              <w:snapToGrid w:val="0"/>
              <w:spacing w:after="0"/>
              <w:jc w:val="left"/>
              <w:rPr>
                <w:rFonts w:ascii="Times New Roman" w:hAnsi="Times New Roman"/>
                <w:sz w:val="20"/>
                <w:szCs w:val="20"/>
              </w:rPr>
            </w:pPr>
          </w:p>
          <w:p w14:paraId="09D0EC73" w14:textId="77777777" w:rsidR="00571D79" w:rsidRPr="0009474D" w:rsidRDefault="00571D79" w:rsidP="0009474D">
            <w:pPr>
              <w:adjustRightInd w:val="0"/>
              <w:snapToGrid w:val="0"/>
              <w:spacing w:after="0"/>
              <w:jc w:val="left"/>
              <w:rPr>
                <w:rFonts w:ascii="Times New Roman" w:hAnsi="Times New Roman"/>
                <w:sz w:val="20"/>
                <w:szCs w:val="20"/>
              </w:rPr>
            </w:pPr>
          </w:p>
          <w:p w14:paraId="2F0BA7A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Give effect to the key objectives of the retention policies and by-catch mitigation efforts</w:t>
            </w:r>
          </w:p>
          <w:p w14:paraId="6D2BB47E" w14:textId="77777777" w:rsidR="00571D79" w:rsidRPr="0009474D" w:rsidRDefault="00571D79" w:rsidP="0009474D">
            <w:pPr>
              <w:adjustRightInd w:val="0"/>
              <w:snapToGrid w:val="0"/>
              <w:spacing w:after="0"/>
              <w:jc w:val="left"/>
              <w:rPr>
                <w:rFonts w:ascii="Times New Roman" w:hAnsi="Times New Roman"/>
                <w:sz w:val="20"/>
                <w:szCs w:val="20"/>
              </w:rPr>
            </w:pPr>
          </w:p>
          <w:p w14:paraId="40B8252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Define and ensure "safe release"</w:t>
            </w:r>
          </w:p>
          <w:p w14:paraId="73765236" w14:textId="77777777" w:rsidR="00571D79" w:rsidRPr="0009474D" w:rsidRDefault="00571D79" w:rsidP="0009474D">
            <w:pPr>
              <w:adjustRightInd w:val="0"/>
              <w:snapToGrid w:val="0"/>
              <w:spacing w:after="0"/>
              <w:jc w:val="left"/>
              <w:rPr>
                <w:rFonts w:ascii="Times New Roman" w:hAnsi="Times New Roman"/>
                <w:sz w:val="20"/>
                <w:szCs w:val="20"/>
              </w:rPr>
            </w:pPr>
          </w:p>
          <w:p w14:paraId="1D3CC3ED"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Maximising post release survival</w:t>
            </w:r>
          </w:p>
          <w:p w14:paraId="3F351A90"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47" w:type="dxa"/>
          </w:tcPr>
          <w:p w14:paraId="7348DA6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2013-08, para. 6 Silky shark</w:t>
            </w:r>
          </w:p>
        </w:tc>
        <w:tc>
          <w:tcPr>
            <w:tcW w:w="1279" w:type="dxa"/>
          </w:tcPr>
          <w:p w14:paraId="4CEEB3C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The Scientific Committee shall continue work on live release guidelines</w:t>
            </w:r>
          </w:p>
        </w:tc>
        <w:tc>
          <w:tcPr>
            <w:tcW w:w="1428" w:type="dxa"/>
          </w:tcPr>
          <w:p w14:paraId="7C747CF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Approved guidelines hampered by lack of information and/or lack of robust scientific evidence</w:t>
            </w:r>
          </w:p>
        </w:tc>
        <w:tc>
          <w:tcPr>
            <w:tcW w:w="2193" w:type="dxa"/>
          </w:tcPr>
          <w:p w14:paraId="1BEBD49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Observed fate and condition of sharks prior to release and deploying mortality tags on fish released using different release mechanisms</w:t>
            </w:r>
          </w:p>
        </w:tc>
        <w:tc>
          <w:tcPr>
            <w:tcW w:w="2040" w:type="dxa"/>
            <w:vMerge w:val="restart"/>
          </w:tcPr>
          <w:p w14:paraId="4148A204" w14:textId="77777777" w:rsidR="00571D79" w:rsidRPr="0009474D" w:rsidRDefault="00571D79" w:rsidP="0009474D">
            <w:pPr>
              <w:adjustRightInd w:val="0"/>
              <w:snapToGrid w:val="0"/>
              <w:spacing w:after="0"/>
              <w:jc w:val="left"/>
              <w:rPr>
                <w:rFonts w:ascii="Times New Roman" w:hAnsi="Times New Roman"/>
                <w:sz w:val="20"/>
                <w:szCs w:val="20"/>
              </w:rPr>
            </w:pPr>
          </w:p>
          <w:p w14:paraId="1A7C4D85" w14:textId="77777777" w:rsidR="00571D79" w:rsidRPr="0009474D" w:rsidRDefault="00571D79" w:rsidP="0009474D">
            <w:pPr>
              <w:adjustRightInd w:val="0"/>
              <w:snapToGrid w:val="0"/>
              <w:spacing w:after="0"/>
              <w:jc w:val="left"/>
              <w:rPr>
                <w:rFonts w:ascii="Times New Roman" w:hAnsi="Times New Roman"/>
                <w:sz w:val="20"/>
                <w:szCs w:val="20"/>
              </w:rPr>
            </w:pPr>
          </w:p>
          <w:p w14:paraId="2DB6A78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w:t>
            </w:r>
          </w:p>
          <w:p w14:paraId="5345D96F"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2" w:type="dxa"/>
          </w:tcPr>
          <w:p w14:paraId="39B346AD" w14:textId="77777777" w:rsidR="00571D79" w:rsidRPr="0009474D" w:rsidRDefault="00571D79" w:rsidP="00571D79">
            <w:pPr>
              <w:adjustRightInd w:val="0"/>
              <w:snapToGrid w:val="0"/>
              <w:spacing w:after="0"/>
              <w:rPr>
                <w:rFonts w:ascii="Times New Roman" w:hAnsi="Times New Roman"/>
                <w:sz w:val="20"/>
                <w:szCs w:val="20"/>
              </w:rPr>
            </w:pPr>
          </w:p>
        </w:tc>
      </w:tr>
      <w:tr w:rsidR="00571D79" w:rsidRPr="00F73C92" w14:paraId="6CF813A0" w14:textId="77777777" w:rsidTr="0009474D">
        <w:tc>
          <w:tcPr>
            <w:tcW w:w="2097" w:type="dxa"/>
            <w:vMerge/>
          </w:tcPr>
          <w:p w14:paraId="185F6029"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47" w:type="dxa"/>
          </w:tcPr>
          <w:p w14:paraId="1DF8C50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2011-04 Oceanic white tip</w:t>
            </w:r>
          </w:p>
        </w:tc>
        <w:tc>
          <w:tcPr>
            <w:tcW w:w="1279" w:type="dxa"/>
          </w:tcPr>
          <w:p w14:paraId="6BABB053"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Should be as above</w:t>
            </w:r>
          </w:p>
        </w:tc>
        <w:tc>
          <w:tcPr>
            <w:tcW w:w="1428" w:type="dxa"/>
          </w:tcPr>
          <w:p w14:paraId="349859FD"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93" w:type="dxa"/>
          </w:tcPr>
          <w:p w14:paraId="53C0FFB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2040" w:type="dxa"/>
            <w:vMerge/>
          </w:tcPr>
          <w:p w14:paraId="2E1F3A9E"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2" w:type="dxa"/>
          </w:tcPr>
          <w:p w14:paraId="7F189424" w14:textId="77777777" w:rsidR="00571D79" w:rsidRPr="0009474D" w:rsidRDefault="00571D79" w:rsidP="00571D79">
            <w:pPr>
              <w:adjustRightInd w:val="0"/>
              <w:snapToGrid w:val="0"/>
              <w:spacing w:after="0"/>
              <w:rPr>
                <w:rFonts w:ascii="Times New Roman" w:hAnsi="Times New Roman"/>
                <w:sz w:val="20"/>
                <w:szCs w:val="20"/>
              </w:rPr>
            </w:pPr>
          </w:p>
        </w:tc>
      </w:tr>
      <w:tr w:rsidR="00571D79" w:rsidRPr="00F73C92" w14:paraId="652ECF49" w14:textId="77777777" w:rsidTr="0009474D">
        <w:tc>
          <w:tcPr>
            <w:tcW w:w="2097" w:type="dxa"/>
            <w:vMerge/>
          </w:tcPr>
          <w:p w14:paraId="0415C635"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47" w:type="dxa"/>
          </w:tcPr>
          <w:p w14:paraId="5261941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2012-04 whale shark</w:t>
            </w:r>
          </w:p>
        </w:tc>
        <w:tc>
          <w:tcPr>
            <w:tcW w:w="1279" w:type="dxa"/>
          </w:tcPr>
          <w:p w14:paraId="047A9F48" w14:textId="77777777" w:rsidR="00571D79" w:rsidRPr="0009474D" w:rsidRDefault="00571D79" w:rsidP="0009474D">
            <w:pPr>
              <w:adjustRightInd w:val="0"/>
              <w:snapToGrid w:val="0"/>
              <w:spacing w:after="0"/>
              <w:jc w:val="left"/>
              <w:rPr>
                <w:rFonts w:ascii="Times New Roman" w:hAnsi="Times New Roman"/>
                <w:sz w:val="20"/>
                <w:szCs w:val="20"/>
              </w:rPr>
            </w:pPr>
          </w:p>
        </w:tc>
        <w:tc>
          <w:tcPr>
            <w:tcW w:w="1428" w:type="dxa"/>
          </w:tcPr>
          <w:p w14:paraId="6F3D42B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Guidelines adopted</w:t>
            </w:r>
          </w:p>
        </w:tc>
        <w:tc>
          <w:tcPr>
            <w:tcW w:w="2193" w:type="dxa"/>
          </w:tcPr>
          <w:p w14:paraId="1C35D4E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2040" w:type="dxa"/>
            <w:vMerge/>
          </w:tcPr>
          <w:p w14:paraId="58357B02"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2" w:type="dxa"/>
          </w:tcPr>
          <w:p w14:paraId="16BCD472" w14:textId="77777777" w:rsidR="00571D79" w:rsidRPr="0009474D" w:rsidRDefault="00571D79" w:rsidP="00571D79">
            <w:pPr>
              <w:adjustRightInd w:val="0"/>
              <w:snapToGrid w:val="0"/>
              <w:spacing w:after="0"/>
              <w:rPr>
                <w:rFonts w:ascii="Times New Roman" w:hAnsi="Times New Roman"/>
                <w:sz w:val="20"/>
                <w:szCs w:val="20"/>
              </w:rPr>
            </w:pPr>
          </w:p>
        </w:tc>
      </w:tr>
      <w:tr w:rsidR="00571D79" w:rsidRPr="00F73C92" w14:paraId="703AB958" w14:textId="77777777" w:rsidTr="0009474D">
        <w:tc>
          <w:tcPr>
            <w:tcW w:w="2097" w:type="dxa"/>
            <w:vMerge/>
          </w:tcPr>
          <w:p w14:paraId="4FD3145C"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47" w:type="dxa"/>
          </w:tcPr>
          <w:p w14:paraId="6FC0FC63"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WCPFC13 decision on Mantas and Mobulas</w:t>
            </w:r>
          </w:p>
        </w:tc>
        <w:tc>
          <w:tcPr>
            <w:tcW w:w="1279" w:type="dxa"/>
          </w:tcPr>
          <w:p w14:paraId="599F628A" w14:textId="77777777" w:rsidR="00571D79" w:rsidRPr="0009474D" w:rsidRDefault="00571D79" w:rsidP="0009474D">
            <w:pPr>
              <w:adjustRightInd w:val="0"/>
              <w:snapToGrid w:val="0"/>
              <w:spacing w:after="0"/>
              <w:jc w:val="left"/>
              <w:rPr>
                <w:rFonts w:ascii="Times New Roman" w:hAnsi="Times New Roman"/>
                <w:sz w:val="20"/>
                <w:szCs w:val="20"/>
              </w:rPr>
            </w:pPr>
          </w:p>
        </w:tc>
        <w:tc>
          <w:tcPr>
            <w:tcW w:w="1428" w:type="dxa"/>
          </w:tcPr>
          <w:p w14:paraId="52943CA5"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SC13 to develop</w:t>
            </w:r>
          </w:p>
        </w:tc>
        <w:tc>
          <w:tcPr>
            <w:tcW w:w="2193" w:type="dxa"/>
          </w:tcPr>
          <w:p w14:paraId="1BE77117"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2040" w:type="dxa"/>
            <w:vMerge/>
          </w:tcPr>
          <w:p w14:paraId="18EA4F75"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2" w:type="dxa"/>
          </w:tcPr>
          <w:p w14:paraId="6FF6F5A5" w14:textId="77777777" w:rsidR="00571D79" w:rsidRPr="0009474D" w:rsidRDefault="00571D79" w:rsidP="00571D79">
            <w:pPr>
              <w:adjustRightInd w:val="0"/>
              <w:snapToGrid w:val="0"/>
              <w:spacing w:after="0"/>
              <w:rPr>
                <w:rFonts w:ascii="Times New Roman" w:hAnsi="Times New Roman"/>
                <w:sz w:val="20"/>
                <w:szCs w:val="20"/>
              </w:rPr>
            </w:pPr>
          </w:p>
        </w:tc>
      </w:tr>
      <w:tr w:rsidR="00571D79" w:rsidRPr="00F73C92" w14:paraId="192D90A0" w14:textId="77777777" w:rsidTr="0009474D">
        <w:tc>
          <w:tcPr>
            <w:tcW w:w="2097" w:type="dxa"/>
            <w:vMerge/>
          </w:tcPr>
          <w:p w14:paraId="17E54F4B"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47" w:type="dxa"/>
          </w:tcPr>
          <w:p w14:paraId="531FC07E"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National/international policies</w:t>
            </w:r>
          </w:p>
        </w:tc>
        <w:tc>
          <w:tcPr>
            <w:tcW w:w="1279" w:type="dxa"/>
          </w:tcPr>
          <w:p w14:paraId="04289039" w14:textId="77777777" w:rsidR="00571D79" w:rsidRPr="0009474D" w:rsidRDefault="00571D79" w:rsidP="0009474D">
            <w:pPr>
              <w:adjustRightInd w:val="0"/>
              <w:snapToGrid w:val="0"/>
              <w:spacing w:after="0"/>
              <w:jc w:val="left"/>
              <w:rPr>
                <w:rFonts w:ascii="Times New Roman" w:hAnsi="Times New Roman"/>
                <w:sz w:val="20"/>
                <w:szCs w:val="20"/>
              </w:rPr>
            </w:pPr>
          </w:p>
        </w:tc>
        <w:tc>
          <w:tcPr>
            <w:tcW w:w="1428" w:type="dxa"/>
          </w:tcPr>
          <w:p w14:paraId="23318425" w14:textId="77777777" w:rsidR="00571D79" w:rsidRPr="0009474D" w:rsidRDefault="00571D79" w:rsidP="0009474D">
            <w:pPr>
              <w:adjustRightInd w:val="0"/>
              <w:snapToGrid w:val="0"/>
              <w:spacing w:after="0"/>
              <w:jc w:val="left"/>
              <w:rPr>
                <w:rFonts w:ascii="Times New Roman" w:hAnsi="Times New Roman"/>
                <w:sz w:val="20"/>
                <w:szCs w:val="20"/>
              </w:rPr>
            </w:pPr>
          </w:p>
        </w:tc>
        <w:tc>
          <w:tcPr>
            <w:tcW w:w="2193" w:type="dxa"/>
          </w:tcPr>
          <w:p w14:paraId="3DA74414" w14:textId="77777777" w:rsidR="00571D79" w:rsidRPr="0009474D" w:rsidRDefault="00571D79" w:rsidP="0009474D">
            <w:pPr>
              <w:adjustRightInd w:val="0"/>
              <w:snapToGrid w:val="0"/>
              <w:spacing w:after="0"/>
              <w:jc w:val="left"/>
              <w:rPr>
                <w:rFonts w:ascii="Times New Roman" w:hAnsi="Times New Roman"/>
                <w:sz w:val="20"/>
                <w:szCs w:val="20"/>
              </w:rPr>
            </w:pPr>
          </w:p>
        </w:tc>
        <w:tc>
          <w:tcPr>
            <w:tcW w:w="2040" w:type="dxa"/>
          </w:tcPr>
          <w:p w14:paraId="54EB756D"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2" w:type="dxa"/>
          </w:tcPr>
          <w:p w14:paraId="6804BF58" w14:textId="77777777" w:rsidR="00571D79" w:rsidRPr="0009474D" w:rsidRDefault="00571D79" w:rsidP="00571D79">
            <w:pPr>
              <w:adjustRightInd w:val="0"/>
              <w:snapToGrid w:val="0"/>
              <w:spacing w:after="0"/>
              <w:rPr>
                <w:rFonts w:ascii="Times New Roman" w:hAnsi="Times New Roman"/>
                <w:sz w:val="20"/>
                <w:szCs w:val="20"/>
              </w:rPr>
            </w:pPr>
          </w:p>
        </w:tc>
      </w:tr>
    </w:tbl>
    <w:p w14:paraId="0412150F" w14:textId="77777777" w:rsidR="00571D79" w:rsidRPr="00F73C92" w:rsidRDefault="00571D79" w:rsidP="00571D79">
      <w:pPr>
        <w:adjustRightInd w:val="0"/>
        <w:snapToGrid w:val="0"/>
        <w:spacing w:after="0"/>
        <w:rPr>
          <w:rFonts w:ascii="Times New Roman" w:hAnsi="Times New Roman"/>
        </w:rPr>
      </w:pPr>
    </w:p>
    <w:p w14:paraId="44BE8623"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Management plans/catch limits</w:t>
      </w:r>
    </w:p>
    <w:tbl>
      <w:tblPr>
        <w:tblStyle w:val="TableGrid"/>
        <w:tblW w:w="13176" w:type="dxa"/>
        <w:tblLayout w:type="fixed"/>
        <w:tblLook w:val="04A0" w:firstRow="1" w:lastRow="0" w:firstColumn="1" w:lastColumn="0" w:noHBand="0" w:noVBand="1"/>
      </w:tblPr>
      <w:tblGrid>
        <w:gridCol w:w="1998"/>
        <w:gridCol w:w="1710"/>
        <w:gridCol w:w="1890"/>
        <w:gridCol w:w="1734"/>
        <w:gridCol w:w="1854"/>
        <w:gridCol w:w="2027"/>
        <w:gridCol w:w="1963"/>
      </w:tblGrid>
      <w:tr w:rsidR="0009474D" w:rsidRPr="00F73C92" w14:paraId="32F54FED" w14:textId="77777777" w:rsidTr="009608F1">
        <w:tc>
          <w:tcPr>
            <w:tcW w:w="1998" w:type="dxa"/>
            <w:shd w:val="clear" w:color="auto" w:fill="95B3D7" w:themeFill="accent1" w:themeFillTint="99"/>
            <w:vAlign w:val="center"/>
          </w:tcPr>
          <w:p w14:paraId="3EE38F13"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1710" w:type="dxa"/>
            <w:shd w:val="clear" w:color="auto" w:fill="95B3D7" w:themeFill="accent1" w:themeFillTint="99"/>
            <w:vAlign w:val="center"/>
          </w:tcPr>
          <w:p w14:paraId="3AF4A1EC"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 to date</w:t>
            </w:r>
          </w:p>
        </w:tc>
        <w:tc>
          <w:tcPr>
            <w:tcW w:w="1890" w:type="dxa"/>
            <w:shd w:val="clear" w:color="auto" w:fill="95B3D7" w:themeFill="accent1" w:themeFillTint="99"/>
            <w:vAlign w:val="center"/>
          </w:tcPr>
          <w:p w14:paraId="55F4A24A"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w:t>
            </w:r>
          </w:p>
        </w:tc>
        <w:tc>
          <w:tcPr>
            <w:tcW w:w="1734" w:type="dxa"/>
            <w:shd w:val="clear" w:color="auto" w:fill="95B3D7" w:themeFill="accent1" w:themeFillTint="99"/>
            <w:vAlign w:val="center"/>
          </w:tcPr>
          <w:p w14:paraId="2502DCA2"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1854" w:type="dxa"/>
            <w:shd w:val="clear" w:color="auto" w:fill="95B3D7" w:themeFill="accent1" w:themeFillTint="99"/>
            <w:vAlign w:val="center"/>
          </w:tcPr>
          <w:p w14:paraId="79D6EDF7"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2027" w:type="dxa"/>
            <w:shd w:val="clear" w:color="auto" w:fill="95B3D7" w:themeFill="accent1" w:themeFillTint="99"/>
            <w:vAlign w:val="center"/>
          </w:tcPr>
          <w:p w14:paraId="457428FF"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1963" w:type="dxa"/>
            <w:shd w:val="clear" w:color="auto" w:fill="95B3D7" w:themeFill="accent1" w:themeFillTint="99"/>
            <w:vAlign w:val="center"/>
          </w:tcPr>
          <w:p w14:paraId="145599AD"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Recommendation?</w:t>
            </w:r>
          </w:p>
        </w:tc>
      </w:tr>
      <w:tr w:rsidR="0009474D" w:rsidRPr="00F73C92" w14:paraId="5373E8C5" w14:textId="77777777" w:rsidTr="009608F1">
        <w:tc>
          <w:tcPr>
            <w:tcW w:w="1998" w:type="dxa"/>
          </w:tcPr>
          <w:p w14:paraId="0807F4EB" w14:textId="77777777" w:rsidR="00571D79" w:rsidRPr="0009474D" w:rsidRDefault="00571D79" w:rsidP="0009474D">
            <w:pPr>
              <w:adjustRightInd w:val="0"/>
              <w:snapToGrid w:val="0"/>
              <w:spacing w:after="0"/>
              <w:jc w:val="left"/>
              <w:rPr>
                <w:rFonts w:ascii="Times New Roman" w:hAnsi="Times New Roman"/>
                <w:sz w:val="20"/>
                <w:szCs w:val="20"/>
              </w:rPr>
            </w:pPr>
          </w:p>
          <w:p w14:paraId="344B893A" w14:textId="77777777" w:rsidR="00571D79" w:rsidRPr="0009474D" w:rsidRDefault="00571D79" w:rsidP="0009474D">
            <w:pPr>
              <w:adjustRightInd w:val="0"/>
              <w:snapToGrid w:val="0"/>
              <w:spacing w:after="0"/>
              <w:jc w:val="left"/>
              <w:rPr>
                <w:rFonts w:ascii="Times New Roman" w:hAnsi="Times New Roman"/>
                <w:sz w:val="20"/>
                <w:szCs w:val="20"/>
              </w:rPr>
            </w:pPr>
          </w:p>
          <w:p w14:paraId="50DC563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Ensuring the sustainable management of commercial shark species</w:t>
            </w:r>
          </w:p>
        </w:tc>
        <w:tc>
          <w:tcPr>
            <w:tcW w:w="1710" w:type="dxa"/>
          </w:tcPr>
          <w:p w14:paraId="2FE3E47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2014-05, para. 2</w:t>
            </w:r>
          </w:p>
          <w:p w14:paraId="54C00EA1" w14:textId="77777777" w:rsidR="00571D79" w:rsidRPr="0009474D" w:rsidRDefault="00571D79" w:rsidP="0009474D">
            <w:pPr>
              <w:adjustRightInd w:val="0"/>
              <w:snapToGrid w:val="0"/>
              <w:spacing w:after="0"/>
              <w:jc w:val="left"/>
              <w:rPr>
                <w:rFonts w:ascii="Times New Roman" w:hAnsi="Times New Roman"/>
                <w:sz w:val="20"/>
                <w:szCs w:val="20"/>
              </w:rPr>
            </w:pPr>
          </w:p>
          <w:p w14:paraId="66FE242E"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All targeted species</w:t>
            </w:r>
          </w:p>
          <w:p w14:paraId="3EBEF5EB" w14:textId="77777777" w:rsidR="00571D79" w:rsidRPr="0009474D" w:rsidRDefault="00571D79" w:rsidP="0009474D">
            <w:pPr>
              <w:adjustRightInd w:val="0"/>
              <w:snapToGrid w:val="0"/>
              <w:spacing w:after="0"/>
              <w:jc w:val="left"/>
              <w:rPr>
                <w:rFonts w:ascii="Times New Roman" w:hAnsi="Times New Roman"/>
                <w:sz w:val="20"/>
                <w:szCs w:val="20"/>
              </w:rPr>
            </w:pPr>
          </w:p>
        </w:tc>
        <w:tc>
          <w:tcPr>
            <w:tcW w:w="1890" w:type="dxa"/>
          </w:tcPr>
          <w:p w14:paraId="3EECFFD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Shark management plans […] shall be provided to the SC for review</w:t>
            </w:r>
          </w:p>
        </w:tc>
        <w:tc>
          <w:tcPr>
            <w:tcW w:w="1734" w:type="dxa"/>
          </w:tcPr>
          <w:p w14:paraId="252032F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Todate two CCMs have submitted Sharks Management Plans.</w:t>
            </w:r>
          </w:p>
          <w:p w14:paraId="5F50600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Standards for the content of shark management plans and criteria for their review have not been agreed</w:t>
            </w:r>
          </w:p>
          <w:p w14:paraId="298204FB" w14:textId="77777777" w:rsidR="00571D79" w:rsidRPr="0009474D" w:rsidRDefault="00571D79" w:rsidP="0009474D">
            <w:pPr>
              <w:adjustRightInd w:val="0"/>
              <w:snapToGrid w:val="0"/>
              <w:spacing w:after="0"/>
              <w:jc w:val="left"/>
              <w:rPr>
                <w:rFonts w:ascii="Times New Roman" w:hAnsi="Times New Roman"/>
                <w:sz w:val="20"/>
                <w:szCs w:val="20"/>
              </w:rPr>
            </w:pPr>
          </w:p>
        </w:tc>
        <w:tc>
          <w:tcPr>
            <w:tcW w:w="1854" w:type="dxa"/>
          </w:tcPr>
          <w:p w14:paraId="7C05C960"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Long-term catch and effort data (best from observed effort &gt;10% hooks set)</w:t>
            </w:r>
          </w:p>
        </w:tc>
        <w:tc>
          <w:tcPr>
            <w:tcW w:w="2027" w:type="dxa"/>
          </w:tcPr>
          <w:p w14:paraId="050B70E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 Example:</w:t>
            </w:r>
          </w:p>
          <w:p w14:paraId="22F7C9C1" w14:textId="77777777" w:rsidR="00571D79" w:rsidRPr="0009474D" w:rsidRDefault="00571D79" w:rsidP="0009474D">
            <w:pPr>
              <w:adjustRightInd w:val="0"/>
              <w:snapToGrid w:val="0"/>
              <w:spacing w:after="0"/>
              <w:jc w:val="left"/>
              <w:rPr>
                <w:rFonts w:ascii="Times New Roman" w:hAnsi="Times New Roman"/>
                <w:sz w:val="20"/>
                <w:szCs w:val="20"/>
              </w:rPr>
            </w:pPr>
          </w:p>
          <w:p w14:paraId="1703B78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Commission should agree the definition of “fisheries that target sharks” and standards and criteria so that shark management plans can be evaluated for effectiveness</w:t>
            </w:r>
          </w:p>
        </w:tc>
        <w:tc>
          <w:tcPr>
            <w:tcW w:w="1963" w:type="dxa"/>
          </w:tcPr>
          <w:p w14:paraId="04A545D0" w14:textId="77777777" w:rsidR="00571D79" w:rsidRPr="0009474D" w:rsidRDefault="00571D79" w:rsidP="00571D79">
            <w:pPr>
              <w:adjustRightInd w:val="0"/>
              <w:snapToGrid w:val="0"/>
              <w:spacing w:after="0"/>
              <w:rPr>
                <w:rFonts w:ascii="Times New Roman" w:hAnsi="Times New Roman"/>
                <w:sz w:val="20"/>
                <w:szCs w:val="20"/>
              </w:rPr>
            </w:pPr>
          </w:p>
        </w:tc>
      </w:tr>
      <w:tr w:rsidR="0009474D" w:rsidRPr="00F73C92" w14:paraId="3164EFB2" w14:textId="77777777" w:rsidTr="009608F1">
        <w:tc>
          <w:tcPr>
            <w:tcW w:w="1998" w:type="dxa"/>
          </w:tcPr>
          <w:p w14:paraId="20B5ADDA"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10" w:type="dxa"/>
          </w:tcPr>
          <w:p w14:paraId="74DB4754"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National/international policies</w:t>
            </w:r>
          </w:p>
        </w:tc>
        <w:tc>
          <w:tcPr>
            <w:tcW w:w="1890" w:type="dxa"/>
          </w:tcPr>
          <w:p w14:paraId="1B4C5821"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34" w:type="dxa"/>
          </w:tcPr>
          <w:p w14:paraId="5ADDB225" w14:textId="77777777" w:rsidR="00571D79" w:rsidRPr="0009474D" w:rsidRDefault="00571D79" w:rsidP="0009474D">
            <w:pPr>
              <w:adjustRightInd w:val="0"/>
              <w:snapToGrid w:val="0"/>
              <w:spacing w:after="0"/>
              <w:jc w:val="left"/>
              <w:rPr>
                <w:rFonts w:ascii="Times New Roman" w:hAnsi="Times New Roman"/>
                <w:sz w:val="20"/>
                <w:szCs w:val="20"/>
              </w:rPr>
            </w:pPr>
          </w:p>
        </w:tc>
        <w:tc>
          <w:tcPr>
            <w:tcW w:w="1854" w:type="dxa"/>
          </w:tcPr>
          <w:p w14:paraId="06080C36" w14:textId="77777777" w:rsidR="00571D79" w:rsidRPr="0009474D" w:rsidRDefault="00571D79" w:rsidP="0009474D">
            <w:pPr>
              <w:adjustRightInd w:val="0"/>
              <w:snapToGrid w:val="0"/>
              <w:spacing w:after="0"/>
              <w:jc w:val="left"/>
              <w:rPr>
                <w:rFonts w:ascii="Times New Roman" w:hAnsi="Times New Roman"/>
                <w:sz w:val="20"/>
                <w:szCs w:val="20"/>
              </w:rPr>
            </w:pPr>
          </w:p>
        </w:tc>
        <w:tc>
          <w:tcPr>
            <w:tcW w:w="2027" w:type="dxa"/>
          </w:tcPr>
          <w:p w14:paraId="7DC93421"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63" w:type="dxa"/>
          </w:tcPr>
          <w:p w14:paraId="2AE1BEE4" w14:textId="77777777" w:rsidR="00571D79" w:rsidRPr="0009474D" w:rsidRDefault="00571D79" w:rsidP="00571D79">
            <w:pPr>
              <w:adjustRightInd w:val="0"/>
              <w:snapToGrid w:val="0"/>
              <w:spacing w:after="0"/>
              <w:rPr>
                <w:rFonts w:ascii="Times New Roman" w:hAnsi="Times New Roman"/>
                <w:sz w:val="20"/>
                <w:szCs w:val="20"/>
              </w:rPr>
            </w:pPr>
          </w:p>
        </w:tc>
      </w:tr>
    </w:tbl>
    <w:p w14:paraId="084C425B" w14:textId="77777777" w:rsidR="00571D79" w:rsidRPr="00F73C92" w:rsidRDefault="00571D79" w:rsidP="00571D79">
      <w:pPr>
        <w:adjustRightInd w:val="0"/>
        <w:snapToGrid w:val="0"/>
        <w:spacing w:after="0"/>
        <w:rPr>
          <w:rFonts w:ascii="Times New Roman" w:hAnsi="Times New Roman"/>
        </w:rPr>
      </w:pPr>
    </w:p>
    <w:p w14:paraId="709A437F"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Key species and their assessment schedules</w:t>
      </w:r>
    </w:p>
    <w:tbl>
      <w:tblPr>
        <w:tblStyle w:val="TableGrid"/>
        <w:tblW w:w="13176" w:type="dxa"/>
        <w:tblLook w:val="04A0" w:firstRow="1" w:lastRow="0" w:firstColumn="1" w:lastColumn="0" w:noHBand="0" w:noVBand="1"/>
      </w:tblPr>
      <w:tblGrid>
        <w:gridCol w:w="1990"/>
        <w:gridCol w:w="1738"/>
        <w:gridCol w:w="1866"/>
        <w:gridCol w:w="1714"/>
        <w:gridCol w:w="1841"/>
        <w:gridCol w:w="1996"/>
        <w:gridCol w:w="2031"/>
      </w:tblGrid>
      <w:tr w:rsidR="0009474D" w:rsidRPr="00F73C92" w14:paraId="478704D9" w14:textId="77777777" w:rsidTr="0009474D">
        <w:tc>
          <w:tcPr>
            <w:tcW w:w="1990" w:type="dxa"/>
            <w:shd w:val="clear" w:color="auto" w:fill="95B3D7" w:themeFill="accent1" w:themeFillTint="99"/>
            <w:vAlign w:val="center"/>
          </w:tcPr>
          <w:p w14:paraId="7BCDF476"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1738" w:type="dxa"/>
            <w:shd w:val="clear" w:color="auto" w:fill="95B3D7" w:themeFill="accent1" w:themeFillTint="99"/>
            <w:vAlign w:val="center"/>
          </w:tcPr>
          <w:p w14:paraId="272852FF"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 to date</w:t>
            </w:r>
          </w:p>
        </w:tc>
        <w:tc>
          <w:tcPr>
            <w:tcW w:w="1866" w:type="dxa"/>
            <w:shd w:val="clear" w:color="auto" w:fill="95B3D7" w:themeFill="accent1" w:themeFillTint="99"/>
            <w:vAlign w:val="center"/>
          </w:tcPr>
          <w:p w14:paraId="5104CB57"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w:t>
            </w:r>
          </w:p>
        </w:tc>
        <w:tc>
          <w:tcPr>
            <w:tcW w:w="1714" w:type="dxa"/>
            <w:shd w:val="clear" w:color="auto" w:fill="95B3D7" w:themeFill="accent1" w:themeFillTint="99"/>
            <w:vAlign w:val="center"/>
          </w:tcPr>
          <w:p w14:paraId="3FF9A61E"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1841" w:type="dxa"/>
            <w:shd w:val="clear" w:color="auto" w:fill="95B3D7" w:themeFill="accent1" w:themeFillTint="99"/>
            <w:vAlign w:val="center"/>
          </w:tcPr>
          <w:p w14:paraId="67669ABF"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1996" w:type="dxa"/>
            <w:shd w:val="clear" w:color="auto" w:fill="95B3D7" w:themeFill="accent1" w:themeFillTint="99"/>
            <w:vAlign w:val="center"/>
          </w:tcPr>
          <w:p w14:paraId="664B8706"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2031" w:type="dxa"/>
            <w:shd w:val="clear" w:color="auto" w:fill="95B3D7" w:themeFill="accent1" w:themeFillTint="99"/>
            <w:vAlign w:val="center"/>
          </w:tcPr>
          <w:p w14:paraId="7A87D1C2"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Recommendation?</w:t>
            </w:r>
          </w:p>
        </w:tc>
      </w:tr>
      <w:tr w:rsidR="00571D79" w:rsidRPr="00F73C92" w14:paraId="37A730BE" w14:textId="77777777" w:rsidTr="0009474D">
        <w:tc>
          <w:tcPr>
            <w:tcW w:w="1990" w:type="dxa"/>
            <w:vMerge w:val="restart"/>
          </w:tcPr>
          <w:p w14:paraId="21D1DEF6" w14:textId="77777777" w:rsidR="00571D79" w:rsidRPr="0009474D" w:rsidRDefault="00571D79" w:rsidP="0009474D">
            <w:pPr>
              <w:adjustRightInd w:val="0"/>
              <w:snapToGrid w:val="0"/>
              <w:spacing w:after="0"/>
              <w:jc w:val="left"/>
              <w:rPr>
                <w:rFonts w:ascii="Times New Roman" w:hAnsi="Times New Roman"/>
                <w:sz w:val="20"/>
                <w:szCs w:val="20"/>
              </w:rPr>
            </w:pPr>
          </w:p>
          <w:p w14:paraId="0B634CF3" w14:textId="77777777" w:rsidR="00571D79" w:rsidRPr="0009474D" w:rsidRDefault="00571D79" w:rsidP="0009474D">
            <w:pPr>
              <w:adjustRightInd w:val="0"/>
              <w:snapToGrid w:val="0"/>
              <w:spacing w:after="0"/>
              <w:jc w:val="left"/>
              <w:rPr>
                <w:rFonts w:ascii="Times New Roman" w:hAnsi="Times New Roman"/>
                <w:sz w:val="20"/>
                <w:szCs w:val="20"/>
              </w:rPr>
            </w:pPr>
          </w:p>
          <w:p w14:paraId="7B8BC7FC" w14:textId="77777777" w:rsidR="00571D79" w:rsidRPr="0009474D" w:rsidRDefault="00571D79" w:rsidP="0009474D">
            <w:pPr>
              <w:adjustRightInd w:val="0"/>
              <w:snapToGrid w:val="0"/>
              <w:spacing w:after="0"/>
              <w:jc w:val="left"/>
              <w:rPr>
                <w:rFonts w:ascii="Times New Roman" w:hAnsi="Times New Roman"/>
                <w:sz w:val="20"/>
                <w:szCs w:val="20"/>
              </w:rPr>
            </w:pPr>
          </w:p>
          <w:p w14:paraId="3C841A37" w14:textId="77777777" w:rsidR="00571D79" w:rsidRPr="0009474D" w:rsidRDefault="00571D79" w:rsidP="0009474D">
            <w:pPr>
              <w:adjustRightInd w:val="0"/>
              <w:snapToGrid w:val="0"/>
              <w:spacing w:after="0"/>
              <w:jc w:val="left"/>
              <w:rPr>
                <w:rFonts w:ascii="Times New Roman" w:hAnsi="Times New Roman"/>
                <w:sz w:val="20"/>
                <w:szCs w:val="20"/>
              </w:rPr>
            </w:pPr>
          </w:p>
          <w:p w14:paraId="32EE79A3" w14:textId="77777777" w:rsidR="00571D79" w:rsidRPr="0009474D" w:rsidRDefault="00571D79" w:rsidP="0009474D">
            <w:pPr>
              <w:adjustRightInd w:val="0"/>
              <w:snapToGrid w:val="0"/>
              <w:spacing w:after="0"/>
              <w:jc w:val="left"/>
              <w:rPr>
                <w:rFonts w:ascii="Times New Roman" w:hAnsi="Times New Roman"/>
                <w:sz w:val="20"/>
                <w:szCs w:val="20"/>
              </w:rPr>
            </w:pPr>
          </w:p>
          <w:p w14:paraId="01BD2AE6" w14:textId="77777777" w:rsidR="00571D79" w:rsidRPr="0009474D" w:rsidRDefault="00571D79" w:rsidP="0009474D">
            <w:pPr>
              <w:adjustRightInd w:val="0"/>
              <w:snapToGrid w:val="0"/>
              <w:spacing w:after="0"/>
              <w:jc w:val="left"/>
              <w:rPr>
                <w:rFonts w:ascii="Times New Roman" w:hAnsi="Times New Roman"/>
                <w:sz w:val="20"/>
                <w:szCs w:val="20"/>
              </w:rPr>
            </w:pPr>
          </w:p>
          <w:p w14:paraId="5123745F" w14:textId="77777777" w:rsidR="00571D79" w:rsidRPr="0009474D" w:rsidRDefault="00571D79" w:rsidP="0009474D">
            <w:pPr>
              <w:adjustRightInd w:val="0"/>
              <w:snapToGrid w:val="0"/>
              <w:spacing w:after="0"/>
              <w:jc w:val="left"/>
              <w:rPr>
                <w:rFonts w:ascii="Times New Roman" w:hAnsi="Times New Roman"/>
                <w:sz w:val="20"/>
                <w:szCs w:val="20"/>
              </w:rPr>
            </w:pPr>
          </w:p>
          <w:p w14:paraId="583450E8" w14:textId="77777777" w:rsidR="00571D79" w:rsidRPr="0009474D" w:rsidRDefault="00571D79" w:rsidP="0009474D">
            <w:pPr>
              <w:adjustRightInd w:val="0"/>
              <w:snapToGrid w:val="0"/>
              <w:spacing w:after="0"/>
              <w:jc w:val="left"/>
              <w:rPr>
                <w:rFonts w:ascii="Times New Roman" w:hAnsi="Times New Roman"/>
                <w:sz w:val="20"/>
                <w:szCs w:val="20"/>
              </w:rPr>
            </w:pPr>
          </w:p>
          <w:p w14:paraId="6A10B071" w14:textId="77777777" w:rsidR="00571D79" w:rsidRPr="0009474D" w:rsidRDefault="00571D79" w:rsidP="0009474D">
            <w:pPr>
              <w:adjustRightInd w:val="0"/>
              <w:snapToGrid w:val="0"/>
              <w:spacing w:after="0"/>
              <w:jc w:val="left"/>
              <w:rPr>
                <w:rFonts w:ascii="Times New Roman" w:hAnsi="Times New Roman"/>
                <w:sz w:val="20"/>
                <w:szCs w:val="20"/>
              </w:rPr>
            </w:pPr>
          </w:p>
          <w:p w14:paraId="1D4DC8ED" w14:textId="77777777" w:rsidR="00571D79" w:rsidRPr="0009474D" w:rsidRDefault="00571D79" w:rsidP="0009474D">
            <w:pPr>
              <w:adjustRightInd w:val="0"/>
              <w:snapToGrid w:val="0"/>
              <w:spacing w:after="0"/>
              <w:jc w:val="left"/>
              <w:rPr>
                <w:rFonts w:ascii="Times New Roman" w:hAnsi="Times New Roman"/>
                <w:sz w:val="20"/>
                <w:szCs w:val="20"/>
              </w:rPr>
            </w:pPr>
          </w:p>
          <w:p w14:paraId="4C21F8D3"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Defining key shark species</w:t>
            </w:r>
          </w:p>
          <w:p w14:paraId="4E53907E" w14:textId="77777777" w:rsidR="00571D79" w:rsidRPr="0009474D" w:rsidRDefault="00571D79" w:rsidP="0009474D">
            <w:pPr>
              <w:adjustRightInd w:val="0"/>
              <w:snapToGrid w:val="0"/>
              <w:spacing w:after="0"/>
              <w:jc w:val="left"/>
              <w:rPr>
                <w:rFonts w:ascii="Times New Roman" w:hAnsi="Times New Roman"/>
                <w:sz w:val="20"/>
                <w:szCs w:val="20"/>
              </w:rPr>
            </w:pPr>
          </w:p>
          <w:p w14:paraId="76DB0371" w14:textId="77777777" w:rsidR="00571D79" w:rsidRPr="0009474D" w:rsidRDefault="00571D79" w:rsidP="0009474D">
            <w:pPr>
              <w:adjustRightInd w:val="0"/>
              <w:snapToGrid w:val="0"/>
              <w:spacing w:after="0"/>
              <w:jc w:val="left"/>
              <w:rPr>
                <w:rFonts w:ascii="Times New Roman" w:hAnsi="Times New Roman"/>
                <w:sz w:val="20"/>
                <w:szCs w:val="20"/>
              </w:rPr>
            </w:pPr>
          </w:p>
          <w:p w14:paraId="4B2005CE"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Assessing the conservation status for key shark species</w:t>
            </w:r>
          </w:p>
        </w:tc>
        <w:tc>
          <w:tcPr>
            <w:tcW w:w="1738" w:type="dxa"/>
          </w:tcPr>
          <w:p w14:paraId="268B7E23" w14:textId="77777777" w:rsidR="00571D79" w:rsidRPr="0009474D" w:rsidRDefault="00571D79" w:rsidP="0009474D">
            <w:pPr>
              <w:adjustRightInd w:val="0"/>
              <w:snapToGrid w:val="0"/>
              <w:spacing w:after="0"/>
              <w:jc w:val="left"/>
              <w:rPr>
                <w:rFonts w:ascii="Times New Roman" w:hAnsi="Times New Roman"/>
                <w:sz w:val="20"/>
                <w:szCs w:val="20"/>
              </w:rPr>
            </w:pPr>
          </w:p>
          <w:p w14:paraId="5072D76F" w14:textId="77777777" w:rsidR="00571D79" w:rsidRPr="0009474D" w:rsidRDefault="00571D79" w:rsidP="0009474D">
            <w:pPr>
              <w:adjustRightInd w:val="0"/>
              <w:snapToGrid w:val="0"/>
              <w:spacing w:after="0"/>
              <w:jc w:val="left"/>
              <w:rPr>
                <w:rFonts w:ascii="Times New Roman" w:hAnsi="Times New Roman"/>
                <w:sz w:val="20"/>
                <w:szCs w:val="20"/>
              </w:rPr>
            </w:pPr>
          </w:p>
          <w:p w14:paraId="60BFAB8B" w14:textId="77777777" w:rsidR="00571D79" w:rsidRPr="0009474D" w:rsidRDefault="00571D79" w:rsidP="0009474D">
            <w:pPr>
              <w:adjustRightInd w:val="0"/>
              <w:snapToGrid w:val="0"/>
              <w:spacing w:after="0"/>
              <w:jc w:val="left"/>
              <w:rPr>
                <w:rFonts w:ascii="Times New Roman" w:hAnsi="Times New Roman"/>
                <w:sz w:val="20"/>
                <w:szCs w:val="20"/>
              </w:rPr>
            </w:pPr>
          </w:p>
          <w:p w14:paraId="3424D4C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Process for designating key shark species , p. 4</w:t>
            </w:r>
          </w:p>
          <w:p w14:paraId="0402C11D" w14:textId="77777777" w:rsidR="00571D79" w:rsidRPr="0009474D" w:rsidRDefault="00571D79" w:rsidP="0009474D">
            <w:pPr>
              <w:adjustRightInd w:val="0"/>
              <w:snapToGrid w:val="0"/>
              <w:spacing w:after="0"/>
              <w:jc w:val="left"/>
              <w:rPr>
                <w:rFonts w:ascii="Times New Roman" w:hAnsi="Times New Roman"/>
                <w:sz w:val="20"/>
                <w:szCs w:val="20"/>
              </w:rPr>
            </w:pPr>
          </w:p>
          <w:p w14:paraId="78B73692"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WCPFC key sharks</w:t>
            </w:r>
          </w:p>
        </w:tc>
        <w:tc>
          <w:tcPr>
            <w:tcW w:w="1866" w:type="dxa"/>
          </w:tcPr>
          <w:p w14:paraId="27B5725B"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SC shall discuss and evaluate proposals for key shark species designations</w:t>
            </w:r>
          </w:p>
        </w:tc>
        <w:tc>
          <w:tcPr>
            <w:tcW w:w="1714" w:type="dxa"/>
          </w:tcPr>
          <w:p w14:paraId="76F0D583"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20 species now considered “key”; assessment for some key species is challenging</w:t>
            </w:r>
          </w:p>
        </w:tc>
        <w:tc>
          <w:tcPr>
            <w:tcW w:w="1841" w:type="dxa"/>
          </w:tcPr>
          <w:p w14:paraId="103BF53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Observed catch proportions of key shark species and other elasmobranches caught as by catch in WCPFC fisheries</w:t>
            </w:r>
          </w:p>
        </w:tc>
        <w:tc>
          <w:tcPr>
            <w:tcW w:w="1996" w:type="dxa"/>
          </w:tcPr>
          <w:p w14:paraId="673BAED3" w14:textId="77777777" w:rsidR="00571D79" w:rsidRPr="0009474D" w:rsidRDefault="00571D79" w:rsidP="0009474D">
            <w:pPr>
              <w:adjustRightInd w:val="0"/>
              <w:snapToGrid w:val="0"/>
              <w:spacing w:after="0"/>
              <w:jc w:val="left"/>
              <w:rPr>
                <w:rFonts w:ascii="Times New Roman" w:hAnsi="Times New Roman"/>
                <w:sz w:val="20"/>
                <w:szCs w:val="20"/>
              </w:rPr>
            </w:pPr>
          </w:p>
          <w:p w14:paraId="77AEBF0C"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 Example:</w:t>
            </w:r>
          </w:p>
          <w:p w14:paraId="05E42CDE"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Commission should articulate goals for assessing species as well as management goals (including a statement on ecosystem-based fisheries management) to guide the SC’s work</w:t>
            </w:r>
          </w:p>
        </w:tc>
        <w:tc>
          <w:tcPr>
            <w:tcW w:w="2031" w:type="dxa"/>
          </w:tcPr>
          <w:p w14:paraId="1D99FDB8"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6FC54867" w14:textId="77777777" w:rsidTr="0009474D">
        <w:tc>
          <w:tcPr>
            <w:tcW w:w="1990" w:type="dxa"/>
            <w:vMerge/>
          </w:tcPr>
          <w:p w14:paraId="2405CC01" w14:textId="77777777" w:rsidR="00571D79" w:rsidRPr="0009474D" w:rsidRDefault="00571D79"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1738" w:type="dxa"/>
          </w:tcPr>
          <w:p w14:paraId="0D701A2F" w14:textId="77777777" w:rsidR="00571D79" w:rsidRPr="0009474D" w:rsidRDefault="00571D79" w:rsidP="0009474D">
            <w:pPr>
              <w:adjustRightInd w:val="0"/>
              <w:snapToGrid w:val="0"/>
              <w:spacing w:after="0"/>
              <w:jc w:val="left"/>
              <w:rPr>
                <w:rFonts w:ascii="Times New Roman" w:hAnsi="Times New Roman"/>
                <w:sz w:val="20"/>
                <w:szCs w:val="20"/>
              </w:rPr>
            </w:pPr>
          </w:p>
          <w:p w14:paraId="20A92C0E" w14:textId="77777777" w:rsidR="00571D79" w:rsidRPr="0009474D" w:rsidRDefault="00571D79" w:rsidP="0009474D">
            <w:pPr>
              <w:adjustRightInd w:val="0"/>
              <w:snapToGrid w:val="0"/>
              <w:spacing w:after="0"/>
              <w:jc w:val="left"/>
              <w:rPr>
                <w:rFonts w:ascii="Times New Roman" w:hAnsi="Times New Roman"/>
                <w:sz w:val="20"/>
                <w:szCs w:val="20"/>
              </w:rPr>
            </w:pPr>
          </w:p>
          <w:p w14:paraId="150BEAA8" w14:textId="77777777" w:rsidR="00571D79" w:rsidRPr="0009474D" w:rsidRDefault="00571D79" w:rsidP="0009474D">
            <w:pPr>
              <w:adjustRightInd w:val="0"/>
              <w:snapToGrid w:val="0"/>
              <w:spacing w:after="0"/>
              <w:jc w:val="left"/>
              <w:rPr>
                <w:rFonts w:ascii="Times New Roman" w:hAnsi="Times New Roman"/>
                <w:sz w:val="20"/>
                <w:szCs w:val="20"/>
              </w:rPr>
            </w:pPr>
          </w:p>
          <w:p w14:paraId="0535F325" w14:textId="77777777" w:rsidR="00571D79" w:rsidRPr="0009474D" w:rsidRDefault="00571D79" w:rsidP="0009474D">
            <w:pPr>
              <w:adjustRightInd w:val="0"/>
              <w:snapToGrid w:val="0"/>
              <w:spacing w:after="0"/>
              <w:jc w:val="left"/>
              <w:rPr>
                <w:rFonts w:ascii="Times New Roman" w:hAnsi="Times New Roman"/>
                <w:sz w:val="20"/>
                <w:szCs w:val="20"/>
              </w:rPr>
            </w:pPr>
          </w:p>
          <w:p w14:paraId="01BD8A31" w14:textId="77777777" w:rsidR="00571D79" w:rsidRPr="0009474D" w:rsidRDefault="00571D79" w:rsidP="0009474D">
            <w:pPr>
              <w:adjustRightInd w:val="0"/>
              <w:snapToGrid w:val="0"/>
              <w:spacing w:after="0"/>
              <w:jc w:val="left"/>
              <w:rPr>
                <w:rFonts w:ascii="Times New Roman" w:hAnsi="Times New Roman"/>
                <w:sz w:val="20"/>
                <w:szCs w:val="20"/>
              </w:rPr>
            </w:pPr>
          </w:p>
          <w:p w14:paraId="5F6B32AB" w14:textId="77777777" w:rsidR="00571D79" w:rsidRPr="0009474D" w:rsidRDefault="00571D79" w:rsidP="0009474D">
            <w:pPr>
              <w:adjustRightInd w:val="0"/>
              <w:snapToGrid w:val="0"/>
              <w:spacing w:after="0"/>
              <w:jc w:val="left"/>
              <w:rPr>
                <w:rFonts w:ascii="Times New Roman" w:hAnsi="Times New Roman"/>
                <w:sz w:val="20"/>
                <w:szCs w:val="20"/>
              </w:rPr>
            </w:pPr>
          </w:p>
          <w:p w14:paraId="2E83C528" w14:textId="77777777" w:rsidR="00571D79" w:rsidRPr="0009474D" w:rsidRDefault="00571D79" w:rsidP="0009474D">
            <w:pPr>
              <w:adjustRightInd w:val="0"/>
              <w:snapToGrid w:val="0"/>
              <w:spacing w:after="0"/>
              <w:jc w:val="left"/>
              <w:rPr>
                <w:rFonts w:ascii="Times New Roman" w:hAnsi="Times New Roman"/>
                <w:sz w:val="20"/>
                <w:szCs w:val="20"/>
              </w:rPr>
            </w:pPr>
          </w:p>
          <w:p w14:paraId="102F63C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Process for designating key shark species, p. 6</w:t>
            </w:r>
          </w:p>
          <w:p w14:paraId="05129CE3" w14:textId="77777777" w:rsidR="00571D79" w:rsidRPr="0009474D" w:rsidRDefault="00571D79" w:rsidP="0009474D">
            <w:pPr>
              <w:adjustRightInd w:val="0"/>
              <w:snapToGrid w:val="0"/>
              <w:spacing w:after="0"/>
              <w:jc w:val="left"/>
              <w:rPr>
                <w:rFonts w:ascii="Times New Roman" w:hAnsi="Times New Roman"/>
                <w:sz w:val="20"/>
                <w:szCs w:val="20"/>
              </w:rPr>
            </w:pPr>
          </w:p>
          <w:p w14:paraId="361965AA" w14:textId="77777777" w:rsidR="00571D79" w:rsidRPr="0009474D" w:rsidRDefault="00571D79" w:rsidP="0009474D">
            <w:pPr>
              <w:adjustRightInd w:val="0"/>
              <w:snapToGrid w:val="0"/>
              <w:spacing w:after="0"/>
              <w:jc w:val="left"/>
              <w:rPr>
                <w:rFonts w:ascii="Times New Roman" w:hAnsi="Times New Roman"/>
                <w:sz w:val="20"/>
                <w:szCs w:val="20"/>
              </w:rPr>
            </w:pPr>
          </w:p>
          <w:p w14:paraId="075E0340" w14:textId="77777777" w:rsidR="00571D79" w:rsidRPr="0009474D" w:rsidRDefault="00571D79" w:rsidP="0009474D">
            <w:pPr>
              <w:adjustRightInd w:val="0"/>
              <w:snapToGrid w:val="0"/>
              <w:spacing w:after="0"/>
              <w:jc w:val="left"/>
              <w:rPr>
                <w:rFonts w:ascii="Times New Roman" w:hAnsi="Times New Roman"/>
                <w:sz w:val="20"/>
                <w:szCs w:val="20"/>
              </w:rPr>
            </w:pPr>
          </w:p>
        </w:tc>
        <w:tc>
          <w:tcPr>
            <w:tcW w:w="1866" w:type="dxa"/>
          </w:tcPr>
          <w:p w14:paraId="3CAF7595"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The SC may wish to consider whether it should adopt procedures for periodic review of the list and for removing species if their population status or conservation priority changes</w:t>
            </w:r>
          </w:p>
        </w:tc>
        <w:tc>
          <w:tcPr>
            <w:tcW w:w="1714" w:type="dxa"/>
          </w:tcPr>
          <w:p w14:paraId="323EABF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1841" w:type="dxa"/>
          </w:tcPr>
          <w:p w14:paraId="295836F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As above </w:t>
            </w:r>
          </w:p>
        </w:tc>
        <w:tc>
          <w:tcPr>
            <w:tcW w:w="1996" w:type="dxa"/>
          </w:tcPr>
          <w:p w14:paraId="384079F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2031" w:type="dxa"/>
          </w:tcPr>
          <w:p w14:paraId="1C93DE56" w14:textId="77777777" w:rsidR="00571D79" w:rsidRPr="0009474D" w:rsidRDefault="00571D79" w:rsidP="0009474D">
            <w:pPr>
              <w:adjustRightInd w:val="0"/>
              <w:snapToGrid w:val="0"/>
              <w:spacing w:after="0"/>
              <w:jc w:val="left"/>
              <w:rPr>
                <w:rFonts w:ascii="Times New Roman" w:hAnsi="Times New Roman"/>
                <w:sz w:val="20"/>
                <w:szCs w:val="20"/>
              </w:rPr>
            </w:pPr>
          </w:p>
        </w:tc>
      </w:tr>
      <w:tr w:rsidR="00571D79" w:rsidRPr="00F73C92" w14:paraId="53B3E51D" w14:textId="77777777" w:rsidTr="0009474D">
        <w:tc>
          <w:tcPr>
            <w:tcW w:w="1990" w:type="dxa"/>
            <w:vMerge/>
          </w:tcPr>
          <w:p w14:paraId="7E779C56" w14:textId="77777777" w:rsidR="00571D79" w:rsidRPr="0009474D" w:rsidRDefault="00571D79" w:rsidP="0074425A">
            <w:pPr>
              <w:pStyle w:val="ListParagraph"/>
              <w:numPr>
                <w:ilvl w:val="0"/>
                <w:numId w:val="122"/>
              </w:numPr>
              <w:adjustRightInd w:val="0"/>
              <w:snapToGrid w:val="0"/>
              <w:ind w:left="360"/>
              <w:contextualSpacing w:val="0"/>
              <w:jc w:val="left"/>
              <w:rPr>
                <w:rFonts w:ascii="Times New Roman" w:hAnsi="Times New Roman"/>
                <w:sz w:val="20"/>
                <w:szCs w:val="20"/>
              </w:rPr>
            </w:pPr>
          </w:p>
        </w:tc>
        <w:tc>
          <w:tcPr>
            <w:tcW w:w="1738" w:type="dxa"/>
          </w:tcPr>
          <w:p w14:paraId="4DB5984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2010 07 p. 14</w:t>
            </w:r>
          </w:p>
          <w:p w14:paraId="4AA00AE6"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All species</w:t>
            </w:r>
          </w:p>
        </w:tc>
        <w:tc>
          <w:tcPr>
            <w:tcW w:w="1866" w:type="dxa"/>
          </w:tcPr>
          <w:p w14:paraId="78CF0659"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eastAsiaTheme="minorHAnsi" w:hAnsi="Times New Roman"/>
                <w:sz w:val="20"/>
                <w:szCs w:val="20"/>
                <w:lang w:val="en-GB"/>
              </w:rPr>
              <w:t>In 2010, the SC, and if possible in conjunction with the Inter-American Tropical Tuna Commission, provide preliminary advice on the stock status of key shark species and propose a research plan for the assessment of the status of these stocks</w:t>
            </w:r>
          </w:p>
        </w:tc>
        <w:tc>
          <w:tcPr>
            <w:tcW w:w="1714" w:type="dxa"/>
          </w:tcPr>
          <w:p w14:paraId="39337AA5"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1841" w:type="dxa"/>
          </w:tcPr>
          <w:p w14:paraId="06F4DE97" w14:textId="77777777" w:rsidR="00571D79" w:rsidRPr="0009474D" w:rsidRDefault="00571D79" w:rsidP="0009474D">
            <w:pPr>
              <w:adjustRightInd w:val="0"/>
              <w:snapToGrid w:val="0"/>
              <w:spacing w:after="0"/>
              <w:jc w:val="left"/>
              <w:rPr>
                <w:rFonts w:ascii="Times New Roman" w:hAnsi="Times New Roman"/>
                <w:sz w:val="20"/>
                <w:szCs w:val="20"/>
              </w:rPr>
            </w:pPr>
          </w:p>
        </w:tc>
        <w:tc>
          <w:tcPr>
            <w:tcW w:w="1996" w:type="dxa"/>
          </w:tcPr>
          <w:p w14:paraId="7B0C07BD"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As above</w:t>
            </w:r>
          </w:p>
        </w:tc>
        <w:tc>
          <w:tcPr>
            <w:tcW w:w="2031" w:type="dxa"/>
          </w:tcPr>
          <w:p w14:paraId="1791E967" w14:textId="77777777" w:rsidR="00571D79" w:rsidRPr="0009474D" w:rsidRDefault="00571D79" w:rsidP="0009474D">
            <w:pPr>
              <w:adjustRightInd w:val="0"/>
              <w:snapToGrid w:val="0"/>
              <w:spacing w:after="0"/>
              <w:jc w:val="left"/>
              <w:rPr>
                <w:rFonts w:ascii="Times New Roman" w:hAnsi="Times New Roman"/>
                <w:sz w:val="20"/>
                <w:szCs w:val="20"/>
              </w:rPr>
            </w:pPr>
          </w:p>
        </w:tc>
      </w:tr>
    </w:tbl>
    <w:p w14:paraId="1D3418CD" w14:textId="77777777" w:rsidR="00571D79" w:rsidRPr="00F73C92" w:rsidRDefault="00571D79" w:rsidP="00571D79">
      <w:pPr>
        <w:adjustRightInd w:val="0"/>
        <w:snapToGrid w:val="0"/>
        <w:spacing w:after="0"/>
        <w:rPr>
          <w:rFonts w:ascii="Times New Roman" w:hAnsi="Times New Roman"/>
        </w:rPr>
      </w:pPr>
    </w:p>
    <w:p w14:paraId="72A84045"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Shark reference points</w:t>
      </w:r>
    </w:p>
    <w:tbl>
      <w:tblPr>
        <w:tblStyle w:val="TableGrid"/>
        <w:tblW w:w="13176" w:type="dxa"/>
        <w:tblLayout w:type="fixed"/>
        <w:tblLook w:val="04A0" w:firstRow="1" w:lastRow="0" w:firstColumn="1" w:lastColumn="0" w:noHBand="0" w:noVBand="1"/>
      </w:tblPr>
      <w:tblGrid>
        <w:gridCol w:w="2034"/>
        <w:gridCol w:w="1618"/>
        <w:gridCol w:w="1878"/>
        <w:gridCol w:w="1401"/>
        <w:gridCol w:w="2212"/>
        <w:gridCol w:w="1997"/>
        <w:gridCol w:w="2036"/>
      </w:tblGrid>
      <w:tr w:rsidR="00571D79" w:rsidRPr="00F73C92" w14:paraId="0ECD1609" w14:textId="77777777" w:rsidTr="009608F1">
        <w:tc>
          <w:tcPr>
            <w:tcW w:w="2034" w:type="dxa"/>
            <w:shd w:val="clear" w:color="auto" w:fill="95B3D7" w:themeFill="accent1" w:themeFillTint="99"/>
            <w:vAlign w:val="center"/>
          </w:tcPr>
          <w:p w14:paraId="63A88856"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1618" w:type="dxa"/>
            <w:shd w:val="clear" w:color="auto" w:fill="95B3D7" w:themeFill="accent1" w:themeFillTint="99"/>
            <w:vAlign w:val="center"/>
          </w:tcPr>
          <w:p w14:paraId="538333FE"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w:t>
            </w:r>
          </w:p>
        </w:tc>
        <w:tc>
          <w:tcPr>
            <w:tcW w:w="1878" w:type="dxa"/>
            <w:shd w:val="clear" w:color="auto" w:fill="95B3D7" w:themeFill="accent1" w:themeFillTint="99"/>
            <w:vAlign w:val="center"/>
          </w:tcPr>
          <w:p w14:paraId="6B6E6E90"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w:t>
            </w:r>
          </w:p>
        </w:tc>
        <w:tc>
          <w:tcPr>
            <w:tcW w:w="1401" w:type="dxa"/>
            <w:shd w:val="clear" w:color="auto" w:fill="95B3D7" w:themeFill="accent1" w:themeFillTint="99"/>
            <w:vAlign w:val="center"/>
          </w:tcPr>
          <w:p w14:paraId="06947B9C"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2212" w:type="dxa"/>
            <w:shd w:val="clear" w:color="auto" w:fill="95B3D7" w:themeFill="accent1" w:themeFillTint="99"/>
            <w:vAlign w:val="center"/>
          </w:tcPr>
          <w:p w14:paraId="0956B55D"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1997" w:type="dxa"/>
            <w:shd w:val="clear" w:color="auto" w:fill="95B3D7" w:themeFill="accent1" w:themeFillTint="99"/>
            <w:vAlign w:val="center"/>
          </w:tcPr>
          <w:p w14:paraId="5E787245"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2036" w:type="dxa"/>
            <w:shd w:val="clear" w:color="auto" w:fill="95B3D7" w:themeFill="accent1" w:themeFillTint="99"/>
            <w:vAlign w:val="center"/>
          </w:tcPr>
          <w:p w14:paraId="4DC4B7D4"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Recommendation?</w:t>
            </w:r>
          </w:p>
        </w:tc>
      </w:tr>
      <w:tr w:rsidR="0009474D" w:rsidRPr="00F73C92" w14:paraId="3A46A1F2" w14:textId="77777777" w:rsidTr="009608F1">
        <w:tc>
          <w:tcPr>
            <w:tcW w:w="2034" w:type="dxa"/>
          </w:tcPr>
          <w:p w14:paraId="6CD31ED3" w14:textId="77777777" w:rsidR="0009474D" w:rsidRPr="0009474D" w:rsidRDefault="0009474D" w:rsidP="0009474D">
            <w:pPr>
              <w:adjustRightInd w:val="0"/>
              <w:snapToGrid w:val="0"/>
              <w:spacing w:after="0"/>
              <w:jc w:val="left"/>
              <w:rPr>
                <w:rFonts w:ascii="Times New Roman" w:hAnsi="Times New Roman"/>
                <w:sz w:val="20"/>
                <w:szCs w:val="20"/>
              </w:rPr>
            </w:pPr>
          </w:p>
          <w:p w14:paraId="7A527065"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Providing management advice for key shark species</w:t>
            </w:r>
          </w:p>
          <w:p w14:paraId="47AEDA89" w14:textId="77777777" w:rsidR="0009474D" w:rsidRPr="0009474D" w:rsidRDefault="0009474D" w:rsidP="0009474D">
            <w:pPr>
              <w:adjustRightInd w:val="0"/>
              <w:snapToGrid w:val="0"/>
              <w:spacing w:after="0"/>
              <w:jc w:val="left"/>
              <w:rPr>
                <w:rFonts w:ascii="Times New Roman" w:hAnsi="Times New Roman"/>
                <w:sz w:val="20"/>
                <w:szCs w:val="20"/>
              </w:rPr>
            </w:pPr>
          </w:p>
          <w:p w14:paraId="1A029FC0"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Paving the way towards the establishment of harvest strategies for relevant shark species</w:t>
            </w:r>
          </w:p>
          <w:p w14:paraId="71B74464" w14:textId="77777777" w:rsidR="0009474D" w:rsidRPr="0009474D" w:rsidRDefault="0009474D" w:rsidP="0009474D">
            <w:pPr>
              <w:adjustRightInd w:val="0"/>
              <w:snapToGrid w:val="0"/>
              <w:spacing w:after="0"/>
              <w:jc w:val="left"/>
              <w:rPr>
                <w:rFonts w:ascii="Times New Roman" w:hAnsi="Times New Roman"/>
                <w:sz w:val="20"/>
                <w:szCs w:val="20"/>
              </w:rPr>
            </w:pPr>
          </w:p>
        </w:tc>
        <w:tc>
          <w:tcPr>
            <w:tcW w:w="1618" w:type="dxa"/>
          </w:tcPr>
          <w:p w14:paraId="1EC7A0A6"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FAC9, FAC10</w:t>
            </w:r>
          </w:p>
        </w:tc>
        <w:tc>
          <w:tcPr>
            <w:tcW w:w="1878" w:type="dxa"/>
          </w:tcPr>
          <w:p w14:paraId="6B6ABE91"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Prioritize and review scientific work.</w:t>
            </w:r>
          </w:p>
          <w:p w14:paraId="791DBEB4" w14:textId="77777777" w:rsidR="0009474D" w:rsidRPr="0009474D" w:rsidRDefault="0009474D" w:rsidP="0009474D">
            <w:pPr>
              <w:adjustRightInd w:val="0"/>
              <w:snapToGrid w:val="0"/>
              <w:spacing w:after="0"/>
              <w:jc w:val="left"/>
              <w:rPr>
                <w:rFonts w:ascii="Times New Roman" w:hAnsi="Times New Roman"/>
                <w:sz w:val="20"/>
                <w:szCs w:val="20"/>
              </w:rPr>
            </w:pPr>
          </w:p>
          <w:p w14:paraId="0529ED2A"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The Commission has approved budget line items for the further development of shark limit reference points in 2015 and 2016.  </w:t>
            </w:r>
          </w:p>
        </w:tc>
        <w:tc>
          <w:tcPr>
            <w:tcW w:w="1401" w:type="dxa"/>
          </w:tcPr>
          <w:p w14:paraId="347C1BC8"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Studies have not yet gone ahead</w:t>
            </w:r>
          </w:p>
        </w:tc>
        <w:tc>
          <w:tcPr>
            <w:tcW w:w="2212" w:type="dxa"/>
          </w:tcPr>
          <w:p w14:paraId="184291FD"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Accurate catch and effort data</w:t>
            </w:r>
          </w:p>
        </w:tc>
        <w:tc>
          <w:tcPr>
            <w:tcW w:w="1997" w:type="dxa"/>
          </w:tcPr>
          <w:p w14:paraId="4CE75194"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 Example:</w:t>
            </w:r>
          </w:p>
          <w:p w14:paraId="61317D38" w14:textId="77777777" w:rsidR="0009474D" w:rsidRPr="0009474D" w:rsidRDefault="0009474D" w:rsidP="0009474D">
            <w:pPr>
              <w:adjustRightInd w:val="0"/>
              <w:snapToGrid w:val="0"/>
              <w:spacing w:after="0"/>
              <w:jc w:val="left"/>
              <w:rPr>
                <w:rFonts w:ascii="Times New Roman" w:hAnsi="Times New Roman"/>
                <w:sz w:val="20"/>
                <w:szCs w:val="20"/>
              </w:rPr>
            </w:pPr>
          </w:p>
          <w:p w14:paraId="429DC11C" w14:textId="77777777" w:rsidR="0009474D" w:rsidRPr="0009474D" w:rsidRDefault="0009474D"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 xml:space="preserve">The Commission should articulate management goals for sharks to guide the selection of appropriate reference points.  SC can advise on technical issues once these are in place.  </w:t>
            </w:r>
          </w:p>
        </w:tc>
        <w:tc>
          <w:tcPr>
            <w:tcW w:w="2036" w:type="dxa"/>
          </w:tcPr>
          <w:p w14:paraId="39061B00" w14:textId="77777777" w:rsidR="0009474D" w:rsidRPr="0009474D" w:rsidRDefault="0009474D" w:rsidP="0009474D">
            <w:pPr>
              <w:adjustRightInd w:val="0"/>
              <w:snapToGrid w:val="0"/>
              <w:spacing w:after="0"/>
              <w:jc w:val="left"/>
              <w:rPr>
                <w:rFonts w:ascii="Times New Roman" w:hAnsi="Times New Roman"/>
                <w:sz w:val="20"/>
                <w:szCs w:val="20"/>
              </w:rPr>
            </w:pPr>
          </w:p>
        </w:tc>
      </w:tr>
    </w:tbl>
    <w:p w14:paraId="755DF1EA" w14:textId="77777777" w:rsidR="00571D79" w:rsidRPr="00F73C92" w:rsidRDefault="00571D79" w:rsidP="00571D79">
      <w:pPr>
        <w:pStyle w:val="SCCHeading2"/>
        <w:numPr>
          <w:ilvl w:val="0"/>
          <w:numId w:val="0"/>
        </w:numPr>
        <w:adjustRightInd w:val="0"/>
        <w:snapToGrid w:val="0"/>
        <w:ind w:left="720"/>
        <w:rPr>
          <w:rFonts w:ascii="Times New Roman" w:hAnsi="Times New Roman"/>
        </w:rPr>
      </w:pPr>
    </w:p>
    <w:p w14:paraId="3016A375"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Data reporting requirements (beyond those contained in “Scientific Data to be Provided to the Commission”)</w:t>
      </w:r>
    </w:p>
    <w:tbl>
      <w:tblPr>
        <w:tblStyle w:val="TableGrid"/>
        <w:tblW w:w="13176" w:type="dxa"/>
        <w:tblLook w:val="04A0" w:firstRow="1" w:lastRow="0" w:firstColumn="1" w:lastColumn="0" w:noHBand="0" w:noVBand="1"/>
      </w:tblPr>
      <w:tblGrid>
        <w:gridCol w:w="1792"/>
        <w:gridCol w:w="2046"/>
        <w:gridCol w:w="1874"/>
        <w:gridCol w:w="1322"/>
        <w:gridCol w:w="2212"/>
        <w:gridCol w:w="1933"/>
        <w:gridCol w:w="1997"/>
      </w:tblGrid>
      <w:tr w:rsidR="00571D79" w:rsidRPr="00F73C92" w14:paraId="7862741E" w14:textId="77777777" w:rsidTr="0009474D">
        <w:tc>
          <w:tcPr>
            <w:tcW w:w="1792" w:type="dxa"/>
            <w:shd w:val="clear" w:color="auto" w:fill="95B3D7" w:themeFill="accent1" w:themeFillTint="99"/>
            <w:vAlign w:val="center"/>
          </w:tcPr>
          <w:p w14:paraId="09F2777E"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2046" w:type="dxa"/>
            <w:shd w:val="clear" w:color="auto" w:fill="95B3D7" w:themeFill="accent1" w:themeFillTint="99"/>
            <w:vAlign w:val="center"/>
          </w:tcPr>
          <w:p w14:paraId="35DEDABD"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w:t>
            </w:r>
          </w:p>
        </w:tc>
        <w:tc>
          <w:tcPr>
            <w:tcW w:w="1874" w:type="dxa"/>
            <w:shd w:val="clear" w:color="auto" w:fill="95B3D7" w:themeFill="accent1" w:themeFillTint="99"/>
            <w:vAlign w:val="center"/>
          </w:tcPr>
          <w:p w14:paraId="417A66D1"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w:t>
            </w:r>
          </w:p>
        </w:tc>
        <w:tc>
          <w:tcPr>
            <w:tcW w:w="1322" w:type="dxa"/>
            <w:shd w:val="clear" w:color="auto" w:fill="95B3D7" w:themeFill="accent1" w:themeFillTint="99"/>
            <w:vAlign w:val="center"/>
          </w:tcPr>
          <w:p w14:paraId="0FC737D2"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Status</w:t>
            </w:r>
          </w:p>
        </w:tc>
        <w:tc>
          <w:tcPr>
            <w:tcW w:w="2212" w:type="dxa"/>
            <w:shd w:val="clear" w:color="auto" w:fill="95B3D7" w:themeFill="accent1" w:themeFillTint="99"/>
            <w:vAlign w:val="center"/>
          </w:tcPr>
          <w:p w14:paraId="68B5293C"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Data/methodology needs/coverage under SRP</w:t>
            </w:r>
          </w:p>
        </w:tc>
        <w:tc>
          <w:tcPr>
            <w:tcW w:w="1933" w:type="dxa"/>
            <w:shd w:val="clear" w:color="auto" w:fill="95B3D7" w:themeFill="accent1" w:themeFillTint="99"/>
            <w:vAlign w:val="center"/>
          </w:tcPr>
          <w:p w14:paraId="08FBDA9C"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Possible SC Recommendation</w:t>
            </w:r>
          </w:p>
        </w:tc>
        <w:tc>
          <w:tcPr>
            <w:tcW w:w="1997" w:type="dxa"/>
            <w:shd w:val="clear" w:color="auto" w:fill="95B3D7" w:themeFill="accent1" w:themeFillTint="99"/>
            <w:vAlign w:val="center"/>
          </w:tcPr>
          <w:p w14:paraId="40FE5728"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TCC Recommendation?</w:t>
            </w:r>
          </w:p>
        </w:tc>
      </w:tr>
      <w:tr w:rsidR="00571D79" w:rsidRPr="00F73C92" w14:paraId="6A51E418" w14:textId="77777777" w:rsidTr="0009474D">
        <w:tc>
          <w:tcPr>
            <w:tcW w:w="1792" w:type="dxa"/>
          </w:tcPr>
          <w:p w14:paraId="740D93E3" w14:textId="77777777" w:rsidR="00571D79" w:rsidRPr="0009474D" w:rsidRDefault="00571D79" w:rsidP="0009474D">
            <w:pPr>
              <w:adjustRightInd w:val="0"/>
              <w:snapToGrid w:val="0"/>
              <w:spacing w:after="0"/>
              <w:jc w:val="left"/>
              <w:rPr>
                <w:rFonts w:ascii="Times New Roman" w:hAnsi="Times New Roman"/>
                <w:sz w:val="20"/>
                <w:szCs w:val="20"/>
              </w:rPr>
            </w:pPr>
          </w:p>
          <w:p w14:paraId="47EF685F" w14:textId="77777777" w:rsidR="00571D79" w:rsidRPr="0009474D" w:rsidRDefault="00571D79" w:rsidP="0009474D">
            <w:pPr>
              <w:adjustRightInd w:val="0"/>
              <w:snapToGrid w:val="0"/>
              <w:spacing w:after="0"/>
              <w:jc w:val="left"/>
              <w:rPr>
                <w:rFonts w:ascii="Times New Roman" w:hAnsi="Times New Roman"/>
                <w:sz w:val="20"/>
                <w:szCs w:val="20"/>
              </w:rPr>
            </w:pPr>
          </w:p>
          <w:p w14:paraId="4683D68F" w14:textId="77777777" w:rsidR="00571D79" w:rsidRPr="0009474D" w:rsidRDefault="00571D79" w:rsidP="0009474D">
            <w:pPr>
              <w:adjustRightInd w:val="0"/>
              <w:snapToGrid w:val="0"/>
              <w:spacing w:after="0"/>
              <w:jc w:val="left"/>
              <w:rPr>
                <w:rFonts w:ascii="Times New Roman" w:hAnsi="Times New Roman"/>
                <w:sz w:val="20"/>
                <w:szCs w:val="20"/>
              </w:rPr>
            </w:pPr>
          </w:p>
          <w:p w14:paraId="4ACB01D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Ensuring the collection, availability and reliability of relevant data</w:t>
            </w:r>
          </w:p>
        </w:tc>
        <w:tc>
          <w:tcPr>
            <w:tcW w:w="2046" w:type="dxa"/>
          </w:tcPr>
          <w:p w14:paraId="69118EE8" w14:textId="77777777" w:rsidR="00571D79" w:rsidRPr="0009474D" w:rsidRDefault="00571D79" w:rsidP="0009474D">
            <w:pPr>
              <w:adjustRightInd w:val="0"/>
              <w:snapToGrid w:val="0"/>
              <w:spacing w:after="0"/>
              <w:jc w:val="left"/>
              <w:rPr>
                <w:rFonts w:ascii="Times New Roman" w:hAnsi="Times New Roman"/>
                <w:sz w:val="20"/>
                <w:szCs w:val="20"/>
              </w:rPr>
            </w:pPr>
          </w:p>
          <w:p w14:paraId="61A44E45" w14:textId="77777777" w:rsidR="00571D79" w:rsidRPr="0009474D" w:rsidRDefault="00571D79" w:rsidP="0009474D">
            <w:pPr>
              <w:adjustRightInd w:val="0"/>
              <w:snapToGrid w:val="0"/>
              <w:spacing w:after="0"/>
              <w:jc w:val="left"/>
              <w:rPr>
                <w:rFonts w:ascii="Times New Roman" w:hAnsi="Times New Roman"/>
                <w:sz w:val="20"/>
                <w:szCs w:val="20"/>
              </w:rPr>
            </w:pPr>
          </w:p>
          <w:p w14:paraId="775B8DCC" w14:textId="77777777" w:rsidR="00571D79" w:rsidRPr="0009474D" w:rsidRDefault="00571D79" w:rsidP="0009474D">
            <w:pPr>
              <w:adjustRightInd w:val="0"/>
              <w:snapToGrid w:val="0"/>
              <w:spacing w:after="0"/>
              <w:jc w:val="left"/>
              <w:rPr>
                <w:rFonts w:ascii="Times New Roman" w:hAnsi="Times New Roman"/>
                <w:sz w:val="20"/>
                <w:szCs w:val="20"/>
              </w:rPr>
            </w:pPr>
          </w:p>
          <w:p w14:paraId="0E5BB80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Scientific Data to be reported to the Commission (2016), para. 9</w:t>
            </w:r>
          </w:p>
        </w:tc>
        <w:tc>
          <w:tcPr>
            <w:tcW w:w="1874" w:type="dxa"/>
          </w:tcPr>
          <w:p w14:paraId="6FB0CEF8"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The Commission, through its Scientific Committee, shall periodically review the requirements for scientific data and shall provide the Commission with revised versions of this recommendation, as appropriate.</w:t>
            </w:r>
          </w:p>
        </w:tc>
        <w:tc>
          <w:tcPr>
            <w:tcW w:w="1322" w:type="dxa"/>
          </w:tcPr>
          <w:p w14:paraId="6D00F0C9" w14:textId="77777777" w:rsidR="00571D79" w:rsidRPr="0009474D" w:rsidRDefault="00571D79" w:rsidP="0009474D">
            <w:pPr>
              <w:adjustRightInd w:val="0"/>
              <w:snapToGrid w:val="0"/>
              <w:spacing w:after="0"/>
              <w:jc w:val="left"/>
              <w:rPr>
                <w:rFonts w:ascii="Times New Roman" w:hAnsi="Times New Roman"/>
                <w:sz w:val="20"/>
                <w:szCs w:val="20"/>
              </w:rPr>
            </w:pPr>
          </w:p>
          <w:p w14:paraId="5822300D" w14:textId="77777777" w:rsidR="00571D79" w:rsidRPr="0009474D" w:rsidRDefault="00571D79" w:rsidP="0009474D">
            <w:pPr>
              <w:adjustRightInd w:val="0"/>
              <w:snapToGrid w:val="0"/>
              <w:spacing w:after="0"/>
              <w:jc w:val="left"/>
              <w:rPr>
                <w:rFonts w:ascii="Times New Roman" w:hAnsi="Times New Roman"/>
                <w:sz w:val="20"/>
                <w:szCs w:val="20"/>
              </w:rPr>
            </w:pPr>
          </w:p>
          <w:p w14:paraId="329A454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Scientific Services Provider has highlighted continuing data gaps for sharks</w:t>
            </w:r>
          </w:p>
        </w:tc>
        <w:tc>
          <w:tcPr>
            <w:tcW w:w="2212" w:type="dxa"/>
          </w:tcPr>
          <w:p w14:paraId="635FA2FB"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Compare data reporting with the requirements of the “Scientific Data to be Provided to the Commission”</w:t>
            </w:r>
          </w:p>
        </w:tc>
        <w:tc>
          <w:tcPr>
            <w:tcW w:w="1933" w:type="dxa"/>
          </w:tcPr>
          <w:p w14:paraId="66FC6540"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To be developed for SC14. Example:</w:t>
            </w:r>
          </w:p>
          <w:p w14:paraId="7BC541EE" w14:textId="77777777" w:rsidR="00571D79" w:rsidRPr="0009474D" w:rsidRDefault="00571D79" w:rsidP="0009474D">
            <w:pPr>
              <w:adjustRightInd w:val="0"/>
              <w:snapToGrid w:val="0"/>
              <w:spacing w:after="0"/>
              <w:jc w:val="left"/>
              <w:rPr>
                <w:rFonts w:ascii="Times New Roman" w:hAnsi="Times New Roman"/>
                <w:sz w:val="20"/>
                <w:szCs w:val="20"/>
              </w:rPr>
            </w:pPr>
          </w:p>
          <w:p w14:paraId="597F4710"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Commission should consider if it is necessary to strengthen shark reporting requirements, observer coverage standards, task SC specifically with identifying non- and under-reporting</w:t>
            </w:r>
          </w:p>
        </w:tc>
        <w:tc>
          <w:tcPr>
            <w:tcW w:w="1997" w:type="dxa"/>
          </w:tcPr>
          <w:p w14:paraId="02D6178B" w14:textId="77777777" w:rsidR="00571D79" w:rsidRPr="0009474D" w:rsidRDefault="00571D79" w:rsidP="0009474D">
            <w:pPr>
              <w:adjustRightInd w:val="0"/>
              <w:snapToGrid w:val="0"/>
              <w:spacing w:after="0"/>
              <w:jc w:val="left"/>
              <w:rPr>
                <w:rFonts w:ascii="Times New Roman" w:hAnsi="Times New Roman"/>
                <w:sz w:val="20"/>
                <w:szCs w:val="20"/>
              </w:rPr>
            </w:pPr>
          </w:p>
        </w:tc>
      </w:tr>
    </w:tbl>
    <w:p w14:paraId="62A85A31" w14:textId="77777777" w:rsidR="00571D79" w:rsidRPr="00F73C92" w:rsidRDefault="00571D79" w:rsidP="00571D79">
      <w:pPr>
        <w:pStyle w:val="SCCHeading2"/>
        <w:numPr>
          <w:ilvl w:val="0"/>
          <w:numId w:val="0"/>
        </w:numPr>
        <w:adjustRightInd w:val="0"/>
        <w:snapToGrid w:val="0"/>
        <w:ind w:left="720" w:hanging="720"/>
        <w:rPr>
          <w:rFonts w:ascii="Times New Roman" w:hAnsi="Times New Roman"/>
        </w:rPr>
      </w:pPr>
    </w:p>
    <w:p w14:paraId="6F98E2BD" w14:textId="77777777" w:rsidR="00571D79" w:rsidRPr="00F73C92" w:rsidRDefault="00571D79" w:rsidP="00571D79">
      <w:pPr>
        <w:pStyle w:val="SCCHeading2"/>
        <w:adjustRightInd w:val="0"/>
        <w:snapToGrid w:val="0"/>
        <w:rPr>
          <w:rFonts w:ascii="Times New Roman" w:hAnsi="Times New Roman"/>
        </w:rPr>
      </w:pPr>
      <w:r w:rsidRPr="00F73C92">
        <w:rPr>
          <w:rFonts w:ascii="Times New Roman" w:hAnsi="Times New Roman"/>
        </w:rPr>
        <w:t>Market related tools for sharks conservation and management</w:t>
      </w:r>
    </w:p>
    <w:tbl>
      <w:tblPr>
        <w:tblStyle w:val="TableGrid"/>
        <w:tblW w:w="13176" w:type="dxa"/>
        <w:tblLayout w:type="fixed"/>
        <w:tblLook w:val="04A0" w:firstRow="1" w:lastRow="0" w:firstColumn="1" w:lastColumn="0" w:noHBand="0" w:noVBand="1"/>
      </w:tblPr>
      <w:tblGrid>
        <w:gridCol w:w="2278"/>
        <w:gridCol w:w="2046"/>
        <w:gridCol w:w="1738"/>
        <w:gridCol w:w="1276"/>
        <w:gridCol w:w="1838"/>
        <w:gridCol w:w="1980"/>
        <w:gridCol w:w="2020"/>
      </w:tblGrid>
      <w:tr w:rsidR="00571D79" w:rsidRPr="00F73C92" w14:paraId="39F68FD0" w14:textId="77777777" w:rsidTr="0009474D">
        <w:tc>
          <w:tcPr>
            <w:tcW w:w="2278" w:type="dxa"/>
            <w:shd w:val="clear" w:color="auto" w:fill="95B3D7" w:themeFill="accent1" w:themeFillTint="99"/>
            <w:vAlign w:val="center"/>
          </w:tcPr>
          <w:p w14:paraId="34FE65F4"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Issues</w:t>
            </w:r>
          </w:p>
        </w:tc>
        <w:tc>
          <w:tcPr>
            <w:tcW w:w="2046" w:type="dxa"/>
            <w:shd w:val="clear" w:color="auto" w:fill="95B3D7" w:themeFill="accent1" w:themeFillTint="99"/>
            <w:vAlign w:val="center"/>
          </w:tcPr>
          <w:p w14:paraId="1E9A0B5F"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References/species covered</w:t>
            </w:r>
          </w:p>
        </w:tc>
        <w:tc>
          <w:tcPr>
            <w:tcW w:w="1738" w:type="dxa"/>
            <w:shd w:val="clear" w:color="auto" w:fill="95B3D7" w:themeFill="accent1" w:themeFillTint="99"/>
            <w:vAlign w:val="center"/>
          </w:tcPr>
          <w:p w14:paraId="16B30B2A" w14:textId="77777777" w:rsidR="00571D79" w:rsidRPr="0009474D" w:rsidRDefault="00571D79" w:rsidP="0009474D">
            <w:pPr>
              <w:adjustRightInd w:val="0"/>
              <w:snapToGrid w:val="0"/>
              <w:spacing w:after="0"/>
              <w:jc w:val="center"/>
              <w:rPr>
                <w:rFonts w:ascii="Times New Roman" w:hAnsi="Times New Roman"/>
                <w:i/>
                <w:sz w:val="20"/>
                <w:szCs w:val="20"/>
              </w:rPr>
            </w:pPr>
            <w:r w:rsidRPr="0009474D">
              <w:rPr>
                <w:rFonts w:ascii="Times New Roman" w:hAnsi="Times New Roman"/>
                <w:sz w:val="20"/>
                <w:szCs w:val="20"/>
              </w:rPr>
              <w:t>SC role</w:t>
            </w:r>
          </w:p>
        </w:tc>
        <w:tc>
          <w:tcPr>
            <w:tcW w:w="1276" w:type="dxa"/>
            <w:shd w:val="clear" w:color="auto" w:fill="95B3D7" w:themeFill="accent1" w:themeFillTint="99"/>
            <w:vAlign w:val="center"/>
          </w:tcPr>
          <w:p w14:paraId="6DC000F4" w14:textId="77777777" w:rsidR="00571D79" w:rsidRPr="00F73C92" w:rsidRDefault="00571D79" w:rsidP="0009474D">
            <w:pPr>
              <w:adjustRightInd w:val="0"/>
              <w:snapToGrid w:val="0"/>
              <w:spacing w:after="0"/>
              <w:jc w:val="center"/>
              <w:rPr>
                <w:rFonts w:ascii="Times New Roman" w:hAnsi="Times New Roman"/>
                <w:i/>
              </w:rPr>
            </w:pPr>
            <w:r w:rsidRPr="00F73C92">
              <w:rPr>
                <w:rFonts w:ascii="Times New Roman" w:hAnsi="Times New Roman"/>
              </w:rPr>
              <w:t>Status</w:t>
            </w:r>
          </w:p>
        </w:tc>
        <w:tc>
          <w:tcPr>
            <w:tcW w:w="1838" w:type="dxa"/>
            <w:shd w:val="clear" w:color="auto" w:fill="95B3D7" w:themeFill="accent1" w:themeFillTint="99"/>
            <w:vAlign w:val="center"/>
          </w:tcPr>
          <w:p w14:paraId="79F18168" w14:textId="77777777" w:rsidR="00571D79" w:rsidRPr="00F73C92" w:rsidRDefault="00571D79" w:rsidP="0009474D">
            <w:pPr>
              <w:adjustRightInd w:val="0"/>
              <w:snapToGrid w:val="0"/>
              <w:spacing w:after="0"/>
              <w:jc w:val="center"/>
              <w:rPr>
                <w:rFonts w:ascii="Times New Roman" w:hAnsi="Times New Roman"/>
                <w:i/>
              </w:rPr>
            </w:pPr>
            <w:r w:rsidRPr="00F73C92">
              <w:rPr>
                <w:rFonts w:ascii="Times New Roman" w:hAnsi="Times New Roman"/>
              </w:rPr>
              <w:t>Data/methodology needs/coverage under SRP</w:t>
            </w:r>
          </w:p>
        </w:tc>
        <w:tc>
          <w:tcPr>
            <w:tcW w:w="1980" w:type="dxa"/>
            <w:shd w:val="clear" w:color="auto" w:fill="95B3D7" w:themeFill="accent1" w:themeFillTint="99"/>
            <w:vAlign w:val="center"/>
          </w:tcPr>
          <w:p w14:paraId="40FE5ADB" w14:textId="77777777" w:rsidR="00571D79" w:rsidRPr="00F73C92" w:rsidRDefault="00571D79" w:rsidP="0009474D">
            <w:pPr>
              <w:adjustRightInd w:val="0"/>
              <w:snapToGrid w:val="0"/>
              <w:spacing w:after="0"/>
              <w:jc w:val="center"/>
              <w:rPr>
                <w:rFonts w:ascii="Times New Roman" w:hAnsi="Times New Roman"/>
                <w:i/>
              </w:rPr>
            </w:pPr>
            <w:r w:rsidRPr="00F73C92">
              <w:rPr>
                <w:rFonts w:ascii="Times New Roman" w:hAnsi="Times New Roman"/>
              </w:rPr>
              <w:t>Possible SC Recommendation</w:t>
            </w:r>
          </w:p>
        </w:tc>
        <w:tc>
          <w:tcPr>
            <w:tcW w:w="2020" w:type="dxa"/>
            <w:shd w:val="clear" w:color="auto" w:fill="95B3D7" w:themeFill="accent1" w:themeFillTint="99"/>
            <w:vAlign w:val="center"/>
          </w:tcPr>
          <w:p w14:paraId="78F068EF" w14:textId="77777777" w:rsidR="00571D79" w:rsidRPr="00F73C92" w:rsidRDefault="00571D79" w:rsidP="0009474D">
            <w:pPr>
              <w:adjustRightInd w:val="0"/>
              <w:snapToGrid w:val="0"/>
              <w:spacing w:after="0"/>
              <w:jc w:val="center"/>
              <w:rPr>
                <w:rFonts w:ascii="Times New Roman" w:hAnsi="Times New Roman"/>
                <w:i/>
              </w:rPr>
            </w:pPr>
            <w:r w:rsidRPr="00F73C92">
              <w:rPr>
                <w:rFonts w:ascii="Times New Roman" w:hAnsi="Times New Roman"/>
              </w:rPr>
              <w:t>TCC Recommendation?</w:t>
            </w:r>
          </w:p>
        </w:tc>
      </w:tr>
      <w:tr w:rsidR="00571D79" w:rsidRPr="00F73C92" w14:paraId="6BD84E43" w14:textId="77777777" w:rsidTr="0009474D">
        <w:tc>
          <w:tcPr>
            <w:tcW w:w="2278" w:type="dxa"/>
            <w:vMerge w:val="restart"/>
          </w:tcPr>
          <w:p w14:paraId="42F7E31F" w14:textId="77777777" w:rsidR="00571D79" w:rsidRPr="0009474D" w:rsidRDefault="00571D79" w:rsidP="0009474D">
            <w:pPr>
              <w:adjustRightInd w:val="0"/>
              <w:snapToGrid w:val="0"/>
              <w:spacing w:after="0"/>
              <w:jc w:val="left"/>
              <w:rPr>
                <w:rFonts w:ascii="Times New Roman" w:hAnsi="Times New Roman"/>
                <w:sz w:val="20"/>
                <w:szCs w:val="20"/>
              </w:rPr>
            </w:pPr>
          </w:p>
          <w:p w14:paraId="3AD0FDD2"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Combating IUU fishing related to sharks</w:t>
            </w:r>
          </w:p>
          <w:p w14:paraId="7EA627CB" w14:textId="77777777" w:rsidR="00571D79" w:rsidRPr="0009474D" w:rsidRDefault="00571D79" w:rsidP="0009474D">
            <w:pPr>
              <w:adjustRightInd w:val="0"/>
              <w:snapToGrid w:val="0"/>
              <w:spacing w:after="0"/>
              <w:jc w:val="left"/>
              <w:rPr>
                <w:rFonts w:ascii="Times New Roman" w:hAnsi="Times New Roman"/>
                <w:sz w:val="20"/>
                <w:szCs w:val="20"/>
              </w:rPr>
            </w:pPr>
          </w:p>
          <w:p w14:paraId="47519407"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Identification of sharks species and commodities</w:t>
            </w:r>
          </w:p>
          <w:p w14:paraId="1FA89EFF" w14:textId="77777777" w:rsidR="00571D79" w:rsidRPr="0009474D" w:rsidRDefault="00571D79" w:rsidP="0009474D">
            <w:pPr>
              <w:adjustRightInd w:val="0"/>
              <w:snapToGrid w:val="0"/>
              <w:spacing w:after="0"/>
              <w:jc w:val="left"/>
              <w:rPr>
                <w:rFonts w:ascii="Times New Roman" w:hAnsi="Times New Roman"/>
                <w:sz w:val="20"/>
                <w:szCs w:val="20"/>
              </w:rPr>
            </w:pPr>
          </w:p>
          <w:p w14:paraId="22E856E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Development of CDS for shark species</w:t>
            </w:r>
          </w:p>
          <w:p w14:paraId="465BCE70" w14:textId="77777777" w:rsidR="00571D79" w:rsidRPr="0009474D" w:rsidRDefault="00571D79" w:rsidP="0009474D">
            <w:pPr>
              <w:adjustRightInd w:val="0"/>
              <w:snapToGrid w:val="0"/>
              <w:spacing w:after="0"/>
              <w:jc w:val="left"/>
              <w:rPr>
                <w:rFonts w:ascii="Times New Roman" w:hAnsi="Times New Roman"/>
                <w:sz w:val="20"/>
                <w:szCs w:val="20"/>
              </w:rPr>
            </w:pPr>
          </w:p>
        </w:tc>
        <w:tc>
          <w:tcPr>
            <w:tcW w:w="2046" w:type="dxa"/>
          </w:tcPr>
          <w:p w14:paraId="4B0B80B1"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CMM 2010 07 para 9 (trading fins)</w:t>
            </w:r>
          </w:p>
        </w:tc>
        <w:tc>
          <w:tcPr>
            <w:tcW w:w="1738" w:type="dxa"/>
          </w:tcPr>
          <w:p w14:paraId="1354F69F"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Analysing economic and trade data and trends for sharks commodities</w:t>
            </w:r>
          </w:p>
        </w:tc>
        <w:tc>
          <w:tcPr>
            <w:tcW w:w="1276" w:type="dxa"/>
          </w:tcPr>
          <w:p w14:paraId="3D85EFF4" w14:textId="77777777" w:rsidR="00571D79" w:rsidRPr="00F73C92" w:rsidRDefault="00571D79" w:rsidP="00571D79">
            <w:pPr>
              <w:adjustRightInd w:val="0"/>
              <w:snapToGrid w:val="0"/>
              <w:spacing w:after="0"/>
              <w:rPr>
                <w:rFonts w:ascii="Times New Roman" w:hAnsi="Times New Roman"/>
              </w:rPr>
            </w:pPr>
            <w:r w:rsidRPr="00F73C92">
              <w:rPr>
                <w:rFonts w:ascii="Times New Roman" w:hAnsi="Times New Roman"/>
              </w:rPr>
              <w:t>Pending due to lack of data</w:t>
            </w:r>
          </w:p>
        </w:tc>
        <w:tc>
          <w:tcPr>
            <w:tcW w:w="1838" w:type="dxa"/>
          </w:tcPr>
          <w:p w14:paraId="56533456" w14:textId="77777777" w:rsidR="00571D79" w:rsidRPr="00F73C92" w:rsidRDefault="00571D79" w:rsidP="00571D79">
            <w:pPr>
              <w:adjustRightInd w:val="0"/>
              <w:snapToGrid w:val="0"/>
              <w:spacing w:after="0"/>
              <w:rPr>
                <w:rFonts w:ascii="Times New Roman" w:hAnsi="Times New Roman"/>
              </w:rPr>
            </w:pPr>
          </w:p>
        </w:tc>
        <w:tc>
          <w:tcPr>
            <w:tcW w:w="1980" w:type="dxa"/>
          </w:tcPr>
          <w:p w14:paraId="510BB922" w14:textId="77777777" w:rsidR="00571D79" w:rsidRPr="00F73C92" w:rsidRDefault="00571D79" w:rsidP="00571D79">
            <w:pPr>
              <w:adjustRightInd w:val="0"/>
              <w:snapToGrid w:val="0"/>
              <w:spacing w:after="0"/>
              <w:rPr>
                <w:rFonts w:ascii="Times New Roman" w:hAnsi="Times New Roman"/>
              </w:rPr>
            </w:pPr>
            <w:r w:rsidRPr="00F73C92">
              <w:rPr>
                <w:rFonts w:ascii="Times New Roman" w:hAnsi="Times New Roman"/>
              </w:rPr>
              <w:t>???</w:t>
            </w:r>
          </w:p>
        </w:tc>
        <w:tc>
          <w:tcPr>
            <w:tcW w:w="2020" w:type="dxa"/>
          </w:tcPr>
          <w:p w14:paraId="49CA2AC9" w14:textId="77777777" w:rsidR="00571D79" w:rsidRPr="00F73C92" w:rsidRDefault="00571D79" w:rsidP="00571D79">
            <w:pPr>
              <w:adjustRightInd w:val="0"/>
              <w:snapToGrid w:val="0"/>
              <w:spacing w:after="0"/>
              <w:rPr>
                <w:rFonts w:ascii="Times New Roman" w:hAnsi="Times New Roman"/>
              </w:rPr>
            </w:pPr>
          </w:p>
        </w:tc>
      </w:tr>
      <w:tr w:rsidR="00571D79" w:rsidRPr="00F73C92" w14:paraId="6E3EA693" w14:textId="77777777" w:rsidTr="0009474D">
        <w:tc>
          <w:tcPr>
            <w:tcW w:w="2278" w:type="dxa"/>
            <w:vMerge/>
          </w:tcPr>
          <w:p w14:paraId="643F5A19" w14:textId="77777777" w:rsidR="00571D79" w:rsidRPr="0009474D" w:rsidRDefault="00571D79" w:rsidP="0009474D">
            <w:pPr>
              <w:adjustRightInd w:val="0"/>
              <w:snapToGrid w:val="0"/>
              <w:spacing w:after="0"/>
              <w:jc w:val="left"/>
              <w:rPr>
                <w:rFonts w:ascii="Times New Roman" w:hAnsi="Times New Roman"/>
                <w:sz w:val="20"/>
                <w:szCs w:val="20"/>
              </w:rPr>
            </w:pPr>
          </w:p>
        </w:tc>
        <w:tc>
          <w:tcPr>
            <w:tcW w:w="2046" w:type="dxa"/>
          </w:tcPr>
          <w:p w14:paraId="6D70515D" w14:textId="77777777" w:rsidR="00571D79" w:rsidRPr="0009474D" w:rsidRDefault="00571D79" w:rsidP="0009474D">
            <w:pPr>
              <w:adjustRightInd w:val="0"/>
              <w:snapToGrid w:val="0"/>
              <w:spacing w:after="0"/>
              <w:jc w:val="left"/>
              <w:rPr>
                <w:rFonts w:ascii="Times New Roman" w:hAnsi="Times New Roman"/>
                <w:sz w:val="20"/>
                <w:szCs w:val="20"/>
              </w:rPr>
            </w:pPr>
          </w:p>
        </w:tc>
        <w:tc>
          <w:tcPr>
            <w:tcW w:w="1738" w:type="dxa"/>
          </w:tcPr>
          <w:p w14:paraId="08EE464A" w14:textId="77777777" w:rsidR="00571D79" w:rsidRPr="0009474D" w:rsidRDefault="00571D79" w:rsidP="0009474D">
            <w:pPr>
              <w:adjustRightInd w:val="0"/>
              <w:snapToGrid w:val="0"/>
              <w:spacing w:after="0"/>
              <w:jc w:val="left"/>
              <w:rPr>
                <w:rFonts w:ascii="Times New Roman" w:hAnsi="Times New Roman"/>
                <w:sz w:val="20"/>
                <w:szCs w:val="20"/>
              </w:rPr>
            </w:pPr>
            <w:r w:rsidRPr="0009474D">
              <w:rPr>
                <w:rFonts w:ascii="Times New Roman" w:hAnsi="Times New Roman"/>
                <w:sz w:val="20"/>
                <w:szCs w:val="20"/>
              </w:rPr>
              <w:t>Providing technical advice for the development of CDS for shark species</w:t>
            </w:r>
          </w:p>
        </w:tc>
        <w:tc>
          <w:tcPr>
            <w:tcW w:w="1276" w:type="dxa"/>
          </w:tcPr>
          <w:p w14:paraId="380B2EC5" w14:textId="77777777" w:rsidR="00571D79" w:rsidRPr="00F73C92" w:rsidRDefault="00571D79" w:rsidP="00571D79">
            <w:pPr>
              <w:adjustRightInd w:val="0"/>
              <w:snapToGrid w:val="0"/>
              <w:spacing w:after="0"/>
              <w:rPr>
                <w:rFonts w:ascii="Times New Roman" w:hAnsi="Times New Roman"/>
              </w:rPr>
            </w:pPr>
          </w:p>
        </w:tc>
        <w:tc>
          <w:tcPr>
            <w:tcW w:w="1838" w:type="dxa"/>
          </w:tcPr>
          <w:p w14:paraId="200E03A6" w14:textId="77777777" w:rsidR="00571D79" w:rsidRPr="00F73C92" w:rsidRDefault="00571D79" w:rsidP="00571D79">
            <w:pPr>
              <w:adjustRightInd w:val="0"/>
              <w:snapToGrid w:val="0"/>
              <w:spacing w:after="0"/>
              <w:rPr>
                <w:rFonts w:ascii="Times New Roman" w:hAnsi="Times New Roman"/>
              </w:rPr>
            </w:pPr>
          </w:p>
        </w:tc>
        <w:tc>
          <w:tcPr>
            <w:tcW w:w="1980" w:type="dxa"/>
          </w:tcPr>
          <w:p w14:paraId="54AEC71A" w14:textId="77777777" w:rsidR="00571D79" w:rsidRPr="00F73C92" w:rsidRDefault="00571D79" w:rsidP="00571D79">
            <w:pPr>
              <w:adjustRightInd w:val="0"/>
              <w:snapToGrid w:val="0"/>
              <w:spacing w:after="0"/>
              <w:rPr>
                <w:rFonts w:ascii="Times New Roman" w:hAnsi="Times New Roman"/>
              </w:rPr>
            </w:pPr>
          </w:p>
        </w:tc>
        <w:tc>
          <w:tcPr>
            <w:tcW w:w="2020" w:type="dxa"/>
          </w:tcPr>
          <w:p w14:paraId="50191B71" w14:textId="77777777" w:rsidR="00571D79" w:rsidRPr="00F73C92" w:rsidRDefault="00571D79" w:rsidP="00571D79">
            <w:pPr>
              <w:adjustRightInd w:val="0"/>
              <w:snapToGrid w:val="0"/>
              <w:spacing w:after="0"/>
              <w:rPr>
                <w:rFonts w:ascii="Times New Roman" w:hAnsi="Times New Roman"/>
              </w:rPr>
            </w:pPr>
          </w:p>
        </w:tc>
      </w:tr>
    </w:tbl>
    <w:p w14:paraId="6CC3035E" w14:textId="77777777" w:rsidR="009608F1" w:rsidRDefault="009608F1" w:rsidP="00571D79">
      <w:pPr>
        <w:adjustRightInd w:val="0"/>
        <w:snapToGrid w:val="0"/>
        <w:spacing w:after="0"/>
        <w:rPr>
          <w:rFonts w:ascii="Times New Roman" w:hAnsi="Times New Roman"/>
        </w:rPr>
        <w:sectPr w:rsidR="009608F1" w:rsidSect="009608F1">
          <w:pgSz w:w="15840" w:h="12240" w:orient="landscape" w:code="1"/>
          <w:pgMar w:top="1440" w:right="1440" w:bottom="1440" w:left="1440" w:header="720" w:footer="720" w:gutter="0"/>
          <w:cols w:space="720"/>
        </w:sectPr>
      </w:pPr>
    </w:p>
    <w:p w14:paraId="54A5FD55" w14:textId="090A6869" w:rsidR="0009474D" w:rsidRPr="0072610C" w:rsidRDefault="0009474D" w:rsidP="0009474D">
      <w:pPr>
        <w:autoSpaceDE w:val="0"/>
        <w:autoSpaceDN w:val="0"/>
        <w:adjustRightInd w:val="0"/>
        <w:snapToGrid w:val="0"/>
        <w:spacing w:after="0"/>
        <w:jc w:val="right"/>
        <w:rPr>
          <w:rFonts w:ascii="Times New Roman" w:hAnsi="Times New Roman"/>
          <w:b/>
          <w:bCs/>
          <w:lang w:val="en-AU" w:eastAsia="en-NZ"/>
        </w:rPr>
      </w:pPr>
      <w:r w:rsidRPr="0072610C">
        <w:rPr>
          <w:rFonts w:ascii="Times New Roman" w:hAnsi="Times New Roman"/>
          <w:b/>
          <w:bCs/>
          <w:lang w:val="en-AU" w:eastAsia="en-NZ"/>
        </w:rPr>
        <w:t xml:space="preserve">Attachment </w:t>
      </w:r>
      <w:r>
        <w:rPr>
          <w:rFonts w:ascii="Times New Roman" w:hAnsi="Times New Roman"/>
          <w:b/>
          <w:bCs/>
          <w:lang w:val="en-AU" w:eastAsia="en-NZ"/>
        </w:rPr>
        <w:t>H</w:t>
      </w:r>
    </w:p>
    <w:p w14:paraId="7EF47932" w14:textId="77777777" w:rsidR="0009474D" w:rsidRPr="0072610C" w:rsidRDefault="0009474D" w:rsidP="0009474D">
      <w:pPr>
        <w:autoSpaceDE w:val="0"/>
        <w:autoSpaceDN w:val="0"/>
        <w:adjustRightInd w:val="0"/>
        <w:snapToGrid w:val="0"/>
        <w:spacing w:after="0"/>
        <w:jc w:val="center"/>
        <w:rPr>
          <w:rFonts w:ascii="Times New Roman" w:hAnsi="Times New Roman"/>
          <w:b/>
          <w:bCs/>
          <w:lang w:val="en-AU" w:eastAsia="en-NZ"/>
        </w:rPr>
      </w:pPr>
    </w:p>
    <w:p w14:paraId="03DA72C5" w14:textId="77777777" w:rsidR="0009474D" w:rsidRPr="0072610C" w:rsidRDefault="0009474D" w:rsidP="0009474D">
      <w:pPr>
        <w:autoSpaceDE w:val="0"/>
        <w:autoSpaceDN w:val="0"/>
        <w:adjustRightInd w:val="0"/>
        <w:snapToGrid w:val="0"/>
        <w:spacing w:after="0"/>
        <w:jc w:val="center"/>
        <w:rPr>
          <w:rFonts w:ascii="Times New Roman" w:hAnsi="Times New Roman"/>
          <w:b/>
          <w:bCs/>
          <w:lang w:val="en-AU" w:eastAsia="en-NZ"/>
        </w:rPr>
      </w:pPr>
      <w:r w:rsidRPr="0072610C">
        <w:rPr>
          <w:rFonts w:ascii="Times New Roman" w:hAnsi="Times New Roman"/>
          <w:b/>
          <w:bCs/>
          <w:lang w:val="en-AU" w:eastAsia="en-NZ"/>
        </w:rPr>
        <w:t xml:space="preserve">The Commission for the Conservation and Management of </w:t>
      </w:r>
      <w:r w:rsidRPr="0072610C">
        <w:rPr>
          <w:rFonts w:ascii="Times New Roman" w:hAnsi="Times New Roman"/>
          <w:b/>
          <w:bCs/>
          <w:lang w:val="en-AU" w:eastAsia="en-NZ"/>
        </w:rPr>
        <w:br/>
        <w:t>Highly Migratory Fish Stocks in the Western and Central Pacific Ocean</w:t>
      </w:r>
    </w:p>
    <w:p w14:paraId="6E71AFED" w14:textId="77777777" w:rsidR="0009474D" w:rsidRPr="0072610C" w:rsidRDefault="0009474D" w:rsidP="0009474D">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 xml:space="preserve">Scientific Committee </w:t>
      </w:r>
    </w:p>
    <w:p w14:paraId="1A77186D" w14:textId="77777777" w:rsidR="0009474D" w:rsidRPr="0072610C" w:rsidRDefault="0009474D" w:rsidP="0009474D">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Thirteenth Regular Session</w:t>
      </w:r>
    </w:p>
    <w:p w14:paraId="65F0D4B4" w14:textId="77777777" w:rsidR="0009474D" w:rsidRPr="004260FC" w:rsidRDefault="0009474D" w:rsidP="0009474D">
      <w:pPr>
        <w:autoSpaceDE w:val="0"/>
        <w:autoSpaceDN w:val="0"/>
        <w:adjustRightInd w:val="0"/>
        <w:snapToGrid w:val="0"/>
        <w:spacing w:after="0"/>
        <w:jc w:val="center"/>
        <w:rPr>
          <w:rFonts w:ascii="Times New Roman" w:hAnsi="Times New Roman"/>
          <w:bCs/>
          <w:lang w:val="en-AU" w:eastAsia="en-NZ"/>
        </w:rPr>
      </w:pPr>
      <w:r w:rsidRPr="0072610C">
        <w:rPr>
          <w:rFonts w:ascii="Times New Roman" w:hAnsi="Times New Roman"/>
          <w:bCs/>
          <w:lang w:val="en-AU" w:eastAsia="en-NZ"/>
        </w:rPr>
        <w:t>Rarotonga</w:t>
      </w:r>
      <w:r w:rsidRPr="00571D79">
        <w:rPr>
          <w:rFonts w:ascii="Times New Roman" w:hAnsi="Times New Roman"/>
          <w:bCs/>
          <w:lang w:val="en-AU" w:eastAsia="en-NZ"/>
        </w:rPr>
        <w:t>, Cook Islands</w:t>
      </w:r>
      <w:r w:rsidRPr="00571D79">
        <w:rPr>
          <w:rFonts w:ascii="Times New Roman" w:hAnsi="Times New Roman"/>
          <w:bCs/>
          <w:lang w:val="en-AU" w:eastAsia="en-NZ"/>
        </w:rPr>
        <w:br/>
        <w:t xml:space="preserve">9 </w:t>
      </w:r>
      <w:r w:rsidRPr="004260FC">
        <w:rPr>
          <w:rFonts w:ascii="Times New Roman" w:hAnsi="Times New Roman"/>
          <w:bCs/>
          <w:lang w:val="en-AU" w:eastAsia="en-NZ"/>
        </w:rPr>
        <w:t>- 17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09474D" w:rsidRPr="004260FC" w14:paraId="740CFEE2" w14:textId="77777777" w:rsidTr="0009474D">
        <w:tc>
          <w:tcPr>
            <w:tcW w:w="9576" w:type="dxa"/>
            <w:tcBorders>
              <w:top w:val="single" w:sz="12" w:space="0" w:color="auto"/>
              <w:left w:val="nil"/>
              <w:bottom w:val="single" w:sz="12" w:space="0" w:color="auto"/>
              <w:right w:val="nil"/>
            </w:tcBorders>
            <w:hideMark/>
          </w:tcPr>
          <w:p w14:paraId="631CE5B0" w14:textId="71E653DA" w:rsidR="0009474D" w:rsidRPr="004260FC" w:rsidRDefault="0009474D" w:rsidP="004260FC">
            <w:pPr>
              <w:adjustRightInd w:val="0"/>
              <w:snapToGrid w:val="0"/>
              <w:spacing w:after="0"/>
              <w:jc w:val="center"/>
              <w:rPr>
                <w:rFonts w:ascii="Times New Roman" w:hAnsi="Times New Roman"/>
                <w:b/>
                <w:lang w:val="en-US"/>
              </w:rPr>
            </w:pPr>
            <w:r w:rsidRPr="004260FC">
              <w:rPr>
                <w:rFonts w:ascii="Times New Roman" w:hAnsi="Times New Roman"/>
                <w:b/>
                <w:lang w:val="en-US"/>
              </w:rPr>
              <w:t>Report of the ISG-05</w:t>
            </w:r>
          </w:p>
          <w:p w14:paraId="517AEE18" w14:textId="640BAE91" w:rsidR="0009474D" w:rsidRPr="004260FC" w:rsidRDefault="004260FC" w:rsidP="004260FC">
            <w:pPr>
              <w:adjustRightInd w:val="0"/>
              <w:snapToGrid w:val="0"/>
              <w:spacing w:after="0"/>
              <w:jc w:val="center"/>
              <w:rPr>
                <w:rFonts w:ascii="Times New Roman" w:eastAsia="맑은 고딕" w:hAnsi="Times New Roman"/>
                <w:b/>
                <w:lang w:val="en-AU" w:eastAsia="ko-KR"/>
              </w:rPr>
            </w:pPr>
            <w:r w:rsidRPr="004260FC">
              <w:rPr>
                <w:rFonts w:ascii="Times New Roman" w:eastAsia="Calibri" w:hAnsi="Times New Roman"/>
                <w:b/>
              </w:rPr>
              <w:t>B</w:t>
            </w:r>
            <w:r w:rsidR="0009474D" w:rsidRPr="004260FC">
              <w:rPr>
                <w:rFonts w:ascii="Times New Roman" w:eastAsia="Calibri" w:hAnsi="Times New Roman"/>
                <w:b/>
              </w:rPr>
              <w:t>est Handling Practices for the Safe Release of Mantas &amp; Mobulids</w:t>
            </w:r>
          </w:p>
        </w:tc>
      </w:tr>
    </w:tbl>
    <w:p w14:paraId="319B2115" w14:textId="77777777" w:rsidR="0009474D" w:rsidRPr="004260FC" w:rsidRDefault="0009474D" w:rsidP="004260FC">
      <w:pPr>
        <w:autoSpaceDE w:val="0"/>
        <w:autoSpaceDN w:val="0"/>
        <w:adjustRightInd w:val="0"/>
        <w:snapToGrid w:val="0"/>
        <w:spacing w:after="0"/>
        <w:rPr>
          <w:rFonts w:ascii="Times New Roman" w:hAnsi="Times New Roman"/>
          <w:lang w:val="en-AU"/>
        </w:rPr>
      </w:pPr>
    </w:p>
    <w:p w14:paraId="2750FB92" w14:textId="77777777" w:rsidR="0009474D" w:rsidRPr="004260FC" w:rsidRDefault="0009474D" w:rsidP="004260FC">
      <w:pPr>
        <w:adjustRightInd w:val="0"/>
        <w:snapToGrid w:val="0"/>
        <w:spacing w:after="0"/>
        <w:rPr>
          <w:rFonts w:ascii="Times New Roman" w:hAnsi="Times New Roman"/>
          <w:b/>
          <w:lang w:val="en-US"/>
        </w:rPr>
      </w:pPr>
    </w:p>
    <w:p w14:paraId="5E5E9AAF" w14:textId="77777777" w:rsidR="004260FC" w:rsidRPr="004260FC" w:rsidRDefault="004260FC" w:rsidP="004260FC">
      <w:pPr>
        <w:adjustRightInd w:val="0"/>
        <w:snapToGrid w:val="0"/>
        <w:spacing w:after="0"/>
        <w:rPr>
          <w:rFonts w:ascii="Times New Roman" w:eastAsia="Calibri" w:hAnsi="Times New Roman"/>
        </w:rPr>
      </w:pPr>
      <w:r w:rsidRPr="004260FC">
        <w:rPr>
          <w:rFonts w:ascii="Times New Roman" w:hAnsi="Times New Roman"/>
          <w:color w:val="222222"/>
          <w:shd w:val="clear" w:color="auto" w:fill="FFFFFF"/>
        </w:rPr>
        <w:t>The WCPFC13 designated six species of manta and mobulid rays as key shark species for assessment in December 2016 and called for the development of safe release guidelines for manta and mobulid rays during SC13 (WCPFC13 Summary Report, para. 550 (3)). </w:t>
      </w:r>
      <w:r w:rsidRPr="004260FC">
        <w:rPr>
          <w:rFonts w:ascii="Times New Roman" w:eastAsia="Calibri" w:hAnsi="Times New Roman"/>
        </w:rPr>
        <w:t>SC13 recommends the following non-binding guidelines of best handling practices of manta and mobulid rays for both purse seine and longline fisheries:</w:t>
      </w:r>
    </w:p>
    <w:p w14:paraId="30B6964A" w14:textId="77777777" w:rsidR="004260FC" w:rsidRDefault="004260FC" w:rsidP="004260FC">
      <w:pPr>
        <w:adjustRightInd w:val="0"/>
        <w:snapToGrid w:val="0"/>
        <w:spacing w:after="0"/>
        <w:jc w:val="center"/>
        <w:rPr>
          <w:rFonts w:ascii="Times New Roman" w:eastAsia="Calibri" w:hAnsi="Times New Roman"/>
          <w:i/>
          <w:u w:val="single"/>
        </w:rPr>
      </w:pPr>
    </w:p>
    <w:p w14:paraId="6E610A5B" w14:textId="77777777" w:rsidR="004260FC" w:rsidRPr="004260FC" w:rsidRDefault="004260FC" w:rsidP="004260FC">
      <w:pPr>
        <w:adjustRightInd w:val="0"/>
        <w:snapToGrid w:val="0"/>
        <w:spacing w:after="0"/>
        <w:jc w:val="center"/>
        <w:rPr>
          <w:rFonts w:ascii="Times New Roman" w:eastAsia="Calibri" w:hAnsi="Times New Roman"/>
          <w:i/>
          <w:u w:val="single"/>
        </w:rPr>
      </w:pPr>
      <w:r w:rsidRPr="004260FC">
        <w:rPr>
          <w:rFonts w:ascii="Times New Roman" w:eastAsia="Calibri" w:hAnsi="Times New Roman"/>
          <w:i/>
          <w:u w:val="single"/>
        </w:rPr>
        <w:t>Purse Seine</w:t>
      </w:r>
    </w:p>
    <w:p w14:paraId="67B05A1D" w14:textId="77777777" w:rsidR="004260FC" w:rsidRDefault="004260FC" w:rsidP="004260FC">
      <w:pPr>
        <w:adjustRightInd w:val="0"/>
        <w:snapToGrid w:val="0"/>
        <w:spacing w:after="0"/>
        <w:rPr>
          <w:rFonts w:ascii="Times New Roman" w:eastAsia="Calibri" w:hAnsi="Times New Roman"/>
          <w:b/>
        </w:rPr>
      </w:pPr>
    </w:p>
    <w:p w14:paraId="1BD73CA6" w14:textId="77777777" w:rsidR="004260FC" w:rsidRPr="004260FC" w:rsidRDefault="004260FC" w:rsidP="004260FC">
      <w:pPr>
        <w:adjustRightInd w:val="0"/>
        <w:snapToGrid w:val="0"/>
        <w:spacing w:after="0"/>
        <w:rPr>
          <w:rFonts w:ascii="Times New Roman" w:eastAsia="Calibri" w:hAnsi="Times New Roman"/>
          <w:b/>
        </w:rPr>
      </w:pPr>
      <w:r w:rsidRPr="004260FC">
        <w:rPr>
          <w:rFonts w:ascii="Times New Roman" w:eastAsia="Calibri" w:hAnsi="Times New Roman"/>
          <w:b/>
        </w:rPr>
        <w:t>Do’s:</w:t>
      </w:r>
    </w:p>
    <w:p w14:paraId="2B3E5BE3" w14:textId="77777777" w:rsidR="004260FC" w:rsidRPr="004260FC" w:rsidRDefault="004260FC" w:rsidP="0074425A">
      <w:pPr>
        <w:pStyle w:val="ListParagraph"/>
        <w:numPr>
          <w:ilvl w:val="0"/>
          <w:numId w:val="124"/>
        </w:numPr>
        <w:adjustRightInd w:val="0"/>
        <w:snapToGrid w:val="0"/>
        <w:contextualSpacing w:val="0"/>
        <w:jc w:val="left"/>
        <w:rPr>
          <w:rFonts w:ascii="Times New Roman" w:eastAsia="Calibri" w:hAnsi="Times New Roman"/>
        </w:rPr>
      </w:pPr>
      <w:r w:rsidRPr="004260FC">
        <w:rPr>
          <w:rFonts w:ascii="Times New Roman" w:eastAsia="Calibri" w:hAnsi="Times New Roman"/>
        </w:rPr>
        <w:t>Release rays while they are still free-swimming whenever possible (e.g. back down procedure, submerging corks, cutting net).</w:t>
      </w:r>
    </w:p>
    <w:p w14:paraId="1257D40E" w14:textId="2BCC80BF" w:rsidR="004260FC" w:rsidRPr="004260FC" w:rsidRDefault="004260FC" w:rsidP="0074425A">
      <w:pPr>
        <w:pStyle w:val="ListParagraph"/>
        <w:numPr>
          <w:ilvl w:val="0"/>
          <w:numId w:val="124"/>
        </w:numPr>
        <w:adjustRightInd w:val="0"/>
        <w:snapToGrid w:val="0"/>
        <w:contextualSpacing w:val="0"/>
        <w:jc w:val="left"/>
        <w:rPr>
          <w:rFonts w:ascii="Times New Roman" w:eastAsia="Calibri" w:hAnsi="Times New Roman"/>
        </w:rPr>
      </w:pPr>
      <w:r w:rsidRPr="004260FC">
        <w:rPr>
          <w:rFonts w:ascii="Times New Roman" w:eastAsia="Calibri" w:hAnsi="Times New Roman"/>
        </w:rPr>
        <w:t>It is preferable that larger rays (&gt;60 kg), that are too large to be lifted safely by hand are brailed out of the net and released using a purpose built large-mesh cargo net or canvas sling or similar device as recommended in document SC</w:t>
      </w:r>
      <w:r w:rsidR="00D35815">
        <w:rPr>
          <w:rFonts w:ascii="Times New Roman" w:hAnsi="Times New Roman" w:hint="eastAsia"/>
          <w:lang w:eastAsia="ko-KR"/>
        </w:rPr>
        <w:t>0</w:t>
      </w:r>
      <w:r w:rsidRPr="004260FC">
        <w:rPr>
          <w:rFonts w:ascii="Times New Roman" w:eastAsia="Calibri" w:hAnsi="Times New Roman"/>
        </w:rPr>
        <w:t xml:space="preserve">8-EB-IP-12 (Poisson </w:t>
      </w:r>
      <w:r w:rsidRPr="004260FC">
        <w:rPr>
          <w:rFonts w:ascii="Times New Roman" w:eastAsia="Calibri" w:hAnsi="Times New Roman"/>
          <w:i/>
          <w:iCs/>
        </w:rPr>
        <w:t>et al</w:t>
      </w:r>
      <w:r w:rsidRPr="004260FC">
        <w:rPr>
          <w:rFonts w:ascii="Times New Roman" w:eastAsia="Calibri" w:hAnsi="Times New Roman"/>
        </w:rPr>
        <w:t xml:space="preserve">. 2012, Good practices to reduce the mortality of sharks and rays caught incidentally by the tropical tuna purse seiners). [Note: It is preferable that release nets or devices are prepared prior to each set.] </w:t>
      </w:r>
    </w:p>
    <w:p w14:paraId="4E6EE697" w14:textId="7D63EC4D" w:rsidR="004260FC" w:rsidRPr="004260FC" w:rsidRDefault="004260FC" w:rsidP="0074425A">
      <w:pPr>
        <w:pStyle w:val="ListParagraph"/>
        <w:numPr>
          <w:ilvl w:val="0"/>
          <w:numId w:val="124"/>
        </w:numPr>
        <w:adjustRightInd w:val="0"/>
        <w:snapToGrid w:val="0"/>
        <w:contextualSpacing w:val="0"/>
        <w:jc w:val="left"/>
        <w:rPr>
          <w:rFonts w:ascii="Times New Roman" w:eastAsia="Calibri" w:hAnsi="Times New Roman"/>
        </w:rPr>
      </w:pPr>
      <w:r w:rsidRPr="004260FC">
        <w:rPr>
          <w:rFonts w:ascii="Times New Roman" w:eastAsia="Calibri" w:hAnsi="Times New Roman"/>
        </w:rPr>
        <w:t>It is preferable that small (&lt; 30 kg) and medium rays (30-60 kg) are handled by 2 or 3 people and carried by the sides of its wings or preferably using a purpose-built cradle/stretcher while ensuring the safety of the crew.</w:t>
      </w:r>
    </w:p>
    <w:p w14:paraId="0F910FF7" w14:textId="77777777" w:rsidR="004260FC" w:rsidRPr="004260FC" w:rsidRDefault="004260FC" w:rsidP="0074425A">
      <w:pPr>
        <w:pStyle w:val="ListParagraph"/>
        <w:numPr>
          <w:ilvl w:val="0"/>
          <w:numId w:val="124"/>
        </w:numPr>
        <w:adjustRightInd w:val="0"/>
        <w:snapToGrid w:val="0"/>
        <w:contextualSpacing w:val="0"/>
        <w:jc w:val="left"/>
        <w:rPr>
          <w:rFonts w:ascii="Times New Roman" w:eastAsia="Calibri" w:hAnsi="Times New Roman"/>
        </w:rPr>
      </w:pPr>
      <w:r w:rsidRPr="004260FC">
        <w:rPr>
          <w:rFonts w:ascii="Times New Roman" w:eastAsia="Calibri" w:hAnsi="Times New Roman"/>
        </w:rPr>
        <w:t xml:space="preserve">When entangled in netting, carefully cut the net away from the animal and release to the sea as quickly as possible while ensuring the safety of the crew. </w:t>
      </w:r>
    </w:p>
    <w:p w14:paraId="737E0471" w14:textId="77777777" w:rsidR="004260FC" w:rsidRDefault="004260FC" w:rsidP="004260FC">
      <w:pPr>
        <w:adjustRightInd w:val="0"/>
        <w:snapToGrid w:val="0"/>
        <w:spacing w:after="0"/>
        <w:rPr>
          <w:rFonts w:ascii="Times New Roman" w:eastAsia="Calibri" w:hAnsi="Times New Roman"/>
          <w:b/>
        </w:rPr>
      </w:pPr>
    </w:p>
    <w:p w14:paraId="4B1E39CA" w14:textId="77777777" w:rsidR="004260FC" w:rsidRPr="004260FC" w:rsidRDefault="004260FC" w:rsidP="004260FC">
      <w:pPr>
        <w:adjustRightInd w:val="0"/>
        <w:snapToGrid w:val="0"/>
        <w:spacing w:after="0"/>
        <w:rPr>
          <w:rFonts w:ascii="Times New Roman" w:eastAsia="Calibri" w:hAnsi="Times New Roman"/>
          <w:b/>
        </w:rPr>
      </w:pPr>
      <w:r w:rsidRPr="004260FC">
        <w:rPr>
          <w:rFonts w:ascii="Times New Roman" w:eastAsia="Calibri" w:hAnsi="Times New Roman"/>
          <w:b/>
        </w:rPr>
        <w:t>Don’ts:</w:t>
      </w:r>
    </w:p>
    <w:p w14:paraId="619BEA06" w14:textId="77777777" w:rsidR="004260FC" w:rsidRPr="004260FC" w:rsidRDefault="004260FC" w:rsidP="0074425A">
      <w:pPr>
        <w:pStyle w:val="ListParagraph"/>
        <w:numPr>
          <w:ilvl w:val="0"/>
          <w:numId w:val="125"/>
        </w:numPr>
        <w:adjustRightInd w:val="0"/>
        <w:snapToGrid w:val="0"/>
        <w:contextualSpacing w:val="0"/>
        <w:jc w:val="left"/>
        <w:rPr>
          <w:rFonts w:ascii="Times New Roman" w:eastAsia="Calibri" w:hAnsi="Times New Roman"/>
        </w:rPr>
      </w:pPr>
      <w:r w:rsidRPr="004260FC">
        <w:rPr>
          <w:rFonts w:ascii="Times New Roman" w:eastAsia="Calibri" w:hAnsi="Times New Roman"/>
        </w:rPr>
        <w:t xml:space="preserve">Do not leave a ray on deck until hauling is finished before returning it to the sea. </w:t>
      </w:r>
    </w:p>
    <w:p w14:paraId="356DDABF" w14:textId="77777777" w:rsidR="004260FC" w:rsidRPr="004260FC" w:rsidRDefault="004260FC" w:rsidP="0074425A">
      <w:pPr>
        <w:pStyle w:val="ListParagraph"/>
        <w:numPr>
          <w:ilvl w:val="0"/>
          <w:numId w:val="125"/>
        </w:numPr>
        <w:adjustRightInd w:val="0"/>
        <w:snapToGrid w:val="0"/>
        <w:contextualSpacing w:val="0"/>
        <w:jc w:val="left"/>
        <w:rPr>
          <w:rFonts w:ascii="Times New Roman" w:eastAsia="Calibri" w:hAnsi="Times New Roman"/>
        </w:rPr>
      </w:pPr>
      <w:r w:rsidRPr="004260FC">
        <w:rPr>
          <w:rFonts w:ascii="Times New Roman" w:eastAsia="Calibri" w:hAnsi="Times New Roman"/>
        </w:rPr>
        <w:t>Do not punch holes through the bodies of rays (e.g. to pass a cable or line through for lifting the ray).</w:t>
      </w:r>
    </w:p>
    <w:p w14:paraId="526DA0CF" w14:textId="77777777" w:rsidR="004260FC" w:rsidRPr="004260FC" w:rsidRDefault="004260FC" w:rsidP="0074425A">
      <w:pPr>
        <w:pStyle w:val="ListParagraph"/>
        <w:numPr>
          <w:ilvl w:val="0"/>
          <w:numId w:val="125"/>
        </w:numPr>
        <w:adjustRightInd w:val="0"/>
        <w:snapToGrid w:val="0"/>
        <w:contextualSpacing w:val="0"/>
        <w:jc w:val="left"/>
        <w:rPr>
          <w:rFonts w:ascii="Times New Roman" w:eastAsia="Calibri" w:hAnsi="Times New Roman"/>
        </w:rPr>
      </w:pPr>
      <w:r w:rsidRPr="004260FC">
        <w:rPr>
          <w:rFonts w:ascii="Times New Roman" w:eastAsia="Calibri" w:hAnsi="Times New Roman"/>
        </w:rPr>
        <w:t>Do not gaff, drag, carry, lift or pull a ray by its “cephalic lobes” or tail or by inserting hooks or hands into the gill slits or the spiracles.</w:t>
      </w:r>
    </w:p>
    <w:p w14:paraId="447D5132" w14:textId="77777777" w:rsidR="004260FC" w:rsidRDefault="004260FC" w:rsidP="004260FC">
      <w:pPr>
        <w:adjustRightInd w:val="0"/>
        <w:snapToGrid w:val="0"/>
        <w:spacing w:after="0"/>
        <w:jc w:val="center"/>
        <w:rPr>
          <w:rFonts w:ascii="Times New Roman" w:eastAsia="Calibri" w:hAnsi="Times New Roman"/>
          <w:i/>
          <w:u w:val="single"/>
        </w:rPr>
      </w:pPr>
    </w:p>
    <w:p w14:paraId="52BF13B8" w14:textId="77777777" w:rsidR="004260FC" w:rsidRPr="004260FC" w:rsidRDefault="004260FC" w:rsidP="004260FC">
      <w:pPr>
        <w:adjustRightInd w:val="0"/>
        <w:snapToGrid w:val="0"/>
        <w:spacing w:after="0"/>
        <w:jc w:val="center"/>
        <w:rPr>
          <w:rFonts w:ascii="Times New Roman" w:eastAsia="Calibri" w:hAnsi="Times New Roman"/>
          <w:i/>
          <w:u w:val="single"/>
        </w:rPr>
      </w:pPr>
      <w:r w:rsidRPr="004260FC">
        <w:rPr>
          <w:rFonts w:ascii="Times New Roman" w:eastAsia="Calibri" w:hAnsi="Times New Roman"/>
          <w:i/>
          <w:u w:val="single"/>
        </w:rPr>
        <w:t>Longline</w:t>
      </w:r>
    </w:p>
    <w:p w14:paraId="16A0C575" w14:textId="77777777" w:rsidR="004260FC" w:rsidRDefault="004260FC" w:rsidP="004260FC">
      <w:pPr>
        <w:adjustRightInd w:val="0"/>
        <w:snapToGrid w:val="0"/>
        <w:spacing w:after="0"/>
        <w:rPr>
          <w:rFonts w:ascii="Times New Roman" w:eastAsia="Calibri" w:hAnsi="Times New Roman"/>
          <w:b/>
        </w:rPr>
      </w:pPr>
    </w:p>
    <w:p w14:paraId="0764509D" w14:textId="77777777" w:rsidR="004260FC" w:rsidRPr="004260FC" w:rsidRDefault="004260FC" w:rsidP="004260FC">
      <w:pPr>
        <w:adjustRightInd w:val="0"/>
        <w:snapToGrid w:val="0"/>
        <w:spacing w:after="0"/>
        <w:rPr>
          <w:rFonts w:ascii="Times New Roman" w:eastAsia="Calibri" w:hAnsi="Times New Roman"/>
          <w:b/>
        </w:rPr>
      </w:pPr>
      <w:r w:rsidRPr="004260FC">
        <w:rPr>
          <w:rFonts w:ascii="Times New Roman" w:eastAsia="Calibri" w:hAnsi="Times New Roman"/>
          <w:b/>
        </w:rPr>
        <w:t>Do’s:</w:t>
      </w:r>
    </w:p>
    <w:p w14:paraId="2E75578D" w14:textId="77777777" w:rsidR="004260FC" w:rsidRPr="004260FC" w:rsidRDefault="004260FC" w:rsidP="0074425A">
      <w:pPr>
        <w:pStyle w:val="ListParagraph"/>
        <w:numPr>
          <w:ilvl w:val="0"/>
          <w:numId w:val="126"/>
        </w:numPr>
        <w:adjustRightInd w:val="0"/>
        <w:snapToGrid w:val="0"/>
        <w:contextualSpacing w:val="0"/>
        <w:jc w:val="left"/>
        <w:rPr>
          <w:rFonts w:ascii="Times New Roman" w:eastAsia="Calibri" w:hAnsi="Times New Roman"/>
        </w:rPr>
      </w:pPr>
      <w:r w:rsidRPr="004260FC">
        <w:rPr>
          <w:rFonts w:ascii="Times New Roman" w:eastAsia="Calibri" w:hAnsi="Times New Roman"/>
        </w:rPr>
        <w:t xml:space="preserve">For small rays, gently bring on board and remove as much gear as possible by backing the hook out. If hooks are embedded, either cut the hook with bolt cutters or cut the line at the hook and gently </w:t>
      </w:r>
      <w:proofErr w:type="gramStart"/>
      <w:r w:rsidRPr="004260FC">
        <w:rPr>
          <w:rFonts w:ascii="Times New Roman" w:eastAsia="Calibri" w:hAnsi="Times New Roman"/>
        </w:rPr>
        <w:t>return</w:t>
      </w:r>
      <w:proofErr w:type="gramEnd"/>
      <w:r w:rsidRPr="004260FC">
        <w:rPr>
          <w:rFonts w:ascii="Times New Roman" w:eastAsia="Calibri" w:hAnsi="Times New Roman"/>
        </w:rPr>
        <w:t xml:space="preserve"> the animal to the sea.</w:t>
      </w:r>
    </w:p>
    <w:p w14:paraId="66AC7EC2" w14:textId="77777777" w:rsidR="004260FC" w:rsidRPr="004260FC" w:rsidRDefault="004260FC" w:rsidP="0074425A">
      <w:pPr>
        <w:pStyle w:val="ListParagraph"/>
        <w:numPr>
          <w:ilvl w:val="0"/>
          <w:numId w:val="126"/>
        </w:numPr>
        <w:adjustRightInd w:val="0"/>
        <w:snapToGrid w:val="0"/>
        <w:contextualSpacing w:val="0"/>
        <w:jc w:val="left"/>
        <w:rPr>
          <w:rFonts w:ascii="Times New Roman" w:eastAsia="Calibri" w:hAnsi="Times New Roman"/>
        </w:rPr>
      </w:pPr>
      <w:r w:rsidRPr="004260FC">
        <w:rPr>
          <w:rFonts w:ascii="Times New Roman" w:eastAsia="Calibri" w:hAnsi="Times New Roman"/>
        </w:rPr>
        <w:t>For medium to large rays (&gt;30 kg), leave the animal in the water and use a dehooker to remove the hook or a long-handled line cutter to cut the gear as close to the hook as possible (ideally leaving &lt; 0.5 meters of line attached to the animal).</w:t>
      </w:r>
    </w:p>
    <w:p w14:paraId="30C3C843" w14:textId="77777777" w:rsidR="004260FC" w:rsidRDefault="004260FC" w:rsidP="004260FC">
      <w:pPr>
        <w:adjustRightInd w:val="0"/>
        <w:snapToGrid w:val="0"/>
        <w:spacing w:after="0"/>
        <w:rPr>
          <w:rFonts w:ascii="Times New Roman" w:eastAsia="Calibri" w:hAnsi="Times New Roman"/>
          <w:b/>
        </w:rPr>
      </w:pPr>
    </w:p>
    <w:p w14:paraId="0287BDB5" w14:textId="77777777" w:rsidR="004260FC" w:rsidRPr="004260FC" w:rsidRDefault="004260FC" w:rsidP="004260FC">
      <w:pPr>
        <w:adjustRightInd w:val="0"/>
        <w:snapToGrid w:val="0"/>
        <w:spacing w:after="0"/>
        <w:rPr>
          <w:rFonts w:ascii="Times New Roman" w:eastAsia="Calibri" w:hAnsi="Times New Roman"/>
          <w:b/>
        </w:rPr>
      </w:pPr>
      <w:r w:rsidRPr="004260FC">
        <w:rPr>
          <w:rFonts w:ascii="Times New Roman" w:eastAsia="Calibri" w:hAnsi="Times New Roman"/>
          <w:b/>
        </w:rPr>
        <w:t>Don’ts:</w:t>
      </w:r>
    </w:p>
    <w:p w14:paraId="2C858B71" w14:textId="77777777" w:rsidR="004260FC" w:rsidRPr="004260FC" w:rsidRDefault="004260FC" w:rsidP="0074425A">
      <w:pPr>
        <w:pStyle w:val="ListParagraph"/>
        <w:numPr>
          <w:ilvl w:val="0"/>
          <w:numId w:val="127"/>
        </w:numPr>
        <w:adjustRightInd w:val="0"/>
        <w:snapToGrid w:val="0"/>
        <w:contextualSpacing w:val="0"/>
        <w:jc w:val="left"/>
        <w:rPr>
          <w:rFonts w:ascii="Times New Roman" w:eastAsia="Calibri" w:hAnsi="Times New Roman"/>
        </w:rPr>
      </w:pPr>
      <w:r w:rsidRPr="004260FC">
        <w:rPr>
          <w:rFonts w:ascii="Times New Roman" w:eastAsia="Calibri" w:hAnsi="Times New Roman"/>
        </w:rPr>
        <w:t xml:space="preserve">Do not hit or slam a ray against any surface to remove the animal from the line. </w:t>
      </w:r>
    </w:p>
    <w:p w14:paraId="1A433ADB" w14:textId="77777777" w:rsidR="004260FC" w:rsidRPr="004260FC" w:rsidRDefault="004260FC" w:rsidP="0074425A">
      <w:pPr>
        <w:pStyle w:val="ListParagraph"/>
        <w:numPr>
          <w:ilvl w:val="0"/>
          <w:numId w:val="127"/>
        </w:numPr>
        <w:adjustRightInd w:val="0"/>
        <w:snapToGrid w:val="0"/>
        <w:contextualSpacing w:val="0"/>
        <w:jc w:val="left"/>
        <w:rPr>
          <w:rFonts w:ascii="Times New Roman" w:eastAsia="Calibri" w:hAnsi="Times New Roman"/>
        </w:rPr>
      </w:pPr>
      <w:r w:rsidRPr="004260FC">
        <w:rPr>
          <w:rFonts w:ascii="Times New Roman" w:eastAsia="Calibri" w:hAnsi="Times New Roman"/>
        </w:rPr>
        <w:t>Do not attempt to dislodge a deeply hooked or ingested hook by pulling on the branch line or using a dehooker.</w:t>
      </w:r>
    </w:p>
    <w:p w14:paraId="2035B502" w14:textId="77777777" w:rsidR="004260FC" w:rsidRPr="004260FC" w:rsidRDefault="004260FC" w:rsidP="0074425A">
      <w:pPr>
        <w:pStyle w:val="ListParagraph"/>
        <w:numPr>
          <w:ilvl w:val="0"/>
          <w:numId w:val="127"/>
        </w:numPr>
        <w:adjustRightInd w:val="0"/>
        <w:snapToGrid w:val="0"/>
        <w:contextualSpacing w:val="0"/>
        <w:jc w:val="left"/>
        <w:rPr>
          <w:rFonts w:ascii="Times New Roman" w:eastAsia="Calibri" w:hAnsi="Times New Roman"/>
        </w:rPr>
      </w:pPr>
      <w:r w:rsidRPr="004260FC">
        <w:rPr>
          <w:rFonts w:ascii="Times New Roman" w:eastAsia="Calibri" w:hAnsi="Times New Roman"/>
        </w:rPr>
        <w:t>Do not attempt to lift medium to large (&gt;30 kg) rays aboard vessel.</w:t>
      </w:r>
    </w:p>
    <w:p w14:paraId="476DD236" w14:textId="77777777" w:rsidR="004260FC" w:rsidRPr="004260FC" w:rsidRDefault="004260FC" w:rsidP="0074425A">
      <w:pPr>
        <w:pStyle w:val="ListParagraph"/>
        <w:numPr>
          <w:ilvl w:val="0"/>
          <w:numId w:val="127"/>
        </w:numPr>
        <w:adjustRightInd w:val="0"/>
        <w:snapToGrid w:val="0"/>
        <w:contextualSpacing w:val="0"/>
        <w:jc w:val="left"/>
        <w:rPr>
          <w:rFonts w:ascii="Times New Roman" w:eastAsia="Calibri" w:hAnsi="Times New Roman"/>
        </w:rPr>
      </w:pPr>
      <w:r w:rsidRPr="004260FC">
        <w:rPr>
          <w:rFonts w:ascii="Times New Roman" w:eastAsia="Calibri" w:hAnsi="Times New Roman"/>
        </w:rPr>
        <w:t>Do not cut the tail.</w:t>
      </w:r>
    </w:p>
    <w:p w14:paraId="5B263C34" w14:textId="77777777" w:rsidR="004260FC" w:rsidRPr="004260FC" w:rsidRDefault="004260FC" w:rsidP="0074425A">
      <w:pPr>
        <w:pStyle w:val="ListParagraph"/>
        <w:numPr>
          <w:ilvl w:val="0"/>
          <w:numId w:val="127"/>
        </w:numPr>
        <w:adjustRightInd w:val="0"/>
        <w:snapToGrid w:val="0"/>
        <w:contextualSpacing w:val="0"/>
        <w:jc w:val="left"/>
        <w:rPr>
          <w:rFonts w:ascii="Times New Roman" w:eastAsia="Calibri" w:hAnsi="Times New Roman"/>
        </w:rPr>
      </w:pPr>
      <w:r w:rsidRPr="004260FC">
        <w:rPr>
          <w:rFonts w:ascii="Times New Roman" w:eastAsia="Calibri" w:hAnsi="Times New Roman"/>
        </w:rPr>
        <w:t>Do not gaff, drag, carry, lift or pull a ray by its “cephalic lobes” or tail or by inserting hooks or hands into the gill slits or the spiracles.</w:t>
      </w:r>
    </w:p>
    <w:p w14:paraId="61E67300" w14:textId="77777777" w:rsidR="004260FC" w:rsidRDefault="004260FC" w:rsidP="004260FC">
      <w:pPr>
        <w:adjustRightInd w:val="0"/>
        <w:snapToGrid w:val="0"/>
        <w:spacing w:after="0"/>
        <w:rPr>
          <w:rFonts w:ascii="Times New Roman" w:eastAsia="Calibri" w:hAnsi="Times New Roman"/>
          <w:b/>
        </w:rPr>
      </w:pPr>
    </w:p>
    <w:p w14:paraId="64E087E1" w14:textId="64508057" w:rsidR="004260FC" w:rsidRPr="004260FC" w:rsidRDefault="004260FC" w:rsidP="004260FC">
      <w:pPr>
        <w:adjustRightInd w:val="0"/>
        <w:snapToGrid w:val="0"/>
        <w:spacing w:after="0"/>
        <w:rPr>
          <w:rFonts w:ascii="Times New Roman" w:eastAsia="Calibri" w:hAnsi="Times New Roman"/>
          <w:b/>
        </w:rPr>
      </w:pPr>
      <w:r>
        <w:rPr>
          <w:rFonts w:ascii="Times New Roman" w:eastAsia="Calibri" w:hAnsi="Times New Roman"/>
          <w:b/>
        </w:rPr>
        <w:t xml:space="preserve">SC13 adopted the following additional </w:t>
      </w:r>
      <w:r w:rsidRPr="004260FC">
        <w:rPr>
          <w:rFonts w:ascii="Times New Roman" w:eastAsia="Calibri" w:hAnsi="Times New Roman"/>
          <w:b/>
        </w:rPr>
        <w:fldChar w:fldCharType="begin"/>
      </w:r>
      <w:r w:rsidRPr="004260FC">
        <w:rPr>
          <w:rFonts w:ascii="Times New Roman" w:eastAsia="Calibri" w:hAnsi="Times New Roman"/>
          <w:b/>
        </w:rPr>
        <w:instrText xml:space="preserve"> ADDIN EN.CITE &lt;EndNote&gt;&lt;Cite ExcludeAuth="1" ExcludeYear="1" Hidden="1"&gt;&lt;Author&gt;Tremblay-Boyer&lt;/Author&gt;&lt;Year&gt;2016&lt;/Year&gt;&lt;RecNum&gt;60&lt;/RecNum&gt;&lt;record&gt;&lt;rec-number&gt;60&lt;/rec-number&gt;&lt;foreign-keys&gt;&lt;key app="EN" db-id="255stwrwqpvxdmevr2jvd9030s9559dwazv2" timestamp="1497654314"&gt;60&lt;/key&gt;&lt;/foreign-keys&gt;&lt;ref-type name="Conference Paper"&gt;47&lt;/ref-type&gt;&lt;contributors&gt;&lt;authors&gt;&lt;author&gt;Tremblay-Boyer, Laura &lt;/author&gt;&lt;author&gt;Brouwer, S&lt;/author&gt;&lt;/authors&gt;&lt;/contributors&gt;&lt;titles&gt;&lt;title&gt;Review of available information on non-key shark species including mobulids and fisheries interactions&lt;/title&gt;&lt;secondary-title&gt;Twelfth Regular Session of the Scientific Committee to the Western Central Pacific Fisheries Commission&lt;/secondary-title&gt;&lt;/titles&gt;&lt;number&gt;EB-WP-08&lt;/number&gt;&lt;num-vols&gt;Ecosystems and Bycatch&lt;/num-vols&gt;&lt;dates&gt;&lt;year&gt;2016&lt;/year&gt;&lt;/dates&gt;&lt;pub-location&gt;Bali, Indonesia&lt;/pub-location&gt;&lt;urls&gt;&lt;/urls&gt;&lt;/record&gt;&lt;/Cite&gt;&lt;/EndNote&gt;</w:instrText>
      </w:r>
      <w:r w:rsidRPr="004260FC">
        <w:rPr>
          <w:rFonts w:ascii="Times New Roman" w:eastAsia="Calibri" w:hAnsi="Times New Roman"/>
          <w:b/>
        </w:rPr>
        <w:fldChar w:fldCharType="end"/>
      </w:r>
      <w:r w:rsidRPr="004260FC">
        <w:rPr>
          <w:rFonts w:ascii="Times New Roman" w:eastAsia="Calibri" w:hAnsi="Times New Roman"/>
          <w:b/>
        </w:rPr>
        <w:t>Recommendation</w:t>
      </w:r>
      <w:r>
        <w:rPr>
          <w:rFonts w:ascii="Times New Roman" w:eastAsia="Calibri" w:hAnsi="Times New Roman"/>
          <w:b/>
        </w:rPr>
        <w:t>:</w:t>
      </w:r>
    </w:p>
    <w:p w14:paraId="14C9BFA6" w14:textId="47B737C1" w:rsidR="004260FC" w:rsidRPr="004260FC" w:rsidRDefault="004260FC" w:rsidP="0074425A">
      <w:pPr>
        <w:numPr>
          <w:ilvl w:val="0"/>
          <w:numId w:val="123"/>
        </w:numPr>
        <w:adjustRightInd w:val="0"/>
        <w:snapToGrid w:val="0"/>
        <w:spacing w:after="0"/>
        <w:ind w:left="0" w:firstLine="0"/>
        <w:jc w:val="left"/>
        <w:rPr>
          <w:rFonts w:ascii="Times New Roman" w:eastAsia="Calibri" w:hAnsi="Times New Roman"/>
          <w:b/>
        </w:rPr>
      </w:pPr>
      <w:r w:rsidRPr="004260FC">
        <w:rPr>
          <w:rFonts w:ascii="Times New Roman" w:eastAsia="Calibri" w:hAnsi="Times New Roman"/>
        </w:rPr>
        <w:t>Knowing that any fishing operation may catch rays, several tools can be prepared in advance (e.g. canvas or net slings or stretchers for carrying or lifting, large mesh net or grid to cover hatches/hoppers in purse seine fisheries, long handled cutters and de-hookers in longline fisheries).</w:t>
      </w:r>
    </w:p>
    <w:p w14:paraId="1AC9EEEA" w14:textId="77777777" w:rsidR="004260FC" w:rsidRPr="004260FC" w:rsidRDefault="004260FC" w:rsidP="004260FC">
      <w:pPr>
        <w:adjustRightInd w:val="0"/>
        <w:snapToGrid w:val="0"/>
        <w:spacing w:after="0"/>
        <w:rPr>
          <w:rFonts w:ascii="Times New Roman" w:hAnsi="Times New Roman"/>
        </w:rPr>
      </w:pPr>
    </w:p>
    <w:p w14:paraId="5FE32AC4" w14:textId="0F2E1288" w:rsidR="00DF02F5" w:rsidRDefault="00DF02F5">
      <w:pPr>
        <w:spacing w:after="0"/>
        <w:jc w:val="left"/>
        <w:rPr>
          <w:rFonts w:ascii="Times New Roman" w:hAnsi="Times New Roman"/>
          <w:lang w:val="en-US"/>
        </w:rPr>
      </w:pPr>
      <w:r>
        <w:rPr>
          <w:rFonts w:ascii="Times New Roman" w:hAnsi="Times New Roman"/>
          <w:lang w:val="en-US"/>
        </w:rPr>
        <w:br w:type="page"/>
      </w:r>
    </w:p>
    <w:p w14:paraId="3E41B783" w14:textId="4F8A6EC5" w:rsidR="00DF02F5" w:rsidRPr="0072610C" w:rsidRDefault="00DF02F5" w:rsidP="00DF02F5">
      <w:pPr>
        <w:autoSpaceDE w:val="0"/>
        <w:autoSpaceDN w:val="0"/>
        <w:adjustRightInd w:val="0"/>
        <w:snapToGrid w:val="0"/>
        <w:spacing w:after="0"/>
        <w:jc w:val="right"/>
        <w:rPr>
          <w:rFonts w:ascii="Times New Roman" w:hAnsi="Times New Roman"/>
          <w:b/>
          <w:bCs/>
          <w:lang w:val="en-AU" w:eastAsia="en-NZ"/>
        </w:rPr>
      </w:pPr>
      <w:r w:rsidRPr="0072610C">
        <w:rPr>
          <w:rFonts w:ascii="Times New Roman" w:hAnsi="Times New Roman"/>
          <w:b/>
          <w:bCs/>
          <w:lang w:val="en-AU" w:eastAsia="en-NZ"/>
        </w:rPr>
        <w:t xml:space="preserve">Attachment </w:t>
      </w:r>
      <w:r>
        <w:rPr>
          <w:rFonts w:ascii="Times New Roman" w:hAnsi="Times New Roman"/>
          <w:b/>
          <w:bCs/>
          <w:lang w:val="en-AU" w:eastAsia="en-NZ"/>
        </w:rPr>
        <w:t>I</w:t>
      </w:r>
    </w:p>
    <w:p w14:paraId="7A29F0BB" w14:textId="77777777" w:rsidR="00DF02F5" w:rsidRPr="0072610C" w:rsidRDefault="00DF02F5" w:rsidP="00DF02F5">
      <w:pPr>
        <w:autoSpaceDE w:val="0"/>
        <w:autoSpaceDN w:val="0"/>
        <w:adjustRightInd w:val="0"/>
        <w:snapToGrid w:val="0"/>
        <w:spacing w:after="0"/>
        <w:jc w:val="center"/>
        <w:rPr>
          <w:rFonts w:ascii="Times New Roman" w:hAnsi="Times New Roman"/>
          <w:b/>
          <w:bCs/>
          <w:lang w:val="en-AU" w:eastAsia="en-NZ"/>
        </w:rPr>
      </w:pPr>
    </w:p>
    <w:p w14:paraId="36053576" w14:textId="77777777" w:rsidR="00DF02F5" w:rsidRPr="0072610C" w:rsidRDefault="00DF02F5" w:rsidP="00DF02F5">
      <w:pPr>
        <w:autoSpaceDE w:val="0"/>
        <w:autoSpaceDN w:val="0"/>
        <w:adjustRightInd w:val="0"/>
        <w:snapToGrid w:val="0"/>
        <w:spacing w:after="0"/>
        <w:jc w:val="center"/>
        <w:rPr>
          <w:rFonts w:ascii="Times New Roman" w:hAnsi="Times New Roman"/>
          <w:b/>
          <w:bCs/>
          <w:lang w:val="en-AU" w:eastAsia="en-NZ"/>
        </w:rPr>
      </w:pPr>
      <w:r w:rsidRPr="0072610C">
        <w:rPr>
          <w:rFonts w:ascii="Times New Roman" w:hAnsi="Times New Roman"/>
          <w:b/>
          <w:bCs/>
          <w:lang w:val="en-AU" w:eastAsia="en-NZ"/>
        </w:rPr>
        <w:t xml:space="preserve">The Commission for the Conservation and Management of </w:t>
      </w:r>
      <w:r w:rsidRPr="0072610C">
        <w:rPr>
          <w:rFonts w:ascii="Times New Roman" w:hAnsi="Times New Roman"/>
          <w:b/>
          <w:bCs/>
          <w:lang w:val="en-AU" w:eastAsia="en-NZ"/>
        </w:rPr>
        <w:br/>
        <w:t>Highly Migratory Fish Stocks in the Western and Central Pacific Ocean</w:t>
      </w:r>
    </w:p>
    <w:p w14:paraId="00E0CF8E" w14:textId="77777777" w:rsidR="00DF02F5" w:rsidRPr="0072610C" w:rsidRDefault="00DF02F5" w:rsidP="00DF02F5">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 xml:space="preserve">Scientific Committee </w:t>
      </w:r>
    </w:p>
    <w:p w14:paraId="4B872C57" w14:textId="77777777" w:rsidR="00DF02F5" w:rsidRPr="0072610C" w:rsidRDefault="00DF02F5" w:rsidP="00DF02F5">
      <w:pPr>
        <w:autoSpaceDE w:val="0"/>
        <w:autoSpaceDN w:val="0"/>
        <w:adjustRightInd w:val="0"/>
        <w:snapToGrid w:val="0"/>
        <w:spacing w:after="0"/>
        <w:jc w:val="center"/>
        <w:rPr>
          <w:rFonts w:ascii="Times New Roman" w:hAnsi="Times New Roman"/>
          <w:b/>
          <w:bCs/>
          <w:lang w:val="en-AU" w:eastAsia="ko-KR"/>
        </w:rPr>
      </w:pPr>
      <w:r w:rsidRPr="0072610C">
        <w:rPr>
          <w:rFonts w:ascii="Times New Roman" w:hAnsi="Times New Roman"/>
          <w:b/>
          <w:bCs/>
          <w:lang w:val="en-AU" w:eastAsia="en-NZ"/>
        </w:rPr>
        <w:t>Thirteenth Regular Session</w:t>
      </w:r>
    </w:p>
    <w:p w14:paraId="1BBCD076" w14:textId="77777777" w:rsidR="00DF02F5" w:rsidRPr="004260FC" w:rsidRDefault="00DF02F5" w:rsidP="00DF02F5">
      <w:pPr>
        <w:autoSpaceDE w:val="0"/>
        <w:autoSpaceDN w:val="0"/>
        <w:adjustRightInd w:val="0"/>
        <w:snapToGrid w:val="0"/>
        <w:spacing w:after="0"/>
        <w:jc w:val="center"/>
        <w:rPr>
          <w:rFonts w:ascii="Times New Roman" w:hAnsi="Times New Roman"/>
          <w:bCs/>
          <w:lang w:val="en-AU" w:eastAsia="en-NZ"/>
        </w:rPr>
      </w:pPr>
      <w:r w:rsidRPr="0072610C">
        <w:rPr>
          <w:rFonts w:ascii="Times New Roman" w:hAnsi="Times New Roman"/>
          <w:bCs/>
          <w:lang w:val="en-AU" w:eastAsia="en-NZ"/>
        </w:rPr>
        <w:t>Rarotonga</w:t>
      </w:r>
      <w:r w:rsidRPr="00571D79">
        <w:rPr>
          <w:rFonts w:ascii="Times New Roman" w:hAnsi="Times New Roman"/>
          <w:bCs/>
          <w:lang w:val="en-AU" w:eastAsia="en-NZ"/>
        </w:rPr>
        <w:t>, Cook Islands</w:t>
      </w:r>
      <w:r w:rsidRPr="00571D79">
        <w:rPr>
          <w:rFonts w:ascii="Times New Roman" w:hAnsi="Times New Roman"/>
          <w:bCs/>
          <w:lang w:val="en-AU" w:eastAsia="en-NZ"/>
        </w:rPr>
        <w:br/>
        <w:t xml:space="preserve">9 </w:t>
      </w:r>
      <w:r w:rsidRPr="004260FC">
        <w:rPr>
          <w:rFonts w:ascii="Times New Roman" w:hAnsi="Times New Roman"/>
          <w:bCs/>
          <w:lang w:val="en-AU" w:eastAsia="en-NZ"/>
        </w:rPr>
        <w:t>- 17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DF02F5" w:rsidRPr="004260FC" w14:paraId="46DB498B" w14:textId="77777777" w:rsidTr="00DF02F5">
        <w:tc>
          <w:tcPr>
            <w:tcW w:w="9576" w:type="dxa"/>
            <w:tcBorders>
              <w:top w:val="single" w:sz="12" w:space="0" w:color="auto"/>
              <w:left w:val="nil"/>
              <w:bottom w:val="single" w:sz="12" w:space="0" w:color="auto"/>
              <w:right w:val="nil"/>
            </w:tcBorders>
            <w:hideMark/>
          </w:tcPr>
          <w:p w14:paraId="35960F6B" w14:textId="3920AD73" w:rsidR="00DF02F5" w:rsidRPr="004260FC" w:rsidRDefault="00DF02F5" w:rsidP="00DF02F5">
            <w:pPr>
              <w:adjustRightInd w:val="0"/>
              <w:snapToGrid w:val="0"/>
              <w:spacing w:after="0"/>
              <w:jc w:val="center"/>
              <w:rPr>
                <w:rFonts w:ascii="Times New Roman" w:hAnsi="Times New Roman"/>
                <w:b/>
                <w:lang w:val="en-US"/>
              </w:rPr>
            </w:pPr>
            <w:r w:rsidRPr="004260FC">
              <w:rPr>
                <w:rFonts w:ascii="Times New Roman" w:hAnsi="Times New Roman"/>
                <w:b/>
                <w:lang w:val="en-US"/>
              </w:rPr>
              <w:t>Report of the ISG-0</w:t>
            </w:r>
            <w:r>
              <w:rPr>
                <w:rFonts w:ascii="Times New Roman" w:hAnsi="Times New Roman"/>
                <w:b/>
                <w:lang w:val="en-US"/>
              </w:rPr>
              <w:t>4</w:t>
            </w:r>
          </w:p>
          <w:p w14:paraId="58DA3976" w14:textId="57217804" w:rsidR="00DF02F5" w:rsidRPr="004260FC" w:rsidRDefault="00DF02F5" w:rsidP="00DF02F5">
            <w:pPr>
              <w:adjustRightInd w:val="0"/>
              <w:snapToGrid w:val="0"/>
              <w:spacing w:after="0"/>
              <w:jc w:val="center"/>
              <w:rPr>
                <w:rFonts w:ascii="Times New Roman" w:eastAsia="맑은 고딕" w:hAnsi="Times New Roman"/>
                <w:b/>
                <w:lang w:val="en-AU" w:eastAsia="ko-KR"/>
              </w:rPr>
            </w:pPr>
            <w:r>
              <w:rPr>
                <w:rFonts w:ascii="Times New Roman" w:eastAsia="Calibri" w:hAnsi="Times New Roman"/>
                <w:b/>
              </w:rPr>
              <w:t>Shark Research Plan</w:t>
            </w:r>
          </w:p>
        </w:tc>
      </w:tr>
    </w:tbl>
    <w:p w14:paraId="65A145FE" w14:textId="77777777" w:rsidR="00DF02F5" w:rsidRPr="00DF02F5" w:rsidRDefault="00DF02F5" w:rsidP="00DF02F5">
      <w:pPr>
        <w:autoSpaceDE w:val="0"/>
        <w:autoSpaceDN w:val="0"/>
        <w:adjustRightInd w:val="0"/>
        <w:snapToGrid w:val="0"/>
        <w:spacing w:after="0"/>
        <w:rPr>
          <w:rFonts w:ascii="Times New Roman" w:hAnsi="Times New Roman"/>
          <w:lang w:val="en-AU"/>
        </w:rPr>
      </w:pPr>
    </w:p>
    <w:p w14:paraId="7706FBB5" w14:textId="77777777" w:rsidR="00DF02F5" w:rsidRPr="00DF02F5" w:rsidRDefault="00DF02F5" w:rsidP="00DF02F5">
      <w:pPr>
        <w:adjustRightInd w:val="0"/>
        <w:snapToGrid w:val="0"/>
        <w:spacing w:after="0"/>
        <w:rPr>
          <w:rFonts w:ascii="Times New Roman" w:hAnsi="Times New Roman"/>
          <w:b/>
          <w:lang w:val="en-US"/>
        </w:rPr>
      </w:pPr>
    </w:p>
    <w:p w14:paraId="411F163F" w14:textId="072D925D" w:rsidR="00DF02F5" w:rsidRDefault="00DF02F5" w:rsidP="00DF02F5">
      <w:pPr>
        <w:adjustRightInd w:val="0"/>
        <w:snapToGrid w:val="0"/>
        <w:spacing w:after="0"/>
        <w:rPr>
          <w:rFonts w:ascii="Times New Roman" w:hAnsi="Times New Roman"/>
          <w:b/>
        </w:rPr>
      </w:pPr>
      <w:r w:rsidRPr="00DF02F5">
        <w:rPr>
          <w:rFonts w:ascii="Times New Roman" w:hAnsi="Times New Roman"/>
          <w:b/>
        </w:rPr>
        <w:t>Terms of Reference</w:t>
      </w:r>
    </w:p>
    <w:p w14:paraId="4F72EE52" w14:textId="77777777" w:rsidR="00DF02F5" w:rsidRPr="00DF02F5" w:rsidRDefault="00DF02F5" w:rsidP="00DF02F5">
      <w:pPr>
        <w:adjustRightInd w:val="0"/>
        <w:snapToGrid w:val="0"/>
        <w:spacing w:after="0"/>
        <w:rPr>
          <w:rFonts w:ascii="Times New Roman" w:hAnsi="Times New Roman"/>
          <w:b/>
        </w:rPr>
      </w:pPr>
    </w:p>
    <w:p w14:paraId="60A55277" w14:textId="77777777" w:rsidR="00DF02F5" w:rsidRPr="00DF02F5" w:rsidRDefault="00DF02F5" w:rsidP="0074425A">
      <w:pPr>
        <w:pStyle w:val="ListParagraph"/>
        <w:numPr>
          <w:ilvl w:val="0"/>
          <w:numId w:val="104"/>
        </w:numPr>
        <w:adjustRightInd w:val="0"/>
        <w:snapToGrid w:val="0"/>
        <w:contextualSpacing w:val="0"/>
        <w:jc w:val="left"/>
        <w:rPr>
          <w:rFonts w:ascii="Times New Roman" w:hAnsi="Times New Roman"/>
        </w:rPr>
      </w:pPr>
      <w:r w:rsidRPr="00DF02F5">
        <w:rPr>
          <w:rFonts w:ascii="Times New Roman" w:hAnsi="Times New Roman"/>
        </w:rPr>
        <w:t>Review the Shark Research Plan progress</w:t>
      </w:r>
    </w:p>
    <w:p w14:paraId="4159886E" w14:textId="77777777" w:rsidR="00DF02F5" w:rsidRPr="00DF02F5" w:rsidRDefault="00DF02F5" w:rsidP="0074425A">
      <w:pPr>
        <w:pStyle w:val="ListParagraph"/>
        <w:numPr>
          <w:ilvl w:val="0"/>
          <w:numId w:val="104"/>
        </w:numPr>
        <w:adjustRightInd w:val="0"/>
        <w:snapToGrid w:val="0"/>
        <w:contextualSpacing w:val="0"/>
        <w:jc w:val="left"/>
        <w:rPr>
          <w:rFonts w:ascii="Times New Roman" w:hAnsi="Times New Roman"/>
        </w:rPr>
      </w:pPr>
      <w:r w:rsidRPr="00DF02F5">
        <w:rPr>
          <w:rFonts w:ascii="Times New Roman" w:hAnsi="Times New Roman"/>
        </w:rPr>
        <w:t>Update as needed</w:t>
      </w:r>
    </w:p>
    <w:p w14:paraId="22D3BEB4" w14:textId="77777777" w:rsidR="00DF02F5" w:rsidRPr="00DF02F5" w:rsidRDefault="00DF02F5" w:rsidP="0074425A">
      <w:pPr>
        <w:pStyle w:val="ListParagraph"/>
        <w:numPr>
          <w:ilvl w:val="1"/>
          <w:numId w:val="104"/>
        </w:numPr>
        <w:adjustRightInd w:val="0"/>
        <w:snapToGrid w:val="0"/>
        <w:contextualSpacing w:val="0"/>
        <w:jc w:val="left"/>
        <w:rPr>
          <w:rFonts w:ascii="Times New Roman" w:hAnsi="Times New Roman"/>
        </w:rPr>
      </w:pPr>
      <w:r w:rsidRPr="00DF02F5">
        <w:rPr>
          <w:rFonts w:ascii="Times New Roman" w:hAnsi="Times New Roman"/>
        </w:rPr>
        <w:t>Deletions or additions (considering sequencing)</w:t>
      </w:r>
    </w:p>
    <w:p w14:paraId="3047B198" w14:textId="77777777" w:rsidR="00DF02F5" w:rsidRPr="00DF02F5" w:rsidRDefault="00DF02F5" w:rsidP="0074425A">
      <w:pPr>
        <w:pStyle w:val="ListParagraph"/>
        <w:numPr>
          <w:ilvl w:val="1"/>
          <w:numId w:val="104"/>
        </w:numPr>
        <w:adjustRightInd w:val="0"/>
        <w:snapToGrid w:val="0"/>
        <w:contextualSpacing w:val="0"/>
        <w:jc w:val="left"/>
        <w:rPr>
          <w:rFonts w:ascii="Times New Roman" w:hAnsi="Times New Roman"/>
        </w:rPr>
      </w:pPr>
      <w:r w:rsidRPr="00DF02F5">
        <w:rPr>
          <w:rFonts w:ascii="Times New Roman" w:hAnsi="Times New Roman"/>
        </w:rPr>
        <w:t>Projects to put forward for WCPFC funding in 2018?</w:t>
      </w:r>
    </w:p>
    <w:p w14:paraId="4974E285" w14:textId="77777777" w:rsidR="00DF02F5" w:rsidRPr="00DF02F5" w:rsidRDefault="00DF02F5" w:rsidP="0074425A">
      <w:pPr>
        <w:pStyle w:val="ListParagraph"/>
        <w:numPr>
          <w:ilvl w:val="1"/>
          <w:numId w:val="104"/>
        </w:numPr>
        <w:adjustRightInd w:val="0"/>
        <w:snapToGrid w:val="0"/>
        <w:contextualSpacing w:val="0"/>
        <w:jc w:val="left"/>
        <w:rPr>
          <w:rFonts w:ascii="Times New Roman" w:hAnsi="Times New Roman"/>
        </w:rPr>
      </w:pPr>
      <w:r w:rsidRPr="00DF02F5">
        <w:rPr>
          <w:rFonts w:ascii="Times New Roman" w:hAnsi="Times New Roman"/>
        </w:rPr>
        <w:t>Consider budgets for Commission proposed projects.</w:t>
      </w:r>
    </w:p>
    <w:p w14:paraId="4C7213EB" w14:textId="77777777" w:rsidR="00DF02F5" w:rsidRDefault="00DF02F5" w:rsidP="00DF02F5">
      <w:pPr>
        <w:adjustRightInd w:val="0"/>
        <w:snapToGrid w:val="0"/>
        <w:spacing w:after="0"/>
        <w:rPr>
          <w:rFonts w:ascii="Times New Roman" w:hAnsi="Times New Roman"/>
        </w:rPr>
      </w:pPr>
    </w:p>
    <w:p w14:paraId="2422DB0A" w14:textId="1E7EE9E4" w:rsidR="00DF02F5" w:rsidRDefault="00DF02F5" w:rsidP="00DF02F5">
      <w:pPr>
        <w:adjustRightInd w:val="0"/>
        <w:snapToGrid w:val="0"/>
        <w:spacing w:after="0"/>
        <w:rPr>
          <w:rFonts w:ascii="Times New Roman" w:hAnsi="Times New Roman"/>
          <w:b/>
        </w:rPr>
      </w:pPr>
      <w:r w:rsidRPr="00DF02F5">
        <w:rPr>
          <w:rFonts w:ascii="Times New Roman" w:hAnsi="Times New Roman"/>
          <w:b/>
        </w:rPr>
        <w:t>R</w:t>
      </w:r>
      <w:r>
        <w:rPr>
          <w:rFonts w:ascii="Times New Roman" w:hAnsi="Times New Roman"/>
          <w:b/>
        </w:rPr>
        <w:t>elevant papers</w:t>
      </w:r>
    </w:p>
    <w:p w14:paraId="05DFA015" w14:textId="77777777" w:rsidR="00DF02F5" w:rsidRPr="00DF02F5" w:rsidRDefault="00DF02F5" w:rsidP="00DF02F5">
      <w:pPr>
        <w:adjustRightInd w:val="0"/>
        <w:snapToGrid w:val="0"/>
        <w:spacing w:after="0"/>
        <w:rPr>
          <w:rFonts w:ascii="Times New Roman" w:hAnsi="Times New Roman"/>
          <w:b/>
        </w:rPr>
      </w:pPr>
    </w:p>
    <w:p w14:paraId="6839D67D" w14:textId="77777777" w:rsidR="00DF02F5" w:rsidRPr="00DF02F5" w:rsidRDefault="00DF02F5" w:rsidP="0074425A">
      <w:pPr>
        <w:pStyle w:val="ListParagraph"/>
        <w:numPr>
          <w:ilvl w:val="0"/>
          <w:numId w:val="103"/>
        </w:numPr>
        <w:adjustRightInd w:val="0"/>
        <w:snapToGrid w:val="0"/>
        <w:contextualSpacing w:val="0"/>
        <w:jc w:val="left"/>
        <w:rPr>
          <w:rFonts w:ascii="Times New Roman" w:hAnsi="Times New Roman"/>
        </w:rPr>
      </w:pPr>
      <w:r w:rsidRPr="00DF02F5">
        <w:rPr>
          <w:rFonts w:ascii="Times New Roman" w:hAnsi="Times New Roman"/>
        </w:rPr>
        <w:t>SC13 EB-IP-09 ‘Progress on the WCPFC stock assessments and shark research plan (summary table)’</w:t>
      </w:r>
    </w:p>
    <w:p w14:paraId="0DE65AAC" w14:textId="77777777" w:rsidR="00DF02F5" w:rsidRPr="00DF02F5" w:rsidRDefault="00DF02F5" w:rsidP="0074425A">
      <w:pPr>
        <w:pStyle w:val="ListParagraph"/>
        <w:numPr>
          <w:ilvl w:val="0"/>
          <w:numId w:val="103"/>
        </w:numPr>
        <w:adjustRightInd w:val="0"/>
        <w:snapToGrid w:val="0"/>
        <w:contextualSpacing w:val="0"/>
        <w:jc w:val="left"/>
        <w:rPr>
          <w:rFonts w:ascii="Times New Roman" w:hAnsi="Times New Roman"/>
        </w:rPr>
      </w:pPr>
      <w:r w:rsidRPr="00DF02F5">
        <w:rPr>
          <w:rFonts w:ascii="Times New Roman" w:hAnsi="Times New Roman"/>
        </w:rPr>
        <w:t>SC13 EB-WP-07 ‘Progress Report for Project 78: Analysis of Observer and Logbook Data Pertaining to Key Shark Species in the Western and Central Pacific Ocean’</w:t>
      </w:r>
    </w:p>
    <w:p w14:paraId="5931231E" w14:textId="77777777" w:rsidR="00DF02F5" w:rsidRPr="00DF02F5" w:rsidRDefault="00DF02F5" w:rsidP="0074425A">
      <w:pPr>
        <w:pStyle w:val="ListParagraph"/>
        <w:numPr>
          <w:ilvl w:val="0"/>
          <w:numId w:val="103"/>
        </w:numPr>
        <w:adjustRightInd w:val="0"/>
        <w:snapToGrid w:val="0"/>
        <w:contextualSpacing w:val="0"/>
        <w:jc w:val="left"/>
        <w:rPr>
          <w:rFonts w:ascii="Times New Roman" w:hAnsi="Times New Roman"/>
        </w:rPr>
      </w:pPr>
      <w:r w:rsidRPr="00DF02F5">
        <w:rPr>
          <w:rFonts w:ascii="Times New Roman" w:hAnsi="Times New Roman"/>
        </w:rPr>
        <w:t>SC13 RP-ABNJ-01 ‘Update on the Common Oceans (ABNJ) Tuna Project’s Shark and Bycatch Components’</w:t>
      </w:r>
    </w:p>
    <w:p w14:paraId="6F0CE758" w14:textId="77777777" w:rsidR="00DF02F5" w:rsidRDefault="00DF02F5" w:rsidP="00DF02F5">
      <w:pPr>
        <w:adjustRightInd w:val="0"/>
        <w:snapToGrid w:val="0"/>
        <w:spacing w:after="0"/>
        <w:rPr>
          <w:rFonts w:ascii="Times New Roman" w:hAnsi="Times New Roman"/>
          <w:b/>
        </w:rPr>
      </w:pPr>
    </w:p>
    <w:p w14:paraId="4D1D1D4D" w14:textId="77777777" w:rsidR="00DF02F5" w:rsidRDefault="00DF02F5" w:rsidP="00DF02F5">
      <w:pPr>
        <w:adjustRightInd w:val="0"/>
        <w:snapToGrid w:val="0"/>
        <w:spacing w:after="0"/>
        <w:rPr>
          <w:rFonts w:ascii="Times New Roman" w:hAnsi="Times New Roman"/>
          <w:b/>
        </w:rPr>
      </w:pPr>
      <w:r w:rsidRPr="00DF02F5">
        <w:rPr>
          <w:rFonts w:ascii="Times New Roman" w:hAnsi="Times New Roman"/>
          <w:b/>
        </w:rPr>
        <w:t>Shark research plan progress</w:t>
      </w:r>
    </w:p>
    <w:p w14:paraId="5D141121" w14:textId="77777777" w:rsidR="00DF02F5" w:rsidRPr="00DF02F5" w:rsidRDefault="00DF02F5" w:rsidP="00DF02F5">
      <w:pPr>
        <w:adjustRightInd w:val="0"/>
        <w:snapToGrid w:val="0"/>
        <w:spacing w:after="0"/>
        <w:rPr>
          <w:rFonts w:ascii="Times New Roman" w:hAnsi="Times New Roman"/>
          <w:b/>
        </w:rPr>
      </w:pPr>
    </w:p>
    <w:p w14:paraId="70F9DFEC" w14:textId="77777777" w:rsidR="00DF02F5" w:rsidRDefault="00DF02F5" w:rsidP="00DF02F5">
      <w:pPr>
        <w:adjustRightInd w:val="0"/>
        <w:snapToGrid w:val="0"/>
        <w:spacing w:after="0"/>
        <w:rPr>
          <w:rFonts w:ascii="Times New Roman" w:hAnsi="Times New Roman"/>
        </w:rPr>
      </w:pPr>
      <w:r w:rsidRPr="00DF02F5">
        <w:rPr>
          <w:rFonts w:ascii="Times New Roman" w:hAnsi="Times New Roman"/>
        </w:rPr>
        <w:t xml:space="preserve">In the 2016 review of the shark research plan, SC12 identified a range of work items for completion in 2017 two of which were identified for funding by the Commission. Progress is summarized below in Table 1 below with paper references in Table 3. </w:t>
      </w:r>
    </w:p>
    <w:p w14:paraId="65E20A0F" w14:textId="77777777" w:rsidR="00DF02F5" w:rsidRPr="00DF02F5" w:rsidRDefault="00DF02F5" w:rsidP="00DF02F5">
      <w:pPr>
        <w:adjustRightInd w:val="0"/>
        <w:snapToGrid w:val="0"/>
        <w:spacing w:after="0"/>
        <w:rPr>
          <w:rFonts w:ascii="Times New Roman" w:hAnsi="Times New Roman"/>
        </w:rPr>
      </w:pPr>
    </w:p>
    <w:p w14:paraId="3D104F7B"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b/>
        </w:rPr>
        <w:t xml:space="preserve">ISG-4 Table 1: </w:t>
      </w:r>
      <w:r w:rsidRPr="00DF02F5">
        <w:rPr>
          <w:rFonts w:ascii="Times New Roman" w:hAnsi="Times New Roman"/>
        </w:rPr>
        <w:t>Progress of SRP projects identified by SC12.</w:t>
      </w:r>
    </w:p>
    <w:tbl>
      <w:tblPr>
        <w:tblStyle w:val="TableGrid"/>
        <w:tblW w:w="0" w:type="auto"/>
        <w:tblLook w:val="04A0" w:firstRow="1" w:lastRow="0" w:firstColumn="1" w:lastColumn="0" w:noHBand="0" w:noVBand="1"/>
      </w:tblPr>
      <w:tblGrid>
        <w:gridCol w:w="7038"/>
        <w:gridCol w:w="2029"/>
      </w:tblGrid>
      <w:tr w:rsidR="00DF02F5" w:rsidRPr="00DF02F5" w14:paraId="7895A10A" w14:textId="77777777" w:rsidTr="00DF02F5">
        <w:tc>
          <w:tcPr>
            <w:tcW w:w="7038" w:type="dxa"/>
            <w:shd w:val="clear" w:color="auto" w:fill="D9D9D9" w:themeFill="background1" w:themeFillShade="D9"/>
          </w:tcPr>
          <w:p w14:paraId="35C5E6FE" w14:textId="77777777" w:rsidR="00DF02F5" w:rsidRPr="00DF02F5" w:rsidRDefault="00DF02F5" w:rsidP="00DF02F5">
            <w:pPr>
              <w:adjustRightInd w:val="0"/>
              <w:snapToGrid w:val="0"/>
              <w:spacing w:after="0"/>
              <w:jc w:val="center"/>
              <w:rPr>
                <w:rFonts w:ascii="Times New Roman" w:hAnsi="Times New Roman"/>
                <w:b/>
              </w:rPr>
            </w:pPr>
            <w:r w:rsidRPr="00DF02F5">
              <w:rPr>
                <w:rFonts w:ascii="Times New Roman" w:hAnsi="Times New Roman"/>
                <w:b/>
              </w:rPr>
              <w:t>Project</w:t>
            </w:r>
          </w:p>
        </w:tc>
        <w:tc>
          <w:tcPr>
            <w:tcW w:w="2029" w:type="dxa"/>
            <w:shd w:val="clear" w:color="auto" w:fill="D9D9D9" w:themeFill="background1" w:themeFillShade="D9"/>
          </w:tcPr>
          <w:p w14:paraId="043B78CA" w14:textId="77777777" w:rsidR="00DF02F5" w:rsidRPr="00DF02F5" w:rsidRDefault="00DF02F5" w:rsidP="00DF02F5">
            <w:pPr>
              <w:adjustRightInd w:val="0"/>
              <w:snapToGrid w:val="0"/>
              <w:spacing w:after="0"/>
              <w:jc w:val="center"/>
              <w:rPr>
                <w:rFonts w:ascii="Times New Roman" w:hAnsi="Times New Roman"/>
                <w:b/>
              </w:rPr>
            </w:pPr>
            <w:r w:rsidRPr="00DF02F5">
              <w:rPr>
                <w:rFonts w:ascii="Times New Roman" w:hAnsi="Times New Roman"/>
                <w:b/>
              </w:rPr>
              <w:t>Status</w:t>
            </w:r>
          </w:p>
        </w:tc>
      </w:tr>
      <w:tr w:rsidR="00DF02F5" w:rsidRPr="00DF02F5" w14:paraId="07FC9BB3" w14:textId="77777777" w:rsidTr="00DF02F5">
        <w:tc>
          <w:tcPr>
            <w:tcW w:w="7038" w:type="dxa"/>
          </w:tcPr>
          <w:p w14:paraId="1F4FFDA9"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Review of shark data and modelling framework to support stock assessments. (WCPFC funding)</w:t>
            </w:r>
          </w:p>
        </w:tc>
        <w:tc>
          <w:tcPr>
            <w:tcW w:w="2029" w:type="dxa"/>
            <w:shd w:val="clear" w:color="auto" w:fill="auto"/>
            <w:vAlign w:val="center"/>
          </w:tcPr>
          <w:p w14:paraId="5AC30DFD" w14:textId="2BA8D0F2"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In prog</w:t>
            </w:r>
            <w:r>
              <w:rPr>
                <w:rFonts w:ascii="Times New Roman" w:hAnsi="Times New Roman"/>
              </w:rPr>
              <w:t>ress</w:t>
            </w:r>
          </w:p>
        </w:tc>
      </w:tr>
      <w:tr w:rsidR="00DF02F5" w:rsidRPr="00DF02F5" w14:paraId="63EF0F18" w14:textId="77777777" w:rsidTr="00DF02F5">
        <w:tc>
          <w:tcPr>
            <w:tcW w:w="7038" w:type="dxa"/>
          </w:tcPr>
          <w:p w14:paraId="00EDCE04" w14:textId="77777777" w:rsidR="00DF02F5" w:rsidRPr="00DF02F5" w:rsidRDefault="00DF02F5" w:rsidP="00DF02F5">
            <w:pPr>
              <w:adjustRightInd w:val="0"/>
              <w:snapToGrid w:val="0"/>
              <w:spacing w:after="0"/>
              <w:jc w:val="left"/>
              <w:rPr>
                <w:rFonts w:ascii="Times New Roman" w:hAnsi="Times New Roman"/>
              </w:rPr>
            </w:pPr>
            <w:bookmarkStart w:id="168" w:name="_Hlk490287474"/>
            <w:r w:rsidRPr="00DF02F5">
              <w:rPr>
                <w:rFonts w:ascii="Times New Roman" w:hAnsi="Times New Roman"/>
              </w:rPr>
              <w:t>Identifying appropriate Limit Reference Points (LRPs) for elasmobranchs within the WCPFC (WCPFC funding)</w:t>
            </w:r>
          </w:p>
        </w:tc>
        <w:tc>
          <w:tcPr>
            <w:tcW w:w="2029" w:type="dxa"/>
            <w:shd w:val="clear" w:color="auto" w:fill="auto"/>
            <w:vAlign w:val="center"/>
          </w:tcPr>
          <w:p w14:paraId="3E051478"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Did not proceed</w:t>
            </w:r>
          </w:p>
        </w:tc>
      </w:tr>
      <w:bookmarkEnd w:id="168"/>
      <w:tr w:rsidR="00DF02F5" w:rsidRPr="00DF02F5" w14:paraId="49701B75" w14:textId="77777777" w:rsidTr="00DF02F5">
        <w:tc>
          <w:tcPr>
            <w:tcW w:w="7038" w:type="dxa"/>
          </w:tcPr>
          <w:p w14:paraId="1D0B916C"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Update of silky shark status as a Pacific-wide assessment</w:t>
            </w:r>
          </w:p>
        </w:tc>
        <w:tc>
          <w:tcPr>
            <w:tcW w:w="2029" w:type="dxa"/>
            <w:shd w:val="clear" w:color="auto" w:fill="auto"/>
            <w:vAlign w:val="center"/>
          </w:tcPr>
          <w:p w14:paraId="5FD6AB22" w14:textId="27858D34"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In prog</w:t>
            </w:r>
            <w:r>
              <w:rPr>
                <w:rFonts w:ascii="Times New Roman" w:hAnsi="Times New Roman"/>
              </w:rPr>
              <w:t>ress</w:t>
            </w:r>
          </w:p>
        </w:tc>
      </w:tr>
      <w:tr w:rsidR="00DF02F5" w:rsidRPr="00DF02F5" w14:paraId="0E05C557" w14:textId="77777777" w:rsidTr="00DF02F5">
        <w:tc>
          <w:tcPr>
            <w:tcW w:w="7038" w:type="dxa"/>
          </w:tcPr>
          <w:p w14:paraId="6CDA24C1"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Post-release mortality tagging study</w:t>
            </w:r>
          </w:p>
        </w:tc>
        <w:tc>
          <w:tcPr>
            <w:tcW w:w="2029" w:type="dxa"/>
            <w:shd w:val="clear" w:color="auto" w:fill="auto"/>
            <w:vAlign w:val="center"/>
          </w:tcPr>
          <w:p w14:paraId="07C0E45F" w14:textId="1369FB13"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In prog</w:t>
            </w:r>
            <w:r>
              <w:rPr>
                <w:rFonts w:ascii="Times New Roman" w:hAnsi="Times New Roman"/>
              </w:rPr>
              <w:t>ress</w:t>
            </w:r>
          </w:p>
        </w:tc>
      </w:tr>
      <w:tr w:rsidR="00DF02F5" w:rsidRPr="00DF02F5" w14:paraId="3E4C5B31" w14:textId="77777777" w:rsidTr="00DF02F5">
        <w:tc>
          <w:tcPr>
            <w:tcW w:w="7038" w:type="dxa"/>
          </w:tcPr>
          <w:p w14:paraId="0E705042"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Participation in ISC North Pacific blue shark stock assessment activities</w:t>
            </w:r>
          </w:p>
        </w:tc>
        <w:tc>
          <w:tcPr>
            <w:tcW w:w="2029" w:type="dxa"/>
            <w:shd w:val="clear" w:color="auto" w:fill="auto"/>
            <w:vAlign w:val="center"/>
          </w:tcPr>
          <w:p w14:paraId="05C3A98E"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Complete</w:t>
            </w:r>
          </w:p>
        </w:tc>
      </w:tr>
      <w:tr w:rsidR="00DF02F5" w:rsidRPr="00DF02F5" w14:paraId="4F873EBB" w14:textId="77777777" w:rsidTr="00DF02F5">
        <w:tc>
          <w:tcPr>
            <w:tcW w:w="7038" w:type="dxa"/>
          </w:tcPr>
          <w:p w14:paraId="12533FE5"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Operational and management histories for WCPO longline fleets</w:t>
            </w:r>
          </w:p>
        </w:tc>
        <w:tc>
          <w:tcPr>
            <w:tcW w:w="2029" w:type="dxa"/>
            <w:shd w:val="clear" w:color="auto" w:fill="auto"/>
            <w:vAlign w:val="center"/>
          </w:tcPr>
          <w:p w14:paraId="1EC6E68C"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Did not proceed</w:t>
            </w:r>
          </w:p>
        </w:tc>
      </w:tr>
      <w:tr w:rsidR="00DF02F5" w:rsidRPr="00DF02F5" w14:paraId="37609FC5" w14:textId="77777777" w:rsidTr="00DF02F5">
        <w:tc>
          <w:tcPr>
            <w:tcW w:w="7038" w:type="dxa"/>
          </w:tcPr>
          <w:p w14:paraId="127E7CC7"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Operational planning for shark biological data improvement</w:t>
            </w:r>
          </w:p>
        </w:tc>
        <w:tc>
          <w:tcPr>
            <w:tcW w:w="2029" w:type="dxa"/>
            <w:shd w:val="clear" w:color="auto" w:fill="auto"/>
            <w:vAlign w:val="center"/>
          </w:tcPr>
          <w:p w14:paraId="1985A6E7"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Did not proceed</w:t>
            </w:r>
          </w:p>
        </w:tc>
      </w:tr>
      <w:tr w:rsidR="00DF02F5" w:rsidRPr="00DF02F5" w14:paraId="48A569F5" w14:textId="77777777" w:rsidTr="00DF02F5">
        <w:tc>
          <w:tcPr>
            <w:tcW w:w="7038" w:type="dxa"/>
          </w:tcPr>
          <w:p w14:paraId="6E9C47F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North Pacific blue shark assessment</w:t>
            </w:r>
          </w:p>
        </w:tc>
        <w:tc>
          <w:tcPr>
            <w:tcW w:w="2029" w:type="dxa"/>
            <w:shd w:val="clear" w:color="auto" w:fill="auto"/>
            <w:vAlign w:val="center"/>
          </w:tcPr>
          <w:p w14:paraId="7C83000A"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Complete</w:t>
            </w:r>
          </w:p>
        </w:tc>
      </w:tr>
      <w:tr w:rsidR="00DF02F5" w:rsidRPr="00DF02F5" w14:paraId="1DE4D977" w14:textId="77777777" w:rsidTr="00DF02F5">
        <w:tc>
          <w:tcPr>
            <w:tcW w:w="7038" w:type="dxa"/>
          </w:tcPr>
          <w:p w14:paraId="0CDEAC41"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Southern Hemisphere Porbeagle shark assessment</w:t>
            </w:r>
          </w:p>
        </w:tc>
        <w:tc>
          <w:tcPr>
            <w:tcW w:w="2029" w:type="dxa"/>
            <w:shd w:val="clear" w:color="auto" w:fill="auto"/>
            <w:vAlign w:val="center"/>
          </w:tcPr>
          <w:p w14:paraId="558301B1"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Complete</w:t>
            </w:r>
          </w:p>
        </w:tc>
      </w:tr>
      <w:tr w:rsidR="00DF02F5" w:rsidRPr="00DF02F5" w14:paraId="12C37A07" w14:textId="77777777" w:rsidTr="00DF02F5">
        <w:tc>
          <w:tcPr>
            <w:tcW w:w="7038" w:type="dxa"/>
          </w:tcPr>
          <w:p w14:paraId="6F776EDD"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Pacific-wide Bigeye thresher shark assessment </w:t>
            </w:r>
          </w:p>
        </w:tc>
        <w:tc>
          <w:tcPr>
            <w:tcW w:w="2029" w:type="dxa"/>
            <w:shd w:val="clear" w:color="auto" w:fill="auto"/>
            <w:vAlign w:val="center"/>
          </w:tcPr>
          <w:p w14:paraId="53E4FCC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Complete</w:t>
            </w:r>
          </w:p>
        </w:tc>
      </w:tr>
    </w:tbl>
    <w:p w14:paraId="247ACB6D" w14:textId="77777777" w:rsidR="00DF02F5" w:rsidRDefault="00DF02F5" w:rsidP="00DF02F5">
      <w:pPr>
        <w:adjustRightInd w:val="0"/>
        <w:snapToGrid w:val="0"/>
        <w:spacing w:after="0"/>
        <w:rPr>
          <w:rFonts w:ascii="Times New Roman" w:hAnsi="Times New Roman"/>
          <w:b/>
        </w:rPr>
      </w:pPr>
      <w:r w:rsidRPr="00DF02F5">
        <w:rPr>
          <w:rFonts w:ascii="Times New Roman" w:hAnsi="Times New Roman"/>
          <w:b/>
        </w:rPr>
        <w:t>Shark research plan Updates – Projects for 2018</w:t>
      </w:r>
    </w:p>
    <w:p w14:paraId="4FE1A2C1" w14:textId="77777777" w:rsidR="00DF02F5" w:rsidRPr="00DF02F5" w:rsidRDefault="00DF02F5" w:rsidP="00DF02F5">
      <w:pPr>
        <w:adjustRightInd w:val="0"/>
        <w:snapToGrid w:val="0"/>
        <w:spacing w:after="0"/>
        <w:rPr>
          <w:rFonts w:ascii="Times New Roman" w:hAnsi="Times New Roman"/>
        </w:rPr>
      </w:pPr>
    </w:p>
    <w:p w14:paraId="1E2DA008" w14:textId="77777777" w:rsidR="00DF02F5" w:rsidRDefault="00DF02F5" w:rsidP="00DF02F5">
      <w:pPr>
        <w:adjustRightInd w:val="0"/>
        <w:snapToGrid w:val="0"/>
        <w:spacing w:after="0"/>
        <w:rPr>
          <w:rFonts w:ascii="Times New Roman" w:hAnsi="Times New Roman"/>
        </w:rPr>
      </w:pPr>
      <w:r w:rsidRPr="00DF02F5">
        <w:rPr>
          <w:rFonts w:ascii="Times New Roman" w:hAnsi="Times New Roman"/>
        </w:rPr>
        <w:t>ISG-4 considered the set of projects provided in SC13 EB-IP-09 with the addition of Project 57 (shark LRPs) that was again considered because it was not undertaken in 2017. Table 2 provides commentary on each of these projects with an indication of potential funding sources or whether the project should be deferred to allow for sequencing of other projects.</w:t>
      </w:r>
    </w:p>
    <w:p w14:paraId="15DAD989" w14:textId="4010B158"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br/>
      </w:r>
      <w:r w:rsidRPr="00DF02F5">
        <w:rPr>
          <w:rFonts w:ascii="Times New Roman" w:hAnsi="Times New Roman"/>
          <w:b/>
        </w:rPr>
        <w:t>ISG-4 Table 2:</w:t>
      </w:r>
      <w:r w:rsidRPr="00DF02F5">
        <w:rPr>
          <w:rFonts w:ascii="Times New Roman" w:hAnsi="Times New Roman"/>
        </w:rPr>
        <w:t xml:space="preserve"> Commentary by ISG-4 on potential projects for 2018. </w:t>
      </w:r>
    </w:p>
    <w:tbl>
      <w:tblPr>
        <w:tblStyle w:val="TableGrid"/>
        <w:tblW w:w="9464" w:type="dxa"/>
        <w:tblLook w:val="04A0" w:firstRow="1" w:lastRow="0" w:firstColumn="1" w:lastColumn="0" w:noHBand="0" w:noVBand="1"/>
      </w:tblPr>
      <w:tblGrid>
        <w:gridCol w:w="546"/>
        <w:gridCol w:w="3851"/>
        <w:gridCol w:w="3946"/>
        <w:gridCol w:w="1121"/>
      </w:tblGrid>
      <w:tr w:rsidR="00DF02F5" w:rsidRPr="00DF02F5" w14:paraId="78D207CB" w14:textId="77777777" w:rsidTr="009E77A2">
        <w:tc>
          <w:tcPr>
            <w:tcW w:w="526" w:type="dxa"/>
            <w:shd w:val="clear" w:color="auto" w:fill="BFBFBF" w:themeFill="background1" w:themeFillShade="BF"/>
          </w:tcPr>
          <w:p w14:paraId="07D81472" w14:textId="77777777" w:rsidR="00DF02F5" w:rsidRPr="00DF02F5" w:rsidRDefault="00DF02F5" w:rsidP="009E77A2">
            <w:pPr>
              <w:adjustRightInd w:val="0"/>
              <w:snapToGrid w:val="0"/>
              <w:spacing w:after="0"/>
              <w:jc w:val="center"/>
              <w:rPr>
                <w:rFonts w:ascii="Times New Roman" w:hAnsi="Times New Roman"/>
                <w:b/>
              </w:rPr>
            </w:pPr>
            <w:r w:rsidRPr="00DF02F5">
              <w:rPr>
                <w:rFonts w:ascii="Times New Roman" w:hAnsi="Times New Roman"/>
                <w:b/>
              </w:rPr>
              <w:t>No.</w:t>
            </w:r>
          </w:p>
        </w:tc>
        <w:tc>
          <w:tcPr>
            <w:tcW w:w="3963" w:type="dxa"/>
            <w:shd w:val="clear" w:color="auto" w:fill="BFBFBF" w:themeFill="background1" w:themeFillShade="BF"/>
          </w:tcPr>
          <w:p w14:paraId="07950B52" w14:textId="77777777" w:rsidR="00DF02F5" w:rsidRPr="00DF02F5" w:rsidRDefault="00DF02F5" w:rsidP="009E77A2">
            <w:pPr>
              <w:adjustRightInd w:val="0"/>
              <w:snapToGrid w:val="0"/>
              <w:spacing w:after="0"/>
              <w:jc w:val="center"/>
              <w:rPr>
                <w:rFonts w:ascii="Times New Roman" w:hAnsi="Times New Roman"/>
                <w:b/>
              </w:rPr>
            </w:pPr>
            <w:r w:rsidRPr="00DF02F5">
              <w:rPr>
                <w:rFonts w:ascii="Times New Roman" w:hAnsi="Times New Roman"/>
                <w:b/>
              </w:rPr>
              <w:t>Proposed project</w:t>
            </w:r>
          </w:p>
        </w:tc>
        <w:tc>
          <w:tcPr>
            <w:tcW w:w="4044" w:type="dxa"/>
            <w:shd w:val="clear" w:color="auto" w:fill="BFBFBF" w:themeFill="background1" w:themeFillShade="BF"/>
          </w:tcPr>
          <w:p w14:paraId="7BDFFB36" w14:textId="77777777" w:rsidR="00DF02F5" w:rsidRPr="00DF02F5" w:rsidRDefault="00DF02F5" w:rsidP="009E77A2">
            <w:pPr>
              <w:adjustRightInd w:val="0"/>
              <w:snapToGrid w:val="0"/>
              <w:spacing w:after="0"/>
              <w:jc w:val="center"/>
              <w:rPr>
                <w:rFonts w:ascii="Times New Roman" w:hAnsi="Times New Roman"/>
                <w:b/>
              </w:rPr>
            </w:pPr>
            <w:r w:rsidRPr="00DF02F5">
              <w:rPr>
                <w:rFonts w:ascii="Times New Roman" w:hAnsi="Times New Roman"/>
                <w:b/>
              </w:rPr>
              <w:t>ISG-4 comment</w:t>
            </w:r>
          </w:p>
        </w:tc>
        <w:tc>
          <w:tcPr>
            <w:tcW w:w="931" w:type="dxa"/>
            <w:shd w:val="clear" w:color="auto" w:fill="BFBFBF" w:themeFill="background1" w:themeFillShade="BF"/>
          </w:tcPr>
          <w:p w14:paraId="5AB5502F" w14:textId="77777777" w:rsidR="00DF02F5" w:rsidRPr="00DF02F5" w:rsidRDefault="00DF02F5" w:rsidP="009E77A2">
            <w:pPr>
              <w:adjustRightInd w:val="0"/>
              <w:snapToGrid w:val="0"/>
              <w:spacing w:after="0"/>
              <w:jc w:val="center"/>
              <w:rPr>
                <w:rFonts w:ascii="Times New Roman" w:hAnsi="Times New Roman"/>
                <w:b/>
              </w:rPr>
            </w:pPr>
            <w:r w:rsidRPr="00DF02F5">
              <w:rPr>
                <w:rFonts w:ascii="Times New Roman" w:hAnsi="Times New Roman"/>
                <w:b/>
              </w:rPr>
              <w:t>Funding?</w:t>
            </w:r>
          </w:p>
        </w:tc>
      </w:tr>
      <w:tr w:rsidR="00DF02F5" w:rsidRPr="00DF02F5" w14:paraId="6D513A05" w14:textId="77777777" w:rsidTr="009E77A2">
        <w:tc>
          <w:tcPr>
            <w:tcW w:w="526" w:type="dxa"/>
            <w:shd w:val="clear" w:color="auto" w:fill="auto"/>
          </w:tcPr>
          <w:p w14:paraId="2C81E617"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57</w:t>
            </w:r>
          </w:p>
        </w:tc>
        <w:tc>
          <w:tcPr>
            <w:tcW w:w="3963" w:type="dxa"/>
            <w:shd w:val="clear" w:color="auto" w:fill="auto"/>
          </w:tcPr>
          <w:p w14:paraId="0E64D70D"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Project 57: Identifying appropriate Limit Reference Points (LRPs) for elasmobranchs within the WCPFC</w:t>
            </w:r>
          </w:p>
        </w:tc>
        <w:tc>
          <w:tcPr>
            <w:tcW w:w="4044" w:type="dxa"/>
            <w:shd w:val="clear" w:color="auto" w:fill="auto"/>
          </w:tcPr>
          <w:p w14:paraId="4D9AC744"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Re-submit with updated budget figure.</w:t>
            </w:r>
          </w:p>
        </w:tc>
        <w:tc>
          <w:tcPr>
            <w:tcW w:w="931" w:type="dxa"/>
            <w:shd w:val="clear" w:color="auto" w:fill="auto"/>
          </w:tcPr>
          <w:p w14:paraId="45DB68B9"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WCPFC</w:t>
            </w:r>
          </w:p>
          <w:p w14:paraId="0D4D6610"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(SC13)</w:t>
            </w:r>
          </w:p>
        </w:tc>
      </w:tr>
      <w:tr w:rsidR="00DF02F5" w:rsidRPr="00DF02F5" w14:paraId="5C810332" w14:textId="77777777" w:rsidTr="009E77A2">
        <w:tc>
          <w:tcPr>
            <w:tcW w:w="526" w:type="dxa"/>
            <w:shd w:val="clear" w:color="auto" w:fill="auto"/>
          </w:tcPr>
          <w:p w14:paraId="602BB339"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#5</w:t>
            </w:r>
          </w:p>
        </w:tc>
        <w:tc>
          <w:tcPr>
            <w:tcW w:w="3963" w:type="dxa"/>
            <w:shd w:val="clear" w:color="auto" w:fill="auto"/>
          </w:tcPr>
          <w:p w14:paraId="078770A5"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Operational planning for shark biological data improvement</w:t>
            </w:r>
          </w:p>
        </w:tc>
        <w:tc>
          <w:tcPr>
            <w:tcW w:w="4044" w:type="dxa"/>
            <w:shd w:val="clear" w:color="auto" w:fill="auto"/>
          </w:tcPr>
          <w:p w14:paraId="71F922BC"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Required. Should precede any biological work e.g. hammerhead</w:t>
            </w:r>
          </w:p>
        </w:tc>
        <w:tc>
          <w:tcPr>
            <w:tcW w:w="931" w:type="dxa"/>
            <w:shd w:val="clear" w:color="auto" w:fill="auto"/>
          </w:tcPr>
          <w:p w14:paraId="7DB67A5B"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ABNJ</w:t>
            </w:r>
          </w:p>
        </w:tc>
      </w:tr>
      <w:tr w:rsidR="00DF02F5" w:rsidRPr="00DF02F5" w14:paraId="0C53AC01" w14:textId="77777777" w:rsidTr="009E77A2">
        <w:tc>
          <w:tcPr>
            <w:tcW w:w="526" w:type="dxa"/>
            <w:shd w:val="clear" w:color="auto" w:fill="auto"/>
          </w:tcPr>
          <w:p w14:paraId="5C648508"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#6</w:t>
            </w:r>
          </w:p>
        </w:tc>
        <w:tc>
          <w:tcPr>
            <w:tcW w:w="3963" w:type="dxa"/>
            <w:shd w:val="clear" w:color="auto" w:fill="auto"/>
          </w:tcPr>
          <w:p w14:paraId="17506504"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Shark Modelling Project (modelling developments to account for the bias in the spatial distribution of observer data…)</w:t>
            </w:r>
          </w:p>
        </w:tc>
        <w:tc>
          <w:tcPr>
            <w:tcW w:w="4044" w:type="dxa"/>
            <w:shd w:val="clear" w:color="auto" w:fill="auto"/>
          </w:tcPr>
          <w:p w14:paraId="02400D85"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Possibly required. Should precede CPUE and assessment work</w:t>
            </w:r>
          </w:p>
        </w:tc>
        <w:tc>
          <w:tcPr>
            <w:tcW w:w="931" w:type="dxa"/>
            <w:shd w:val="clear" w:color="auto" w:fill="auto"/>
          </w:tcPr>
          <w:p w14:paraId="6E534A3B"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Pending SRP review</w:t>
            </w:r>
          </w:p>
        </w:tc>
      </w:tr>
      <w:tr w:rsidR="00DF02F5" w:rsidRPr="00DF02F5" w14:paraId="4EE4765D" w14:textId="77777777" w:rsidTr="009E77A2">
        <w:tc>
          <w:tcPr>
            <w:tcW w:w="526" w:type="dxa"/>
            <w:shd w:val="clear" w:color="auto" w:fill="auto"/>
          </w:tcPr>
          <w:p w14:paraId="00FA626E"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#11</w:t>
            </w:r>
          </w:p>
        </w:tc>
        <w:tc>
          <w:tcPr>
            <w:tcW w:w="3963" w:type="dxa"/>
            <w:shd w:val="clear" w:color="auto" w:fill="auto"/>
          </w:tcPr>
          <w:p w14:paraId="209ED50E"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 xml:space="preserve">Assess stock recruit relationships </w:t>
            </w:r>
          </w:p>
        </w:tc>
        <w:tc>
          <w:tcPr>
            <w:tcW w:w="4044" w:type="dxa"/>
            <w:shd w:val="clear" w:color="auto" w:fill="auto"/>
          </w:tcPr>
          <w:p w14:paraId="08602B52"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Required before some assessments go ahead (excluding MIST). Note Pacific wide silky assessment will continue.</w:t>
            </w:r>
          </w:p>
        </w:tc>
        <w:tc>
          <w:tcPr>
            <w:tcW w:w="931" w:type="dxa"/>
            <w:shd w:val="clear" w:color="auto" w:fill="auto"/>
          </w:tcPr>
          <w:p w14:paraId="6C6A8E5D"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Pending SRP review</w:t>
            </w:r>
          </w:p>
        </w:tc>
      </w:tr>
      <w:tr w:rsidR="00DF02F5" w:rsidRPr="00DF02F5" w14:paraId="62D90C4B" w14:textId="77777777" w:rsidTr="009E77A2">
        <w:tc>
          <w:tcPr>
            <w:tcW w:w="526" w:type="dxa"/>
            <w:shd w:val="clear" w:color="auto" w:fill="auto"/>
          </w:tcPr>
          <w:p w14:paraId="2D9DB783"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#7</w:t>
            </w:r>
          </w:p>
        </w:tc>
        <w:tc>
          <w:tcPr>
            <w:tcW w:w="3963" w:type="dxa"/>
            <w:shd w:val="clear" w:color="auto" w:fill="auto"/>
          </w:tcPr>
          <w:p w14:paraId="1695DB62"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SRP mid-term review</w:t>
            </w:r>
          </w:p>
        </w:tc>
        <w:tc>
          <w:tcPr>
            <w:tcW w:w="4044" w:type="dxa"/>
            <w:shd w:val="clear" w:color="auto" w:fill="auto"/>
          </w:tcPr>
          <w:p w14:paraId="0E0DFA53"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Required. Can help prioritise future work. Will take the results of PROJECT 78.</w:t>
            </w:r>
          </w:p>
        </w:tc>
        <w:tc>
          <w:tcPr>
            <w:tcW w:w="931" w:type="dxa"/>
            <w:shd w:val="clear" w:color="auto" w:fill="auto"/>
          </w:tcPr>
          <w:p w14:paraId="4948ECB6"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WCPFC</w:t>
            </w:r>
          </w:p>
          <w:p w14:paraId="0DADE28E"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(SC13)</w:t>
            </w:r>
          </w:p>
        </w:tc>
      </w:tr>
      <w:tr w:rsidR="00DF02F5" w:rsidRPr="00DF02F5" w14:paraId="15EFA0C4" w14:textId="77777777" w:rsidTr="009E77A2">
        <w:tc>
          <w:tcPr>
            <w:tcW w:w="526" w:type="dxa"/>
            <w:shd w:val="clear" w:color="auto" w:fill="auto"/>
          </w:tcPr>
          <w:p w14:paraId="3BB9879E"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#2</w:t>
            </w:r>
          </w:p>
        </w:tc>
        <w:tc>
          <w:tcPr>
            <w:tcW w:w="3963" w:type="dxa"/>
            <w:shd w:val="clear" w:color="auto" w:fill="auto"/>
          </w:tcPr>
          <w:p w14:paraId="5794813A"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Southeast Pacific data preparation to support south Pacific blue and shortfin mako assessments</w:t>
            </w:r>
          </w:p>
        </w:tc>
        <w:tc>
          <w:tcPr>
            <w:tcW w:w="4044" w:type="dxa"/>
            <w:shd w:val="clear" w:color="auto" w:fill="auto"/>
          </w:tcPr>
          <w:p w14:paraId="772E7D30"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ABNJ could fund but depends on assessment schedule for SP mako (see #12)</w:t>
            </w:r>
          </w:p>
        </w:tc>
        <w:tc>
          <w:tcPr>
            <w:tcW w:w="931" w:type="dxa"/>
            <w:shd w:val="clear" w:color="auto" w:fill="auto"/>
          </w:tcPr>
          <w:p w14:paraId="4D858296"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ABNJ</w:t>
            </w:r>
          </w:p>
        </w:tc>
      </w:tr>
      <w:tr w:rsidR="00DF02F5" w:rsidRPr="00DF02F5" w14:paraId="7DB370AD" w14:textId="77777777" w:rsidTr="009E77A2">
        <w:tc>
          <w:tcPr>
            <w:tcW w:w="526" w:type="dxa"/>
            <w:shd w:val="clear" w:color="auto" w:fill="auto"/>
          </w:tcPr>
          <w:p w14:paraId="24F744BD"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#12</w:t>
            </w:r>
          </w:p>
        </w:tc>
        <w:tc>
          <w:tcPr>
            <w:tcW w:w="3963" w:type="dxa"/>
            <w:shd w:val="clear" w:color="auto" w:fill="auto"/>
          </w:tcPr>
          <w:p w14:paraId="3D14CFB7"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South Pacific mako and Blue shark assessments</w:t>
            </w:r>
          </w:p>
        </w:tc>
        <w:tc>
          <w:tcPr>
            <w:tcW w:w="4044" w:type="dxa"/>
            <w:shd w:val="clear" w:color="auto" w:fill="auto"/>
          </w:tcPr>
          <w:p w14:paraId="62717D24"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 xml:space="preserve">Dependant on CPUE and catch history work above so should postpone. Note these are a priority and commercial species for some CCMs. </w:t>
            </w:r>
          </w:p>
        </w:tc>
        <w:tc>
          <w:tcPr>
            <w:tcW w:w="931" w:type="dxa"/>
            <w:shd w:val="clear" w:color="auto" w:fill="auto"/>
          </w:tcPr>
          <w:p w14:paraId="36DAA9DE"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Defer 2019</w:t>
            </w:r>
          </w:p>
        </w:tc>
      </w:tr>
      <w:tr w:rsidR="00DF02F5" w:rsidRPr="00DF02F5" w14:paraId="02C540DF" w14:textId="77777777" w:rsidTr="009E77A2">
        <w:tc>
          <w:tcPr>
            <w:tcW w:w="526" w:type="dxa"/>
            <w:shd w:val="clear" w:color="auto" w:fill="auto"/>
          </w:tcPr>
          <w:p w14:paraId="67F6A48A" w14:textId="77777777" w:rsidR="00DF02F5" w:rsidRPr="009E77A2" w:rsidRDefault="00DF02F5" w:rsidP="00DF02F5">
            <w:pPr>
              <w:adjustRightInd w:val="0"/>
              <w:snapToGrid w:val="0"/>
              <w:spacing w:after="0"/>
              <w:rPr>
                <w:rFonts w:ascii="Times New Roman" w:hAnsi="Times New Roman"/>
              </w:rPr>
            </w:pPr>
            <w:r w:rsidRPr="009E77A2">
              <w:rPr>
                <w:rFonts w:ascii="Times New Roman" w:hAnsi="Times New Roman"/>
              </w:rPr>
              <w:t>#3</w:t>
            </w:r>
          </w:p>
        </w:tc>
        <w:tc>
          <w:tcPr>
            <w:tcW w:w="3963" w:type="dxa"/>
            <w:shd w:val="clear" w:color="auto" w:fill="auto"/>
          </w:tcPr>
          <w:p w14:paraId="7C134089"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Participation in ISC North Pacific shortfin mako shark stock assessment activities.</w:t>
            </w:r>
          </w:p>
        </w:tc>
        <w:tc>
          <w:tcPr>
            <w:tcW w:w="4044" w:type="dxa"/>
            <w:shd w:val="clear" w:color="auto" w:fill="auto"/>
          </w:tcPr>
          <w:p w14:paraId="099FB206"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 xml:space="preserve">Would need $ for SPC contributions. </w:t>
            </w:r>
          </w:p>
          <w:p w14:paraId="4E7D3305"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Work would need to commence prior to Commission approval.</w:t>
            </w:r>
          </w:p>
        </w:tc>
        <w:tc>
          <w:tcPr>
            <w:tcW w:w="931" w:type="dxa"/>
            <w:shd w:val="clear" w:color="auto" w:fill="auto"/>
          </w:tcPr>
          <w:p w14:paraId="341B326A"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WCPFC</w:t>
            </w:r>
          </w:p>
          <w:p w14:paraId="1269E00E" w14:textId="77777777" w:rsidR="00DF02F5" w:rsidRPr="009E77A2" w:rsidRDefault="00DF02F5" w:rsidP="00DF02F5">
            <w:pPr>
              <w:adjustRightInd w:val="0"/>
              <w:snapToGrid w:val="0"/>
              <w:spacing w:after="0"/>
              <w:jc w:val="left"/>
              <w:rPr>
                <w:rFonts w:ascii="Times New Roman" w:hAnsi="Times New Roman"/>
              </w:rPr>
            </w:pPr>
            <w:r w:rsidRPr="009E77A2">
              <w:rPr>
                <w:rFonts w:ascii="Times New Roman" w:hAnsi="Times New Roman"/>
              </w:rPr>
              <w:t>(SC13)</w:t>
            </w:r>
          </w:p>
        </w:tc>
      </w:tr>
      <w:tr w:rsidR="00DF02F5" w:rsidRPr="00DF02F5" w14:paraId="7731C665" w14:textId="77777777" w:rsidTr="009E77A2">
        <w:tc>
          <w:tcPr>
            <w:tcW w:w="526" w:type="dxa"/>
            <w:shd w:val="clear" w:color="auto" w:fill="auto"/>
          </w:tcPr>
          <w:p w14:paraId="64565EEF"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t>#8</w:t>
            </w:r>
          </w:p>
        </w:tc>
        <w:tc>
          <w:tcPr>
            <w:tcW w:w="3963" w:type="dxa"/>
            <w:shd w:val="clear" w:color="auto" w:fill="auto"/>
          </w:tcPr>
          <w:p w14:paraId="6084F24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Hammerhead shark catch histories </w:t>
            </w:r>
          </w:p>
        </w:tc>
        <w:tc>
          <w:tcPr>
            <w:tcW w:w="4044" w:type="dxa"/>
            <w:shd w:val="clear" w:color="auto" w:fill="auto"/>
          </w:tcPr>
          <w:p w14:paraId="6750985D"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Required prior to assessments (if they are </w:t>
            </w:r>
            <w:proofErr w:type="gramStart"/>
            <w:r w:rsidRPr="00DF02F5">
              <w:rPr>
                <w:rFonts w:ascii="Times New Roman" w:hAnsi="Times New Roman"/>
              </w:rPr>
              <w:t>possible/necessary</w:t>
            </w:r>
            <w:proofErr w:type="gramEnd"/>
            <w:r w:rsidRPr="00DF02F5">
              <w:rPr>
                <w:rFonts w:ascii="Times New Roman" w:hAnsi="Times New Roman"/>
              </w:rPr>
              <w:t>) but may be part of a larger catch histories methods work. Postpone pending results of PROJECT 78.</w:t>
            </w:r>
          </w:p>
        </w:tc>
        <w:tc>
          <w:tcPr>
            <w:tcW w:w="931" w:type="dxa"/>
            <w:shd w:val="clear" w:color="auto" w:fill="auto"/>
          </w:tcPr>
          <w:p w14:paraId="19F2158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Defer</w:t>
            </w:r>
          </w:p>
        </w:tc>
      </w:tr>
      <w:tr w:rsidR="00DF02F5" w:rsidRPr="00DF02F5" w14:paraId="14C32A29" w14:textId="77777777" w:rsidTr="009E77A2">
        <w:tc>
          <w:tcPr>
            <w:tcW w:w="526" w:type="dxa"/>
            <w:shd w:val="clear" w:color="auto" w:fill="auto"/>
          </w:tcPr>
          <w:p w14:paraId="4B94FA6A"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t>#9</w:t>
            </w:r>
          </w:p>
        </w:tc>
        <w:tc>
          <w:tcPr>
            <w:tcW w:w="3963" w:type="dxa"/>
            <w:shd w:val="clear" w:color="auto" w:fill="auto"/>
          </w:tcPr>
          <w:p w14:paraId="2D5799BD"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Hammerhead shark biology </w:t>
            </w:r>
          </w:p>
        </w:tc>
        <w:tc>
          <w:tcPr>
            <w:tcW w:w="4044" w:type="dxa"/>
            <w:shd w:val="clear" w:color="auto" w:fill="auto"/>
          </w:tcPr>
          <w:p w14:paraId="14B1AA59"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Postpone until the above biology gaps project #5 complete</w:t>
            </w:r>
          </w:p>
        </w:tc>
        <w:tc>
          <w:tcPr>
            <w:tcW w:w="931" w:type="dxa"/>
            <w:shd w:val="clear" w:color="auto" w:fill="auto"/>
          </w:tcPr>
          <w:p w14:paraId="7EE0E521"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Defer</w:t>
            </w:r>
          </w:p>
        </w:tc>
      </w:tr>
      <w:tr w:rsidR="00DF02F5" w:rsidRPr="00DF02F5" w14:paraId="0D52B38A" w14:textId="77777777" w:rsidTr="009E77A2">
        <w:tc>
          <w:tcPr>
            <w:tcW w:w="526" w:type="dxa"/>
            <w:shd w:val="clear" w:color="auto" w:fill="auto"/>
          </w:tcPr>
          <w:p w14:paraId="1E353473"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t>#1</w:t>
            </w:r>
          </w:p>
        </w:tc>
        <w:tc>
          <w:tcPr>
            <w:tcW w:w="3963" w:type="dxa"/>
            <w:shd w:val="clear" w:color="auto" w:fill="auto"/>
          </w:tcPr>
          <w:p w14:paraId="7A29D32D"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Pacific-wide analysis of whale shark-purse seine interactions – Potential assessment</w:t>
            </w:r>
          </w:p>
        </w:tc>
        <w:tc>
          <w:tcPr>
            <w:tcW w:w="4044" w:type="dxa"/>
            <w:shd w:val="clear" w:color="auto" w:fill="auto"/>
          </w:tcPr>
          <w:p w14:paraId="3197566A"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ABNJ funding</w:t>
            </w:r>
          </w:p>
        </w:tc>
        <w:tc>
          <w:tcPr>
            <w:tcW w:w="931" w:type="dxa"/>
            <w:shd w:val="clear" w:color="auto" w:fill="auto"/>
          </w:tcPr>
          <w:p w14:paraId="15DAFE19"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ABNJ</w:t>
            </w:r>
          </w:p>
        </w:tc>
      </w:tr>
      <w:tr w:rsidR="00DF02F5" w:rsidRPr="00DF02F5" w14:paraId="3FEB3288" w14:textId="77777777" w:rsidTr="009E77A2">
        <w:tc>
          <w:tcPr>
            <w:tcW w:w="526" w:type="dxa"/>
            <w:shd w:val="clear" w:color="auto" w:fill="auto"/>
          </w:tcPr>
          <w:p w14:paraId="38BE8049"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t>#10</w:t>
            </w:r>
          </w:p>
        </w:tc>
        <w:tc>
          <w:tcPr>
            <w:tcW w:w="3963" w:type="dxa"/>
            <w:shd w:val="clear" w:color="auto" w:fill="auto"/>
          </w:tcPr>
          <w:p w14:paraId="7F4C5179"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Whale shark stock discrimination </w:t>
            </w:r>
          </w:p>
        </w:tc>
        <w:tc>
          <w:tcPr>
            <w:tcW w:w="4044" w:type="dxa"/>
            <w:shd w:val="clear" w:color="auto" w:fill="auto"/>
          </w:tcPr>
          <w:p w14:paraId="2DDE90C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Tagging could go ahead using observers. Dependant on Project #5.</w:t>
            </w:r>
          </w:p>
        </w:tc>
        <w:tc>
          <w:tcPr>
            <w:tcW w:w="931" w:type="dxa"/>
            <w:shd w:val="clear" w:color="auto" w:fill="auto"/>
          </w:tcPr>
          <w:p w14:paraId="4E6626CC"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Pending SRP review</w:t>
            </w:r>
          </w:p>
        </w:tc>
      </w:tr>
      <w:tr w:rsidR="00DF02F5" w:rsidRPr="00DF02F5" w14:paraId="2F19D1B0" w14:textId="77777777" w:rsidTr="009E77A2">
        <w:tc>
          <w:tcPr>
            <w:tcW w:w="526" w:type="dxa"/>
            <w:shd w:val="clear" w:color="auto" w:fill="auto"/>
          </w:tcPr>
          <w:p w14:paraId="3CFE5DC1" w14:textId="77777777" w:rsidR="00DF02F5" w:rsidRPr="00DF02F5" w:rsidRDefault="00DF02F5" w:rsidP="00DF02F5">
            <w:pPr>
              <w:adjustRightInd w:val="0"/>
              <w:snapToGrid w:val="0"/>
              <w:spacing w:after="0"/>
              <w:rPr>
                <w:rFonts w:ascii="Times New Roman" w:hAnsi="Times New Roman"/>
              </w:rPr>
            </w:pPr>
            <w:r w:rsidRPr="00DF02F5">
              <w:rPr>
                <w:rFonts w:ascii="Times New Roman" w:hAnsi="Times New Roman"/>
              </w:rPr>
              <w:t>#4</w:t>
            </w:r>
          </w:p>
        </w:tc>
        <w:tc>
          <w:tcPr>
            <w:tcW w:w="3963" w:type="dxa"/>
            <w:shd w:val="clear" w:color="auto" w:fill="auto"/>
          </w:tcPr>
          <w:p w14:paraId="055F807F"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Operational and management histories for WCPO longline fleets</w:t>
            </w:r>
          </w:p>
        </w:tc>
        <w:tc>
          <w:tcPr>
            <w:tcW w:w="4044" w:type="dxa"/>
            <w:shd w:val="clear" w:color="auto" w:fill="auto"/>
          </w:tcPr>
          <w:p w14:paraId="3BD13146"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 xml:space="preserve">Project relevant to sharks and tuna. </w:t>
            </w:r>
          </w:p>
          <w:p w14:paraId="635C198D"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NC work in progress.</w:t>
            </w:r>
          </w:p>
        </w:tc>
        <w:tc>
          <w:tcPr>
            <w:tcW w:w="931" w:type="dxa"/>
            <w:shd w:val="clear" w:color="auto" w:fill="auto"/>
          </w:tcPr>
          <w:p w14:paraId="5F4D2F3B" w14:textId="77777777" w:rsidR="00DF02F5" w:rsidRPr="00DF02F5" w:rsidRDefault="00DF02F5" w:rsidP="00DF02F5">
            <w:pPr>
              <w:adjustRightInd w:val="0"/>
              <w:snapToGrid w:val="0"/>
              <w:spacing w:after="0"/>
              <w:jc w:val="left"/>
              <w:rPr>
                <w:rFonts w:ascii="Times New Roman" w:hAnsi="Times New Roman"/>
              </w:rPr>
            </w:pPr>
            <w:r w:rsidRPr="00DF02F5">
              <w:rPr>
                <w:rFonts w:ascii="Times New Roman" w:hAnsi="Times New Roman"/>
              </w:rPr>
              <w:t>ABNJ</w:t>
            </w:r>
          </w:p>
        </w:tc>
      </w:tr>
    </w:tbl>
    <w:p w14:paraId="3F12D543" w14:textId="77777777" w:rsidR="00DF02F5" w:rsidRPr="00DF02F5" w:rsidRDefault="00DF02F5" w:rsidP="00DF02F5">
      <w:pPr>
        <w:adjustRightInd w:val="0"/>
        <w:snapToGrid w:val="0"/>
        <w:spacing w:after="0"/>
        <w:rPr>
          <w:rFonts w:ascii="Times New Roman" w:eastAsia="맑은 고딕" w:hAnsi="Times New Roman"/>
          <w:lang w:eastAsia="ko-KR"/>
        </w:rPr>
      </w:pPr>
      <w:r w:rsidRPr="00DF02F5">
        <w:rPr>
          <w:rFonts w:ascii="Times New Roman" w:hAnsi="Times New Roman"/>
          <w:b/>
        </w:rPr>
        <w:t xml:space="preserve">ISG-4 Table 3: </w:t>
      </w:r>
      <w:r w:rsidRPr="00DF02F5">
        <w:rPr>
          <w:rFonts w:ascii="Times New Roman" w:hAnsi="Times New Roman"/>
        </w:rPr>
        <w:t>S</w:t>
      </w:r>
      <w:r w:rsidRPr="00DF02F5">
        <w:rPr>
          <w:rFonts w:ascii="Times New Roman" w:eastAsia="맑은 고딕" w:hAnsi="Times New Roman"/>
          <w:lang w:eastAsia="ko-KR"/>
        </w:rPr>
        <w:t xml:space="preserve">chedule of analyses under the WCPFC Shark Research Plan and proposed future tuna and billfish stock assessments. New potential project outlines for 2018 are identified with </w:t>
      </w:r>
      <w:r w:rsidRPr="00DF02F5">
        <w:rPr>
          <w:rFonts w:ascii="Times New Roman" w:eastAsia="맑은 고딕" w:hAnsi="Times New Roman"/>
          <w:highlight w:val="cyan"/>
          <w:lang w:eastAsia="ko-KR"/>
        </w:rPr>
        <w:t>#</w:t>
      </w:r>
      <w:r w:rsidRPr="00DF02F5">
        <w:rPr>
          <w:rFonts w:ascii="Times New Roman" w:eastAsia="맑은 고딕" w:hAnsi="Times New Roman"/>
          <w:lang w:eastAsia="ko-KR"/>
        </w:rPr>
        <w:t xml:space="preserve"> and the project details are provided in the subsequent tables for 2018 proposed work.</w:t>
      </w:r>
      <w:r w:rsidRPr="00DF02F5">
        <w:rPr>
          <w:rFonts w:ascii="Times New Roman" w:hAnsi="Times New Roman"/>
        </w:rPr>
        <w:t xml:space="preserve"> For 2017, work submitted to SC13 with reports or project updates are indicated in </w:t>
      </w:r>
      <w:r w:rsidRPr="00DF02F5">
        <w:rPr>
          <w:rFonts w:ascii="Times New Roman" w:hAnsi="Times New Roman"/>
          <w:color w:val="FF0000"/>
        </w:rPr>
        <w:t xml:space="preserve">red </w:t>
      </w:r>
      <w:r w:rsidRPr="00DF02F5">
        <w:rPr>
          <w:rFonts w:ascii="Times New Roman" w:hAnsi="Times New Roman"/>
        </w:rPr>
        <w:t xml:space="preserve">with the corresponding SC13 paper number for ease of reference. </w:t>
      </w:r>
    </w:p>
    <w:tbl>
      <w:tblPr>
        <w:tblStyle w:val="TableGrid"/>
        <w:tblW w:w="5000" w:type="pct"/>
        <w:jc w:val="center"/>
        <w:tblLook w:val="04A0" w:firstRow="1" w:lastRow="0" w:firstColumn="1" w:lastColumn="0" w:noHBand="0" w:noVBand="1"/>
      </w:tblPr>
      <w:tblGrid>
        <w:gridCol w:w="1149"/>
        <w:gridCol w:w="37"/>
        <w:gridCol w:w="1107"/>
        <w:gridCol w:w="30"/>
        <w:gridCol w:w="1032"/>
        <w:gridCol w:w="24"/>
        <w:gridCol w:w="1757"/>
        <w:gridCol w:w="22"/>
        <w:gridCol w:w="1155"/>
        <w:gridCol w:w="15"/>
        <w:gridCol w:w="1322"/>
        <w:gridCol w:w="14"/>
        <w:gridCol w:w="1336"/>
        <w:gridCol w:w="576"/>
      </w:tblGrid>
      <w:tr w:rsidR="00DF02F5" w:rsidRPr="00DF02F5" w14:paraId="5298B11A" w14:textId="77777777" w:rsidTr="004A4775">
        <w:trPr>
          <w:tblHeader/>
          <w:jc w:val="center"/>
        </w:trPr>
        <w:tc>
          <w:tcPr>
            <w:tcW w:w="502" w:type="pct"/>
            <w:gridSpan w:val="2"/>
            <w:tcBorders>
              <w:top w:val="single" w:sz="12" w:space="0" w:color="auto"/>
              <w:left w:val="single" w:sz="12" w:space="0" w:color="auto"/>
              <w:bottom w:val="single" w:sz="12" w:space="0" w:color="auto"/>
            </w:tcBorders>
            <w:shd w:val="clear" w:color="auto" w:fill="BFBFBF" w:themeFill="background1" w:themeFillShade="BF"/>
            <w:vAlign w:val="center"/>
          </w:tcPr>
          <w:p w14:paraId="316EDA10"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Species</w:t>
            </w:r>
          </w:p>
        </w:tc>
        <w:tc>
          <w:tcPr>
            <w:tcW w:w="547" w:type="pct"/>
            <w:gridSpan w:val="2"/>
            <w:tcBorders>
              <w:top w:val="single" w:sz="12" w:space="0" w:color="auto"/>
              <w:bottom w:val="single" w:sz="12" w:space="0" w:color="auto"/>
            </w:tcBorders>
            <w:shd w:val="clear" w:color="auto" w:fill="BFBFBF" w:themeFill="background1" w:themeFillShade="BF"/>
            <w:vAlign w:val="center"/>
          </w:tcPr>
          <w:p w14:paraId="04B06EBC"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Stock</w:t>
            </w:r>
          </w:p>
        </w:tc>
        <w:tc>
          <w:tcPr>
            <w:tcW w:w="512" w:type="pct"/>
            <w:gridSpan w:val="2"/>
            <w:tcBorders>
              <w:top w:val="single" w:sz="12" w:space="0" w:color="auto"/>
              <w:bottom w:val="single" w:sz="12" w:space="0" w:color="auto"/>
            </w:tcBorders>
            <w:shd w:val="clear" w:color="auto" w:fill="BFBFBF" w:themeFill="background1" w:themeFillShade="BF"/>
            <w:vAlign w:val="center"/>
          </w:tcPr>
          <w:p w14:paraId="7F94CA61"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Last assessment</w:t>
            </w:r>
          </w:p>
        </w:tc>
        <w:tc>
          <w:tcPr>
            <w:tcW w:w="1198" w:type="pct"/>
            <w:gridSpan w:val="2"/>
            <w:tcBorders>
              <w:top w:val="single" w:sz="12" w:space="0" w:color="auto"/>
              <w:bottom w:val="single" w:sz="12" w:space="0" w:color="auto"/>
            </w:tcBorders>
            <w:shd w:val="clear" w:color="auto" w:fill="BFBFBF" w:themeFill="background1" w:themeFillShade="BF"/>
            <w:vAlign w:val="center"/>
          </w:tcPr>
          <w:p w14:paraId="0A24F243"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2017</w:t>
            </w:r>
          </w:p>
        </w:tc>
        <w:tc>
          <w:tcPr>
            <w:tcW w:w="536" w:type="pct"/>
            <w:gridSpan w:val="2"/>
            <w:tcBorders>
              <w:top w:val="single" w:sz="12" w:space="0" w:color="auto"/>
              <w:bottom w:val="single" w:sz="12" w:space="0" w:color="auto"/>
            </w:tcBorders>
            <w:shd w:val="clear" w:color="auto" w:fill="BFBFBF" w:themeFill="background1" w:themeFillShade="BF"/>
            <w:vAlign w:val="center"/>
          </w:tcPr>
          <w:p w14:paraId="466EB3F4"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2018</w:t>
            </w:r>
          </w:p>
        </w:tc>
        <w:tc>
          <w:tcPr>
            <w:tcW w:w="569" w:type="pct"/>
            <w:gridSpan w:val="2"/>
            <w:tcBorders>
              <w:top w:val="single" w:sz="12" w:space="0" w:color="auto"/>
              <w:bottom w:val="single" w:sz="12" w:space="0" w:color="auto"/>
            </w:tcBorders>
            <w:shd w:val="clear" w:color="auto" w:fill="BFBFBF" w:themeFill="background1" w:themeFillShade="BF"/>
            <w:vAlign w:val="center"/>
          </w:tcPr>
          <w:p w14:paraId="1FFA79A6"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2019</w:t>
            </w:r>
          </w:p>
        </w:tc>
        <w:tc>
          <w:tcPr>
            <w:tcW w:w="569" w:type="pct"/>
            <w:tcBorders>
              <w:top w:val="single" w:sz="12" w:space="0" w:color="auto"/>
              <w:bottom w:val="single" w:sz="12" w:space="0" w:color="auto"/>
              <w:right w:val="single" w:sz="4" w:space="0" w:color="auto"/>
            </w:tcBorders>
            <w:shd w:val="clear" w:color="auto" w:fill="BFBFBF" w:themeFill="background1" w:themeFillShade="BF"/>
            <w:vAlign w:val="center"/>
          </w:tcPr>
          <w:p w14:paraId="67199F42"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2020</w:t>
            </w:r>
          </w:p>
        </w:tc>
        <w:tc>
          <w:tcPr>
            <w:tcW w:w="567"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tcPr>
          <w:p w14:paraId="5CFF8B87" w14:textId="77777777" w:rsidR="00DF02F5" w:rsidRPr="00DF02F5" w:rsidRDefault="00DF02F5" w:rsidP="00DF02F5">
            <w:pPr>
              <w:adjustRightInd w:val="0"/>
              <w:snapToGrid w:val="0"/>
              <w:spacing w:after="0"/>
              <w:jc w:val="center"/>
              <w:rPr>
                <w:rFonts w:ascii="Times New Roman" w:hAnsi="Times New Roman"/>
                <w:b/>
                <w:sz w:val="18"/>
                <w:szCs w:val="18"/>
              </w:rPr>
            </w:pPr>
            <w:r w:rsidRPr="00DF02F5">
              <w:rPr>
                <w:rFonts w:ascii="Times New Roman" w:hAnsi="Times New Roman"/>
                <w:b/>
                <w:sz w:val="18"/>
                <w:szCs w:val="18"/>
              </w:rPr>
              <w:t>2021</w:t>
            </w:r>
          </w:p>
        </w:tc>
      </w:tr>
      <w:tr w:rsidR="00DF02F5" w:rsidRPr="00DF02F5" w14:paraId="517C3B70" w14:textId="77777777" w:rsidTr="004A4775">
        <w:trPr>
          <w:jc w:val="center"/>
        </w:trPr>
        <w:tc>
          <w:tcPr>
            <w:tcW w:w="502" w:type="pct"/>
            <w:gridSpan w:val="2"/>
            <w:vMerge w:val="restart"/>
            <w:tcBorders>
              <w:top w:val="single" w:sz="12" w:space="0" w:color="auto"/>
              <w:left w:val="single" w:sz="12" w:space="0" w:color="auto"/>
            </w:tcBorders>
            <w:shd w:val="clear" w:color="auto" w:fill="D9D9D9" w:themeFill="background1" w:themeFillShade="D9"/>
            <w:vAlign w:val="center"/>
          </w:tcPr>
          <w:p w14:paraId="46CF2456"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Bigeye tuna</w:t>
            </w:r>
          </w:p>
        </w:tc>
        <w:tc>
          <w:tcPr>
            <w:tcW w:w="547" w:type="pct"/>
            <w:gridSpan w:val="2"/>
            <w:tcBorders>
              <w:top w:val="single" w:sz="12" w:space="0" w:color="auto"/>
            </w:tcBorders>
            <w:shd w:val="clear" w:color="auto" w:fill="D9D9D9" w:themeFill="background1" w:themeFillShade="D9"/>
            <w:vAlign w:val="center"/>
          </w:tcPr>
          <w:p w14:paraId="13B1D4A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WCPO</w:t>
            </w:r>
          </w:p>
        </w:tc>
        <w:tc>
          <w:tcPr>
            <w:tcW w:w="512" w:type="pct"/>
            <w:gridSpan w:val="2"/>
            <w:tcBorders>
              <w:top w:val="single" w:sz="12" w:space="0" w:color="auto"/>
            </w:tcBorders>
            <w:shd w:val="clear" w:color="auto" w:fill="D9D9D9" w:themeFill="background1" w:themeFillShade="D9"/>
            <w:vAlign w:val="center"/>
          </w:tcPr>
          <w:p w14:paraId="2838DE18"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2017</w:t>
            </w:r>
          </w:p>
        </w:tc>
        <w:tc>
          <w:tcPr>
            <w:tcW w:w="1198" w:type="pct"/>
            <w:gridSpan w:val="2"/>
            <w:tcBorders>
              <w:top w:val="single" w:sz="12" w:space="0" w:color="auto"/>
            </w:tcBorders>
            <w:shd w:val="clear" w:color="auto" w:fill="D9D9D9" w:themeFill="background1" w:themeFillShade="D9"/>
            <w:vAlign w:val="center"/>
          </w:tcPr>
          <w:p w14:paraId="28AD121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 (SC13</w:t>
            </w:r>
            <w:r w:rsidRPr="00DF02F5">
              <w:rPr>
                <w:rFonts w:ascii="Times New Roman" w:hAnsi="Times New Roman"/>
                <w:color w:val="808080" w:themeColor="background1" w:themeShade="80"/>
                <w:sz w:val="18"/>
                <w:szCs w:val="18"/>
              </w:rPr>
              <w:noBreakHyphen/>
              <w:t>SA</w:t>
            </w:r>
            <w:r w:rsidRPr="00DF02F5">
              <w:rPr>
                <w:rFonts w:ascii="Times New Roman" w:hAnsi="Times New Roman"/>
                <w:color w:val="808080" w:themeColor="background1" w:themeShade="80"/>
                <w:sz w:val="18"/>
                <w:szCs w:val="18"/>
              </w:rPr>
              <w:noBreakHyphen/>
              <w:t>WP</w:t>
            </w:r>
            <w:r w:rsidRPr="00DF02F5">
              <w:rPr>
                <w:rFonts w:ascii="Times New Roman" w:hAnsi="Times New Roman"/>
                <w:color w:val="808080" w:themeColor="background1" w:themeShade="80"/>
                <w:sz w:val="18"/>
                <w:szCs w:val="18"/>
              </w:rPr>
              <w:noBreakHyphen/>
              <w:t>05)</w:t>
            </w:r>
          </w:p>
        </w:tc>
        <w:tc>
          <w:tcPr>
            <w:tcW w:w="536" w:type="pct"/>
            <w:gridSpan w:val="2"/>
            <w:tcBorders>
              <w:top w:val="single" w:sz="12" w:space="0" w:color="auto"/>
            </w:tcBorders>
            <w:shd w:val="clear" w:color="auto" w:fill="D9D9D9" w:themeFill="background1" w:themeFillShade="D9"/>
            <w:vAlign w:val="center"/>
          </w:tcPr>
          <w:p w14:paraId="129CC2BF"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gridSpan w:val="2"/>
            <w:tcBorders>
              <w:top w:val="single" w:sz="12" w:space="0" w:color="auto"/>
            </w:tcBorders>
            <w:shd w:val="clear" w:color="auto" w:fill="D9D9D9" w:themeFill="background1" w:themeFillShade="D9"/>
            <w:vAlign w:val="center"/>
          </w:tcPr>
          <w:p w14:paraId="22E7D58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top w:val="single" w:sz="12" w:space="0" w:color="auto"/>
              <w:bottom w:val="single" w:sz="4" w:space="0" w:color="auto"/>
              <w:right w:val="single" w:sz="4" w:space="0" w:color="auto"/>
            </w:tcBorders>
            <w:shd w:val="clear" w:color="auto" w:fill="D9D9D9" w:themeFill="background1" w:themeFillShade="D9"/>
            <w:vAlign w:val="center"/>
          </w:tcPr>
          <w:p w14:paraId="32F87CF5"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c>
          <w:tcPr>
            <w:tcW w:w="567" w:type="pct"/>
            <w:tcBorders>
              <w:top w:val="single" w:sz="12" w:space="0" w:color="auto"/>
              <w:left w:val="single" w:sz="4" w:space="0" w:color="auto"/>
              <w:right w:val="single" w:sz="12" w:space="0" w:color="auto"/>
            </w:tcBorders>
            <w:shd w:val="clear" w:color="auto" w:fill="D9D9D9" w:themeFill="background1" w:themeFillShade="D9"/>
          </w:tcPr>
          <w:p w14:paraId="01DE8AB7"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5B9B4D3A"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260110E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47" w:type="pct"/>
            <w:gridSpan w:val="2"/>
            <w:shd w:val="clear" w:color="auto" w:fill="D9D9D9" w:themeFill="background1" w:themeFillShade="D9"/>
            <w:vAlign w:val="center"/>
          </w:tcPr>
          <w:p w14:paraId="11F351C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Pacific-wide</w:t>
            </w:r>
          </w:p>
        </w:tc>
        <w:tc>
          <w:tcPr>
            <w:tcW w:w="512" w:type="pct"/>
            <w:gridSpan w:val="2"/>
            <w:shd w:val="clear" w:color="auto" w:fill="D9D9D9" w:themeFill="background1" w:themeFillShade="D9"/>
            <w:vAlign w:val="center"/>
          </w:tcPr>
          <w:p w14:paraId="3E94240B"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w:t>
            </w:r>
          </w:p>
        </w:tc>
        <w:tc>
          <w:tcPr>
            <w:tcW w:w="1198" w:type="pct"/>
            <w:gridSpan w:val="2"/>
            <w:shd w:val="clear" w:color="auto" w:fill="D9D9D9" w:themeFill="background1" w:themeFillShade="D9"/>
            <w:vAlign w:val="center"/>
          </w:tcPr>
          <w:p w14:paraId="5437860C"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36" w:type="pct"/>
            <w:gridSpan w:val="2"/>
            <w:shd w:val="clear" w:color="auto" w:fill="D9D9D9" w:themeFill="background1" w:themeFillShade="D9"/>
            <w:vAlign w:val="center"/>
          </w:tcPr>
          <w:p w14:paraId="711E6235"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gridSpan w:val="2"/>
            <w:shd w:val="clear" w:color="auto" w:fill="D9D9D9" w:themeFill="background1" w:themeFillShade="D9"/>
            <w:vAlign w:val="center"/>
          </w:tcPr>
          <w:p w14:paraId="35AA8204"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right w:val="single" w:sz="4" w:space="0" w:color="auto"/>
            </w:tcBorders>
            <w:shd w:val="clear" w:color="auto" w:fill="D9D9D9" w:themeFill="background1" w:themeFillShade="D9"/>
            <w:vAlign w:val="center"/>
          </w:tcPr>
          <w:p w14:paraId="694AA98B"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right w:val="single" w:sz="12" w:space="0" w:color="auto"/>
            </w:tcBorders>
            <w:shd w:val="clear" w:color="auto" w:fill="D9D9D9" w:themeFill="background1" w:themeFillShade="D9"/>
          </w:tcPr>
          <w:p w14:paraId="70572E6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6C8A5B1F" w14:textId="77777777" w:rsidTr="004A4775">
        <w:trPr>
          <w:jc w:val="center"/>
        </w:trPr>
        <w:tc>
          <w:tcPr>
            <w:tcW w:w="502" w:type="pct"/>
            <w:gridSpan w:val="2"/>
            <w:tcBorders>
              <w:left w:val="single" w:sz="12" w:space="0" w:color="auto"/>
            </w:tcBorders>
            <w:vAlign w:val="center"/>
          </w:tcPr>
          <w:p w14:paraId="6FEE8C00"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Skipjack tuna</w:t>
            </w:r>
          </w:p>
        </w:tc>
        <w:tc>
          <w:tcPr>
            <w:tcW w:w="547" w:type="pct"/>
            <w:gridSpan w:val="2"/>
            <w:vAlign w:val="center"/>
          </w:tcPr>
          <w:p w14:paraId="2D7DC55A"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WCPO</w:t>
            </w:r>
          </w:p>
        </w:tc>
        <w:tc>
          <w:tcPr>
            <w:tcW w:w="512" w:type="pct"/>
            <w:gridSpan w:val="2"/>
            <w:vAlign w:val="center"/>
          </w:tcPr>
          <w:p w14:paraId="4D08D00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2016</w:t>
            </w:r>
          </w:p>
        </w:tc>
        <w:tc>
          <w:tcPr>
            <w:tcW w:w="1198" w:type="pct"/>
            <w:gridSpan w:val="2"/>
            <w:vAlign w:val="center"/>
          </w:tcPr>
          <w:p w14:paraId="6620AD0C"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36" w:type="pct"/>
            <w:gridSpan w:val="2"/>
            <w:vAlign w:val="center"/>
          </w:tcPr>
          <w:p w14:paraId="0E9B9AC6"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gridSpan w:val="2"/>
            <w:vAlign w:val="center"/>
          </w:tcPr>
          <w:p w14:paraId="028D699D"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c>
          <w:tcPr>
            <w:tcW w:w="569" w:type="pct"/>
            <w:tcBorders>
              <w:right w:val="single" w:sz="4" w:space="0" w:color="auto"/>
            </w:tcBorders>
            <w:vAlign w:val="center"/>
          </w:tcPr>
          <w:p w14:paraId="06194AAF"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right w:val="single" w:sz="12" w:space="0" w:color="auto"/>
            </w:tcBorders>
          </w:tcPr>
          <w:p w14:paraId="1352DA38"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431F2247" w14:textId="77777777" w:rsidTr="004A4775">
        <w:trPr>
          <w:jc w:val="center"/>
        </w:trPr>
        <w:tc>
          <w:tcPr>
            <w:tcW w:w="502" w:type="pct"/>
            <w:gridSpan w:val="2"/>
            <w:tcBorders>
              <w:left w:val="single" w:sz="12" w:space="0" w:color="auto"/>
            </w:tcBorders>
            <w:shd w:val="clear" w:color="auto" w:fill="D9D9D9" w:themeFill="background1" w:themeFillShade="D9"/>
            <w:vAlign w:val="center"/>
          </w:tcPr>
          <w:p w14:paraId="12D6A31A"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Yellowfin tuna</w:t>
            </w:r>
          </w:p>
        </w:tc>
        <w:tc>
          <w:tcPr>
            <w:tcW w:w="547" w:type="pct"/>
            <w:gridSpan w:val="2"/>
            <w:shd w:val="clear" w:color="auto" w:fill="D9D9D9" w:themeFill="background1" w:themeFillShade="D9"/>
            <w:vAlign w:val="center"/>
          </w:tcPr>
          <w:p w14:paraId="4F3BE0DB"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WCPO</w:t>
            </w:r>
          </w:p>
        </w:tc>
        <w:tc>
          <w:tcPr>
            <w:tcW w:w="512" w:type="pct"/>
            <w:gridSpan w:val="2"/>
            <w:shd w:val="clear" w:color="auto" w:fill="D9D9D9" w:themeFill="background1" w:themeFillShade="D9"/>
            <w:vAlign w:val="center"/>
          </w:tcPr>
          <w:p w14:paraId="472E052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2017</w:t>
            </w:r>
          </w:p>
        </w:tc>
        <w:tc>
          <w:tcPr>
            <w:tcW w:w="1198" w:type="pct"/>
            <w:gridSpan w:val="2"/>
            <w:shd w:val="clear" w:color="auto" w:fill="D9D9D9" w:themeFill="background1" w:themeFillShade="D9"/>
            <w:vAlign w:val="center"/>
          </w:tcPr>
          <w:p w14:paraId="4B898476"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 (SC13</w:t>
            </w:r>
            <w:r w:rsidRPr="00DF02F5">
              <w:rPr>
                <w:rFonts w:ascii="Times New Roman" w:hAnsi="Times New Roman"/>
                <w:color w:val="808080" w:themeColor="background1" w:themeShade="80"/>
                <w:sz w:val="18"/>
                <w:szCs w:val="18"/>
              </w:rPr>
              <w:noBreakHyphen/>
              <w:t>SA</w:t>
            </w:r>
            <w:r w:rsidRPr="00DF02F5">
              <w:rPr>
                <w:rFonts w:ascii="Times New Roman" w:hAnsi="Times New Roman"/>
                <w:color w:val="808080" w:themeColor="background1" w:themeShade="80"/>
                <w:sz w:val="18"/>
                <w:szCs w:val="18"/>
              </w:rPr>
              <w:noBreakHyphen/>
              <w:t>WP</w:t>
            </w:r>
            <w:r w:rsidRPr="00DF02F5">
              <w:rPr>
                <w:rFonts w:ascii="Times New Roman" w:hAnsi="Times New Roman"/>
                <w:color w:val="808080" w:themeColor="background1" w:themeShade="80"/>
                <w:sz w:val="18"/>
                <w:szCs w:val="18"/>
              </w:rPr>
              <w:noBreakHyphen/>
              <w:t>06)</w:t>
            </w:r>
          </w:p>
        </w:tc>
        <w:tc>
          <w:tcPr>
            <w:tcW w:w="536" w:type="pct"/>
            <w:gridSpan w:val="2"/>
            <w:shd w:val="clear" w:color="auto" w:fill="D9D9D9" w:themeFill="background1" w:themeFillShade="D9"/>
            <w:vAlign w:val="center"/>
          </w:tcPr>
          <w:p w14:paraId="75AB7908"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gridSpan w:val="2"/>
            <w:shd w:val="clear" w:color="auto" w:fill="D9D9D9" w:themeFill="background1" w:themeFillShade="D9"/>
            <w:vAlign w:val="center"/>
          </w:tcPr>
          <w:p w14:paraId="4E4F23C3"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right w:val="single" w:sz="4" w:space="0" w:color="auto"/>
            </w:tcBorders>
            <w:shd w:val="clear" w:color="auto" w:fill="D9D9D9" w:themeFill="background1" w:themeFillShade="D9"/>
            <w:vAlign w:val="center"/>
          </w:tcPr>
          <w:p w14:paraId="4D1BD36B"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c>
          <w:tcPr>
            <w:tcW w:w="567" w:type="pct"/>
            <w:tcBorders>
              <w:left w:val="single" w:sz="4" w:space="0" w:color="auto"/>
              <w:right w:val="single" w:sz="12" w:space="0" w:color="auto"/>
            </w:tcBorders>
            <w:shd w:val="clear" w:color="auto" w:fill="D9D9D9" w:themeFill="background1" w:themeFillShade="D9"/>
          </w:tcPr>
          <w:p w14:paraId="3F8A991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2F5BCEBF" w14:textId="77777777" w:rsidTr="004A4775">
        <w:trPr>
          <w:jc w:val="center"/>
        </w:trPr>
        <w:tc>
          <w:tcPr>
            <w:tcW w:w="502" w:type="pct"/>
            <w:gridSpan w:val="2"/>
            <w:tcBorders>
              <w:left w:val="single" w:sz="12" w:space="0" w:color="auto"/>
            </w:tcBorders>
            <w:vAlign w:val="center"/>
          </w:tcPr>
          <w:p w14:paraId="1C72D65C"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Albacore</w:t>
            </w:r>
          </w:p>
        </w:tc>
        <w:tc>
          <w:tcPr>
            <w:tcW w:w="547" w:type="pct"/>
            <w:gridSpan w:val="2"/>
            <w:vAlign w:val="center"/>
          </w:tcPr>
          <w:p w14:paraId="7C9655B8"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South Pacific</w:t>
            </w:r>
          </w:p>
        </w:tc>
        <w:tc>
          <w:tcPr>
            <w:tcW w:w="512" w:type="pct"/>
            <w:gridSpan w:val="2"/>
            <w:vAlign w:val="center"/>
          </w:tcPr>
          <w:p w14:paraId="2E636CE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2015</w:t>
            </w:r>
          </w:p>
        </w:tc>
        <w:tc>
          <w:tcPr>
            <w:tcW w:w="1198" w:type="pct"/>
            <w:gridSpan w:val="2"/>
            <w:vAlign w:val="center"/>
          </w:tcPr>
          <w:p w14:paraId="3756AE5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36" w:type="pct"/>
            <w:gridSpan w:val="2"/>
            <w:vAlign w:val="center"/>
          </w:tcPr>
          <w:p w14:paraId="136A3AB0"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c>
          <w:tcPr>
            <w:tcW w:w="569" w:type="pct"/>
            <w:gridSpan w:val="2"/>
            <w:vAlign w:val="center"/>
          </w:tcPr>
          <w:p w14:paraId="6D5A1C9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right w:val="single" w:sz="4" w:space="0" w:color="auto"/>
            </w:tcBorders>
            <w:vAlign w:val="center"/>
          </w:tcPr>
          <w:p w14:paraId="3506F47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right w:val="single" w:sz="12" w:space="0" w:color="auto"/>
            </w:tcBorders>
          </w:tcPr>
          <w:p w14:paraId="66DC6000"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r>
      <w:tr w:rsidR="00DF02F5" w:rsidRPr="00DF02F5" w14:paraId="1548934C" w14:textId="77777777" w:rsidTr="004A4775">
        <w:trPr>
          <w:jc w:val="center"/>
        </w:trPr>
        <w:tc>
          <w:tcPr>
            <w:tcW w:w="502" w:type="pct"/>
            <w:gridSpan w:val="2"/>
            <w:vMerge w:val="restart"/>
            <w:tcBorders>
              <w:left w:val="single" w:sz="12" w:space="0" w:color="auto"/>
            </w:tcBorders>
            <w:shd w:val="clear" w:color="auto" w:fill="D9D9D9" w:themeFill="background1" w:themeFillShade="D9"/>
            <w:vAlign w:val="center"/>
          </w:tcPr>
          <w:p w14:paraId="70173AB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Striped marlin</w:t>
            </w:r>
          </w:p>
        </w:tc>
        <w:tc>
          <w:tcPr>
            <w:tcW w:w="547" w:type="pct"/>
            <w:gridSpan w:val="2"/>
            <w:shd w:val="clear" w:color="auto" w:fill="D9D9D9" w:themeFill="background1" w:themeFillShade="D9"/>
            <w:vAlign w:val="center"/>
          </w:tcPr>
          <w:p w14:paraId="4633992D"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Southwest Pacific</w:t>
            </w:r>
          </w:p>
        </w:tc>
        <w:tc>
          <w:tcPr>
            <w:tcW w:w="512" w:type="pct"/>
            <w:gridSpan w:val="2"/>
            <w:shd w:val="clear" w:color="auto" w:fill="D9D9D9" w:themeFill="background1" w:themeFillShade="D9"/>
            <w:vAlign w:val="center"/>
          </w:tcPr>
          <w:p w14:paraId="44883D5F"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2012</w:t>
            </w:r>
          </w:p>
        </w:tc>
        <w:tc>
          <w:tcPr>
            <w:tcW w:w="1198" w:type="pct"/>
            <w:gridSpan w:val="2"/>
            <w:shd w:val="clear" w:color="auto" w:fill="D9D9D9" w:themeFill="background1" w:themeFillShade="D9"/>
            <w:vAlign w:val="center"/>
          </w:tcPr>
          <w:p w14:paraId="39A7402D"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36" w:type="pct"/>
            <w:gridSpan w:val="2"/>
            <w:shd w:val="clear" w:color="auto" w:fill="D9D9D9" w:themeFill="background1" w:themeFillShade="D9"/>
            <w:vAlign w:val="center"/>
          </w:tcPr>
          <w:p w14:paraId="6055CFF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w:t>
            </w:r>
          </w:p>
        </w:tc>
        <w:tc>
          <w:tcPr>
            <w:tcW w:w="569" w:type="pct"/>
            <w:gridSpan w:val="2"/>
            <w:shd w:val="clear" w:color="auto" w:fill="D9D9D9" w:themeFill="background1" w:themeFillShade="D9"/>
            <w:vAlign w:val="center"/>
          </w:tcPr>
          <w:p w14:paraId="57174956"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right w:val="single" w:sz="4" w:space="0" w:color="auto"/>
            </w:tcBorders>
            <w:shd w:val="clear" w:color="auto" w:fill="D9D9D9" w:themeFill="background1" w:themeFillShade="D9"/>
            <w:vAlign w:val="center"/>
          </w:tcPr>
          <w:p w14:paraId="33653A97"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right w:val="single" w:sz="12" w:space="0" w:color="auto"/>
            </w:tcBorders>
            <w:shd w:val="clear" w:color="auto" w:fill="D9D9D9" w:themeFill="background1" w:themeFillShade="D9"/>
          </w:tcPr>
          <w:p w14:paraId="4D857E3C"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1D1F7225"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1C4799BC"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47" w:type="pct"/>
            <w:gridSpan w:val="2"/>
            <w:shd w:val="clear" w:color="auto" w:fill="D9D9D9" w:themeFill="background1" w:themeFillShade="D9"/>
            <w:vAlign w:val="center"/>
          </w:tcPr>
          <w:p w14:paraId="01E193F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Northwest Pacific</w:t>
            </w:r>
          </w:p>
        </w:tc>
        <w:tc>
          <w:tcPr>
            <w:tcW w:w="512" w:type="pct"/>
            <w:gridSpan w:val="2"/>
            <w:shd w:val="clear" w:color="auto" w:fill="D9D9D9" w:themeFill="background1" w:themeFillShade="D9"/>
            <w:vAlign w:val="center"/>
          </w:tcPr>
          <w:p w14:paraId="45F56BCD"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2012</w:t>
            </w:r>
          </w:p>
        </w:tc>
        <w:tc>
          <w:tcPr>
            <w:tcW w:w="1198" w:type="pct"/>
            <w:gridSpan w:val="2"/>
            <w:shd w:val="clear" w:color="auto" w:fill="D9D9D9" w:themeFill="background1" w:themeFillShade="D9"/>
            <w:vAlign w:val="center"/>
          </w:tcPr>
          <w:p w14:paraId="73357CDA"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36" w:type="pct"/>
            <w:gridSpan w:val="2"/>
            <w:shd w:val="clear" w:color="auto" w:fill="D9D9D9" w:themeFill="background1" w:themeFillShade="D9"/>
            <w:vAlign w:val="center"/>
          </w:tcPr>
          <w:p w14:paraId="66039ED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eastAsia="맑은 고딕" w:hAnsi="Times New Roman"/>
                <w:color w:val="808080" w:themeColor="background1" w:themeShade="80"/>
                <w:sz w:val="18"/>
                <w:szCs w:val="18"/>
                <w:lang w:eastAsia="ko-KR"/>
              </w:rPr>
              <w:t>X</w:t>
            </w:r>
            <w:r w:rsidRPr="00DF02F5">
              <w:rPr>
                <w:rFonts w:ascii="Times New Roman" w:hAnsi="Times New Roman"/>
                <w:color w:val="808080" w:themeColor="background1" w:themeShade="80"/>
                <w:sz w:val="18"/>
                <w:szCs w:val="18"/>
              </w:rPr>
              <w:t>?</w:t>
            </w:r>
          </w:p>
        </w:tc>
        <w:tc>
          <w:tcPr>
            <w:tcW w:w="569" w:type="pct"/>
            <w:gridSpan w:val="2"/>
            <w:shd w:val="clear" w:color="auto" w:fill="D9D9D9" w:themeFill="background1" w:themeFillShade="D9"/>
            <w:vAlign w:val="center"/>
          </w:tcPr>
          <w:p w14:paraId="33F0C039"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bottom w:val="single" w:sz="4" w:space="0" w:color="auto"/>
              <w:right w:val="single" w:sz="4" w:space="0" w:color="auto"/>
            </w:tcBorders>
            <w:shd w:val="clear" w:color="auto" w:fill="D9D9D9" w:themeFill="background1" w:themeFillShade="D9"/>
            <w:vAlign w:val="center"/>
          </w:tcPr>
          <w:p w14:paraId="360B0DB2"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right w:val="single" w:sz="12" w:space="0" w:color="auto"/>
            </w:tcBorders>
            <w:shd w:val="clear" w:color="auto" w:fill="D9D9D9" w:themeFill="background1" w:themeFillShade="D9"/>
          </w:tcPr>
          <w:p w14:paraId="611927F9"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7DE57DAF" w14:textId="77777777" w:rsidTr="004A4775">
        <w:trPr>
          <w:jc w:val="center"/>
        </w:trPr>
        <w:tc>
          <w:tcPr>
            <w:tcW w:w="502" w:type="pct"/>
            <w:gridSpan w:val="2"/>
            <w:tcBorders>
              <w:left w:val="single" w:sz="12" w:space="0" w:color="auto"/>
              <w:bottom w:val="single" w:sz="12" w:space="0" w:color="auto"/>
            </w:tcBorders>
            <w:vAlign w:val="center"/>
          </w:tcPr>
          <w:p w14:paraId="5A6AC47D"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Swordfish</w:t>
            </w:r>
          </w:p>
        </w:tc>
        <w:tc>
          <w:tcPr>
            <w:tcW w:w="547" w:type="pct"/>
            <w:gridSpan w:val="2"/>
            <w:tcBorders>
              <w:bottom w:val="single" w:sz="12" w:space="0" w:color="auto"/>
            </w:tcBorders>
            <w:vAlign w:val="center"/>
          </w:tcPr>
          <w:p w14:paraId="4D00E173"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Southwest Pacific</w:t>
            </w:r>
          </w:p>
        </w:tc>
        <w:tc>
          <w:tcPr>
            <w:tcW w:w="512" w:type="pct"/>
            <w:gridSpan w:val="2"/>
            <w:tcBorders>
              <w:bottom w:val="single" w:sz="12" w:space="0" w:color="auto"/>
            </w:tcBorders>
            <w:vAlign w:val="center"/>
          </w:tcPr>
          <w:p w14:paraId="35D5E427"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2017</w:t>
            </w:r>
          </w:p>
        </w:tc>
        <w:tc>
          <w:tcPr>
            <w:tcW w:w="1198" w:type="pct"/>
            <w:gridSpan w:val="2"/>
            <w:tcBorders>
              <w:bottom w:val="single" w:sz="12" w:space="0" w:color="auto"/>
            </w:tcBorders>
            <w:vAlign w:val="center"/>
          </w:tcPr>
          <w:p w14:paraId="699E6ACE"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r w:rsidRPr="00DF02F5">
              <w:rPr>
                <w:rFonts w:ascii="Times New Roman" w:hAnsi="Times New Roman"/>
                <w:color w:val="808080" w:themeColor="background1" w:themeShade="80"/>
                <w:sz w:val="18"/>
                <w:szCs w:val="18"/>
              </w:rPr>
              <w:t>X (SC13</w:t>
            </w:r>
            <w:r w:rsidRPr="00DF02F5">
              <w:rPr>
                <w:rFonts w:ascii="Times New Roman" w:hAnsi="Times New Roman"/>
                <w:color w:val="808080" w:themeColor="background1" w:themeShade="80"/>
                <w:sz w:val="18"/>
                <w:szCs w:val="18"/>
              </w:rPr>
              <w:noBreakHyphen/>
              <w:t>SA</w:t>
            </w:r>
            <w:r w:rsidRPr="00DF02F5">
              <w:rPr>
                <w:rFonts w:ascii="Times New Roman" w:hAnsi="Times New Roman"/>
                <w:color w:val="808080" w:themeColor="background1" w:themeShade="80"/>
                <w:sz w:val="18"/>
                <w:szCs w:val="18"/>
              </w:rPr>
              <w:noBreakHyphen/>
              <w:t>WP</w:t>
            </w:r>
            <w:r w:rsidRPr="00DF02F5">
              <w:rPr>
                <w:rFonts w:ascii="Times New Roman" w:hAnsi="Times New Roman"/>
                <w:color w:val="808080" w:themeColor="background1" w:themeShade="80"/>
                <w:sz w:val="18"/>
                <w:szCs w:val="18"/>
              </w:rPr>
              <w:noBreakHyphen/>
              <w:t>13)</w:t>
            </w:r>
          </w:p>
        </w:tc>
        <w:tc>
          <w:tcPr>
            <w:tcW w:w="536" w:type="pct"/>
            <w:gridSpan w:val="2"/>
            <w:tcBorders>
              <w:bottom w:val="single" w:sz="12" w:space="0" w:color="auto"/>
            </w:tcBorders>
            <w:vAlign w:val="center"/>
          </w:tcPr>
          <w:p w14:paraId="7D745B57"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gridSpan w:val="2"/>
            <w:tcBorders>
              <w:bottom w:val="single" w:sz="12" w:space="0" w:color="auto"/>
            </w:tcBorders>
            <w:vAlign w:val="center"/>
          </w:tcPr>
          <w:p w14:paraId="73E11821"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9" w:type="pct"/>
            <w:tcBorders>
              <w:bottom w:val="single" w:sz="12" w:space="0" w:color="auto"/>
              <w:right w:val="single" w:sz="4" w:space="0" w:color="auto"/>
            </w:tcBorders>
            <w:vAlign w:val="center"/>
          </w:tcPr>
          <w:p w14:paraId="1D67B00A"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c>
          <w:tcPr>
            <w:tcW w:w="567" w:type="pct"/>
            <w:tcBorders>
              <w:left w:val="single" w:sz="4" w:space="0" w:color="auto"/>
              <w:bottom w:val="single" w:sz="12" w:space="0" w:color="auto"/>
              <w:right w:val="single" w:sz="12" w:space="0" w:color="auto"/>
            </w:tcBorders>
          </w:tcPr>
          <w:p w14:paraId="2DD92176" w14:textId="77777777" w:rsidR="00DF02F5" w:rsidRPr="00DF02F5" w:rsidRDefault="00DF02F5" w:rsidP="00DF02F5">
            <w:pPr>
              <w:adjustRightInd w:val="0"/>
              <w:snapToGrid w:val="0"/>
              <w:spacing w:after="0"/>
              <w:jc w:val="center"/>
              <w:rPr>
                <w:rFonts w:ascii="Times New Roman" w:hAnsi="Times New Roman"/>
                <w:color w:val="808080" w:themeColor="background1" w:themeShade="80"/>
                <w:sz w:val="18"/>
                <w:szCs w:val="18"/>
              </w:rPr>
            </w:pPr>
          </w:p>
        </w:tc>
      </w:tr>
      <w:tr w:rsidR="00DF02F5" w:rsidRPr="00DF02F5" w14:paraId="1A3973AF" w14:textId="77777777" w:rsidTr="004A4775">
        <w:trPr>
          <w:jc w:val="center"/>
        </w:trPr>
        <w:tc>
          <w:tcPr>
            <w:tcW w:w="502" w:type="pct"/>
            <w:gridSpan w:val="2"/>
            <w:vMerge w:val="restart"/>
            <w:tcBorders>
              <w:top w:val="single" w:sz="12" w:space="0" w:color="auto"/>
              <w:left w:val="single" w:sz="12" w:space="0" w:color="auto"/>
            </w:tcBorders>
            <w:shd w:val="clear" w:color="auto" w:fill="D9D9D9" w:themeFill="background1" w:themeFillShade="D9"/>
            <w:vAlign w:val="center"/>
          </w:tcPr>
          <w:p w14:paraId="6813B043"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Silky shark</w:t>
            </w:r>
          </w:p>
        </w:tc>
        <w:tc>
          <w:tcPr>
            <w:tcW w:w="547" w:type="pct"/>
            <w:gridSpan w:val="2"/>
            <w:tcBorders>
              <w:top w:val="single" w:sz="12" w:space="0" w:color="auto"/>
            </w:tcBorders>
            <w:shd w:val="clear" w:color="auto" w:fill="D9D9D9" w:themeFill="background1" w:themeFillShade="D9"/>
            <w:vAlign w:val="center"/>
          </w:tcPr>
          <w:p w14:paraId="565DE6C3"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WCPO</w:t>
            </w:r>
          </w:p>
        </w:tc>
        <w:tc>
          <w:tcPr>
            <w:tcW w:w="512" w:type="pct"/>
            <w:gridSpan w:val="2"/>
            <w:tcBorders>
              <w:top w:val="single" w:sz="12" w:space="0" w:color="auto"/>
            </w:tcBorders>
            <w:shd w:val="clear" w:color="auto" w:fill="D9D9D9" w:themeFill="background1" w:themeFillShade="D9"/>
            <w:vAlign w:val="center"/>
          </w:tcPr>
          <w:p w14:paraId="6B6A9A4F"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2013</w:t>
            </w:r>
          </w:p>
        </w:tc>
        <w:tc>
          <w:tcPr>
            <w:tcW w:w="1198" w:type="pct"/>
            <w:gridSpan w:val="2"/>
            <w:tcBorders>
              <w:top w:val="single" w:sz="12" w:space="0" w:color="auto"/>
            </w:tcBorders>
            <w:shd w:val="clear" w:color="auto" w:fill="D9D9D9" w:themeFill="background1" w:themeFillShade="D9"/>
            <w:vAlign w:val="center"/>
          </w:tcPr>
          <w:p w14:paraId="73AEAFDF"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c>
          <w:tcPr>
            <w:tcW w:w="536" w:type="pct"/>
            <w:gridSpan w:val="2"/>
            <w:tcBorders>
              <w:top w:val="single" w:sz="12" w:space="0" w:color="auto"/>
            </w:tcBorders>
            <w:shd w:val="clear" w:color="auto" w:fill="D9D9D9" w:themeFill="background1" w:themeFillShade="D9"/>
            <w:vAlign w:val="center"/>
          </w:tcPr>
          <w:p w14:paraId="0F9E02DD"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c>
          <w:tcPr>
            <w:tcW w:w="569" w:type="pct"/>
            <w:gridSpan w:val="2"/>
            <w:tcBorders>
              <w:top w:val="single" w:sz="12" w:space="0" w:color="auto"/>
            </w:tcBorders>
            <w:shd w:val="clear" w:color="auto" w:fill="D9D9D9" w:themeFill="background1" w:themeFillShade="D9"/>
            <w:vAlign w:val="center"/>
          </w:tcPr>
          <w:p w14:paraId="3BE08DB6"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69" w:type="pct"/>
            <w:tcBorders>
              <w:top w:val="single" w:sz="12" w:space="0" w:color="auto"/>
              <w:bottom w:val="single" w:sz="4" w:space="0" w:color="auto"/>
              <w:right w:val="single" w:sz="4" w:space="0" w:color="auto"/>
            </w:tcBorders>
            <w:shd w:val="clear" w:color="auto" w:fill="D9D9D9" w:themeFill="background1" w:themeFillShade="D9"/>
            <w:vAlign w:val="center"/>
          </w:tcPr>
          <w:p w14:paraId="30A94627"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67" w:type="pct"/>
            <w:tcBorders>
              <w:top w:val="single" w:sz="12" w:space="0" w:color="auto"/>
              <w:left w:val="single" w:sz="4" w:space="0" w:color="auto"/>
              <w:right w:val="single" w:sz="12" w:space="0" w:color="auto"/>
            </w:tcBorders>
            <w:shd w:val="clear" w:color="auto" w:fill="D9D9D9" w:themeFill="background1" w:themeFillShade="D9"/>
          </w:tcPr>
          <w:p w14:paraId="68F50122"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6F1C1320"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2917BD7E"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shd w:val="clear" w:color="auto" w:fill="D9D9D9" w:themeFill="background1" w:themeFillShade="D9"/>
            <w:vAlign w:val="center"/>
          </w:tcPr>
          <w:p w14:paraId="0ECD581A"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Pacific-wide</w:t>
            </w:r>
          </w:p>
        </w:tc>
        <w:tc>
          <w:tcPr>
            <w:tcW w:w="512" w:type="pct"/>
            <w:gridSpan w:val="2"/>
            <w:shd w:val="clear" w:color="auto" w:fill="D9D9D9" w:themeFill="background1" w:themeFillShade="D9"/>
            <w:vAlign w:val="center"/>
          </w:tcPr>
          <w:p w14:paraId="76B9A24D"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D9D9D9" w:themeFill="background1" w:themeFillShade="D9"/>
            <w:vAlign w:val="center"/>
          </w:tcPr>
          <w:p w14:paraId="4A946167"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Assessment (ongoing)</w:t>
            </w:r>
            <w:r w:rsidRPr="00DF02F5">
              <w:rPr>
                <w:rFonts w:ascii="Times New Roman" w:hAnsi="Times New Roman"/>
                <w:color w:val="FF0000"/>
                <w:sz w:val="18"/>
                <w:szCs w:val="18"/>
              </w:rPr>
              <w:t xml:space="preserve"> (SC13</w:t>
            </w:r>
            <w:r w:rsidRPr="00DF02F5">
              <w:rPr>
                <w:rFonts w:ascii="Times New Roman" w:hAnsi="Times New Roman"/>
                <w:color w:val="FF0000"/>
                <w:sz w:val="18"/>
                <w:szCs w:val="18"/>
              </w:rPr>
              <w:noBreakHyphen/>
              <w:t>SA</w:t>
            </w:r>
            <w:r w:rsidRPr="00DF02F5">
              <w:rPr>
                <w:rFonts w:ascii="Times New Roman" w:hAnsi="Times New Roman"/>
                <w:color w:val="FF0000"/>
                <w:sz w:val="18"/>
                <w:szCs w:val="18"/>
              </w:rPr>
              <w:noBreakHyphen/>
              <w:t>IP</w:t>
            </w:r>
            <w:r w:rsidRPr="00DF02F5">
              <w:rPr>
                <w:rFonts w:ascii="Times New Roman" w:hAnsi="Times New Roman"/>
                <w:color w:val="FF0000"/>
                <w:sz w:val="18"/>
                <w:szCs w:val="18"/>
              </w:rPr>
              <w:noBreakHyphen/>
              <w:t>12)</w:t>
            </w:r>
          </w:p>
        </w:tc>
        <w:tc>
          <w:tcPr>
            <w:tcW w:w="536" w:type="pct"/>
            <w:gridSpan w:val="2"/>
            <w:shd w:val="clear" w:color="auto" w:fill="D9D9D9" w:themeFill="background1" w:themeFillShade="D9"/>
            <w:vAlign w:val="center"/>
          </w:tcPr>
          <w:p w14:paraId="396988CE"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Assessment</w:t>
            </w:r>
          </w:p>
        </w:tc>
        <w:tc>
          <w:tcPr>
            <w:tcW w:w="569" w:type="pct"/>
            <w:gridSpan w:val="2"/>
            <w:shd w:val="clear" w:color="auto" w:fill="D9D9D9" w:themeFill="background1" w:themeFillShade="D9"/>
            <w:vAlign w:val="center"/>
          </w:tcPr>
          <w:p w14:paraId="20B21F41"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Stock discrimination?</w:t>
            </w:r>
          </w:p>
        </w:tc>
        <w:tc>
          <w:tcPr>
            <w:tcW w:w="569" w:type="pct"/>
            <w:tcBorders>
              <w:right w:val="single" w:sz="4" w:space="0" w:color="auto"/>
            </w:tcBorders>
            <w:shd w:val="clear" w:color="auto" w:fill="D9D9D9" w:themeFill="background1" w:themeFillShade="D9"/>
            <w:vAlign w:val="center"/>
          </w:tcPr>
          <w:p w14:paraId="6C65C0F9"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Stock discrimination?</w:t>
            </w:r>
          </w:p>
        </w:tc>
        <w:tc>
          <w:tcPr>
            <w:tcW w:w="567" w:type="pct"/>
            <w:tcBorders>
              <w:left w:val="single" w:sz="4" w:space="0" w:color="auto"/>
              <w:right w:val="single" w:sz="12" w:space="0" w:color="auto"/>
            </w:tcBorders>
            <w:shd w:val="clear" w:color="auto" w:fill="D9D9D9" w:themeFill="background1" w:themeFillShade="D9"/>
          </w:tcPr>
          <w:p w14:paraId="16A911C9"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r>
      <w:tr w:rsidR="004A4775" w:rsidRPr="00DF02F5" w14:paraId="2D95F6D5" w14:textId="77777777" w:rsidTr="00C06F80">
        <w:trPr>
          <w:trHeight w:val="621"/>
          <w:jc w:val="center"/>
        </w:trPr>
        <w:tc>
          <w:tcPr>
            <w:tcW w:w="502" w:type="pct"/>
            <w:gridSpan w:val="2"/>
            <w:tcBorders>
              <w:left w:val="single" w:sz="12" w:space="0" w:color="auto"/>
            </w:tcBorders>
            <w:vAlign w:val="center"/>
          </w:tcPr>
          <w:p w14:paraId="23169AED" w14:textId="77777777" w:rsidR="004A4775" w:rsidRPr="00DF02F5" w:rsidRDefault="004A477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Oceanic whitetip shark</w:t>
            </w:r>
          </w:p>
        </w:tc>
        <w:tc>
          <w:tcPr>
            <w:tcW w:w="547" w:type="pct"/>
            <w:gridSpan w:val="2"/>
            <w:vAlign w:val="center"/>
          </w:tcPr>
          <w:p w14:paraId="354249F2" w14:textId="77777777" w:rsidR="004A4775" w:rsidRPr="00DF02F5" w:rsidRDefault="004A477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WCPO</w:t>
            </w:r>
          </w:p>
        </w:tc>
        <w:tc>
          <w:tcPr>
            <w:tcW w:w="512" w:type="pct"/>
            <w:gridSpan w:val="2"/>
            <w:vAlign w:val="center"/>
          </w:tcPr>
          <w:p w14:paraId="4B1B8634" w14:textId="77777777" w:rsidR="004A4775" w:rsidRPr="00DF02F5" w:rsidRDefault="004A477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2012</w:t>
            </w:r>
          </w:p>
        </w:tc>
        <w:tc>
          <w:tcPr>
            <w:tcW w:w="1198" w:type="pct"/>
            <w:gridSpan w:val="2"/>
            <w:vAlign w:val="center"/>
          </w:tcPr>
          <w:p w14:paraId="79F8690E" w14:textId="77777777" w:rsidR="004A4775" w:rsidRPr="00DF02F5" w:rsidRDefault="004A4775" w:rsidP="00DF02F5">
            <w:pPr>
              <w:adjustRightInd w:val="0"/>
              <w:snapToGrid w:val="0"/>
              <w:spacing w:after="0"/>
              <w:jc w:val="center"/>
              <w:rPr>
                <w:rFonts w:ascii="Times New Roman" w:eastAsia="맑은 고딕" w:hAnsi="Times New Roman"/>
                <w:sz w:val="18"/>
                <w:szCs w:val="18"/>
                <w:lang w:eastAsia="ko-KR"/>
              </w:rPr>
            </w:pPr>
          </w:p>
        </w:tc>
        <w:tc>
          <w:tcPr>
            <w:tcW w:w="536" w:type="pct"/>
            <w:gridSpan w:val="2"/>
            <w:vAlign w:val="center"/>
          </w:tcPr>
          <w:p w14:paraId="49E33B11" w14:textId="77777777" w:rsidR="004A4775" w:rsidRPr="00DF02F5" w:rsidRDefault="004A4775" w:rsidP="004A4775">
            <w:pPr>
              <w:adjustRightInd w:val="0"/>
              <w:snapToGrid w:val="0"/>
              <w:spacing w:after="0"/>
              <w:jc w:val="left"/>
              <w:rPr>
                <w:rFonts w:ascii="Times New Roman" w:eastAsia="맑은 고딕" w:hAnsi="Times New Roman"/>
                <w:sz w:val="18"/>
                <w:szCs w:val="18"/>
                <w:lang w:eastAsia="ko-KR"/>
              </w:rPr>
            </w:pPr>
          </w:p>
        </w:tc>
        <w:tc>
          <w:tcPr>
            <w:tcW w:w="569" w:type="pct"/>
            <w:gridSpan w:val="2"/>
            <w:vAlign w:val="center"/>
          </w:tcPr>
          <w:p w14:paraId="2D5DD41E" w14:textId="77777777" w:rsidR="004A4775" w:rsidRPr="00DF02F5" w:rsidRDefault="004A477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Assessment </w:t>
            </w:r>
          </w:p>
          <w:p w14:paraId="039F4DAE" w14:textId="77777777" w:rsidR="004A4775" w:rsidRPr="00DF02F5" w:rsidRDefault="004A477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(if data supports)</w:t>
            </w:r>
          </w:p>
          <w:p w14:paraId="1173CA54" w14:textId="77777777" w:rsidR="004A4775" w:rsidRPr="00DF02F5" w:rsidRDefault="004A4775" w:rsidP="004A4775">
            <w:pPr>
              <w:adjustRightInd w:val="0"/>
              <w:snapToGrid w:val="0"/>
              <w:spacing w:after="0"/>
              <w:jc w:val="left"/>
              <w:rPr>
                <w:rFonts w:ascii="Times New Roman" w:hAnsi="Times New Roman"/>
                <w:sz w:val="18"/>
                <w:szCs w:val="18"/>
              </w:rPr>
            </w:pPr>
            <w:r w:rsidRPr="00DF02F5">
              <w:rPr>
                <w:rFonts w:ascii="Times New Roman" w:eastAsia="맑은 고딕" w:hAnsi="Times New Roman"/>
                <w:sz w:val="18"/>
                <w:szCs w:val="18"/>
                <w:lang w:eastAsia="ko-KR"/>
              </w:rPr>
              <w:t>(WCPFC)</w:t>
            </w:r>
          </w:p>
        </w:tc>
        <w:tc>
          <w:tcPr>
            <w:tcW w:w="569" w:type="pct"/>
            <w:tcBorders>
              <w:right w:val="single" w:sz="4" w:space="0" w:color="auto"/>
            </w:tcBorders>
            <w:vAlign w:val="center"/>
          </w:tcPr>
          <w:p w14:paraId="2225C23F" w14:textId="77777777" w:rsidR="004A4775" w:rsidRPr="00DF02F5" w:rsidRDefault="004A477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tcPr>
          <w:p w14:paraId="1D99BA8A" w14:textId="77777777" w:rsidR="004A4775" w:rsidRPr="00DF02F5" w:rsidRDefault="004A4775" w:rsidP="00DF02F5">
            <w:pPr>
              <w:adjustRightInd w:val="0"/>
              <w:snapToGrid w:val="0"/>
              <w:spacing w:after="0"/>
              <w:jc w:val="center"/>
              <w:rPr>
                <w:rFonts w:ascii="Times New Roman" w:hAnsi="Times New Roman"/>
                <w:sz w:val="18"/>
                <w:szCs w:val="18"/>
              </w:rPr>
            </w:pPr>
          </w:p>
        </w:tc>
      </w:tr>
      <w:tr w:rsidR="00DF02F5" w:rsidRPr="00DF02F5" w14:paraId="634DD35D" w14:textId="77777777" w:rsidTr="004A4775">
        <w:trPr>
          <w:jc w:val="center"/>
        </w:trPr>
        <w:tc>
          <w:tcPr>
            <w:tcW w:w="502" w:type="pct"/>
            <w:gridSpan w:val="2"/>
            <w:vMerge w:val="restart"/>
            <w:tcBorders>
              <w:left w:val="single" w:sz="12" w:space="0" w:color="auto"/>
            </w:tcBorders>
            <w:shd w:val="clear" w:color="auto" w:fill="D9D9D9" w:themeFill="background1" w:themeFillShade="D9"/>
            <w:vAlign w:val="center"/>
          </w:tcPr>
          <w:p w14:paraId="2713B562"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Blue shark</w:t>
            </w:r>
          </w:p>
        </w:tc>
        <w:tc>
          <w:tcPr>
            <w:tcW w:w="547" w:type="pct"/>
            <w:gridSpan w:val="2"/>
            <w:shd w:val="clear" w:color="auto" w:fill="D9D9D9" w:themeFill="background1" w:themeFillShade="D9"/>
            <w:vAlign w:val="center"/>
          </w:tcPr>
          <w:p w14:paraId="3A2241F9"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Southeast Pacific</w:t>
            </w:r>
          </w:p>
        </w:tc>
        <w:tc>
          <w:tcPr>
            <w:tcW w:w="512" w:type="pct"/>
            <w:gridSpan w:val="2"/>
            <w:shd w:val="clear" w:color="auto" w:fill="D9D9D9" w:themeFill="background1" w:themeFillShade="D9"/>
            <w:vAlign w:val="center"/>
          </w:tcPr>
          <w:p w14:paraId="4F49D156"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D9D9D9" w:themeFill="background1" w:themeFillShade="D9"/>
            <w:vAlign w:val="center"/>
          </w:tcPr>
          <w:p w14:paraId="5DF0AEF3"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shd w:val="clear" w:color="auto" w:fill="D9D9D9" w:themeFill="background1" w:themeFillShade="D9"/>
            <w:vAlign w:val="center"/>
          </w:tcPr>
          <w:p w14:paraId="757490E4"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Data preparation to support assessment </w:t>
            </w:r>
            <w:r w:rsidRPr="00DF02F5">
              <w:rPr>
                <w:rFonts w:ascii="Times New Roman" w:hAnsi="Times New Roman"/>
                <w:sz w:val="18"/>
                <w:szCs w:val="18"/>
                <w:highlight w:val="cyan"/>
              </w:rPr>
              <w:t>#2</w:t>
            </w:r>
          </w:p>
        </w:tc>
        <w:tc>
          <w:tcPr>
            <w:tcW w:w="569" w:type="pct"/>
            <w:gridSpan w:val="2"/>
            <w:shd w:val="clear" w:color="auto" w:fill="D9D9D9" w:themeFill="background1" w:themeFillShade="D9"/>
            <w:vAlign w:val="center"/>
          </w:tcPr>
          <w:p w14:paraId="13E77B42"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tcBorders>
              <w:right w:val="single" w:sz="4" w:space="0" w:color="auto"/>
            </w:tcBorders>
            <w:shd w:val="clear" w:color="auto" w:fill="D9D9D9" w:themeFill="background1" w:themeFillShade="D9"/>
            <w:vAlign w:val="center"/>
          </w:tcPr>
          <w:p w14:paraId="32705331"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shd w:val="clear" w:color="auto" w:fill="D9D9D9" w:themeFill="background1" w:themeFillShade="D9"/>
          </w:tcPr>
          <w:p w14:paraId="1A344BD4"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00F3B56D"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3BB27E56"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shd w:val="clear" w:color="auto" w:fill="D9D9D9" w:themeFill="background1" w:themeFillShade="D9"/>
            <w:vAlign w:val="center"/>
          </w:tcPr>
          <w:p w14:paraId="49A58421"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Southwest Pacific</w:t>
            </w:r>
          </w:p>
        </w:tc>
        <w:tc>
          <w:tcPr>
            <w:tcW w:w="512" w:type="pct"/>
            <w:gridSpan w:val="2"/>
            <w:shd w:val="clear" w:color="auto" w:fill="D9D9D9" w:themeFill="background1" w:themeFillShade="D9"/>
            <w:vAlign w:val="center"/>
          </w:tcPr>
          <w:p w14:paraId="6DCACC7D"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2016</w:t>
            </w:r>
          </w:p>
        </w:tc>
        <w:tc>
          <w:tcPr>
            <w:tcW w:w="1198" w:type="pct"/>
            <w:gridSpan w:val="2"/>
            <w:shd w:val="clear" w:color="auto" w:fill="D9D9D9" w:themeFill="background1" w:themeFillShade="D9"/>
            <w:vAlign w:val="center"/>
          </w:tcPr>
          <w:p w14:paraId="1813C3D6"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shd w:val="clear" w:color="auto" w:fill="D9D9D9" w:themeFill="background1" w:themeFillShade="D9"/>
            <w:vAlign w:val="center"/>
          </w:tcPr>
          <w:p w14:paraId="494C95EC"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gridSpan w:val="2"/>
            <w:shd w:val="clear" w:color="auto" w:fill="D9D9D9" w:themeFill="background1" w:themeFillShade="D9"/>
            <w:vAlign w:val="center"/>
          </w:tcPr>
          <w:p w14:paraId="1A206CE2"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tcBorders>
              <w:right w:val="single" w:sz="4" w:space="0" w:color="auto"/>
            </w:tcBorders>
            <w:shd w:val="clear" w:color="auto" w:fill="D9D9D9" w:themeFill="background1" w:themeFillShade="D9"/>
            <w:vAlign w:val="center"/>
          </w:tcPr>
          <w:p w14:paraId="68FDCE06"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shd w:val="clear" w:color="auto" w:fill="D9D9D9" w:themeFill="background1" w:themeFillShade="D9"/>
          </w:tcPr>
          <w:p w14:paraId="6BD5B7A9"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7CC6A9B2"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2083C0C9"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shd w:val="clear" w:color="auto" w:fill="D9D9D9" w:themeFill="background1" w:themeFillShade="D9"/>
            <w:vAlign w:val="center"/>
          </w:tcPr>
          <w:p w14:paraId="79879C9C"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South Pacific-wide</w:t>
            </w:r>
          </w:p>
        </w:tc>
        <w:tc>
          <w:tcPr>
            <w:tcW w:w="512" w:type="pct"/>
            <w:gridSpan w:val="2"/>
            <w:shd w:val="clear" w:color="auto" w:fill="D9D9D9" w:themeFill="background1" w:themeFillShade="D9"/>
            <w:vAlign w:val="center"/>
          </w:tcPr>
          <w:p w14:paraId="628FFDD9"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1198" w:type="pct"/>
            <w:gridSpan w:val="2"/>
            <w:shd w:val="clear" w:color="auto" w:fill="D9D9D9" w:themeFill="background1" w:themeFillShade="D9"/>
            <w:vAlign w:val="center"/>
          </w:tcPr>
          <w:p w14:paraId="490A68F0"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shd w:val="clear" w:color="auto" w:fill="D9D9D9" w:themeFill="background1" w:themeFillShade="D9"/>
            <w:vAlign w:val="center"/>
          </w:tcPr>
          <w:p w14:paraId="2F68A9BD"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gridSpan w:val="2"/>
            <w:shd w:val="clear" w:color="auto" w:fill="D9D9D9" w:themeFill="background1" w:themeFillShade="D9"/>
            <w:vAlign w:val="center"/>
          </w:tcPr>
          <w:p w14:paraId="5D447660"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Assessment??</w:t>
            </w:r>
          </w:p>
        </w:tc>
        <w:tc>
          <w:tcPr>
            <w:tcW w:w="569" w:type="pct"/>
            <w:tcBorders>
              <w:right w:val="single" w:sz="4" w:space="0" w:color="auto"/>
            </w:tcBorders>
            <w:shd w:val="clear" w:color="auto" w:fill="D9D9D9" w:themeFill="background1" w:themeFillShade="D9"/>
            <w:vAlign w:val="center"/>
          </w:tcPr>
          <w:p w14:paraId="267E1BFD"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shd w:val="clear" w:color="auto" w:fill="D9D9D9" w:themeFill="background1" w:themeFillShade="D9"/>
          </w:tcPr>
          <w:p w14:paraId="4F048DF4"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781DE845"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6C690C9E"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shd w:val="clear" w:color="auto" w:fill="D9D9D9" w:themeFill="background1" w:themeFillShade="D9"/>
            <w:vAlign w:val="center"/>
          </w:tcPr>
          <w:p w14:paraId="15160C73"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North Pacific</w:t>
            </w:r>
          </w:p>
        </w:tc>
        <w:tc>
          <w:tcPr>
            <w:tcW w:w="512" w:type="pct"/>
            <w:gridSpan w:val="2"/>
            <w:shd w:val="clear" w:color="auto" w:fill="D9D9D9" w:themeFill="background1" w:themeFillShade="D9"/>
            <w:vAlign w:val="center"/>
          </w:tcPr>
          <w:p w14:paraId="09E865C8"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2014</w:t>
            </w:r>
          </w:p>
        </w:tc>
        <w:tc>
          <w:tcPr>
            <w:tcW w:w="1198" w:type="pct"/>
            <w:gridSpan w:val="2"/>
            <w:shd w:val="clear" w:color="auto" w:fill="D9D9D9" w:themeFill="background1" w:themeFillShade="D9"/>
            <w:vAlign w:val="center"/>
          </w:tcPr>
          <w:p w14:paraId="33956081"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 xml:space="preserve">Assessment (ISC) </w:t>
            </w:r>
            <w:r w:rsidRPr="00DF02F5">
              <w:rPr>
                <w:rFonts w:ascii="Times New Roman" w:hAnsi="Times New Roman"/>
                <w:color w:val="FF0000"/>
                <w:sz w:val="18"/>
                <w:szCs w:val="18"/>
              </w:rPr>
              <w:t>(SC13</w:t>
            </w:r>
            <w:r w:rsidRPr="00DF02F5">
              <w:rPr>
                <w:rFonts w:ascii="Times New Roman" w:hAnsi="Times New Roman"/>
                <w:color w:val="FF0000"/>
                <w:sz w:val="18"/>
                <w:szCs w:val="18"/>
              </w:rPr>
              <w:noBreakHyphen/>
              <w:t>SA</w:t>
            </w:r>
            <w:r w:rsidRPr="00DF02F5">
              <w:rPr>
                <w:rFonts w:ascii="Times New Roman" w:hAnsi="Times New Roman"/>
                <w:color w:val="FF0000"/>
                <w:sz w:val="18"/>
                <w:szCs w:val="18"/>
              </w:rPr>
              <w:noBreakHyphen/>
              <w:t>WP</w:t>
            </w:r>
            <w:r w:rsidRPr="00DF02F5">
              <w:rPr>
                <w:rFonts w:ascii="Times New Roman" w:hAnsi="Times New Roman"/>
                <w:color w:val="FF0000"/>
                <w:sz w:val="18"/>
                <w:szCs w:val="18"/>
              </w:rPr>
              <w:noBreakHyphen/>
              <w:t>10)</w:t>
            </w:r>
          </w:p>
        </w:tc>
        <w:tc>
          <w:tcPr>
            <w:tcW w:w="536" w:type="pct"/>
            <w:gridSpan w:val="2"/>
            <w:shd w:val="clear" w:color="auto" w:fill="D9D9D9" w:themeFill="background1" w:themeFillShade="D9"/>
            <w:vAlign w:val="center"/>
          </w:tcPr>
          <w:p w14:paraId="04A40D35"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gridSpan w:val="2"/>
            <w:shd w:val="clear" w:color="auto" w:fill="D9D9D9" w:themeFill="background1" w:themeFillShade="D9"/>
            <w:vAlign w:val="center"/>
          </w:tcPr>
          <w:p w14:paraId="249B63A7"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tcBorders>
              <w:right w:val="single" w:sz="4" w:space="0" w:color="auto"/>
            </w:tcBorders>
            <w:shd w:val="clear" w:color="auto" w:fill="D9D9D9" w:themeFill="background1" w:themeFillShade="D9"/>
            <w:vAlign w:val="center"/>
          </w:tcPr>
          <w:p w14:paraId="784AB663"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shd w:val="clear" w:color="auto" w:fill="D9D9D9" w:themeFill="background1" w:themeFillShade="D9"/>
          </w:tcPr>
          <w:p w14:paraId="6543E10F"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555BDEA9" w14:textId="77777777" w:rsidTr="004A4775">
        <w:trPr>
          <w:jc w:val="center"/>
        </w:trPr>
        <w:tc>
          <w:tcPr>
            <w:tcW w:w="502" w:type="pct"/>
            <w:gridSpan w:val="2"/>
            <w:vMerge w:val="restart"/>
            <w:tcBorders>
              <w:left w:val="single" w:sz="12" w:space="0" w:color="auto"/>
            </w:tcBorders>
            <w:vAlign w:val="center"/>
          </w:tcPr>
          <w:p w14:paraId="2E648785"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Mako shark</w:t>
            </w:r>
          </w:p>
          <w:p w14:paraId="61AFB4BC"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(shortfin)</w:t>
            </w:r>
          </w:p>
        </w:tc>
        <w:tc>
          <w:tcPr>
            <w:tcW w:w="547" w:type="pct"/>
            <w:gridSpan w:val="2"/>
            <w:vAlign w:val="center"/>
          </w:tcPr>
          <w:p w14:paraId="2CB56BB6"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Southeast Pacific</w:t>
            </w:r>
          </w:p>
        </w:tc>
        <w:tc>
          <w:tcPr>
            <w:tcW w:w="512" w:type="pct"/>
            <w:gridSpan w:val="2"/>
            <w:vAlign w:val="center"/>
          </w:tcPr>
          <w:p w14:paraId="46F1EFAC"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vAlign w:val="center"/>
          </w:tcPr>
          <w:p w14:paraId="4A84690F"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vAlign w:val="center"/>
          </w:tcPr>
          <w:p w14:paraId="54BF3A8A"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Data preparation to support assessment </w:t>
            </w:r>
            <w:r w:rsidRPr="00DF02F5">
              <w:rPr>
                <w:rFonts w:ascii="Times New Roman" w:hAnsi="Times New Roman"/>
                <w:sz w:val="18"/>
                <w:szCs w:val="18"/>
                <w:highlight w:val="cyan"/>
              </w:rPr>
              <w:t>#2</w:t>
            </w:r>
          </w:p>
        </w:tc>
        <w:tc>
          <w:tcPr>
            <w:tcW w:w="569" w:type="pct"/>
            <w:gridSpan w:val="2"/>
            <w:vAlign w:val="center"/>
          </w:tcPr>
          <w:p w14:paraId="4735B505"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tcBorders>
              <w:right w:val="single" w:sz="4" w:space="0" w:color="auto"/>
            </w:tcBorders>
            <w:vAlign w:val="center"/>
          </w:tcPr>
          <w:p w14:paraId="726E6871"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tcPr>
          <w:p w14:paraId="10A998E9"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061CB05F" w14:textId="77777777" w:rsidTr="004A4775">
        <w:trPr>
          <w:trHeight w:val="584"/>
          <w:jc w:val="center"/>
        </w:trPr>
        <w:tc>
          <w:tcPr>
            <w:tcW w:w="502" w:type="pct"/>
            <w:gridSpan w:val="2"/>
            <w:vMerge/>
            <w:tcBorders>
              <w:left w:val="single" w:sz="12" w:space="0" w:color="auto"/>
            </w:tcBorders>
            <w:vAlign w:val="center"/>
          </w:tcPr>
          <w:p w14:paraId="4079E631"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vAlign w:val="center"/>
          </w:tcPr>
          <w:p w14:paraId="1F80B5C0"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South Pacific-wide</w:t>
            </w:r>
          </w:p>
        </w:tc>
        <w:tc>
          <w:tcPr>
            <w:tcW w:w="512" w:type="pct"/>
            <w:gridSpan w:val="2"/>
            <w:vAlign w:val="center"/>
          </w:tcPr>
          <w:p w14:paraId="27C95953"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vAlign w:val="center"/>
          </w:tcPr>
          <w:p w14:paraId="72747F12"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vAlign w:val="center"/>
          </w:tcPr>
          <w:p w14:paraId="7A3BBF09"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gridSpan w:val="2"/>
            <w:vAlign w:val="center"/>
          </w:tcPr>
          <w:p w14:paraId="611CB2E1"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Assessment </w:t>
            </w:r>
          </w:p>
          <w:p w14:paraId="249ECABF" w14:textId="728446CE"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(if data supports) </w:t>
            </w:r>
            <w:r w:rsidRPr="00DF02F5">
              <w:rPr>
                <w:rFonts w:ascii="Times New Roman" w:hAnsi="Times New Roman"/>
                <w:sz w:val="18"/>
                <w:szCs w:val="18"/>
                <w:highlight w:val="cyan"/>
              </w:rPr>
              <w:t>#12</w:t>
            </w:r>
          </w:p>
        </w:tc>
        <w:tc>
          <w:tcPr>
            <w:tcW w:w="569" w:type="pct"/>
            <w:tcBorders>
              <w:right w:val="single" w:sz="4" w:space="0" w:color="auto"/>
            </w:tcBorders>
            <w:vAlign w:val="center"/>
          </w:tcPr>
          <w:p w14:paraId="7AD4C1E6"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7" w:type="pct"/>
            <w:tcBorders>
              <w:left w:val="single" w:sz="4" w:space="0" w:color="auto"/>
              <w:right w:val="single" w:sz="12" w:space="0" w:color="auto"/>
            </w:tcBorders>
          </w:tcPr>
          <w:p w14:paraId="4F1F7D74"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3784EF97" w14:textId="77777777" w:rsidTr="004A4775">
        <w:trPr>
          <w:jc w:val="center"/>
        </w:trPr>
        <w:tc>
          <w:tcPr>
            <w:tcW w:w="502" w:type="pct"/>
            <w:gridSpan w:val="2"/>
            <w:vMerge/>
            <w:tcBorders>
              <w:left w:val="single" w:sz="12" w:space="0" w:color="auto"/>
            </w:tcBorders>
            <w:vAlign w:val="center"/>
          </w:tcPr>
          <w:p w14:paraId="15A6EF33"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vAlign w:val="center"/>
          </w:tcPr>
          <w:p w14:paraId="40334454"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NorthPacific</w:t>
            </w:r>
          </w:p>
        </w:tc>
        <w:tc>
          <w:tcPr>
            <w:tcW w:w="512" w:type="pct"/>
            <w:gridSpan w:val="2"/>
            <w:vAlign w:val="center"/>
          </w:tcPr>
          <w:p w14:paraId="09D12B54"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2015 (Indicator analysis)</w:t>
            </w:r>
          </w:p>
        </w:tc>
        <w:tc>
          <w:tcPr>
            <w:tcW w:w="1198" w:type="pct"/>
            <w:gridSpan w:val="2"/>
            <w:vAlign w:val="center"/>
          </w:tcPr>
          <w:p w14:paraId="3877DCB4"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c>
          <w:tcPr>
            <w:tcW w:w="536" w:type="pct"/>
            <w:gridSpan w:val="2"/>
            <w:vAlign w:val="center"/>
          </w:tcPr>
          <w:p w14:paraId="695ABF27"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Assessment </w:t>
            </w:r>
          </w:p>
          <w:p w14:paraId="59642C3C"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 (ISC) and </w:t>
            </w:r>
            <w:r w:rsidRPr="00DF02F5">
              <w:rPr>
                <w:rFonts w:ascii="Times New Roman" w:hAnsi="Times New Roman"/>
                <w:sz w:val="18"/>
                <w:szCs w:val="18"/>
                <w:highlight w:val="cyan"/>
              </w:rPr>
              <w:t>#3</w:t>
            </w:r>
          </w:p>
        </w:tc>
        <w:tc>
          <w:tcPr>
            <w:tcW w:w="569" w:type="pct"/>
            <w:gridSpan w:val="2"/>
            <w:vAlign w:val="center"/>
          </w:tcPr>
          <w:p w14:paraId="7301D74E"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69" w:type="pct"/>
            <w:tcBorders>
              <w:right w:val="single" w:sz="4" w:space="0" w:color="auto"/>
            </w:tcBorders>
            <w:vAlign w:val="center"/>
          </w:tcPr>
          <w:p w14:paraId="28ADBF8D"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67" w:type="pct"/>
            <w:tcBorders>
              <w:left w:val="single" w:sz="4" w:space="0" w:color="auto"/>
              <w:right w:val="single" w:sz="12" w:space="0" w:color="auto"/>
            </w:tcBorders>
          </w:tcPr>
          <w:p w14:paraId="2C9A5393" w14:textId="77777777" w:rsidR="00DF02F5" w:rsidRPr="00DF02F5" w:rsidRDefault="00DF02F5" w:rsidP="00DF02F5">
            <w:pPr>
              <w:adjustRightInd w:val="0"/>
              <w:snapToGrid w:val="0"/>
              <w:spacing w:after="0"/>
              <w:jc w:val="center"/>
              <w:rPr>
                <w:rFonts w:ascii="Times New Roman" w:hAnsi="Times New Roman"/>
                <w:sz w:val="18"/>
                <w:szCs w:val="18"/>
              </w:rPr>
            </w:pPr>
          </w:p>
        </w:tc>
      </w:tr>
      <w:tr w:rsidR="00DF02F5" w:rsidRPr="00DF02F5" w14:paraId="5B4A9EE4" w14:textId="77777777" w:rsidTr="004A4775">
        <w:trPr>
          <w:jc w:val="center"/>
        </w:trPr>
        <w:tc>
          <w:tcPr>
            <w:tcW w:w="502" w:type="pct"/>
            <w:gridSpan w:val="2"/>
            <w:tcBorders>
              <w:left w:val="single" w:sz="12" w:space="0" w:color="auto"/>
            </w:tcBorders>
            <w:shd w:val="clear" w:color="auto" w:fill="D9D9D9" w:themeFill="background1" w:themeFillShade="D9"/>
            <w:vAlign w:val="center"/>
          </w:tcPr>
          <w:p w14:paraId="01E84EBF"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Porbeagle</w:t>
            </w:r>
          </w:p>
        </w:tc>
        <w:tc>
          <w:tcPr>
            <w:tcW w:w="547" w:type="pct"/>
            <w:gridSpan w:val="2"/>
            <w:shd w:val="clear" w:color="auto" w:fill="D9D9D9" w:themeFill="background1" w:themeFillShade="D9"/>
            <w:vAlign w:val="center"/>
          </w:tcPr>
          <w:p w14:paraId="4821B586"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Pacific-wide (southern hemisphere)</w:t>
            </w:r>
          </w:p>
        </w:tc>
        <w:tc>
          <w:tcPr>
            <w:tcW w:w="512" w:type="pct"/>
            <w:gridSpan w:val="2"/>
            <w:shd w:val="clear" w:color="auto" w:fill="D9D9D9" w:themeFill="background1" w:themeFillShade="D9"/>
            <w:vAlign w:val="center"/>
          </w:tcPr>
          <w:p w14:paraId="503DC21A"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D9D9D9" w:themeFill="background1" w:themeFillShade="D9"/>
            <w:vAlign w:val="center"/>
          </w:tcPr>
          <w:p w14:paraId="6C4C49EB" w14:textId="77777777" w:rsidR="00DF02F5" w:rsidRPr="00DF02F5" w:rsidRDefault="00DF02F5" w:rsidP="00DF02F5">
            <w:pPr>
              <w:adjustRightInd w:val="0"/>
              <w:snapToGrid w:val="0"/>
              <w:spacing w:after="0"/>
              <w:jc w:val="center"/>
              <w:rPr>
                <w:rFonts w:ascii="Times New Roman" w:eastAsia="맑은 고딕" w:hAnsi="Times New Roman"/>
                <w:sz w:val="18"/>
                <w:szCs w:val="18"/>
                <w:lang w:val="fr-FR" w:eastAsia="ko-KR"/>
              </w:rPr>
            </w:pPr>
            <w:r w:rsidRPr="00DF02F5">
              <w:rPr>
                <w:rFonts w:ascii="Times New Roman" w:eastAsia="맑은 고딕" w:hAnsi="Times New Roman"/>
                <w:sz w:val="18"/>
                <w:szCs w:val="18"/>
                <w:lang w:val="fr-FR" w:eastAsia="ko-KR"/>
              </w:rPr>
              <w:t xml:space="preserve">Assessment (ABNJ) </w:t>
            </w:r>
            <w:r w:rsidRPr="00DF02F5">
              <w:rPr>
                <w:rFonts w:ascii="Times New Roman" w:hAnsi="Times New Roman"/>
                <w:color w:val="FF0000"/>
                <w:sz w:val="18"/>
                <w:szCs w:val="18"/>
                <w:lang w:val="fr-FR"/>
              </w:rPr>
              <w:t>(SC13</w:t>
            </w:r>
            <w:r w:rsidRPr="00DF02F5">
              <w:rPr>
                <w:rFonts w:ascii="Times New Roman" w:hAnsi="Times New Roman"/>
                <w:color w:val="FF0000"/>
                <w:sz w:val="18"/>
                <w:szCs w:val="18"/>
                <w:lang w:val="fr-FR"/>
              </w:rPr>
              <w:noBreakHyphen/>
              <w:t>SA</w:t>
            </w:r>
            <w:r w:rsidRPr="00DF02F5">
              <w:rPr>
                <w:rFonts w:ascii="Times New Roman" w:hAnsi="Times New Roman"/>
                <w:color w:val="FF0000"/>
                <w:sz w:val="18"/>
                <w:szCs w:val="18"/>
                <w:lang w:val="fr-FR"/>
              </w:rPr>
              <w:noBreakHyphen/>
              <w:t>WP</w:t>
            </w:r>
            <w:r w:rsidRPr="00DF02F5">
              <w:rPr>
                <w:rFonts w:ascii="Times New Roman" w:hAnsi="Times New Roman"/>
                <w:color w:val="FF0000"/>
                <w:sz w:val="18"/>
                <w:szCs w:val="18"/>
                <w:lang w:val="fr-FR"/>
              </w:rPr>
              <w:noBreakHyphen/>
              <w:t>12)</w:t>
            </w:r>
          </w:p>
        </w:tc>
        <w:tc>
          <w:tcPr>
            <w:tcW w:w="536" w:type="pct"/>
            <w:gridSpan w:val="2"/>
            <w:shd w:val="clear" w:color="auto" w:fill="D9D9D9" w:themeFill="background1" w:themeFillShade="D9"/>
            <w:vAlign w:val="center"/>
          </w:tcPr>
          <w:p w14:paraId="45BC9A7B" w14:textId="77777777" w:rsidR="00DF02F5" w:rsidRPr="00DF02F5" w:rsidRDefault="00DF02F5" w:rsidP="004A4775">
            <w:pPr>
              <w:adjustRightInd w:val="0"/>
              <w:snapToGrid w:val="0"/>
              <w:spacing w:after="0"/>
              <w:jc w:val="left"/>
              <w:rPr>
                <w:rFonts w:ascii="Times New Roman" w:hAnsi="Times New Roman"/>
                <w:sz w:val="18"/>
                <w:szCs w:val="18"/>
                <w:lang w:val="fr-FR"/>
              </w:rPr>
            </w:pPr>
          </w:p>
        </w:tc>
        <w:tc>
          <w:tcPr>
            <w:tcW w:w="569" w:type="pct"/>
            <w:gridSpan w:val="2"/>
            <w:shd w:val="clear" w:color="auto" w:fill="D9D9D9" w:themeFill="background1" w:themeFillShade="D9"/>
            <w:vAlign w:val="center"/>
          </w:tcPr>
          <w:p w14:paraId="6F7F3FEA" w14:textId="77777777" w:rsidR="00DF02F5" w:rsidRPr="00DF02F5" w:rsidRDefault="00DF02F5" w:rsidP="00DF02F5">
            <w:pPr>
              <w:adjustRightInd w:val="0"/>
              <w:snapToGrid w:val="0"/>
              <w:spacing w:after="0"/>
              <w:jc w:val="center"/>
              <w:rPr>
                <w:rFonts w:ascii="Times New Roman" w:hAnsi="Times New Roman"/>
                <w:sz w:val="18"/>
                <w:szCs w:val="18"/>
                <w:lang w:val="fr-FR"/>
              </w:rPr>
            </w:pPr>
          </w:p>
        </w:tc>
        <w:tc>
          <w:tcPr>
            <w:tcW w:w="569" w:type="pct"/>
            <w:tcBorders>
              <w:right w:val="single" w:sz="4" w:space="0" w:color="auto"/>
            </w:tcBorders>
            <w:shd w:val="clear" w:color="auto" w:fill="D9D9D9" w:themeFill="background1" w:themeFillShade="D9"/>
            <w:vAlign w:val="center"/>
          </w:tcPr>
          <w:p w14:paraId="7FC3EF09" w14:textId="77777777" w:rsidR="00DF02F5" w:rsidRPr="00DF02F5" w:rsidRDefault="00DF02F5" w:rsidP="00DF02F5">
            <w:pPr>
              <w:adjustRightInd w:val="0"/>
              <w:snapToGrid w:val="0"/>
              <w:spacing w:after="0"/>
              <w:jc w:val="center"/>
              <w:rPr>
                <w:rFonts w:ascii="Times New Roman" w:hAnsi="Times New Roman"/>
                <w:sz w:val="18"/>
                <w:szCs w:val="18"/>
                <w:lang w:val="fr-FR"/>
              </w:rPr>
            </w:pPr>
          </w:p>
        </w:tc>
        <w:tc>
          <w:tcPr>
            <w:tcW w:w="567" w:type="pct"/>
            <w:tcBorders>
              <w:left w:val="single" w:sz="4" w:space="0" w:color="auto"/>
              <w:right w:val="single" w:sz="12" w:space="0" w:color="auto"/>
            </w:tcBorders>
            <w:shd w:val="clear" w:color="auto" w:fill="D9D9D9" w:themeFill="background1" w:themeFillShade="D9"/>
          </w:tcPr>
          <w:p w14:paraId="1AB63637" w14:textId="77777777" w:rsidR="00DF02F5" w:rsidRPr="00DF02F5" w:rsidRDefault="00DF02F5" w:rsidP="00DF02F5">
            <w:pPr>
              <w:adjustRightInd w:val="0"/>
              <w:snapToGrid w:val="0"/>
              <w:spacing w:after="0"/>
              <w:jc w:val="center"/>
              <w:rPr>
                <w:rFonts w:ascii="Times New Roman" w:hAnsi="Times New Roman"/>
                <w:sz w:val="18"/>
                <w:szCs w:val="18"/>
                <w:lang w:val="fr-FR"/>
              </w:rPr>
            </w:pPr>
          </w:p>
        </w:tc>
      </w:tr>
      <w:tr w:rsidR="004A4775" w:rsidRPr="00DF02F5" w14:paraId="305962BE" w14:textId="77777777" w:rsidTr="00C06F80">
        <w:trPr>
          <w:trHeight w:val="424"/>
          <w:jc w:val="center"/>
        </w:trPr>
        <w:tc>
          <w:tcPr>
            <w:tcW w:w="502" w:type="pct"/>
            <w:gridSpan w:val="2"/>
            <w:tcBorders>
              <w:left w:val="single" w:sz="12" w:space="0" w:color="auto"/>
            </w:tcBorders>
            <w:vAlign w:val="center"/>
          </w:tcPr>
          <w:p w14:paraId="58BE7289" w14:textId="77777777" w:rsidR="004A4775" w:rsidRPr="00DF02F5" w:rsidRDefault="004A4775" w:rsidP="00DF02F5">
            <w:pPr>
              <w:adjustRightInd w:val="0"/>
              <w:snapToGrid w:val="0"/>
              <w:spacing w:after="0"/>
              <w:jc w:val="center"/>
              <w:rPr>
                <w:rFonts w:ascii="Times New Roman" w:hAnsi="Times New Roman"/>
                <w:sz w:val="18"/>
                <w:szCs w:val="18"/>
              </w:rPr>
            </w:pPr>
            <w:r w:rsidRPr="00DF02F5">
              <w:rPr>
                <w:rFonts w:ascii="Times New Roman" w:eastAsia="맑은 고딕" w:hAnsi="Times New Roman"/>
                <w:sz w:val="18"/>
                <w:szCs w:val="18"/>
                <w:lang w:eastAsia="ko-KR"/>
              </w:rPr>
              <w:t>Bigeye t</w:t>
            </w:r>
            <w:r w:rsidRPr="00DF02F5">
              <w:rPr>
                <w:rFonts w:ascii="Times New Roman" w:hAnsi="Times New Roman"/>
                <w:sz w:val="18"/>
                <w:szCs w:val="18"/>
              </w:rPr>
              <w:t>hresher</w:t>
            </w:r>
          </w:p>
        </w:tc>
        <w:tc>
          <w:tcPr>
            <w:tcW w:w="547" w:type="pct"/>
            <w:gridSpan w:val="2"/>
            <w:vAlign w:val="center"/>
          </w:tcPr>
          <w:p w14:paraId="1D3CC637" w14:textId="599B91B6" w:rsidR="004A4775" w:rsidRPr="004A4775" w:rsidRDefault="004A4775" w:rsidP="004A4775">
            <w:pPr>
              <w:adjustRightInd w:val="0"/>
              <w:snapToGrid w:val="0"/>
              <w:spacing w:after="0"/>
              <w:jc w:val="center"/>
              <w:rPr>
                <w:rFonts w:ascii="Times New Roman" w:eastAsia="맑은 고딕" w:hAnsi="Times New Roman"/>
                <w:sz w:val="18"/>
                <w:szCs w:val="18"/>
                <w:lang w:eastAsia="ko-KR"/>
              </w:rPr>
            </w:pPr>
            <w:r w:rsidRPr="00DF02F5">
              <w:rPr>
                <w:rFonts w:ascii="Times New Roman" w:hAnsi="Times New Roman"/>
                <w:sz w:val="18"/>
                <w:szCs w:val="18"/>
              </w:rPr>
              <w:t>Pacific-wide</w:t>
            </w:r>
          </w:p>
        </w:tc>
        <w:tc>
          <w:tcPr>
            <w:tcW w:w="512" w:type="pct"/>
            <w:gridSpan w:val="2"/>
            <w:vAlign w:val="center"/>
          </w:tcPr>
          <w:p w14:paraId="3F8CFAA8" w14:textId="459A6C02" w:rsidR="004A4775" w:rsidRPr="00DF02F5" w:rsidRDefault="004A477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vAlign w:val="center"/>
          </w:tcPr>
          <w:p w14:paraId="1E78CE3C" w14:textId="6168A7C6" w:rsidR="004A4775" w:rsidRPr="00DF02F5" w:rsidRDefault="004A4775" w:rsidP="00DF02F5">
            <w:pPr>
              <w:adjustRightInd w:val="0"/>
              <w:snapToGrid w:val="0"/>
              <w:spacing w:after="0"/>
              <w:jc w:val="center"/>
              <w:rPr>
                <w:rFonts w:ascii="Times New Roman" w:eastAsia="맑은 고딕" w:hAnsi="Times New Roman"/>
                <w:sz w:val="18"/>
                <w:szCs w:val="18"/>
                <w:lang w:eastAsia="ko-KR"/>
              </w:rPr>
            </w:pPr>
            <w:r w:rsidRPr="00DF02F5">
              <w:rPr>
                <w:rFonts w:ascii="Times New Roman" w:hAnsi="Times New Roman"/>
                <w:sz w:val="18"/>
                <w:szCs w:val="18"/>
              </w:rPr>
              <w:t xml:space="preserve">Assessment </w:t>
            </w:r>
            <w:r w:rsidRPr="00DF02F5">
              <w:rPr>
                <w:rFonts w:ascii="Times New Roman" w:hAnsi="Times New Roman"/>
                <w:color w:val="FF0000"/>
                <w:sz w:val="18"/>
                <w:szCs w:val="18"/>
              </w:rPr>
              <w:t>(SC13</w:t>
            </w:r>
            <w:r w:rsidRPr="00DF02F5">
              <w:rPr>
                <w:rFonts w:ascii="Times New Roman" w:hAnsi="Times New Roman"/>
                <w:color w:val="FF0000"/>
                <w:sz w:val="18"/>
                <w:szCs w:val="18"/>
              </w:rPr>
              <w:noBreakHyphen/>
              <w:t>SA</w:t>
            </w:r>
            <w:r w:rsidRPr="00DF02F5">
              <w:rPr>
                <w:rFonts w:ascii="Times New Roman" w:hAnsi="Times New Roman"/>
                <w:color w:val="FF0000"/>
                <w:sz w:val="18"/>
                <w:szCs w:val="18"/>
              </w:rPr>
              <w:noBreakHyphen/>
              <w:t>WP</w:t>
            </w:r>
            <w:r w:rsidRPr="00DF02F5">
              <w:rPr>
                <w:rFonts w:ascii="Times New Roman" w:hAnsi="Times New Roman"/>
                <w:color w:val="FF0000"/>
                <w:sz w:val="18"/>
                <w:szCs w:val="18"/>
              </w:rPr>
              <w:noBreakHyphen/>
              <w:t>11)</w:t>
            </w:r>
          </w:p>
        </w:tc>
        <w:tc>
          <w:tcPr>
            <w:tcW w:w="536" w:type="pct"/>
            <w:gridSpan w:val="2"/>
            <w:vAlign w:val="center"/>
          </w:tcPr>
          <w:p w14:paraId="1B8C870D" w14:textId="77777777" w:rsidR="004A4775" w:rsidRPr="00DF02F5" w:rsidRDefault="004A4775" w:rsidP="00DF02F5">
            <w:pPr>
              <w:adjustRightInd w:val="0"/>
              <w:snapToGrid w:val="0"/>
              <w:spacing w:after="0"/>
              <w:rPr>
                <w:rFonts w:ascii="Times New Roman" w:eastAsia="맑은 고딕" w:hAnsi="Times New Roman"/>
                <w:sz w:val="18"/>
                <w:szCs w:val="18"/>
                <w:lang w:eastAsia="ko-KR"/>
              </w:rPr>
            </w:pPr>
          </w:p>
        </w:tc>
        <w:tc>
          <w:tcPr>
            <w:tcW w:w="569" w:type="pct"/>
            <w:gridSpan w:val="2"/>
            <w:vAlign w:val="center"/>
          </w:tcPr>
          <w:p w14:paraId="7925BA7D" w14:textId="77777777" w:rsidR="004A4775" w:rsidRPr="00DF02F5" w:rsidRDefault="004A4775" w:rsidP="00DF02F5">
            <w:pPr>
              <w:adjustRightInd w:val="0"/>
              <w:snapToGrid w:val="0"/>
              <w:spacing w:after="0"/>
              <w:jc w:val="center"/>
              <w:rPr>
                <w:rFonts w:ascii="Times New Roman" w:eastAsia="맑은 고딕" w:hAnsi="Times New Roman"/>
                <w:sz w:val="18"/>
                <w:szCs w:val="18"/>
                <w:lang w:eastAsia="ko-KR"/>
              </w:rPr>
            </w:pPr>
          </w:p>
        </w:tc>
        <w:tc>
          <w:tcPr>
            <w:tcW w:w="569" w:type="pct"/>
            <w:tcBorders>
              <w:right w:val="single" w:sz="4" w:space="0" w:color="auto"/>
            </w:tcBorders>
            <w:vAlign w:val="center"/>
          </w:tcPr>
          <w:p w14:paraId="3770332A" w14:textId="77777777" w:rsidR="004A4775" w:rsidRPr="00DF02F5" w:rsidRDefault="004A4775" w:rsidP="00DF02F5">
            <w:pPr>
              <w:adjustRightInd w:val="0"/>
              <w:snapToGrid w:val="0"/>
              <w:spacing w:after="0"/>
              <w:jc w:val="center"/>
              <w:rPr>
                <w:rFonts w:ascii="Times New Roman" w:eastAsia="맑은 고딕" w:hAnsi="Times New Roman"/>
                <w:sz w:val="18"/>
                <w:szCs w:val="18"/>
                <w:lang w:eastAsia="ko-KR"/>
              </w:rPr>
            </w:pPr>
          </w:p>
        </w:tc>
        <w:tc>
          <w:tcPr>
            <w:tcW w:w="567" w:type="pct"/>
            <w:tcBorders>
              <w:left w:val="single" w:sz="4" w:space="0" w:color="auto"/>
              <w:right w:val="single" w:sz="12" w:space="0" w:color="auto"/>
            </w:tcBorders>
          </w:tcPr>
          <w:p w14:paraId="66679F5B" w14:textId="77777777" w:rsidR="004A4775" w:rsidRPr="00DF02F5" w:rsidRDefault="004A4775" w:rsidP="00DF02F5">
            <w:pPr>
              <w:adjustRightInd w:val="0"/>
              <w:snapToGrid w:val="0"/>
              <w:spacing w:after="0"/>
              <w:jc w:val="center"/>
              <w:rPr>
                <w:rFonts w:ascii="Times New Roman" w:eastAsia="맑은 고딕" w:hAnsi="Times New Roman"/>
                <w:sz w:val="18"/>
                <w:szCs w:val="18"/>
                <w:lang w:eastAsia="ko-KR"/>
              </w:rPr>
            </w:pPr>
          </w:p>
        </w:tc>
      </w:tr>
      <w:tr w:rsidR="00DF02F5" w:rsidRPr="00DF02F5" w14:paraId="355508C7" w14:textId="77777777" w:rsidTr="004A4775">
        <w:trPr>
          <w:jc w:val="center"/>
        </w:trPr>
        <w:tc>
          <w:tcPr>
            <w:tcW w:w="502" w:type="pct"/>
            <w:gridSpan w:val="2"/>
            <w:vMerge w:val="restart"/>
            <w:tcBorders>
              <w:left w:val="single" w:sz="12" w:space="0" w:color="auto"/>
            </w:tcBorders>
            <w:shd w:val="clear" w:color="auto" w:fill="D9D9D9" w:themeFill="background1" w:themeFillShade="D9"/>
            <w:vAlign w:val="center"/>
          </w:tcPr>
          <w:p w14:paraId="2F66EEE9"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Hammerhead</w:t>
            </w:r>
          </w:p>
        </w:tc>
        <w:tc>
          <w:tcPr>
            <w:tcW w:w="547" w:type="pct"/>
            <w:gridSpan w:val="2"/>
            <w:shd w:val="clear" w:color="auto" w:fill="D9D9D9" w:themeFill="background1" w:themeFillShade="D9"/>
            <w:vAlign w:val="center"/>
          </w:tcPr>
          <w:p w14:paraId="1AE81E03"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WCPO</w:t>
            </w:r>
          </w:p>
        </w:tc>
        <w:tc>
          <w:tcPr>
            <w:tcW w:w="512" w:type="pct"/>
            <w:gridSpan w:val="2"/>
            <w:shd w:val="clear" w:color="auto" w:fill="D9D9D9" w:themeFill="background1" w:themeFillShade="D9"/>
            <w:vAlign w:val="center"/>
          </w:tcPr>
          <w:p w14:paraId="55D429DD"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D9D9D9" w:themeFill="background1" w:themeFillShade="D9"/>
            <w:vAlign w:val="center"/>
          </w:tcPr>
          <w:p w14:paraId="4756D5C8"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c>
          <w:tcPr>
            <w:tcW w:w="536" w:type="pct"/>
            <w:gridSpan w:val="2"/>
            <w:shd w:val="clear" w:color="auto" w:fill="D9D9D9" w:themeFill="background1" w:themeFillShade="D9"/>
            <w:vAlign w:val="center"/>
          </w:tcPr>
          <w:p w14:paraId="695432F8"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c>
          <w:tcPr>
            <w:tcW w:w="569" w:type="pct"/>
            <w:gridSpan w:val="2"/>
            <w:shd w:val="clear" w:color="auto" w:fill="D9D9D9" w:themeFill="background1" w:themeFillShade="D9"/>
            <w:vAlign w:val="center"/>
          </w:tcPr>
          <w:p w14:paraId="5E3441B6"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 Update catch history </w:t>
            </w:r>
            <w:r w:rsidRPr="00DF02F5">
              <w:rPr>
                <w:rFonts w:ascii="Times New Roman" w:eastAsia="맑은 고딕" w:hAnsi="Times New Roman"/>
                <w:sz w:val="18"/>
                <w:szCs w:val="18"/>
                <w:highlight w:val="cyan"/>
                <w:lang w:eastAsia="ko-KR"/>
              </w:rPr>
              <w:t>#8</w:t>
            </w:r>
          </w:p>
          <w:p w14:paraId="15C9D95B" w14:textId="77777777" w:rsidR="00DF02F5" w:rsidRPr="00DF02F5" w:rsidRDefault="00DF02F5" w:rsidP="004A4775">
            <w:pPr>
              <w:adjustRightInd w:val="0"/>
              <w:snapToGrid w:val="0"/>
              <w:spacing w:after="0"/>
              <w:jc w:val="left"/>
              <w:rPr>
                <w:rFonts w:ascii="Times New Roman" w:hAnsi="Times New Roman"/>
                <w:sz w:val="18"/>
                <w:szCs w:val="18"/>
              </w:rPr>
            </w:pPr>
          </w:p>
          <w:p w14:paraId="7BA443A8"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hAnsi="Times New Roman"/>
                <w:sz w:val="18"/>
                <w:szCs w:val="18"/>
              </w:rPr>
              <w:t>? Biology</w:t>
            </w:r>
            <w:r w:rsidRPr="00DF02F5">
              <w:rPr>
                <w:rFonts w:ascii="Times New Roman" w:eastAsia="맑은 고딕" w:hAnsi="Times New Roman"/>
                <w:sz w:val="18"/>
                <w:szCs w:val="18"/>
                <w:lang w:eastAsia="ko-KR"/>
              </w:rPr>
              <w:t xml:space="preserve"> </w:t>
            </w:r>
            <w:r w:rsidRPr="00DF02F5">
              <w:rPr>
                <w:rFonts w:ascii="Times New Roman" w:eastAsia="맑은 고딕" w:hAnsi="Times New Roman"/>
                <w:sz w:val="18"/>
                <w:szCs w:val="18"/>
                <w:highlight w:val="cyan"/>
                <w:lang w:eastAsia="ko-KR"/>
              </w:rPr>
              <w:t>#9</w:t>
            </w:r>
          </w:p>
          <w:p w14:paraId="67C48ECC"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p>
          <w:p w14:paraId="7AA7113B"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Stock discrimination?</w:t>
            </w:r>
          </w:p>
          <w:p w14:paraId="764CFE90"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hAnsi="Times New Roman"/>
                <w:sz w:val="18"/>
                <w:szCs w:val="18"/>
              </w:rPr>
              <w:t>Biological research to determine species specific age, growth and reproductive parameters</w:t>
            </w:r>
            <w:r w:rsidRPr="00DF02F5">
              <w:rPr>
                <w:rFonts w:ascii="Times New Roman" w:eastAsia="맑은 고딕" w:hAnsi="Times New Roman"/>
                <w:sz w:val="18"/>
                <w:szCs w:val="18"/>
                <w:lang w:eastAsia="ko-KR"/>
              </w:rPr>
              <w:t>?</w:t>
            </w:r>
          </w:p>
        </w:tc>
        <w:tc>
          <w:tcPr>
            <w:tcW w:w="569" w:type="pct"/>
            <w:tcBorders>
              <w:right w:val="single" w:sz="4" w:space="0" w:color="auto"/>
            </w:tcBorders>
            <w:shd w:val="clear" w:color="auto" w:fill="D9D9D9" w:themeFill="background1" w:themeFillShade="D9"/>
            <w:vAlign w:val="center"/>
          </w:tcPr>
          <w:p w14:paraId="02CEDD5E"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Stock discrimination?</w:t>
            </w:r>
          </w:p>
          <w:p w14:paraId="550F06C9"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hAnsi="Times New Roman"/>
                <w:sz w:val="18"/>
                <w:szCs w:val="18"/>
              </w:rPr>
              <w:t>Biological research to determine species specific age, growth and reproductive parameters</w:t>
            </w:r>
            <w:r w:rsidRPr="00DF02F5">
              <w:rPr>
                <w:rFonts w:ascii="Times New Roman" w:eastAsia="맑은 고딕" w:hAnsi="Times New Roman"/>
                <w:sz w:val="18"/>
                <w:szCs w:val="18"/>
                <w:lang w:eastAsia="ko-KR"/>
              </w:rPr>
              <w:t>?</w:t>
            </w:r>
          </w:p>
        </w:tc>
        <w:tc>
          <w:tcPr>
            <w:tcW w:w="567" w:type="pct"/>
            <w:tcBorders>
              <w:left w:val="single" w:sz="4" w:space="0" w:color="auto"/>
              <w:right w:val="single" w:sz="12" w:space="0" w:color="auto"/>
            </w:tcBorders>
            <w:shd w:val="clear" w:color="auto" w:fill="D9D9D9" w:themeFill="background1" w:themeFillShade="D9"/>
          </w:tcPr>
          <w:p w14:paraId="3C842A3C"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r>
      <w:tr w:rsidR="00DF02F5" w:rsidRPr="00DF02F5" w14:paraId="235D2D48" w14:textId="77777777" w:rsidTr="004A4775">
        <w:trPr>
          <w:jc w:val="center"/>
        </w:trPr>
        <w:tc>
          <w:tcPr>
            <w:tcW w:w="502" w:type="pct"/>
            <w:gridSpan w:val="2"/>
            <w:vMerge/>
            <w:tcBorders>
              <w:left w:val="single" w:sz="12" w:space="0" w:color="auto"/>
            </w:tcBorders>
            <w:shd w:val="clear" w:color="auto" w:fill="D9D9D9" w:themeFill="background1" w:themeFillShade="D9"/>
            <w:vAlign w:val="center"/>
          </w:tcPr>
          <w:p w14:paraId="1A3E90FD"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shd w:val="clear" w:color="auto" w:fill="D9D9D9" w:themeFill="background1" w:themeFillShade="D9"/>
            <w:vAlign w:val="center"/>
          </w:tcPr>
          <w:p w14:paraId="6D4CF374"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Pacific-wide</w:t>
            </w:r>
          </w:p>
        </w:tc>
        <w:tc>
          <w:tcPr>
            <w:tcW w:w="512" w:type="pct"/>
            <w:gridSpan w:val="2"/>
            <w:shd w:val="clear" w:color="auto" w:fill="D9D9D9" w:themeFill="background1" w:themeFillShade="D9"/>
            <w:vAlign w:val="center"/>
          </w:tcPr>
          <w:p w14:paraId="3C249629"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D9D9D9" w:themeFill="background1" w:themeFillShade="D9"/>
            <w:vAlign w:val="center"/>
          </w:tcPr>
          <w:p w14:paraId="62A187D2"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shd w:val="clear" w:color="auto" w:fill="D9D9D9" w:themeFill="background1" w:themeFillShade="D9"/>
            <w:vAlign w:val="center"/>
          </w:tcPr>
          <w:p w14:paraId="69E476D4"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c>
          <w:tcPr>
            <w:tcW w:w="569" w:type="pct"/>
            <w:gridSpan w:val="2"/>
            <w:shd w:val="clear" w:color="auto" w:fill="D9D9D9" w:themeFill="background1" w:themeFillShade="D9"/>
            <w:vAlign w:val="center"/>
          </w:tcPr>
          <w:p w14:paraId="7CAF804C"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c>
          <w:tcPr>
            <w:tcW w:w="569" w:type="pct"/>
            <w:tcBorders>
              <w:right w:val="single" w:sz="4" w:space="0" w:color="auto"/>
            </w:tcBorders>
            <w:shd w:val="clear" w:color="auto" w:fill="D9D9D9" w:themeFill="background1" w:themeFillShade="D9"/>
            <w:vAlign w:val="center"/>
          </w:tcPr>
          <w:p w14:paraId="73D9E947"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c>
          <w:tcPr>
            <w:tcW w:w="567" w:type="pct"/>
            <w:tcBorders>
              <w:left w:val="single" w:sz="4" w:space="0" w:color="auto"/>
              <w:right w:val="single" w:sz="12" w:space="0" w:color="auto"/>
            </w:tcBorders>
            <w:shd w:val="clear" w:color="auto" w:fill="D9D9D9" w:themeFill="background1" w:themeFillShade="D9"/>
          </w:tcPr>
          <w:p w14:paraId="09D74ACC" w14:textId="77777777" w:rsidR="00DF02F5" w:rsidRPr="00DF02F5" w:rsidRDefault="00DF02F5" w:rsidP="00DF02F5">
            <w:pPr>
              <w:adjustRightInd w:val="0"/>
              <w:snapToGrid w:val="0"/>
              <w:spacing w:after="0"/>
              <w:rPr>
                <w:rFonts w:ascii="Times New Roman" w:eastAsia="맑은 고딕" w:hAnsi="Times New Roman"/>
                <w:sz w:val="18"/>
                <w:szCs w:val="18"/>
                <w:lang w:eastAsia="ko-KR"/>
              </w:rPr>
            </w:pPr>
          </w:p>
        </w:tc>
      </w:tr>
      <w:tr w:rsidR="00DF02F5" w:rsidRPr="00DF02F5" w14:paraId="37F2244A" w14:textId="77777777" w:rsidTr="004A4775">
        <w:trPr>
          <w:jc w:val="center"/>
        </w:trPr>
        <w:tc>
          <w:tcPr>
            <w:tcW w:w="502" w:type="pct"/>
            <w:gridSpan w:val="2"/>
            <w:vMerge w:val="restart"/>
            <w:tcBorders>
              <w:left w:val="single" w:sz="12" w:space="0" w:color="auto"/>
            </w:tcBorders>
            <w:vAlign w:val="center"/>
          </w:tcPr>
          <w:p w14:paraId="489EED56"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 xml:space="preserve">Whaleshark </w:t>
            </w:r>
          </w:p>
        </w:tc>
        <w:tc>
          <w:tcPr>
            <w:tcW w:w="547" w:type="pct"/>
            <w:gridSpan w:val="2"/>
            <w:vAlign w:val="center"/>
          </w:tcPr>
          <w:p w14:paraId="1403CF57"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WCPO</w:t>
            </w:r>
          </w:p>
        </w:tc>
        <w:tc>
          <w:tcPr>
            <w:tcW w:w="512" w:type="pct"/>
            <w:gridSpan w:val="2"/>
            <w:shd w:val="clear" w:color="auto" w:fill="auto"/>
            <w:vAlign w:val="center"/>
          </w:tcPr>
          <w:p w14:paraId="713600F0"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auto"/>
            <w:vAlign w:val="center"/>
          </w:tcPr>
          <w:p w14:paraId="3FCEEA34" w14:textId="77777777" w:rsidR="00DF02F5" w:rsidRPr="00DF02F5" w:rsidRDefault="00DF02F5" w:rsidP="00DF02F5">
            <w:pPr>
              <w:adjustRightInd w:val="0"/>
              <w:snapToGrid w:val="0"/>
              <w:spacing w:after="0"/>
              <w:jc w:val="center"/>
              <w:rPr>
                <w:rFonts w:ascii="Times New Roman" w:eastAsia="맑은 고딕" w:hAnsi="Times New Roman"/>
                <w:sz w:val="18"/>
                <w:szCs w:val="18"/>
                <w:lang w:eastAsia="ko-KR"/>
              </w:rPr>
            </w:pPr>
          </w:p>
        </w:tc>
        <w:tc>
          <w:tcPr>
            <w:tcW w:w="536" w:type="pct"/>
            <w:gridSpan w:val="2"/>
            <w:shd w:val="clear" w:color="auto" w:fill="auto"/>
            <w:vAlign w:val="center"/>
          </w:tcPr>
          <w:p w14:paraId="7FFB9FD5"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p>
        </w:tc>
        <w:tc>
          <w:tcPr>
            <w:tcW w:w="569" w:type="pct"/>
            <w:gridSpan w:val="2"/>
            <w:shd w:val="clear" w:color="auto" w:fill="auto"/>
            <w:vAlign w:val="center"/>
          </w:tcPr>
          <w:p w14:paraId="732FB180" w14:textId="77777777" w:rsidR="00DF02F5" w:rsidRPr="00DF02F5" w:rsidRDefault="00DF02F5" w:rsidP="004A4775">
            <w:pPr>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 Stock discrimination </w:t>
            </w:r>
            <w:r w:rsidRPr="00DF02F5">
              <w:rPr>
                <w:rFonts w:ascii="Times New Roman" w:eastAsia="맑은 고딕" w:hAnsi="Times New Roman"/>
                <w:sz w:val="18"/>
                <w:szCs w:val="18"/>
                <w:highlight w:val="cyan"/>
                <w:lang w:eastAsia="ko-KR"/>
              </w:rPr>
              <w:t>#10</w:t>
            </w:r>
          </w:p>
        </w:tc>
        <w:tc>
          <w:tcPr>
            <w:tcW w:w="569" w:type="pct"/>
            <w:tcBorders>
              <w:bottom w:val="single" w:sz="4" w:space="0" w:color="auto"/>
              <w:right w:val="single" w:sz="4" w:space="0" w:color="auto"/>
            </w:tcBorders>
            <w:shd w:val="clear" w:color="auto" w:fill="auto"/>
            <w:vAlign w:val="center"/>
          </w:tcPr>
          <w:p w14:paraId="07B976C3" w14:textId="77777777" w:rsidR="00DF02F5" w:rsidRPr="00DF02F5" w:rsidRDefault="00DF02F5" w:rsidP="00DF02F5">
            <w:pPr>
              <w:adjustRightInd w:val="0"/>
              <w:snapToGrid w:val="0"/>
              <w:spacing w:after="0"/>
              <w:rPr>
                <w:rFonts w:ascii="Times New Roman" w:hAnsi="Times New Roman"/>
                <w:sz w:val="18"/>
                <w:szCs w:val="18"/>
              </w:rPr>
            </w:pPr>
          </w:p>
        </w:tc>
        <w:tc>
          <w:tcPr>
            <w:tcW w:w="567" w:type="pct"/>
            <w:tcBorders>
              <w:left w:val="single" w:sz="4" w:space="0" w:color="auto"/>
              <w:right w:val="single" w:sz="12" w:space="0" w:color="auto"/>
            </w:tcBorders>
            <w:shd w:val="clear" w:color="auto" w:fill="auto"/>
            <w:vAlign w:val="center"/>
          </w:tcPr>
          <w:p w14:paraId="710DC2AC" w14:textId="77777777" w:rsidR="00DF02F5" w:rsidRPr="00DF02F5" w:rsidRDefault="00DF02F5" w:rsidP="00DF02F5">
            <w:pPr>
              <w:adjustRightInd w:val="0"/>
              <w:snapToGrid w:val="0"/>
              <w:spacing w:after="0"/>
              <w:rPr>
                <w:rFonts w:ascii="Times New Roman" w:hAnsi="Times New Roman"/>
                <w:sz w:val="18"/>
                <w:szCs w:val="18"/>
              </w:rPr>
            </w:pPr>
          </w:p>
        </w:tc>
      </w:tr>
      <w:tr w:rsidR="00DF02F5" w:rsidRPr="00DF02F5" w14:paraId="3AF8B26F" w14:textId="77777777" w:rsidTr="004A4775">
        <w:trPr>
          <w:jc w:val="center"/>
        </w:trPr>
        <w:tc>
          <w:tcPr>
            <w:tcW w:w="502" w:type="pct"/>
            <w:gridSpan w:val="2"/>
            <w:vMerge/>
            <w:tcBorders>
              <w:left w:val="single" w:sz="12" w:space="0" w:color="auto"/>
            </w:tcBorders>
            <w:vAlign w:val="center"/>
          </w:tcPr>
          <w:p w14:paraId="5F67029F"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47" w:type="pct"/>
            <w:gridSpan w:val="2"/>
            <w:vAlign w:val="center"/>
          </w:tcPr>
          <w:p w14:paraId="0DDC8281"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Pacific-wide</w:t>
            </w:r>
          </w:p>
        </w:tc>
        <w:tc>
          <w:tcPr>
            <w:tcW w:w="512" w:type="pct"/>
            <w:gridSpan w:val="2"/>
            <w:shd w:val="clear" w:color="auto" w:fill="auto"/>
            <w:vAlign w:val="center"/>
          </w:tcPr>
          <w:p w14:paraId="5F874230"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198" w:type="pct"/>
            <w:gridSpan w:val="2"/>
            <w:shd w:val="clear" w:color="auto" w:fill="auto"/>
            <w:vAlign w:val="center"/>
          </w:tcPr>
          <w:p w14:paraId="63031589"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536" w:type="pct"/>
            <w:gridSpan w:val="2"/>
            <w:shd w:val="clear" w:color="auto" w:fill="auto"/>
            <w:vAlign w:val="center"/>
          </w:tcPr>
          <w:p w14:paraId="085E0A68" w14:textId="77777777" w:rsidR="00DF02F5" w:rsidRPr="00DF02F5" w:rsidRDefault="00DF02F5" w:rsidP="004A4775">
            <w:pPr>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Purse seine interactions </w:t>
            </w:r>
            <w:r w:rsidRPr="00DF02F5">
              <w:rPr>
                <w:rFonts w:ascii="Times New Roman" w:hAnsi="Times New Roman"/>
                <w:sz w:val="18"/>
                <w:szCs w:val="18"/>
                <w:highlight w:val="cyan"/>
              </w:rPr>
              <w:t># 1</w:t>
            </w:r>
          </w:p>
        </w:tc>
        <w:tc>
          <w:tcPr>
            <w:tcW w:w="569" w:type="pct"/>
            <w:gridSpan w:val="2"/>
            <w:shd w:val="clear" w:color="auto" w:fill="auto"/>
            <w:vAlign w:val="center"/>
          </w:tcPr>
          <w:p w14:paraId="1AC1DEE5" w14:textId="77777777" w:rsidR="00DF02F5" w:rsidRPr="00DF02F5" w:rsidRDefault="00DF02F5" w:rsidP="004A4775">
            <w:pPr>
              <w:adjustRightInd w:val="0"/>
              <w:snapToGrid w:val="0"/>
              <w:spacing w:after="0"/>
              <w:jc w:val="left"/>
              <w:rPr>
                <w:rFonts w:ascii="Times New Roman" w:hAnsi="Times New Roman"/>
                <w:sz w:val="18"/>
                <w:szCs w:val="18"/>
              </w:rPr>
            </w:pPr>
          </w:p>
        </w:tc>
        <w:tc>
          <w:tcPr>
            <w:tcW w:w="569" w:type="pct"/>
            <w:tcBorders>
              <w:right w:val="single" w:sz="4" w:space="0" w:color="auto"/>
            </w:tcBorders>
            <w:shd w:val="clear" w:color="auto" w:fill="auto"/>
            <w:vAlign w:val="center"/>
          </w:tcPr>
          <w:p w14:paraId="1A90C9FD" w14:textId="77777777" w:rsidR="00DF02F5" w:rsidRPr="00DF02F5" w:rsidRDefault="00DF02F5" w:rsidP="00DF02F5">
            <w:pPr>
              <w:adjustRightInd w:val="0"/>
              <w:snapToGrid w:val="0"/>
              <w:spacing w:after="0"/>
              <w:rPr>
                <w:rFonts w:ascii="Times New Roman" w:hAnsi="Times New Roman"/>
                <w:sz w:val="18"/>
                <w:szCs w:val="18"/>
              </w:rPr>
            </w:pPr>
          </w:p>
        </w:tc>
        <w:tc>
          <w:tcPr>
            <w:tcW w:w="567" w:type="pct"/>
            <w:tcBorders>
              <w:left w:val="single" w:sz="4" w:space="0" w:color="auto"/>
              <w:right w:val="single" w:sz="12" w:space="0" w:color="auto"/>
            </w:tcBorders>
            <w:shd w:val="clear" w:color="auto" w:fill="auto"/>
            <w:vAlign w:val="center"/>
          </w:tcPr>
          <w:p w14:paraId="3FA1BDBC" w14:textId="77777777" w:rsidR="00DF02F5" w:rsidRPr="00DF02F5" w:rsidRDefault="00DF02F5" w:rsidP="00DF02F5">
            <w:pPr>
              <w:adjustRightInd w:val="0"/>
              <w:snapToGrid w:val="0"/>
              <w:spacing w:after="0"/>
              <w:rPr>
                <w:rFonts w:ascii="Times New Roman" w:hAnsi="Times New Roman"/>
                <w:sz w:val="18"/>
                <w:szCs w:val="18"/>
              </w:rPr>
            </w:pPr>
          </w:p>
        </w:tc>
      </w:tr>
      <w:tr w:rsidR="00DF02F5" w:rsidRPr="00DF02F5" w14:paraId="4B13AF5E" w14:textId="77777777" w:rsidTr="004A4775">
        <w:trPr>
          <w:jc w:val="center"/>
        </w:trPr>
        <w:tc>
          <w:tcPr>
            <w:tcW w:w="502" w:type="pct"/>
            <w:gridSpan w:val="2"/>
            <w:tcBorders>
              <w:left w:val="single" w:sz="12" w:space="0" w:color="auto"/>
              <w:bottom w:val="single" w:sz="12" w:space="0" w:color="auto"/>
            </w:tcBorders>
            <w:shd w:val="clear" w:color="auto" w:fill="D9D9D9" w:themeFill="background1" w:themeFillShade="D9"/>
            <w:vAlign w:val="center"/>
          </w:tcPr>
          <w:p w14:paraId="71E21DB2"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Manta and mobulids</w:t>
            </w:r>
          </w:p>
        </w:tc>
        <w:tc>
          <w:tcPr>
            <w:tcW w:w="547" w:type="pct"/>
            <w:gridSpan w:val="2"/>
            <w:tcBorders>
              <w:bottom w:val="single" w:sz="12" w:space="0" w:color="auto"/>
            </w:tcBorders>
            <w:shd w:val="clear" w:color="auto" w:fill="D9D9D9" w:themeFill="background1" w:themeFillShade="D9"/>
            <w:vAlign w:val="center"/>
          </w:tcPr>
          <w:p w14:paraId="0A9A198C" w14:textId="77777777" w:rsidR="00DF02F5" w:rsidRPr="00DF02F5" w:rsidRDefault="00DF02F5" w:rsidP="00DF02F5">
            <w:pPr>
              <w:adjustRightInd w:val="0"/>
              <w:snapToGrid w:val="0"/>
              <w:spacing w:after="0"/>
              <w:jc w:val="center"/>
              <w:rPr>
                <w:rFonts w:ascii="Times New Roman" w:hAnsi="Times New Roman"/>
                <w:sz w:val="18"/>
                <w:szCs w:val="18"/>
              </w:rPr>
            </w:pPr>
            <w:r w:rsidRPr="00DF02F5">
              <w:rPr>
                <w:rFonts w:ascii="Times New Roman" w:hAnsi="Times New Roman"/>
                <w:sz w:val="18"/>
                <w:szCs w:val="18"/>
              </w:rPr>
              <w:t>WCPO</w:t>
            </w:r>
          </w:p>
        </w:tc>
        <w:tc>
          <w:tcPr>
            <w:tcW w:w="512" w:type="pct"/>
            <w:gridSpan w:val="2"/>
            <w:tcBorders>
              <w:bottom w:val="single" w:sz="12" w:space="0" w:color="auto"/>
            </w:tcBorders>
            <w:shd w:val="clear" w:color="auto" w:fill="D9D9D9" w:themeFill="background1" w:themeFillShade="D9"/>
            <w:vAlign w:val="center"/>
          </w:tcPr>
          <w:p w14:paraId="54D2C848" w14:textId="77777777" w:rsidR="00DF02F5" w:rsidRPr="00DF02F5" w:rsidRDefault="00DF02F5" w:rsidP="00DF02F5">
            <w:pPr>
              <w:adjustRightInd w:val="0"/>
              <w:snapToGrid w:val="0"/>
              <w:spacing w:after="0"/>
              <w:jc w:val="center"/>
              <w:rPr>
                <w:rFonts w:ascii="Times New Roman" w:hAnsi="Times New Roman"/>
                <w:sz w:val="18"/>
                <w:szCs w:val="18"/>
              </w:rPr>
            </w:pPr>
          </w:p>
        </w:tc>
        <w:tc>
          <w:tcPr>
            <w:tcW w:w="1198" w:type="pct"/>
            <w:gridSpan w:val="2"/>
            <w:tcBorders>
              <w:bottom w:val="single" w:sz="12" w:space="0" w:color="auto"/>
            </w:tcBorders>
            <w:shd w:val="clear" w:color="auto" w:fill="D9D9D9" w:themeFill="background1" w:themeFillShade="D9"/>
            <w:vAlign w:val="center"/>
          </w:tcPr>
          <w:p w14:paraId="355A4361" w14:textId="77777777" w:rsidR="00DF02F5" w:rsidRPr="00DF02F5" w:rsidRDefault="00DF02F5" w:rsidP="004A4775">
            <w:pPr>
              <w:adjustRightInd w:val="0"/>
              <w:snapToGrid w:val="0"/>
              <w:spacing w:after="0"/>
              <w:jc w:val="left"/>
              <w:rPr>
                <w:rFonts w:ascii="Times New Roman" w:hAnsi="Times New Roman"/>
                <w:color w:val="FF0000"/>
                <w:sz w:val="18"/>
                <w:szCs w:val="18"/>
              </w:rPr>
            </w:pPr>
            <w:r w:rsidRPr="00DF02F5">
              <w:rPr>
                <w:rFonts w:ascii="Times New Roman" w:hAnsi="Times New Roman"/>
                <w:sz w:val="18"/>
                <w:szCs w:val="18"/>
              </w:rPr>
              <w:t xml:space="preserve">Best handling practices  </w:t>
            </w:r>
            <w:r w:rsidRPr="00DF02F5">
              <w:rPr>
                <w:rFonts w:ascii="Times New Roman" w:hAnsi="Times New Roman"/>
                <w:color w:val="FF0000"/>
                <w:sz w:val="18"/>
                <w:szCs w:val="18"/>
              </w:rPr>
              <w:t>(SC</w:t>
            </w:r>
            <w:r w:rsidRPr="00DF02F5">
              <w:rPr>
                <w:rFonts w:ascii="Times New Roman" w:hAnsi="Times New Roman"/>
                <w:color w:val="FF0000"/>
                <w:sz w:val="18"/>
                <w:szCs w:val="18"/>
              </w:rPr>
              <w:noBreakHyphen/>
              <w:t>EB</w:t>
            </w:r>
            <w:r w:rsidRPr="00DF02F5">
              <w:rPr>
                <w:rFonts w:ascii="Times New Roman" w:hAnsi="Times New Roman"/>
                <w:color w:val="FF0000"/>
                <w:sz w:val="18"/>
                <w:szCs w:val="18"/>
              </w:rPr>
              <w:noBreakHyphen/>
              <w:t>IP</w:t>
            </w:r>
            <w:r w:rsidRPr="00DF02F5">
              <w:rPr>
                <w:rFonts w:ascii="Times New Roman" w:hAnsi="Times New Roman"/>
                <w:color w:val="FF0000"/>
                <w:sz w:val="18"/>
                <w:szCs w:val="18"/>
              </w:rPr>
              <w:noBreakHyphen/>
              <w:t>08)</w:t>
            </w:r>
          </w:p>
          <w:p w14:paraId="62D7B62E" w14:textId="77777777" w:rsidR="00DF02F5" w:rsidRPr="00DF02F5" w:rsidRDefault="00DF02F5" w:rsidP="004A4775">
            <w:pPr>
              <w:keepNext/>
              <w:keepLines/>
              <w:adjustRightInd w:val="0"/>
              <w:snapToGrid w:val="0"/>
              <w:spacing w:after="0"/>
              <w:jc w:val="left"/>
              <w:rPr>
                <w:rFonts w:ascii="Times New Roman" w:hAnsi="Times New Roman"/>
                <w:color w:val="000000" w:themeColor="text1"/>
                <w:sz w:val="18"/>
                <w:szCs w:val="18"/>
              </w:rPr>
            </w:pPr>
          </w:p>
          <w:p w14:paraId="0874E9AB"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hAnsi="Times New Roman"/>
                <w:color w:val="000000" w:themeColor="text1"/>
                <w:sz w:val="18"/>
                <w:szCs w:val="18"/>
              </w:rPr>
              <w:t xml:space="preserve">Mitigation </w:t>
            </w:r>
            <w:r w:rsidRPr="00DF02F5">
              <w:rPr>
                <w:rFonts w:ascii="Times New Roman" w:hAnsi="Times New Roman"/>
                <w:color w:val="FF0000"/>
                <w:sz w:val="18"/>
                <w:szCs w:val="18"/>
              </w:rPr>
              <w:t>(SC13</w:t>
            </w:r>
            <w:r w:rsidRPr="00DF02F5">
              <w:rPr>
                <w:rFonts w:ascii="Times New Roman" w:hAnsi="Times New Roman"/>
                <w:color w:val="FF0000"/>
                <w:sz w:val="18"/>
                <w:szCs w:val="18"/>
              </w:rPr>
              <w:noBreakHyphen/>
              <w:t>EB</w:t>
            </w:r>
            <w:r w:rsidRPr="00DF02F5">
              <w:rPr>
                <w:rFonts w:ascii="Times New Roman" w:hAnsi="Times New Roman"/>
                <w:color w:val="FF0000"/>
                <w:sz w:val="18"/>
                <w:szCs w:val="18"/>
              </w:rPr>
              <w:noBreakHyphen/>
              <w:t>IP</w:t>
            </w:r>
            <w:r w:rsidRPr="00DF02F5">
              <w:rPr>
                <w:rFonts w:ascii="Times New Roman" w:hAnsi="Times New Roman"/>
                <w:color w:val="FF0000"/>
                <w:sz w:val="18"/>
                <w:szCs w:val="18"/>
              </w:rPr>
              <w:noBreakHyphen/>
              <w:t>12)</w:t>
            </w:r>
            <w:r w:rsidRPr="00DF02F5">
              <w:rPr>
                <w:rFonts w:ascii="Times New Roman" w:eastAsia="맑은 고딕" w:hAnsi="Times New Roman"/>
                <w:sz w:val="18"/>
                <w:szCs w:val="18"/>
                <w:lang w:eastAsia="ko-KR"/>
              </w:rPr>
              <w:t xml:space="preserve"> </w:t>
            </w:r>
          </w:p>
          <w:p w14:paraId="0834E844"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p w14:paraId="70BF3372"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Develop manta and mobulid - observer training and identification guides (ongoing) (ABNJ+SPC)</w:t>
            </w:r>
          </w:p>
          <w:p w14:paraId="722585D6" w14:textId="77777777" w:rsidR="00DF02F5" w:rsidRPr="00DF02F5" w:rsidRDefault="00DF02F5" w:rsidP="004A4775">
            <w:pPr>
              <w:adjustRightInd w:val="0"/>
              <w:snapToGrid w:val="0"/>
              <w:spacing w:after="0"/>
              <w:jc w:val="left"/>
              <w:rPr>
                <w:rFonts w:ascii="Times New Roman" w:hAnsi="Times New Roman"/>
                <w:sz w:val="18"/>
                <w:szCs w:val="18"/>
              </w:rPr>
            </w:pPr>
          </w:p>
        </w:tc>
        <w:tc>
          <w:tcPr>
            <w:tcW w:w="536" w:type="pct"/>
            <w:gridSpan w:val="2"/>
            <w:tcBorders>
              <w:bottom w:val="single" w:sz="12" w:space="0" w:color="auto"/>
            </w:tcBorders>
            <w:shd w:val="clear" w:color="auto" w:fill="D9D9D9" w:themeFill="background1" w:themeFillShade="D9"/>
            <w:vAlign w:val="center"/>
          </w:tcPr>
          <w:p w14:paraId="248C5276" w14:textId="77777777" w:rsidR="00DF02F5" w:rsidRPr="00DF02F5" w:rsidRDefault="00DF02F5" w:rsidP="00DF02F5">
            <w:pPr>
              <w:adjustRightInd w:val="0"/>
              <w:snapToGrid w:val="0"/>
              <w:spacing w:after="0"/>
              <w:rPr>
                <w:rFonts w:ascii="Times New Roman" w:hAnsi="Times New Roman"/>
                <w:sz w:val="18"/>
                <w:szCs w:val="18"/>
              </w:rPr>
            </w:pPr>
          </w:p>
        </w:tc>
        <w:tc>
          <w:tcPr>
            <w:tcW w:w="569" w:type="pct"/>
            <w:gridSpan w:val="2"/>
            <w:tcBorders>
              <w:bottom w:val="single" w:sz="12" w:space="0" w:color="auto"/>
            </w:tcBorders>
            <w:shd w:val="clear" w:color="auto" w:fill="D9D9D9" w:themeFill="background1" w:themeFillShade="D9"/>
            <w:vAlign w:val="center"/>
          </w:tcPr>
          <w:p w14:paraId="36444C1D" w14:textId="77777777" w:rsidR="00DF02F5" w:rsidRPr="00DF02F5" w:rsidRDefault="00DF02F5" w:rsidP="00DF02F5">
            <w:pPr>
              <w:adjustRightInd w:val="0"/>
              <w:snapToGrid w:val="0"/>
              <w:spacing w:after="0"/>
              <w:rPr>
                <w:rFonts w:ascii="Times New Roman" w:hAnsi="Times New Roman"/>
                <w:sz w:val="18"/>
                <w:szCs w:val="18"/>
              </w:rPr>
            </w:pPr>
          </w:p>
        </w:tc>
        <w:tc>
          <w:tcPr>
            <w:tcW w:w="569" w:type="pct"/>
            <w:tcBorders>
              <w:bottom w:val="single" w:sz="12" w:space="0" w:color="auto"/>
              <w:right w:val="single" w:sz="4" w:space="0" w:color="auto"/>
            </w:tcBorders>
            <w:shd w:val="clear" w:color="auto" w:fill="D9D9D9" w:themeFill="background1" w:themeFillShade="D9"/>
            <w:vAlign w:val="center"/>
          </w:tcPr>
          <w:p w14:paraId="7528C6CE" w14:textId="77777777" w:rsidR="00DF02F5" w:rsidRPr="00DF02F5" w:rsidRDefault="00DF02F5" w:rsidP="00DF02F5">
            <w:pPr>
              <w:adjustRightInd w:val="0"/>
              <w:snapToGrid w:val="0"/>
              <w:spacing w:after="0"/>
              <w:rPr>
                <w:rFonts w:ascii="Times New Roman" w:hAnsi="Times New Roman"/>
                <w:sz w:val="18"/>
                <w:szCs w:val="18"/>
              </w:rPr>
            </w:pPr>
          </w:p>
        </w:tc>
        <w:tc>
          <w:tcPr>
            <w:tcW w:w="567" w:type="pct"/>
            <w:tcBorders>
              <w:left w:val="single" w:sz="4" w:space="0" w:color="auto"/>
              <w:bottom w:val="single" w:sz="12" w:space="0" w:color="auto"/>
              <w:right w:val="single" w:sz="12" w:space="0" w:color="auto"/>
            </w:tcBorders>
            <w:shd w:val="clear" w:color="auto" w:fill="D9D9D9" w:themeFill="background1" w:themeFillShade="D9"/>
            <w:vAlign w:val="center"/>
          </w:tcPr>
          <w:p w14:paraId="385FB79C" w14:textId="77777777" w:rsidR="00DF02F5" w:rsidRPr="00DF02F5" w:rsidRDefault="00DF02F5" w:rsidP="00DF02F5">
            <w:pPr>
              <w:adjustRightInd w:val="0"/>
              <w:snapToGrid w:val="0"/>
              <w:spacing w:after="0"/>
              <w:rPr>
                <w:rFonts w:ascii="Times New Roman" w:hAnsi="Times New Roman"/>
                <w:sz w:val="18"/>
                <w:szCs w:val="18"/>
              </w:rPr>
            </w:pPr>
          </w:p>
        </w:tc>
      </w:tr>
      <w:tr w:rsidR="00DF02F5" w:rsidRPr="00DF02F5" w14:paraId="29B40573" w14:textId="77777777" w:rsidTr="004A4775">
        <w:tblPrEx>
          <w:tblBorders>
            <w:top w:val="single" w:sz="12" w:space="0" w:color="auto"/>
            <w:left w:val="single" w:sz="12" w:space="0" w:color="auto"/>
            <w:bottom w:val="single" w:sz="12" w:space="0" w:color="auto"/>
            <w:right w:val="single" w:sz="12" w:space="0" w:color="auto"/>
          </w:tblBorders>
        </w:tblPrEx>
        <w:trPr>
          <w:jc w:val="center"/>
        </w:trPr>
        <w:tc>
          <w:tcPr>
            <w:tcW w:w="486" w:type="pct"/>
            <w:tcBorders>
              <w:bottom w:val="single" w:sz="12" w:space="0" w:color="auto"/>
              <w:right w:val="single" w:sz="2" w:space="0" w:color="auto"/>
            </w:tcBorders>
            <w:shd w:val="clear" w:color="auto" w:fill="auto"/>
            <w:vAlign w:val="center"/>
          </w:tcPr>
          <w:p w14:paraId="7E7EDCB1" w14:textId="77777777" w:rsidR="00DF02F5" w:rsidRPr="00DF02F5" w:rsidRDefault="00DF02F5" w:rsidP="00DF02F5">
            <w:pPr>
              <w:keepNext/>
              <w:keepLines/>
              <w:adjustRightInd w:val="0"/>
              <w:snapToGrid w:val="0"/>
              <w:spacing w:after="0"/>
              <w:jc w:val="center"/>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General shark work</w:t>
            </w:r>
          </w:p>
        </w:tc>
        <w:tc>
          <w:tcPr>
            <w:tcW w:w="549" w:type="pct"/>
            <w:gridSpan w:val="2"/>
            <w:tcBorders>
              <w:left w:val="single" w:sz="2" w:space="0" w:color="auto"/>
              <w:bottom w:val="single" w:sz="12" w:space="0" w:color="auto"/>
              <w:right w:val="single" w:sz="2" w:space="0" w:color="auto"/>
            </w:tcBorders>
            <w:shd w:val="clear" w:color="auto" w:fill="auto"/>
            <w:vAlign w:val="center"/>
          </w:tcPr>
          <w:p w14:paraId="63E56E88" w14:textId="77777777" w:rsidR="00DF02F5" w:rsidRPr="00DF02F5" w:rsidRDefault="00DF02F5" w:rsidP="00DF02F5">
            <w:pPr>
              <w:keepNext/>
              <w:keepLines/>
              <w:adjustRightInd w:val="0"/>
              <w:snapToGrid w:val="0"/>
              <w:spacing w:after="0"/>
              <w:jc w:val="center"/>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WCPO</w:t>
            </w:r>
          </w:p>
        </w:tc>
        <w:tc>
          <w:tcPr>
            <w:tcW w:w="514" w:type="pct"/>
            <w:gridSpan w:val="2"/>
            <w:tcBorders>
              <w:left w:val="single" w:sz="2" w:space="0" w:color="auto"/>
              <w:bottom w:val="single" w:sz="12" w:space="0" w:color="auto"/>
              <w:right w:val="single" w:sz="2" w:space="0" w:color="auto"/>
            </w:tcBorders>
            <w:shd w:val="clear" w:color="auto" w:fill="auto"/>
            <w:vAlign w:val="center"/>
          </w:tcPr>
          <w:p w14:paraId="73CE3763" w14:textId="77777777" w:rsidR="00DF02F5" w:rsidRPr="00DF02F5" w:rsidRDefault="00DF02F5" w:rsidP="00DF02F5">
            <w:pPr>
              <w:keepNext/>
              <w:keepLines/>
              <w:adjustRightInd w:val="0"/>
              <w:snapToGrid w:val="0"/>
              <w:spacing w:after="0"/>
              <w:jc w:val="center"/>
              <w:rPr>
                <w:rFonts w:ascii="Times New Roman" w:hAnsi="Times New Roman"/>
                <w:sz w:val="18"/>
                <w:szCs w:val="18"/>
              </w:rPr>
            </w:pPr>
            <w:r w:rsidRPr="00DF02F5">
              <w:rPr>
                <w:rFonts w:ascii="Times New Roman" w:hAnsi="Times New Roman"/>
                <w:sz w:val="18"/>
                <w:szCs w:val="18"/>
              </w:rPr>
              <w:t>-</w:t>
            </w:r>
          </w:p>
        </w:tc>
        <w:tc>
          <w:tcPr>
            <w:tcW w:w="1200" w:type="pct"/>
            <w:gridSpan w:val="2"/>
            <w:tcBorders>
              <w:top w:val="single" w:sz="12" w:space="0" w:color="auto"/>
              <w:left w:val="single" w:sz="2" w:space="0" w:color="auto"/>
              <w:bottom w:val="single" w:sz="12" w:space="0" w:color="auto"/>
              <w:right w:val="single" w:sz="2" w:space="0" w:color="auto"/>
            </w:tcBorders>
            <w:shd w:val="clear" w:color="auto" w:fill="auto"/>
            <w:vAlign w:val="center"/>
          </w:tcPr>
          <w:p w14:paraId="492FC4F4"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Review of shark data and modelling framework to support stock assessments (WCPFC) </w:t>
            </w:r>
            <w:r w:rsidRPr="00DF02F5">
              <w:rPr>
                <w:rFonts w:ascii="Times New Roman" w:hAnsi="Times New Roman"/>
                <w:color w:val="FF0000"/>
                <w:sz w:val="18"/>
                <w:szCs w:val="18"/>
              </w:rPr>
              <w:t>(SC13</w:t>
            </w:r>
            <w:r w:rsidRPr="00DF02F5">
              <w:rPr>
                <w:rFonts w:ascii="Times New Roman" w:hAnsi="Times New Roman"/>
                <w:color w:val="FF0000"/>
                <w:sz w:val="18"/>
                <w:szCs w:val="18"/>
              </w:rPr>
              <w:noBreakHyphen/>
              <w:t>EB</w:t>
            </w:r>
            <w:r w:rsidRPr="00DF02F5">
              <w:rPr>
                <w:rFonts w:ascii="Times New Roman" w:hAnsi="Times New Roman"/>
                <w:color w:val="FF0000"/>
                <w:sz w:val="18"/>
                <w:szCs w:val="18"/>
              </w:rPr>
              <w:noBreakHyphen/>
              <w:t>WP</w:t>
            </w:r>
            <w:r w:rsidRPr="00DF02F5">
              <w:rPr>
                <w:rFonts w:ascii="Times New Roman" w:hAnsi="Times New Roman"/>
                <w:color w:val="FF0000"/>
                <w:sz w:val="18"/>
                <w:szCs w:val="18"/>
              </w:rPr>
              <w:noBreakHyphen/>
              <w:t>07)</w:t>
            </w:r>
          </w:p>
          <w:p w14:paraId="48A3A55F"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p w14:paraId="490C1A75"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Post-release mortality of silky and shortfin mako sharks in longline and purse seine fisheries </w:t>
            </w:r>
          </w:p>
          <w:p w14:paraId="705FD863"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(ABNJ + EU) (ongoing)  </w:t>
            </w:r>
            <w:r w:rsidRPr="00DF02F5">
              <w:rPr>
                <w:rFonts w:ascii="Times New Roman" w:hAnsi="Times New Roman"/>
                <w:color w:val="FF0000"/>
                <w:sz w:val="18"/>
                <w:szCs w:val="18"/>
              </w:rPr>
              <w:t>(SC13</w:t>
            </w:r>
            <w:r w:rsidRPr="00DF02F5">
              <w:rPr>
                <w:rFonts w:ascii="Times New Roman" w:hAnsi="Times New Roman"/>
                <w:color w:val="FF0000"/>
                <w:sz w:val="18"/>
                <w:szCs w:val="18"/>
              </w:rPr>
              <w:noBreakHyphen/>
              <w:t>EB</w:t>
            </w:r>
            <w:r w:rsidRPr="00DF02F5">
              <w:rPr>
                <w:rFonts w:ascii="Times New Roman" w:hAnsi="Times New Roman"/>
                <w:color w:val="FF0000"/>
                <w:sz w:val="18"/>
                <w:szCs w:val="18"/>
              </w:rPr>
              <w:noBreakHyphen/>
              <w:t>IP</w:t>
            </w:r>
            <w:r w:rsidRPr="00DF02F5">
              <w:rPr>
                <w:rFonts w:ascii="Times New Roman" w:hAnsi="Times New Roman"/>
                <w:color w:val="FF0000"/>
                <w:sz w:val="18"/>
                <w:szCs w:val="18"/>
              </w:rPr>
              <w:noBreakHyphen/>
              <w:t>06)</w:t>
            </w:r>
          </w:p>
          <w:p w14:paraId="27FD3EA9"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p w14:paraId="3C920C45" w14:textId="54200730"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Operational planning for shark biological da</w:t>
            </w:r>
            <w:r w:rsidR="004A4775">
              <w:rPr>
                <w:rFonts w:ascii="Times New Roman" w:eastAsia="맑은 고딕" w:hAnsi="Times New Roman"/>
                <w:sz w:val="18"/>
                <w:szCs w:val="18"/>
                <w:lang w:eastAsia="ko-KR"/>
              </w:rPr>
              <w:t>ta improvement (unfunded) (TBD)</w:t>
            </w:r>
          </w:p>
        </w:tc>
        <w:tc>
          <w:tcPr>
            <w:tcW w:w="538" w:type="pct"/>
            <w:gridSpan w:val="2"/>
            <w:tcBorders>
              <w:top w:val="single" w:sz="12" w:space="0" w:color="auto"/>
              <w:left w:val="single" w:sz="2" w:space="0" w:color="auto"/>
              <w:bottom w:val="single" w:sz="12" w:space="0" w:color="auto"/>
              <w:right w:val="single" w:sz="2" w:space="0" w:color="auto"/>
            </w:tcBorders>
            <w:shd w:val="clear" w:color="auto" w:fill="auto"/>
            <w:vAlign w:val="center"/>
          </w:tcPr>
          <w:p w14:paraId="49ED8078" w14:textId="77777777" w:rsidR="00DF02F5" w:rsidRPr="00DF02F5" w:rsidRDefault="00DF02F5" w:rsidP="004A4775">
            <w:pPr>
              <w:keepNext/>
              <w:keepLines/>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Fleet histories </w:t>
            </w:r>
            <w:r w:rsidRPr="00DF02F5">
              <w:rPr>
                <w:rFonts w:ascii="Times New Roman" w:hAnsi="Times New Roman"/>
                <w:sz w:val="18"/>
                <w:szCs w:val="18"/>
                <w:highlight w:val="cyan"/>
              </w:rPr>
              <w:t>#4</w:t>
            </w:r>
          </w:p>
          <w:p w14:paraId="3766476C" w14:textId="77777777" w:rsidR="00DF02F5" w:rsidRPr="00DF02F5" w:rsidRDefault="00DF02F5" w:rsidP="004A4775">
            <w:pPr>
              <w:keepNext/>
              <w:keepLines/>
              <w:adjustRightInd w:val="0"/>
              <w:snapToGrid w:val="0"/>
              <w:spacing w:after="0"/>
              <w:jc w:val="left"/>
              <w:rPr>
                <w:rFonts w:ascii="Times New Roman" w:hAnsi="Times New Roman"/>
                <w:sz w:val="18"/>
                <w:szCs w:val="18"/>
              </w:rPr>
            </w:pPr>
          </w:p>
          <w:p w14:paraId="69CECD2E" w14:textId="77777777" w:rsidR="00DF02F5" w:rsidRPr="00DF02F5" w:rsidRDefault="00DF02F5" w:rsidP="004A4775">
            <w:pPr>
              <w:keepNext/>
              <w:keepLines/>
              <w:adjustRightInd w:val="0"/>
              <w:snapToGrid w:val="0"/>
              <w:spacing w:after="0"/>
              <w:jc w:val="left"/>
              <w:rPr>
                <w:rFonts w:ascii="Times New Roman" w:hAnsi="Times New Roman"/>
                <w:sz w:val="18"/>
                <w:szCs w:val="18"/>
              </w:rPr>
            </w:pPr>
          </w:p>
          <w:p w14:paraId="3DA23A79"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hAnsi="Times New Roman"/>
                <w:sz w:val="18"/>
                <w:szCs w:val="18"/>
              </w:rPr>
              <w:t>SRP mid-term review</w:t>
            </w:r>
            <w:r w:rsidRPr="00DF02F5">
              <w:rPr>
                <w:rFonts w:ascii="Times New Roman" w:eastAsia="맑은 고딕" w:hAnsi="Times New Roman"/>
                <w:sz w:val="18"/>
                <w:szCs w:val="18"/>
                <w:lang w:eastAsia="ko-KR"/>
              </w:rPr>
              <w:t>?</w:t>
            </w:r>
            <w:r w:rsidRPr="00DF02F5">
              <w:rPr>
                <w:rFonts w:ascii="Times New Roman" w:eastAsia="맑은 고딕" w:hAnsi="Times New Roman"/>
                <w:sz w:val="18"/>
                <w:szCs w:val="18"/>
                <w:highlight w:val="cyan"/>
                <w:lang w:eastAsia="ko-KR"/>
              </w:rPr>
              <w:t>#7</w:t>
            </w:r>
          </w:p>
          <w:p w14:paraId="13AA08DB"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p w14:paraId="7D226550"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r w:rsidRPr="00DF02F5">
              <w:rPr>
                <w:rFonts w:ascii="Times New Roman" w:eastAsia="맑은 고딕" w:hAnsi="Times New Roman"/>
                <w:sz w:val="18"/>
                <w:szCs w:val="18"/>
                <w:lang w:eastAsia="ko-KR"/>
              </w:rPr>
              <w:t xml:space="preserve">Biological data improvement </w:t>
            </w:r>
            <w:r w:rsidRPr="00DF02F5">
              <w:rPr>
                <w:rFonts w:ascii="Times New Roman" w:eastAsia="맑은 고딕" w:hAnsi="Times New Roman"/>
                <w:sz w:val="18"/>
                <w:szCs w:val="18"/>
                <w:highlight w:val="cyan"/>
                <w:lang w:eastAsia="ko-KR"/>
              </w:rPr>
              <w:t>#5</w:t>
            </w:r>
          </w:p>
          <w:p w14:paraId="2B95B143"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p w14:paraId="28BE3347" w14:textId="77777777" w:rsidR="00DF02F5" w:rsidRPr="00DF02F5" w:rsidRDefault="00DF02F5" w:rsidP="004A4775">
            <w:pPr>
              <w:keepNext/>
              <w:keepLines/>
              <w:adjustRightInd w:val="0"/>
              <w:snapToGrid w:val="0"/>
              <w:spacing w:after="0"/>
              <w:jc w:val="left"/>
              <w:rPr>
                <w:rFonts w:ascii="Times New Roman" w:eastAsia="맑은 고딕" w:hAnsi="Times New Roman"/>
                <w:sz w:val="18"/>
                <w:szCs w:val="18"/>
                <w:lang w:eastAsia="ko-KR"/>
              </w:rPr>
            </w:pPr>
          </w:p>
        </w:tc>
        <w:tc>
          <w:tcPr>
            <w:tcW w:w="571" w:type="pct"/>
            <w:gridSpan w:val="2"/>
            <w:tcBorders>
              <w:top w:val="single" w:sz="12" w:space="0" w:color="auto"/>
              <w:left w:val="single" w:sz="2" w:space="0" w:color="auto"/>
              <w:bottom w:val="single" w:sz="12" w:space="0" w:color="auto"/>
              <w:right w:val="single" w:sz="2" w:space="0" w:color="auto"/>
            </w:tcBorders>
            <w:shd w:val="clear" w:color="auto" w:fill="auto"/>
            <w:vAlign w:val="center"/>
          </w:tcPr>
          <w:p w14:paraId="23C1FFC4" w14:textId="77777777" w:rsidR="00DF02F5" w:rsidRPr="00DF02F5" w:rsidRDefault="00DF02F5" w:rsidP="004A4775">
            <w:pPr>
              <w:keepNext/>
              <w:keepLines/>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Updated indicator analysis?  </w:t>
            </w:r>
          </w:p>
          <w:p w14:paraId="647DB4ED" w14:textId="77777777" w:rsidR="00DF02F5" w:rsidRPr="00DF02F5" w:rsidRDefault="00DF02F5" w:rsidP="004A4775">
            <w:pPr>
              <w:keepNext/>
              <w:keepLines/>
              <w:adjustRightInd w:val="0"/>
              <w:snapToGrid w:val="0"/>
              <w:spacing w:after="0"/>
              <w:jc w:val="left"/>
              <w:rPr>
                <w:rFonts w:ascii="Times New Roman" w:hAnsi="Times New Roman"/>
                <w:sz w:val="18"/>
                <w:szCs w:val="18"/>
              </w:rPr>
            </w:pPr>
          </w:p>
          <w:p w14:paraId="4592E72D" w14:textId="77777777" w:rsidR="00DF02F5" w:rsidRPr="00DF02F5" w:rsidRDefault="00DF02F5" w:rsidP="004A4775">
            <w:pPr>
              <w:keepNext/>
              <w:keepLines/>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 </w:t>
            </w:r>
            <w:r w:rsidRPr="00DF02F5">
              <w:rPr>
                <w:rFonts w:ascii="Times New Roman" w:eastAsia="맑은 고딕" w:hAnsi="Times New Roman"/>
                <w:sz w:val="18"/>
                <w:szCs w:val="18"/>
                <w:lang w:eastAsia="ko-KR"/>
              </w:rPr>
              <w:t xml:space="preserve">Shark modelling Project </w:t>
            </w:r>
            <w:r w:rsidRPr="00DF02F5">
              <w:rPr>
                <w:rFonts w:ascii="Times New Roman" w:eastAsia="맑은 고딕" w:hAnsi="Times New Roman"/>
                <w:sz w:val="18"/>
                <w:szCs w:val="18"/>
                <w:highlight w:val="cyan"/>
                <w:lang w:eastAsia="ko-KR"/>
              </w:rPr>
              <w:t>#6</w:t>
            </w:r>
            <w:r w:rsidRPr="00DF02F5">
              <w:rPr>
                <w:rFonts w:ascii="Times New Roman" w:hAnsi="Times New Roman"/>
                <w:sz w:val="18"/>
                <w:szCs w:val="18"/>
              </w:rPr>
              <w:t xml:space="preserve"> </w:t>
            </w:r>
          </w:p>
          <w:p w14:paraId="2FBB8596" w14:textId="77777777" w:rsidR="00DF02F5" w:rsidRPr="00DF02F5" w:rsidRDefault="00DF02F5" w:rsidP="004A4775">
            <w:pPr>
              <w:keepNext/>
              <w:keepLines/>
              <w:adjustRightInd w:val="0"/>
              <w:snapToGrid w:val="0"/>
              <w:spacing w:after="0"/>
              <w:jc w:val="left"/>
              <w:rPr>
                <w:rFonts w:ascii="Times New Roman" w:hAnsi="Times New Roman"/>
                <w:sz w:val="18"/>
                <w:szCs w:val="18"/>
              </w:rPr>
            </w:pPr>
          </w:p>
          <w:p w14:paraId="480095F9" w14:textId="77777777" w:rsidR="00DF02F5" w:rsidRPr="00DF02F5" w:rsidRDefault="00DF02F5" w:rsidP="004A4775">
            <w:pPr>
              <w:keepNext/>
              <w:keepLines/>
              <w:adjustRightInd w:val="0"/>
              <w:snapToGrid w:val="0"/>
              <w:spacing w:after="0"/>
              <w:jc w:val="left"/>
              <w:rPr>
                <w:rFonts w:ascii="Times New Roman" w:hAnsi="Times New Roman"/>
                <w:sz w:val="18"/>
                <w:szCs w:val="18"/>
              </w:rPr>
            </w:pPr>
            <w:r w:rsidRPr="00DF02F5">
              <w:rPr>
                <w:rFonts w:ascii="Times New Roman" w:hAnsi="Times New Roman"/>
                <w:sz w:val="18"/>
                <w:szCs w:val="18"/>
              </w:rPr>
              <w:t xml:space="preserve">? Assess stock recruit relationships? </w:t>
            </w:r>
            <w:r w:rsidRPr="00DF02F5">
              <w:rPr>
                <w:rFonts w:ascii="Times New Roman" w:hAnsi="Times New Roman"/>
                <w:sz w:val="18"/>
                <w:szCs w:val="18"/>
                <w:highlight w:val="cyan"/>
              </w:rPr>
              <w:t>#11</w:t>
            </w:r>
          </w:p>
          <w:p w14:paraId="59863A10" w14:textId="77777777" w:rsidR="00DF02F5" w:rsidRPr="00DF02F5" w:rsidRDefault="00DF02F5" w:rsidP="004A4775">
            <w:pPr>
              <w:keepNext/>
              <w:keepLines/>
              <w:adjustRightInd w:val="0"/>
              <w:snapToGrid w:val="0"/>
              <w:spacing w:after="0"/>
              <w:jc w:val="left"/>
              <w:rPr>
                <w:rFonts w:ascii="Times New Roman" w:hAnsi="Times New Roman"/>
                <w:sz w:val="18"/>
                <w:szCs w:val="18"/>
              </w:rPr>
            </w:pPr>
          </w:p>
        </w:tc>
        <w:tc>
          <w:tcPr>
            <w:tcW w:w="575" w:type="pct"/>
            <w:gridSpan w:val="2"/>
            <w:tcBorders>
              <w:top w:val="single" w:sz="12" w:space="0" w:color="auto"/>
              <w:left w:val="single" w:sz="2" w:space="0" w:color="auto"/>
              <w:bottom w:val="single" w:sz="12" w:space="0" w:color="auto"/>
              <w:right w:val="single" w:sz="2" w:space="0" w:color="auto"/>
            </w:tcBorders>
            <w:shd w:val="clear" w:color="auto" w:fill="auto"/>
            <w:vAlign w:val="center"/>
          </w:tcPr>
          <w:p w14:paraId="0D6E5208" w14:textId="77777777" w:rsidR="00DF02F5" w:rsidRPr="00DF02F5" w:rsidRDefault="00DF02F5" w:rsidP="004A4775">
            <w:pPr>
              <w:keepNext/>
              <w:keepLines/>
              <w:adjustRightInd w:val="0"/>
              <w:snapToGrid w:val="0"/>
              <w:spacing w:after="0"/>
              <w:jc w:val="left"/>
              <w:rPr>
                <w:rFonts w:ascii="Times New Roman" w:hAnsi="Times New Roman"/>
                <w:sz w:val="18"/>
                <w:szCs w:val="18"/>
              </w:rPr>
            </w:pPr>
            <w:r w:rsidRPr="00DF02F5">
              <w:rPr>
                <w:rFonts w:ascii="Times New Roman" w:hAnsi="Times New Roman"/>
                <w:sz w:val="18"/>
                <w:szCs w:val="18"/>
              </w:rPr>
              <w:t>Develop a 2021-2025 shark research plan to be presented to SC16 in 2020?</w:t>
            </w:r>
          </w:p>
        </w:tc>
        <w:tc>
          <w:tcPr>
            <w:tcW w:w="567" w:type="pct"/>
            <w:tcBorders>
              <w:top w:val="single" w:sz="12" w:space="0" w:color="auto"/>
              <w:left w:val="single" w:sz="2" w:space="0" w:color="auto"/>
              <w:bottom w:val="single" w:sz="12" w:space="0" w:color="auto"/>
              <w:right w:val="single" w:sz="12" w:space="0" w:color="auto"/>
            </w:tcBorders>
            <w:shd w:val="clear" w:color="auto" w:fill="auto"/>
          </w:tcPr>
          <w:p w14:paraId="5C4DA4B1" w14:textId="77777777" w:rsidR="00DF02F5" w:rsidRPr="00DF02F5" w:rsidRDefault="00DF02F5" w:rsidP="00DF02F5">
            <w:pPr>
              <w:keepNext/>
              <w:keepLines/>
              <w:adjustRightInd w:val="0"/>
              <w:snapToGrid w:val="0"/>
              <w:spacing w:after="0"/>
              <w:rPr>
                <w:rFonts w:ascii="Times New Roman" w:hAnsi="Times New Roman"/>
                <w:sz w:val="18"/>
                <w:szCs w:val="18"/>
              </w:rPr>
            </w:pPr>
          </w:p>
        </w:tc>
      </w:tr>
    </w:tbl>
    <w:p w14:paraId="7A41DCDF" w14:textId="77777777" w:rsidR="00DF02F5" w:rsidRPr="00DF02F5" w:rsidRDefault="00DF02F5" w:rsidP="00DF02F5">
      <w:pPr>
        <w:adjustRightInd w:val="0"/>
        <w:snapToGrid w:val="0"/>
        <w:spacing w:after="0"/>
        <w:rPr>
          <w:rFonts w:ascii="Times New Roman" w:hAnsi="Times New Roman"/>
          <w:b/>
        </w:rPr>
        <w:sectPr w:rsidR="00DF02F5" w:rsidRPr="00DF02F5" w:rsidSect="00C06F80">
          <w:pgSz w:w="12240" w:h="15840" w:code="1"/>
          <w:pgMar w:top="1440" w:right="1440" w:bottom="1440" w:left="1440" w:header="720" w:footer="720" w:gutter="0"/>
          <w:cols w:space="720"/>
          <w:docGrid w:linePitch="360"/>
        </w:sectPr>
      </w:pPr>
    </w:p>
    <w:p w14:paraId="4BC35DE2" w14:textId="77777777" w:rsidR="00DF02F5" w:rsidRPr="00DF02F5" w:rsidRDefault="00DF02F5" w:rsidP="00DF02F5">
      <w:pPr>
        <w:adjustRightInd w:val="0"/>
        <w:snapToGrid w:val="0"/>
        <w:spacing w:after="0"/>
        <w:rPr>
          <w:rFonts w:ascii="Times New Roman" w:hAnsi="Times New Roman"/>
          <w:b/>
          <w:u w:val="single"/>
        </w:rPr>
      </w:pPr>
      <w:r w:rsidRPr="00DF02F5">
        <w:rPr>
          <w:rFonts w:ascii="Times New Roman" w:hAnsi="Times New Roman"/>
          <w:b/>
          <w:u w:val="single"/>
        </w:rPr>
        <w:t xml:space="preserve">Potential 2018 Projects (SRP)  </w:t>
      </w:r>
    </w:p>
    <w:tbl>
      <w:tblPr>
        <w:tblStyle w:val="TableGrid"/>
        <w:tblW w:w="9828" w:type="dxa"/>
        <w:tblLook w:val="04A0" w:firstRow="1" w:lastRow="0" w:firstColumn="1" w:lastColumn="0" w:noHBand="0" w:noVBand="1"/>
      </w:tblPr>
      <w:tblGrid>
        <w:gridCol w:w="1908"/>
        <w:gridCol w:w="7920"/>
      </w:tblGrid>
      <w:tr w:rsidR="00DF02F5" w:rsidRPr="004A4775" w14:paraId="08FDC9B9" w14:textId="77777777" w:rsidTr="00DF02F5">
        <w:trPr>
          <w:trHeight w:val="288"/>
        </w:trPr>
        <w:tc>
          <w:tcPr>
            <w:tcW w:w="1908" w:type="dxa"/>
            <w:shd w:val="clear" w:color="auto" w:fill="B2A1C7" w:themeFill="accent4" w:themeFillTint="99"/>
          </w:tcPr>
          <w:p w14:paraId="20F57F25"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051B7255"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Project 57</w:t>
            </w:r>
          </w:p>
        </w:tc>
      </w:tr>
      <w:tr w:rsidR="00DF02F5" w:rsidRPr="004A4775" w14:paraId="368D0A5D" w14:textId="77777777" w:rsidTr="00DF02F5">
        <w:trPr>
          <w:trHeight w:val="288"/>
        </w:trPr>
        <w:tc>
          <w:tcPr>
            <w:tcW w:w="1908" w:type="dxa"/>
            <w:shd w:val="clear" w:color="auto" w:fill="C2D69B" w:themeFill="accent3" w:themeFillTint="99"/>
          </w:tcPr>
          <w:p w14:paraId="0B30837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5F2F599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Identifying appropriate Limit Reference Points (LRPs) for elasmobranchs within the WCPFC</w:t>
            </w:r>
          </w:p>
        </w:tc>
      </w:tr>
      <w:tr w:rsidR="00DF02F5" w:rsidRPr="004A4775" w14:paraId="160D36F2" w14:textId="77777777" w:rsidTr="00DF02F5">
        <w:trPr>
          <w:trHeight w:val="288"/>
        </w:trPr>
        <w:tc>
          <w:tcPr>
            <w:tcW w:w="1908" w:type="dxa"/>
          </w:tcPr>
          <w:p w14:paraId="5BD36C1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Background:</w:t>
            </w:r>
          </w:p>
          <w:p w14:paraId="58E5EA05" w14:textId="77777777" w:rsidR="00DF02F5" w:rsidRPr="004A4775" w:rsidRDefault="00DF02F5" w:rsidP="00DF02F5">
            <w:pPr>
              <w:adjustRightInd w:val="0"/>
              <w:snapToGrid w:val="0"/>
              <w:spacing w:after="0"/>
              <w:rPr>
                <w:rFonts w:ascii="Times New Roman" w:hAnsi="Times New Roman"/>
                <w:b/>
                <w:sz w:val="20"/>
                <w:szCs w:val="20"/>
              </w:rPr>
            </w:pPr>
          </w:p>
        </w:tc>
        <w:tc>
          <w:tcPr>
            <w:tcW w:w="7920" w:type="dxa"/>
          </w:tcPr>
          <w:p w14:paraId="074FA8D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w:t>
            </w:r>
          </w:p>
        </w:tc>
      </w:tr>
      <w:tr w:rsidR="00DF02F5" w:rsidRPr="004A4775" w14:paraId="37870BCC" w14:textId="77777777" w:rsidTr="00DF02F5">
        <w:trPr>
          <w:trHeight w:val="288"/>
        </w:trPr>
        <w:tc>
          <w:tcPr>
            <w:tcW w:w="1908" w:type="dxa"/>
          </w:tcPr>
          <w:p w14:paraId="1401988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Aim:</w:t>
            </w:r>
          </w:p>
        </w:tc>
        <w:tc>
          <w:tcPr>
            <w:tcW w:w="7920" w:type="dxa"/>
          </w:tcPr>
          <w:p w14:paraId="1C45A992"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w:t>
            </w:r>
          </w:p>
        </w:tc>
      </w:tr>
      <w:tr w:rsidR="00DF02F5" w:rsidRPr="004A4775" w14:paraId="5FC9E66D" w14:textId="77777777" w:rsidTr="00DF02F5">
        <w:trPr>
          <w:trHeight w:val="288"/>
        </w:trPr>
        <w:tc>
          <w:tcPr>
            <w:tcW w:w="1908" w:type="dxa"/>
          </w:tcPr>
          <w:p w14:paraId="52DC6F1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 of Work:</w:t>
            </w:r>
          </w:p>
        </w:tc>
        <w:tc>
          <w:tcPr>
            <w:tcW w:w="7920" w:type="dxa"/>
          </w:tcPr>
          <w:p w14:paraId="6D9DD6D5" w14:textId="77777777" w:rsidR="00DF02F5" w:rsidRPr="004A4775" w:rsidRDefault="00DF02F5" w:rsidP="00DF02F5">
            <w:pPr>
              <w:adjustRightInd w:val="0"/>
              <w:snapToGrid w:val="0"/>
              <w:spacing w:after="0"/>
              <w:rPr>
                <w:rFonts w:ascii="Times New Roman" w:hAnsi="Times New Roman"/>
                <w:sz w:val="20"/>
                <w:szCs w:val="20"/>
                <w:lang w:eastAsia="ko-KR"/>
              </w:rPr>
            </w:pPr>
            <w:r w:rsidRPr="004A4775">
              <w:rPr>
                <w:rFonts w:ascii="Times New Roman" w:hAnsi="Times New Roman"/>
                <w:sz w:val="20"/>
                <w:szCs w:val="20"/>
              </w:rPr>
              <w:t>This project will facilitate a small workshop, or similar, of shark and stock assessment experts to undertake the following tasks:</w:t>
            </w:r>
          </w:p>
          <w:p w14:paraId="5B47ACA7"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14:paraId="67B7657F"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 xml:space="preserve">For those elasmobranchs which have not been evaluated using a stock assessment model advise on alternative </w:t>
            </w:r>
            <w:proofErr w:type="gramStart"/>
            <w:r w:rsidRPr="004A4775">
              <w:rPr>
                <w:rFonts w:ascii="Times New Roman" w:hAnsi="Times New Roman"/>
                <w:sz w:val="20"/>
                <w:szCs w:val="20"/>
              </w:rPr>
              <w:t>ways  to</w:t>
            </w:r>
            <w:proofErr w:type="gramEnd"/>
            <w:r w:rsidRPr="004A4775">
              <w:rPr>
                <w:rFonts w:ascii="Times New Roman" w:hAnsi="Times New Roman"/>
                <w:sz w:val="20"/>
                <w:szCs w:val="20"/>
              </w:rPr>
              <w:t xml:space="preserve"> estimate of current fishing mortality (F). Risk-based LRPs (as described in SC10-MI-07) should then be developed for all WCPFC key shark species.</w:t>
            </w:r>
          </w:p>
          <w:p w14:paraId="01BDA962"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Where the stock-recruitment relationship is highly uncertain, compare F</w:t>
            </w:r>
            <w:r w:rsidRPr="004A4775">
              <w:rPr>
                <w:rFonts w:ascii="Times New Roman" w:hAnsi="Times New Roman"/>
                <w:sz w:val="20"/>
                <w:szCs w:val="20"/>
                <w:vertAlign w:val="subscript"/>
              </w:rPr>
              <w:t>current</w:t>
            </w:r>
            <w:r w:rsidRPr="004A4775">
              <w:rPr>
                <w:rFonts w:ascii="Times New Roman" w:hAnsi="Times New Roman"/>
                <w:i/>
                <w:iCs/>
                <w:sz w:val="20"/>
                <w:szCs w:val="20"/>
              </w:rPr>
              <w:t xml:space="preserve"> </w:t>
            </w:r>
            <w:r w:rsidRPr="004A4775">
              <w:rPr>
                <w:rFonts w:ascii="Times New Roman" w:hAnsi="Times New Roman"/>
                <w:sz w:val="20"/>
                <w:szCs w:val="20"/>
              </w:rPr>
              <w:t xml:space="preserve">to SPR-based LRP such as </w:t>
            </w:r>
            <w:proofErr w:type="gramStart"/>
            <w:r w:rsidRPr="004A4775">
              <w:rPr>
                <w:rFonts w:ascii="Times New Roman" w:hAnsi="Times New Roman"/>
                <w:sz w:val="20"/>
                <w:szCs w:val="20"/>
              </w:rPr>
              <w:t>F</w:t>
            </w:r>
            <w:r w:rsidRPr="004A4775">
              <w:rPr>
                <w:rFonts w:ascii="Times New Roman" w:hAnsi="Times New Roman"/>
                <w:sz w:val="20"/>
                <w:szCs w:val="20"/>
                <w:vertAlign w:val="subscript"/>
              </w:rPr>
              <w:t>60%SPRunfished</w:t>
            </w:r>
            <w:r w:rsidRPr="004A4775">
              <w:rPr>
                <w:rFonts w:ascii="Times New Roman" w:hAnsi="Times New Roman"/>
                <w:sz w:val="20"/>
                <w:szCs w:val="20"/>
              </w:rPr>
              <w:t xml:space="preserve"> and discuss any new insights into the recommended estimated LRPs so that the WCPFC Scientific Committee can decided</w:t>
            </w:r>
            <w:proofErr w:type="gramEnd"/>
            <w:r w:rsidRPr="004A4775">
              <w:rPr>
                <w:rFonts w:ascii="Times New Roman" w:hAnsi="Times New Roman"/>
                <w:sz w:val="20"/>
                <w:szCs w:val="20"/>
              </w:rPr>
              <w:t xml:space="preserve"> on a case-by-case basis which LRP is most appropriate.</w:t>
            </w:r>
          </w:p>
          <w:p w14:paraId="6417CBD2"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Review the use or otherwise of other potential LRPs based on, for example</w:t>
            </w:r>
            <w:proofErr w:type="gramStart"/>
            <w:r w:rsidRPr="004A4775">
              <w:rPr>
                <w:rFonts w:ascii="Times New Roman" w:hAnsi="Times New Roman"/>
                <w:sz w:val="20"/>
                <w:szCs w:val="20"/>
              </w:rPr>
              <w:t>,  SPR</w:t>
            </w:r>
            <w:proofErr w:type="gramEnd"/>
            <w:r w:rsidRPr="004A4775">
              <w:rPr>
                <w:rFonts w:ascii="Times New Roman" w:hAnsi="Times New Roman"/>
                <w:sz w:val="20"/>
                <w:szCs w:val="20"/>
              </w:rPr>
              <w:t>, reduction of recruitment or empirical measures (e.g. catch rate or length values designed to signal unacceptable population states).</w:t>
            </w:r>
          </w:p>
          <w:p w14:paraId="7FF33278"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Advise on any changes or updates to the recommended LRPs in SC10-MI-07 based on new developments, including any suggestions for further technical work before consideration of adoption of LRPs by fishery managers.</w:t>
            </w:r>
          </w:p>
          <w:p w14:paraId="2FE42E1D" w14:textId="77777777" w:rsidR="00DF02F5" w:rsidRPr="004A4775" w:rsidRDefault="00DF02F5" w:rsidP="0074425A">
            <w:pPr>
              <w:pStyle w:val="ListParagraph"/>
              <w:numPr>
                <w:ilvl w:val="0"/>
                <w:numId w:val="146"/>
              </w:numPr>
              <w:adjustRightInd w:val="0"/>
              <w:snapToGrid w:val="0"/>
              <w:contextualSpacing w:val="0"/>
              <w:rPr>
                <w:rFonts w:ascii="Times New Roman" w:hAnsi="Times New Roman"/>
                <w:sz w:val="20"/>
                <w:szCs w:val="20"/>
              </w:rPr>
            </w:pPr>
            <w:r w:rsidRPr="004A4775">
              <w:rPr>
                <w:rFonts w:ascii="Times New Roman" w:hAnsi="Times New Roman"/>
                <w:sz w:val="20"/>
                <w:szCs w:val="20"/>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tc>
      </w:tr>
      <w:tr w:rsidR="00DF02F5" w:rsidRPr="004A4775" w14:paraId="2409A035" w14:textId="77777777" w:rsidTr="00DF02F5">
        <w:trPr>
          <w:trHeight w:val="288"/>
        </w:trPr>
        <w:tc>
          <w:tcPr>
            <w:tcW w:w="1908" w:type="dxa"/>
          </w:tcPr>
          <w:p w14:paraId="5F99BFE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Output:</w:t>
            </w:r>
          </w:p>
        </w:tc>
        <w:tc>
          <w:tcPr>
            <w:tcW w:w="7920" w:type="dxa"/>
          </w:tcPr>
          <w:p w14:paraId="28641F1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The project will produce a final report which shall be presented to and reviewed by SC14.</w:t>
            </w:r>
          </w:p>
        </w:tc>
      </w:tr>
      <w:tr w:rsidR="00DF02F5" w:rsidRPr="004A4775" w14:paraId="4D1D359B" w14:textId="77777777" w:rsidTr="00DF02F5">
        <w:trPr>
          <w:trHeight w:val="288"/>
        </w:trPr>
        <w:tc>
          <w:tcPr>
            <w:tcW w:w="1908" w:type="dxa"/>
          </w:tcPr>
          <w:p w14:paraId="2053C57B"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Secretariat Support:</w:t>
            </w:r>
          </w:p>
        </w:tc>
        <w:tc>
          <w:tcPr>
            <w:tcW w:w="7920" w:type="dxa"/>
          </w:tcPr>
          <w:p w14:paraId="48CBCA50"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The Principal Investigator for the project should liaise with the WCPFC Secretariat to help facilitate and coordinate arrangements for the workshop (e.g. arranging travel for the participants).</w:t>
            </w:r>
          </w:p>
        </w:tc>
      </w:tr>
      <w:tr w:rsidR="00DF02F5" w:rsidRPr="004A4775" w14:paraId="557B0744" w14:textId="77777777" w:rsidTr="00DF02F5">
        <w:trPr>
          <w:trHeight w:val="288"/>
        </w:trPr>
        <w:tc>
          <w:tcPr>
            <w:tcW w:w="1908" w:type="dxa"/>
          </w:tcPr>
          <w:p w14:paraId="749E4D4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7807920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US$55k</w:t>
            </w:r>
          </w:p>
        </w:tc>
      </w:tr>
    </w:tbl>
    <w:p w14:paraId="6BD28FFF" w14:textId="77777777"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75CD10DF" w14:textId="77777777" w:rsidTr="00DF02F5">
        <w:trPr>
          <w:trHeight w:val="288"/>
        </w:trPr>
        <w:tc>
          <w:tcPr>
            <w:tcW w:w="1908" w:type="dxa"/>
            <w:shd w:val="clear" w:color="auto" w:fill="B2A1C7" w:themeFill="accent4" w:themeFillTint="99"/>
          </w:tcPr>
          <w:p w14:paraId="5FEDFA1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47A0904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#1</w:t>
            </w:r>
          </w:p>
        </w:tc>
      </w:tr>
      <w:tr w:rsidR="00DF02F5" w:rsidRPr="004A4775" w14:paraId="04545A81" w14:textId="77777777" w:rsidTr="00DF02F5">
        <w:trPr>
          <w:trHeight w:val="288"/>
        </w:trPr>
        <w:tc>
          <w:tcPr>
            <w:tcW w:w="1908" w:type="dxa"/>
            <w:shd w:val="clear" w:color="auto" w:fill="C2D69B" w:themeFill="accent3" w:themeFillTint="99"/>
          </w:tcPr>
          <w:p w14:paraId="570D239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2E1C0764"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Pacific-wide analysis of whale shark-purse seine interactions</w:t>
            </w:r>
          </w:p>
        </w:tc>
      </w:tr>
      <w:tr w:rsidR="00DF02F5" w:rsidRPr="004A4775" w14:paraId="4CA5D765" w14:textId="77777777" w:rsidTr="00DF02F5">
        <w:trPr>
          <w:trHeight w:val="288"/>
        </w:trPr>
        <w:tc>
          <w:tcPr>
            <w:tcW w:w="1908" w:type="dxa"/>
          </w:tcPr>
          <w:p w14:paraId="3320ABCE"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076BC65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Apply innovative methods to whale shark interaction rates with purse seine fisheries across the Pacific to provide further insights to conservation and management.  </w:t>
            </w:r>
          </w:p>
        </w:tc>
      </w:tr>
      <w:tr w:rsidR="00DF02F5" w:rsidRPr="004A4775" w14:paraId="092904EE" w14:textId="77777777" w:rsidTr="00DF02F5">
        <w:trPr>
          <w:trHeight w:val="288"/>
        </w:trPr>
        <w:tc>
          <w:tcPr>
            <w:tcW w:w="1908" w:type="dxa"/>
          </w:tcPr>
          <w:p w14:paraId="11450FF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21823B24" w14:textId="77777777" w:rsidR="00DF02F5" w:rsidRPr="004A4775" w:rsidRDefault="00DF02F5" w:rsidP="0074425A">
            <w:pPr>
              <w:pStyle w:val="ListParagraph"/>
              <w:numPr>
                <w:ilvl w:val="0"/>
                <w:numId w:val="13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Both WCPFC and IATTC have adopted protective measures for this species (it is also listed on both CITES and CMS international conservation treaties)</w:t>
            </w:r>
          </w:p>
          <w:p w14:paraId="1C23A7B3" w14:textId="77777777" w:rsidR="00DF02F5" w:rsidRPr="004A4775" w:rsidRDefault="00DF02F5" w:rsidP="0074425A">
            <w:pPr>
              <w:pStyle w:val="ListParagraph"/>
              <w:numPr>
                <w:ilvl w:val="0"/>
                <w:numId w:val="13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With very high coverage rates in both western and eastern Pacific purse seine fisheries, these observer datasets may represent the best sources of information on this species anywhere in the world</w:t>
            </w:r>
          </w:p>
          <w:p w14:paraId="1EE54CC8" w14:textId="77777777" w:rsidR="00DF02F5" w:rsidRPr="004A4775" w:rsidRDefault="00DF02F5" w:rsidP="0074425A">
            <w:pPr>
              <w:pStyle w:val="ListParagraph"/>
              <w:numPr>
                <w:ilvl w:val="0"/>
                <w:numId w:val="13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 previous SPC analysis of whale shark data from the purse seine fishery suggested some ideas for developing an index of abundance</w:t>
            </w:r>
          </w:p>
          <w:p w14:paraId="5DBF4476" w14:textId="77777777" w:rsidR="00DF02F5" w:rsidRPr="004A4775" w:rsidRDefault="00DF02F5" w:rsidP="0074425A">
            <w:pPr>
              <w:pStyle w:val="ListParagraph"/>
              <w:numPr>
                <w:ilvl w:val="0"/>
                <w:numId w:val="13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whale shark is a WCPFC key shark species but thus far the lack of focused attention to methods development has resulted in mainly qualitative analysis of stock status</w:t>
            </w:r>
          </w:p>
          <w:p w14:paraId="0DB2385D" w14:textId="77777777" w:rsidR="00DF02F5" w:rsidRPr="004A4775" w:rsidRDefault="00DF02F5" w:rsidP="0074425A">
            <w:pPr>
              <w:pStyle w:val="ListParagraph"/>
              <w:numPr>
                <w:ilvl w:val="0"/>
                <w:numId w:val="13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proposed analysis would leverage ABNJ funds and potentially provide additional information for conservation and management</w:t>
            </w:r>
          </w:p>
        </w:tc>
      </w:tr>
      <w:tr w:rsidR="00DF02F5" w:rsidRPr="004A4775" w14:paraId="503DD5B6" w14:textId="77777777" w:rsidTr="00DF02F5">
        <w:trPr>
          <w:trHeight w:val="288"/>
        </w:trPr>
        <w:tc>
          <w:tcPr>
            <w:tcW w:w="1908" w:type="dxa"/>
          </w:tcPr>
          <w:p w14:paraId="05AEDA55"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1FFAA761" w14:textId="77777777" w:rsidR="00DF02F5" w:rsidRPr="004A4775" w:rsidRDefault="00DF02F5" w:rsidP="0074425A">
            <w:pPr>
              <w:pStyle w:val="ListParagraph"/>
              <w:numPr>
                <w:ilvl w:val="0"/>
                <w:numId w:val="13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Purse seine observer data are available for analysis under the WCPFC Regional Observer Programme from 2006 to the present (up to 90%, in recent years, of the total purse seine observer data)</w:t>
            </w:r>
          </w:p>
          <w:p w14:paraId="6DF3E610" w14:textId="77777777" w:rsidR="00DF02F5" w:rsidRPr="004A4775" w:rsidRDefault="00DF02F5" w:rsidP="0074425A">
            <w:pPr>
              <w:pStyle w:val="ListParagraph"/>
              <w:numPr>
                <w:ilvl w:val="0"/>
                <w:numId w:val="13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Similar data may be made available by the IATTC under its recent provision of public domain shark data</w:t>
            </w:r>
          </w:p>
          <w:p w14:paraId="40CDEBFF" w14:textId="77777777" w:rsidR="00DF02F5" w:rsidRPr="004A4775" w:rsidRDefault="00DF02F5" w:rsidP="0074425A">
            <w:pPr>
              <w:pStyle w:val="ListParagraph"/>
              <w:numPr>
                <w:ilvl w:val="0"/>
                <w:numId w:val="13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Borrowing from methods used to derive seabird or marine mammal indices of abundance or minimum population estimates may provide a useful way forward for whale sharks</w:t>
            </w:r>
          </w:p>
          <w:p w14:paraId="36E37CF7" w14:textId="77777777" w:rsidR="00DF02F5" w:rsidRPr="004A4775" w:rsidRDefault="00DF02F5" w:rsidP="0074425A">
            <w:pPr>
              <w:pStyle w:val="ListParagraph"/>
              <w:numPr>
                <w:ilvl w:val="0"/>
                <w:numId w:val="13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 suitable consultant can be identified to conduct the work</w:t>
            </w:r>
          </w:p>
        </w:tc>
      </w:tr>
      <w:tr w:rsidR="00DF02F5" w:rsidRPr="004A4775" w14:paraId="3733D5B8" w14:textId="77777777" w:rsidTr="00DF02F5">
        <w:trPr>
          <w:trHeight w:val="288"/>
        </w:trPr>
        <w:tc>
          <w:tcPr>
            <w:tcW w:w="1908" w:type="dxa"/>
          </w:tcPr>
          <w:p w14:paraId="6F3C99FB"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02EC1D7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Working with purse seine observer data across the Pacific, the analysis should first review the existing data quantity and quality to determine what types of analyses can be supported.  Ideally the analysis would seek to draw conclusions about whale shark stock status and/or whether interaction rates with the purse seine fishery are influencing that status.  For example, it has been suggested that it may be possible to derive indices of abundance.  If this proves infeasible, fallback goals may be pursued such as establishing a minimum population estimate for ongoing monitoring or a baseline interaction rate with an assessment of the sustainability associated with that level of interaction.  The analysis should be phased so that the data review leads to a detailed exploration of potential methods, and then in combination with budgetary considerations, an analytical plan is agreed (i.e. budget may depend on what is technically feasible given the available data).  A final report should be prepared and submitted to SC14 describing the results of the analysis and presenting recommendations for data improvement and/or future studies.  </w:t>
            </w:r>
          </w:p>
        </w:tc>
      </w:tr>
      <w:tr w:rsidR="00DF02F5" w:rsidRPr="004A4775" w14:paraId="1B7706DF" w14:textId="77777777" w:rsidTr="00DF02F5">
        <w:trPr>
          <w:trHeight w:val="288"/>
        </w:trPr>
        <w:tc>
          <w:tcPr>
            <w:tcW w:w="1908" w:type="dxa"/>
          </w:tcPr>
          <w:p w14:paraId="5A9ACC1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7F953DF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0.5-1.0 FTE</w:t>
            </w:r>
          </w:p>
        </w:tc>
      </w:tr>
    </w:tbl>
    <w:p w14:paraId="402D06F1" w14:textId="77777777"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64D62529" w14:textId="77777777" w:rsidTr="00DF02F5">
        <w:trPr>
          <w:trHeight w:val="288"/>
        </w:trPr>
        <w:tc>
          <w:tcPr>
            <w:tcW w:w="1908" w:type="dxa"/>
            <w:shd w:val="clear" w:color="auto" w:fill="B2A1C7" w:themeFill="accent4" w:themeFillTint="99"/>
          </w:tcPr>
          <w:p w14:paraId="1A70172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59351792"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#2</w:t>
            </w:r>
          </w:p>
        </w:tc>
      </w:tr>
      <w:tr w:rsidR="00DF02F5" w:rsidRPr="004A4775" w14:paraId="44B65A5C" w14:textId="77777777" w:rsidTr="00DF02F5">
        <w:trPr>
          <w:trHeight w:val="288"/>
        </w:trPr>
        <w:tc>
          <w:tcPr>
            <w:tcW w:w="1908" w:type="dxa"/>
            <w:shd w:val="clear" w:color="auto" w:fill="C2D69B" w:themeFill="accent3" w:themeFillTint="99"/>
          </w:tcPr>
          <w:p w14:paraId="065C900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280E393B"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Southeast Pacific data preparation to support blue and shortfin mako assessments</w:t>
            </w:r>
          </w:p>
        </w:tc>
      </w:tr>
      <w:tr w:rsidR="00DF02F5" w:rsidRPr="004A4775" w14:paraId="34F01ABA" w14:textId="77777777" w:rsidTr="00DF02F5">
        <w:trPr>
          <w:trHeight w:val="288"/>
        </w:trPr>
        <w:tc>
          <w:tcPr>
            <w:tcW w:w="1908" w:type="dxa"/>
          </w:tcPr>
          <w:p w14:paraId="22B551AB"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210AC33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Collaborate with the Chilean Instituto de Fomento Pesquero (IFOP) to prepare data inputs for use in future Pacific-wide assessments of blue and shortfin mako sharks.  </w:t>
            </w:r>
          </w:p>
        </w:tc>
      </w:tr>
      <w:tr w:rsidR="00DF02F5" w:rsidRPr="004A4775" w14:paraId="1FD44A68" w14:textId="77777777" w:rsidTr="00DF02F5">
        <w:trPr>
          <w:trHeight w:val="288"/>
        </w:trPr>
        <w:tc>
          <w:tcPr>
            <w:tcW w:w="1908" w:type="dxa"/>
          </w:tcPr>
          <w:p w14:paraId="7A3E342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3F647DB0" w14:textId="77777777" w:rsidR="00DF02F5" w:rsidRPr="004A4775" w:rsidRDefault="00DF02F5" w:rsidP="0074425A">
            <w:pPr>
              <w:pStyle w:val="ListParagraph"/>
              <w:numPr>
                <w:ilvl w:val="0"/>
                <w:numId w:val="12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Builds upon the momentum of collaboration established under the ABNJ porbeagle stock status assessment</w:t>
            </w:r>
          </w:p>
          <w:p w14:paraId="0D368C9A" w14:textId="77777777" w:rsidR="00DF02F5" w:rsidRPr="004A4775" w:rsidRDefault="00DF02F5" w:rsidP="0074425A">
            <w:pPr>
              <w:pStyle w:val="ListParagraph"/>
              <w:numPr>
                <w:ilvl w:val="0"/>
                <w:numId w:val="12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Chile has expressed a strong interest in future joint analyses</w:t>
            </w:r>
          </w:p>
          <w:p w14:paraId="00BCA440" w14:textId="77777777" w:rsidR="00DF02F5" w:rsidRPr="004A4775" w:rsidRDefault="00DF02F5" w:rsidP="0074425A">
            <w:pPr>
              <w:pStyle w:val="ListParagraph"/>
              <w:numPr>
                <w:ilvl w:val="0"/>
                <w:numId w:val="12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Leverages ABNJ funds to incorporate Eastern Pacific data</w:t>
            </w:r>
          </w:p>
          <w:p w14:paraId="5FF5D67B" w14:textId="77777777" w:rsidR="00DF02F5" w:rsidRPr="004A4775" w:rsidRDefault="00DF02F5" w:rsidP="0074425A">
            <w:pPr>
              <w:pStyle w:val="ListParagraph"/>
              <w:numPr>
                <w:ilvl w:val="0"/>
                <w:numId w:val="12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Future blue and shortfin mako assessments will be more realistic and robust if EPO catches are considered</w:t>
            </w:r>
          </w:p>
          <w:p w14:paraId="75322577" w14:textId="77777777" w:rsidR="00DF02F5" w:rsidRPr="004A4775" w:rsidRDefault="00DF02F5" w:rsidP="0074425A">
            <w:pPr>
              <w:pStyle w:val="ListParagraph"/>
              <w:numPr>
                <w:ilvl w:val="0"/>
                <w:numId w:val="12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Will complement the North Pacific-wide assessments by ISC</w:t>
            </w:r>
          </w:p>
        </w:tc>
      </w:tr>
      <w:tr w:rsidR="00DF02F5" w:rsidRPr="004A4775" w14:paraId="47BEE146" w14:textId="77777777" w:rsidTr="00DF02F5">
        <w:trPr>
          <w:trHeight w:val="288"/>
        </w:trPr>
        <w:tc>
          <w:tcPr>
            <w:tcW w:w="1908" w:type="dxa"/>
          </w:tcPr>
          <w:p w14:paraId="2E373B25"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17E4B93C" w14:textId="77777777" w:rsidR="00DF02F5" w:rsidRPr="004A4775" w:rsidRDefault="00DF02F5" w:rsidP="0074425A">
            <w:pPr>
              <w:pStyle w:val="ListParagraph"/>
              <w:numPr>
                <w:ilvl w:val="0"/>
                <w:numId w:val="12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Chile maintains its interest in working on this topic</w:t>
            </w:r>
          </w:p>
          <w:p w14:paraId="3CA2EE84" w14:textId="77777777" w:rsidR="00DF02F5" w:rsidRPr="004A4775" w:rsidRDefault="00DF02F5" w:rsidP="0074425A">
            <w:pPr>
              <w:pStyle w:val="ListParagraph"/>
              <w:numPr>
                <w:ilvl w:val="0"/>
                <w:numId w:val="12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Future assessments of blue and shortfin mako sharks are planned</w:t>
            </w:r>
          </w:p>
          <w:p w14:paraId="51A50EE0" w14:textId="77777777" w:rsidR="00DF02F5" w:rsidRPr="004A4775" w:rsidRDefault="00DF02F5" w:rsidP="0074425A">
            <w:pPr>
              <w:pStyle w:val="ListParagraph"/>
              <w:numPr>
                <w:ilvl w:val="0"/>
                <w:numId w:val="12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Either a study visit could be arranged to bring a Chilean scientist to SPC (or other location) or a consultant would visit Chile</w:t>
            </w:r>
          </w:p>
          <w:p w14:paraId="443887CF" w14:textId="77777777" w:rsidR="00DF02F5" w:rsidRPr="004A4775" w:rsidRDefault="00DF02F5" w:rsidP="0074425A">
            <w:pPr>
              <w:pStyle w:val="ListParagraph"/>
              <w:numPr>
                <w:ilvl w:val="0"/>
                <w:numId w:val="12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ABNJ funds are available to support this data preparatory work</w:t>
            </w:r>
          </w:p>
        </w:tc>
      </w:tr>
      <w:tr w:rsidR="00DF02F5" w:rsidRPr="004A4775" w14:paraId="6A67A1C2" w14:textId="77777777" w:rsidTr="00DF02F5">
        <w:trPr>
          <w:trHeight w:val="288"/>
        </w:trPr>
        <w:tc>
          <w:tcPr>
            <w:tcW w:w="1908" w:type="dxa"/>
          </w:tcPr>
          <w:p w14:paraId="00D5027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06CB4B8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Utilizing data from Chile’s industrial longline fleet (which has 85% observer coverage since 2006), as well as from its artisanal longline and driftnet fleets, all of which are targeting swordfish, the study would work toward a number of data products relevant to blue and shortfin mako sharks in the Southeast Pacific including:</w:t>
            </w:r>
          </w:p>
          <w:p w14:paraId="401CF613" w14:textId="77777777" w:rsidR="00DF02F5" w:rsidRPr="004A4775" w:rsidRDefault="00DF02F5" w:rsidP="0074425A">
            <w:pPr>
              <w:pStyle w:val="ListParagraph"/>
              <w:numPr>
                <w:ilvl w:val="0"/>
                <w:numId w:val="13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developing indices of abundance</w:t>
            </w:r>
          </w:p>
          <w:p w14:paraId="32190431" w14:textId="77777777" w:rsidR="00DF02F5" w:rsidRPr="004A4775" w:rsidRDefault="00DF02F5" w:rsidP="0074425A">
            <w:pPr>
              <w:pStyle w:val="ListParagraph"/>
              <w:numPr>
                <w:ilvl w:val="0"/>
                <w:numId w:val="13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compiling biological data (e.g. length frequencies by sex)</w:t>
            </w:r>
          </w:p>
          <w:p w14:paraId="04C2A066" w14:textId="77777777" w:rsidR="00DF02F5" w:rsidRPr="004A4775" w:rsidRDefault="00DF02F5" w:rsidP="0074425A">
            <w:pPr>
              <w:pStyle w:val="ListParagraph"/>
              <w:numPr>
                <w:ilvl w:val="0"/>
                <w:numId w:val="139"/>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gathering relevant parameters (e.g. size at maturity, reproductive periodicity) from regional published and unpublished studies</w:t>
            </w:r>
          </w:p>
          <w:p w14:paraId="39901F4E" w14:textId="77777777" w:rsidR="00DF02F5" w:rsidRPr="004A4775" w:rsidRDefault="00DF02F5" w:rsidP="0074425A">
            <w:pPr>
              <w:pStyle w:val="ListParagraph"/>
              <w:numPr>
                <w:ilvl w:val="0"/>
                <w:numId w:val="130"/>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accessing or estimating catch and effort data from available sources</w:t>
            </w:r>
          </w:p>
          <w:p w14:paraId="690DBA4A" w14:textId="77777777" w:rsidR="00DF02F5" w:rsidRPr="004A4775" w:rsidRDefault="00DF02F5" w:rsidP="0074425A">
            <w:pPr>
              <w:pStyle w:val="ListParagraph"/>
              <w:numPr>
                <w:ilvl w:val="0"/>
                <w:numId w:val="130"/>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describing operational characteristics including hook depth, soak time, leader material, hook type, bait type, targeting strategies etc., as well as any changes in these over time, to assist with interpreting selectivity or catchability trends</w:t>
            </w:r>
          </w:p>
          <w:p w14:paraId="4EB0A99C" w14:textId="77777777" w:rsidR="00DF02F5" w:rsidRPr="004A4775" w:rsidRDefault="00DF02F5" w:rsidP="0074425A">
            <w:pPr>
              <w:pStyle w:val="ListParagraph"/>
              <w:numPr>
                <w:ilvl w:val="0"/>
                <w:numId w:val="130"/>
              </w:numPr>
              <w:adjustRightInd w:val="0"/>
              <w:snapToGrid w:val="0"/>
              <w:contextualSpacing w:val="0"/>
              <w:jc w:val="left"/>
              <w:rPr>
                <w:rFonts w:ascii="Times New Roman" w:hAnsi="Times New Roman"/>
                <w:sz w:val="20"/>
                <w:szCs w:val="20"/>
              </w:rPr>
            </w:pPr>
            <w:proofErr w:type="gramStart"/>
            <w:r w:rsidRPr="004A4775">
              <w:rPr>
                <w:rFonts w:ascii="Times New Roman" w:hAnsi="Times New Roman"/>
                <w:sz w:val="20"/>
                <w:szCs w:val="20"/>
              </w:rPr>
              <w:t>producing</w:t>
            </w:r>
            <w:proofErr w:type="gramEnd"/>
            <w:r w:rsidRPr="004A4775">
              <w:rPr>
                <w:rFonts w:ascii="Times New Roman" w:hAnsi="Times New Roman"/>
                <w:sz w:val="20"/>
                <w:szCs w:val="20"/>
              </w:rPr>
              <w:t xml:space="preserve"> a stand-alone report for submission to the WCPFC Scientific Committee and/or a scientific journal describing the findings of the study.</w:t>
            </w:r>
          </w:p>
        </w:tc>
      </w:tr>
      <w:tr w:rsidR="00DF02F5" w:rsidRPr="004A4775" w14:paraId="5EBC173D" w14:textId="77777777" w:rsidTr="00DF02F5">
        <w:trPr>
          <w:trHeight w:val="288"/>
        </w:trPr>
        <w:tc>
          <w:tcPr>
            <w:tcW w:w="1908" w:type="dxa"/>
          </w:tcPr>
          <w:p w14:paraId="24B5726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5FF1EA73"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0.5 FTE</w:t>
            </w:r>
          </w:p>
        </w:tc>
      </w:tr>
    </w:tbl>
    <w:p w14:paraId="2274AC7A" w14:textId="34D02FBA"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743A8BBE" w14:textId="77777777" w:rsidTr="00DF02F5">
        <w:trPr>
          <w:trHeight w:val="288"/>
        </w:trPr>
        <w:tc>
          <w:tcPr>
            <w:tcW w:w="1908" w:type="dxa"/>
            <w:shd w:val="clear" w:color="auto" w:fill="B2A1C7" w:themeFill="accent4" w:themeFillTint="99"/>
          </w:tcPr>
          <w:p w14:paraId="710990AB"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16FFF3D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#3</w:t>
            </w:r>
          </w:p>
        </w:tc>
      </w:tr>
      <w:tr w:rsidR="00DF02F5" w:rsidRPr="004A4775" w14:paraId="146071CE" w14:textId="77777777" w:rsidTr="00DF02F5">
        <w:trPr>
          <w:trHeight w:val="288"/>
        </w:trPr>
        <w:tc>
          <w:tcPr>
            <w:tcW w:w="1908" w:type="dxa"/>
            <w:shd w:val="clear" w:color="auto" w:fill="C2D69B" w:themeFill="accent3" w:themeFillTint="99"/>
          </w:tcPr>
          <w:p w14:paraId="050FF5E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50597EC0"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Participation in ISC North Pacific shortfin mako shark stock assessment activities</w:t>
            </w:r>
          </w:p>
        </w:tc>
      </w:tr>
      <w:tr w:rsidR="00DF02F5" w:rsidRPr="004A4775" w14:paraId="74794099" w14:textId="77777777" w:rsidTr="00DF02F5">
        <w:trPr>
          <w:trHeight w:val="288"/>
        </w:trPr>
        <w:tc>
          <w:tcPr>
            <w:tcW w:w="1908" w:type="dxa"/>
          </w:tcPr>
          <w:p w14:paraId="52FAAE7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7603379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Contribute to and learn from ISC work toward revising the North Pacific shortfin mako shark stock assessment, thereby aiding methods development for other WCPO shark stocks.  </w:t>
            </w:r>
          </w:p>
        </w:tc>
      </w:tr>
      <w:tr w:rsidR="00DF02F5" w:rsidRPr="004A4775" w14:paraId="32AB5B8C" w14:textId="77777777" w:rsidTr="00DF02F5">
        <w:trPr>
          <w:trHeight w:val="288"/>
        </w:trPr>
        <w:tc>
          <w:tcPr>
            <w:tcW w:w="1908" w:type="dxa"/>
          </w:tcPr>
          <w:p w14:paraId="6AB0213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01F65F7F" w14:textId="77777777" w:rsidR="00DF02F5" w:rsidRPr="004A4775" w:rsidRDefault="00DF02F5" w:rsidP="0074425A">
            <w:pPr>
              <w:pStyle w:val="ListParagraph"/>
              <w:numPr>
                <w:ilvl w:val="0"/>
                <w:numId w:val="13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ISC will be working toward an assessment of the North Pacific shortfin mako in 2017-2018 with an aim to complete it by July 2018</w:t>
            </w:r>
          </w:p>
          <w:p w14:paraId="63BA46ED" w14:textId="77777777" w:rsidR="00DF02F5" w:rsidRPr="004A4775" w:rsidRDefault="00DF02F5" w:rsidP="0074425A">
            <w:pPr>
              <w:pStyle w:val="ListParagraph"/>
              <w:numPr>
                <w:ilvl w:val="0"/>
                <w:numId w:val="13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ISC assessment would benefit from the contribution of additional shortfin mako observer data (catch rates and total removals) in the North Pacific</w:t>
            </w:r>
          </w:p>
          <w:p w14:paraId="7C3FF05A" w14:textId="77777777" w:rsidR="00DF02F5" w:rsidRPr="004A4775" w:rsidRDefault="00DF02F5" w:rsidP="0074425A">
            <w:pPr>
              <w:pStyle w:val="ListParagraph"/>
              <w:numPr>
                <w:ilvl w:val="0"/>
                <w:numId w:val="13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Participation in this collaborative stock assessment may lead to the development of new methods and/or new data insights for a future South Pacific shortfin mako assessment</w:t>
            </w:r>
          </w:p>
          <w:p w14:paraId="3BF4A003" w14:textId="77777777" w:rsidR="00DF02F5" w:rsidRPr="004A4775" w:rsidRDefault="00DF02F5" w:rsidP="0074425A">
            <w:pPr>
              <w:pStyle w:val="ListParagraph"/>
              <w:numPr>
                <w:ilvl w:val="0"/>
                <w:numId w:val="13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Cooperation between the WCPFC and its Northern Committee could be strengthened</w:t>
            </w:r>
          </w:p>
        </w:tc>
      </w:tr>
      <w:tr w:rsidR="00DF02F5" w:rsidRPr="004A4775" w14:paraId="1F3637DC" w14:textId="77777777" w:rsidTr="00DF02F5">
        <w:trPr>
          <w:trHeight w:val="288"/>
        </w:trPr>
        <w:tc>
          <w:tcPr>
            <w:tcW w:w="1908" w:type="dxa"/>
          </w:tcPr>
          <w:p w14:paraId="72E3D62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299AD31C" w14:textId="77777777" w:rsidR="00DF02F5" w:rsidRPr="004A4775" w:rsidRDefault="00DF02F5" w:rsidP="0074425A">
            <w:pPr>
              <w:pStyle w:val="ListParagraph"/>
              <w:numPr>
                <w:ilvl w:val="0"/>
                <w:numId w:val="13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If SPC were available to participate, it would contribute its shortfin mako data holdings</w:t>
            </w:r>
          </w:p>
          <w:p w14:paraId="33A19D48" w14:textId="77777777" w:rsidR="00DF02F5" w:rsidRPr="004A4775" w:rsidRDefault="00DF02F5" w:rsidP="0074425A">
            <w:pPr>
              <w:pStyle w:val="ListParagraph"/>
              <w:numPr>
                <w:ilvl w:val="0"/>
                <w:numId w:val="13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If the Secretariat or ABNJ participates, fewer data can be contributed due to data confidentiality rules</w:t>
            </w:r>
          </w:p>
          <w:p w14:paraId="5A1BB144" w14:textId="77777777" w:rsidR="00DF02F5" w:rsidRPr="004A4775" w:rsidRDefault="00DF02F5" w:rsidP="0074425A">
            <w:pPr>
              <w:pStyle w:val="ListParagraph"/>
              <w:numPr>
                <w:ilvl w:val="0"/>
                <w:numId w:val="13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ISC is able and willing to incorporate these contributions to its work</w:t>
            </w:r>
          </w:p>
          <w:p w14:paraId="736C5CEF" w14:textId="77777777" w:rsidR="00DF02F5" w:rsidRPr="004A4775" w:rsidRDefault="00DF02F5" w:rsidP="0074425A">
            <w:pPr>
              <w:pStyle w:val="ListParagraph"/>
              <w:numPr>
                <w:ilvl w:val="0"/>
                <w:numId w:val="13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ISC meetings avoid scheduling conflicts with other work</w:t>
            </w:r>
          </w:p>
        </w:tc>
      </w:tr>
      <w:tr w:rsidR="00DF02F5" w:rsidRPr="004A4775" w14:paraId="0F1D46C0" w14:textId="77777777" w:rsidTr="00DF02F5">
        <w:trPr>
          <w:trHeight w:val="288"/>
        </w:trPr>
        <w:tc>
          <w:tcPr>
            <w:tcW w:w="1908" w:type="dxa"/>
          </w:tcPr>
          <w:p w14:paraId="7E09B02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54B717EA"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Available WCPO data would be compiled, formatted and analysed to produce data products that could be contributed to ISC Shark Working Group (SWG) meetings (no raw data would be contributed; this is similar to the contributions of ISC member countries).  Data to be prepared would depend on needs identified by the ISC SWG but would be expected to include catch rate indices, catch estimates, effort statistics and/or biological data.  It is assumed that participation in two ISC SWG meetings would be required (the FTE estimate is intended to account for both time and travel costs).  These have tentatively been scheduled for November 2017 in Japan (data preparation meeting) and March-April 2018 in La Jolla (assessment meeting).  Total time input including data handling and analysis, ISC SWG meetings and other tasks, and report review is estimated at ~2.5 months.  </w:t>
            </w:r>
          </w:p>
        </w:tc>
      </w:tr>
      <w:tr w:rsidR="00DF02F5" w:rsidRPr="004A4775" w14:paraId="65BFE358" w14:textId="77777777" w:rsidTr="00DF02F5">
        <w:trPr>
          <w:trHeight w:val="288"/>
        </w:trPr>
        <w:tc>
          <w:tcPr>
            <w:tcW w:w="1908" w:type="dxa"/>
          </w:tcPr>
          <w:p w14:paraId="712FE5F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55958FF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0.2 FTE, US$25,000</w:t>
            </w:r>
          </w:p>
        </w:tc>
      </w:tr>
    </w:tbl>
    <w:p w14:paraId="3D60A285" w14:textId="77777777" w:rsidR="004A4775" w:rsidRDefault="004A477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58C1D1A7" w14:textId="77777777" w:rsidTr="00DF02F5">
        <w:trPr>
          <w:trHeight w:val="288"/>
        </w:trPr>
        <w:tc>
          <w:tcPr>
            <w:tcW w:w="1908" w:type="dxa"/>
            <w:shd w:val="clear" w:color="auto" w:fill="B2A1C7" w:themeFill="accent4" w:themeFillTint="99"/>
          </w:tcPr>
          <w:p w14:paraId="405087AB"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6C717C7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#4</w:t>
            </w:r>
          </w:p>
        </w:tc>
      </w:tr>
      <w:tr w:rsidR="00DF02F5" w:rsidRPr="004A4775" w14:paraId="00882EBB" w14:textId="77777777" w:rsidTr="00DF02F5">
        <w:trPr>
          <w:trHeight w:val="288"/>
        </w:trPr>
        <w:tc>
          <w:tcPr>
            <w:tcW w:w="1908" w:type="dxa"/>
            <w:shd w:val="clear" w:color="auto" w:fill="C2D69B" w:themeFill="accent3" w:themeFillTint="99"/>
          </w:tcPr>
          <w:p w14:paraId="1E94D27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4E5A7D5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Operational and management histories for WCPO longline fleets</w:t>
            </w:r>
          </w:p>
        </w:tc>
      </w:tr>
      <w:tr w:rsidR="00DF02F5" w:rsidRPr="004A4775" w14:paraId="4EC2F9AF" w14:textId="77777777" w:rsidTr="00DF02F5">
        <w:trPr>
          <w:trHeight w:val="288"/>
        </w:trPr>
        <w:tc>
          <w:tcPr>
            <w:tcW w:w="1908" w:type="dxa"/>
          </w:tcPr>
          <w:p w14:paraId="03757C8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4D36EA2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Compile timelines and brief descriptions for major longline fleets detailing the history of management measures and operational practices</w:t>
            </w:r>
          </w:p>
        </w:tc>
      </w:tr>
      <w:tr w:rsidR="00DF02F5" w:rsidRPr="004A4775" w14:paraId="3C0CDD3E" w14:textId="77777777" w:rsidTr="00DF02F5">
        <w:trPr>
          <w:trHeight w:val="288"/>
        </w:trPr>
        <w:tc>
          <w:tcPr>
            <w:tcW w:w="1908" w:type="dxa"/>
          </w:tcPr>
          <w:p w14:paraId="28F1805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53D4AA25"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 xml:space="preserve">This project addresses an SC11 (and prior) discussion about how to interpret changes in CPUE indices and the potential biases in constructing indices of stock abundance based on standardised CPUE from various fleets’ data without knowing and adequately accounting for operational and management changes over time. </w:t>
            </w:r>
          </w:p>
          <w:p w14:paraId="20903DE9"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 xml:space="preserve">As indices of stock abundance are one of the key inputs to stock assessment models, adequately accounting for changes in operational practices that may influence CPUE is a high priority. </w:t>
            </w:r>
          </w:p>
          <w:p w14:paraId="58A3DFC5" w14:textId="455C0FF4"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Australia has produced a simple fleet history that can serve as a template for other CCMs (SC12-SA-IP-11).</w:t>
            </w:r>
          </w:p>
          <w:p w14:paraId="21CC7763"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These histories would serve as a resource not only for WCPFC analyses but for any analyses of Pacific shark data</w:t>
            </w:r>
          </w:p>
        </w:tc>
      </w:tr>
      <w:tr w:rsidR="00DF02F5" w:rsidRPr="004A4775" w14:paraId="27774FA7" w14:textId="77777777" w:rsidTr="00DF02F5">
        <w:trPr>
          <w:trHeight w:val="288"/>
        </w:trPr>
        <w:tc>
          <w:tcPr>
            <w:tcW w:w="1908" w:type="dxa"/>
          </w:tcPr>
          <w:p w14:paraId="549069E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433C2068" w14:textId="77777777" w:rsidR="00DF02F5" w:rsidRPr="004A4775" w:rsidRDefault="00DF02F5" w:rsidP="0074425A">
            <w:pPr>
              <w:pStyle w:val="ListParagraph"/>
              <w:numPr>
                <w:ilvl w:val="0"/>
                <w:numId w:val="136"/>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information exists and can be located in a reasonable timeframe</w:t>
            </w:r>
          </w:p>
          <w:p w14:paraId="74B40CEC" w14:textId="77777777" w:rsidR="00DF02F5" w:rsidRPr="004A4775" w:rsidRDefault="00DF02F5" w:rsidP="0074425A">
            <w:pPr>
              <w:pStyle w:val="ListParagraph"/>
              <w:numPr>
                <w:ilvl w:val="0"/>
                <w:numId w:val="136"/>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CCMs are willing to assist with producing their own fleet histories</w:t>
            </w:r>
          </w:p>
          <w:p w14:paraId="3A609D17" w14:textId="77777777" w:rsidR="00DF02F5" w:rsidRPr="004A4775" w:rsidRDefault="00DF02F5" w:rsidP="0074425A">
            <w:pPr>
              <w:pStyle w:val="ListParagraph"/>
              <w:numPr>
                <w:ilvl w:val="0"/>
                <w:numId w:val="136"/>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Funding is available to assist CCMs in producing their summaries (if they wish)</w:t>
            </w:r>
          </w:p>
        </w:tc>
      </w:tr>
      <w:tr w:rsidR="00DF02F5" w:rsidRPr="004A4775" w14:paraId="35D3354B" w14:textId="77777777" w:rsidTr="00DF02F5">
        <w:trPr>
          <w:trHeight w:val="288"/>
        </w:trPr>
        <w:tc>
          <w:tcPr>
            <w:tcW w:w="1908" w:type="dxa"/>
          </w:tcPr>
          <w:p w14:paraId="27377A6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165FBF3A"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The fleet histories should, in the first instance, focus on longline fleets as it is these data that are often used as indices of stock abundance.  Separate fleet histories for purse seine fleets could also be prepared as resources allow.  The fleet histories should include details on management measures, fishing strategies, gears and sampling regimes over time.  It is anticipated that each history would be up to 3 pages of text with key events described in sequence, with a few key figures and an excel spreadsheet version of the timeline.  </w:t>
            </w:r>
          </w:p>
          <w:p w14:paraId="7237C692"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 coordinator should be appointed to compile and assist with the fleet histories.  For those CCMs that are willing to produce their own fleet histories, the coordinator would just be involved in editing, formatting and ensuring consistency between different histories.  For those CCMs that are willing to have a fleet history produced but cannot undertake it themselves, the coordinator could assist in writing up information or interviews facilitated by the CCM for approval by the CCM.  At a minimum, the coordinator could research and pull together public domain information for each fleet.  </w:t>
            </w:r>
          </w:p>
          <w:p w14:paraId="60C9B93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 collection of fleet histories would be presented by the coordinator to SC13, with the potential for CCMs to update or replace them over time.  </w:t>
            </w:r>
          </w:p>
        </w:tc>
      </w:tr>
      <w:tr w:rsidR="00DF02F5" w:rsidRPr="004A4775" w14:paraId="14CD6C0A" w14:textId="77777777" w:rsidTr="00DF02F5">
        <w:trPr>
          <w:trHeight w:val="288"/>
        </w:trPr>
        <w:tc>
          <w:tcPr>
            <w:tcW w:w="1908" w:type="dxa"/>
          </w:tcPr>
          <w:p w14:paraId="02B04E9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40C30617"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0.3 FTE (scalable depending on national participation)</w:t>
            </w:r>
          </w:p>
        </w:tc>
      </w:tr>
    </w:tbl>
    <w:p w14:paraId="27B67149" w14:textId="77777777"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6F76F636" w14:textId="77777777" w:rsidTr="00DF02F5">
        <w:trPr>
          <w:trHeight w:val="288"/>
        </w:trPr>
        <w:tc>
          <w:tcPr>
            <w:tcW w:w="1908" w:type="dxa"/>
            <w:shd w:val="clear" w:color="auto" w:fill="B2A1C7" w:themeFill="accent4" w:themeFillTint="99"/>
          </w:tcPr>
          <w:p w14:paraId="67445D0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44B1AE42"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#5</w:t>
            </w:r>
          </w:p>
        </w:tc>
      </w:tr>
      <w:tr w:rsidR="00DF02F5" w:rsidRPr="004A4775" w14:paraId="1CC84D2C" w14:textId="77777777" w:rsidTr="00DF02F5">
        <w:trPr>
          <w:trHeight w:val="288"/>
        </w:trPr>
        <w:tc>
          <w:tcPr>
            <w:tcW w:w="1908" w:type="dxa"/>
            <w:shd w:val="clear" w:color="auto" w:fill="C2D69B" w:themeFill="accent3" w:themeFillTint="99"/>
          </w:tcPr>
          <w:p w14:paraId="41D0667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w:t>
            </w:r>
          </w:p>
        </w:tc>
        <w:tc>
          <w:tcPr>
            <w:tcW w:w="7920" w:type="dxa"/>
            <w:shd w:val="clear" w:color="auto" w:fill="C2D69B" w:themeFill="accent3" w:themeFillTint="99"/>
          </w:tcPr>
          <w:p w14:paraId="72F7857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Operational planning for shark biological data improvement</w:t>
            </w:r>
          </w:p>
        </w:tc>
      </w:tr>
      <w:tr w:rsidR="00DF02F5" w:rsidRPr="004A4775" w14:paraId="4EB7AC99" w14:textId="77777777" w:rsidTr="00DF02F5">
        <w:trPr>
          <w:trHeight w:val="288"/>
        </w:trPr>
        <w:tc>
          <w:tcPr>
            <w:tcW w:w="1908" w:type="dxa"/>
          </w:tcPr>
          <w:p w14:paraId="4B455F2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3F5F8680"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Collect, review and prioritize a list of biological data gaps for the WCPFC key shark species and propose a scalable and practical plan for filling them</w:t>
            </w:r>
          </w:p>
        </w:tc>
      </w:tr>
      <w:tr w:rsidR="00DF02F5" w:rsidRPr="004A4775" w14:paraId="47E66A54" w14:textId="77777777" w:rsidTr="00DF02F5">
        <w:trPr>
          <w:trHeight w:val="288"/>
        </w:trPr>
        <w:tc>
          <w:tcPr>
            <w:tcW w:w="1908" w:type="dxa"/>
          </w:tcPr>
          <w:p w14:paraId="77654A1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03D82C66"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The Pacific Shark Life History Expert Panel Workshop urged the t-RFMOs to be more proactive in setting a research agenda for life history and stock structure research</w:t>
            </w:r>
          </w:p>
          <w:p w14:paraId="172C0904"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ISC and ICCAT have developed mechanisms for this type of work, but there is little shark biological work being done by the WCPFC</w:t>
            </w:r>
          </w:p>
          <w:p w14:paraId="0F62AEA1"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Various recommendations for further studies have been made by the Shark Research Plan, various stock assessments and the Expert Panel</w:t>
            </w:r>
          </w:p>
          <w:p w14:paraId="57D2179A"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The regional observer programme and SPC tissue bank provide opportunities for sample collection and access</w:t>
            </w:r>
          </w:p>
          <w:p w14:paraId="31E042DE"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It is difficult to begin filling data gaps without a focused, practical plan that can be proposed and costed</w:t>
            </w:r>
          </w:p>
          <w:p w14:paraId="037202EA" w14:textId="77777777" w:rsidR="00DF02F5" w:rsidRPr="004A4775" w:rsidRDefault="00DF02F5" w:rsidP="0074425A">
            <w:pPr>
              <w:pStyle w:val="ListParagraph"/>
              <w:numPr>
                <w:ilvl w:val="0"/>
                <w:numId w:val="135"/>
              </w:numPr>
              <w:adjustRightInd w:val="0"/>
              <w:snapToGrid w:val="0"/>
              <w:ind w:left="702"/>
              <w:contextualSpacing w:val="0"/>
              <w:jc w:val="left"/>
              <w:rPr>
                <w:rFonts w:ascii="Times New Roman" w:hAnsi="Times New Roman"/>
                <w:sz w:val="20"/>
                <w:szCs w:val="20"/>
              </w:rPr>
            </w:pPr>
            <w:r w:rsidRPr="004A4775">
              <w:rPr>
                <w:rFonts w:ascii="Times New Roman" w:hAnsi="Times New Roman"/>
                <w:sz w:val="20"/>
                <w:szCs w:val="20"/>
              </w:rPr>
              <w:t>This project will develop such a plan, thereby spinning-off implementable projects that can proceed if funded</w:t>
            </w:r>
          </w:p>
        </w:tc>
      </w:tr>
      <w:tr w:rsidR="00DF02F5" w:rsidRPr="004A4775" w14:paraId="29B838CF" w14:textId="77777777" w:rsidTr="00DF02F5">
        <w:trPr>
          <w:trHeight w:val="288"/>
        </w:trPr>
        <w:tc>
          <w:tcPr>
            <w:tcW w:w="1908" w:type="dxa"/>
          </w:tcPr>
          <w:p w14:paraId="6D89EF8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5FB623A5"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There are cost-effective ways of gathering the necessary data and conducting the appropriate analyses</w:t>
            </w:r>
          </w:p>
          <w:p w14:paraId="69824D7A"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CCMs, or other national entities, will assist with sample collection and/or research coordination</w:t>
            </w:r>
          </w:p>
          <w:p w14:paraId="46E327AC"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SPC or another regional body is willing to act as the focal point for implementation of the future biological data improvement plan</w:t>
            </w:r>
          </w:p>
          <w:p w14:paraId="1375CFF9"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At least some of the projects developed can be funded through WCPFC or other sources</w:t>
            </w:r>
          </w:p>
        </w:tc>
      </w:tr>
      <w:tr w:rsidR="00DF02F5" w:rsidRPr="004A4775" w14:paraId="30DD1208" w14:textId="77777777" w:rsidTr="00DF02F5">
        <w:trPr>
          <w:trHeight w:val="288"/>
        </w:trPr>
        <w:tc>
          <w:tcPr>
            <w:tcW w:w="1908" w:type="dxa"/>
          </w:tcPr>
          <w:p w14:paraId="1B681D4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043778C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Review the Shark Research Plan, shark stock assessments in the WCPO and elsewhere, the report of the Pacific Shark Life History Expert Panel Workshop and the review of shark data and modelling framework report (SC13) to develop a list of biological studies necessary to support conservation and management for WCPFC key shark species, potentially including:  </w:t>
            </w:r>
          </w:p>
          <w:p w14:paraId="5F21DB56"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Stock discrimination</w:t>
            </w:r>
          </w:p>
          <w:p w14:paraId="30E8590C"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Age and growth sampling</w:t>
            </w:r>
          </w:p>
          <w:p w14:paraId="5CACDCED"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Inter-laboratory calibration of ageing methods</w:t>
            </w:r>
          </w:p>
          <w:p w14:paraId="6EA45972"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Validation/verification of ageing methods</w:t>
            </w:r>
          </w:p>
          <w:p w14:paraId="32085317"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Reproductive sampling</w:t>
            </w:r>
          </w:p>
          <w:p w14:paraId="046869C2"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Length-length and length-weight relationships</w:t>
            </w:r>
          </w:p>
          <w:p w14:paraId="34ADE722" w14:textId="77777777" w:rsidR="00DF02F5" w:rsidRPr="004A4775" w:rsidRDefault="00DF02F5" w:rsidP="0074425A">
            <w:pPr>
              <w:pStyle w:val="ListParagraph"/>
              <w:numPr>
                <w:ilvl w:val="0"/>
                <w:numId w:val="138"/>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Movement/migration</w:t>
            </w:r>
          </w:p>
          <w:p w14:paraId="0E88CAE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Prioritize these studies based on the usefulness of the information, ease of sample access and cost, and develop practical plans (including a budget) such that priority studies can proceed as soon as funding is sourced.  A minimum of three studies should be fully developed, organized and costed and tabled at SC14.  </w:t>
            </w:r>
          </w:p>
        </w:tc>
      </w:tr>
      <w:tr w:rsidR="00DF02F5" w:rsidRPr="004A4775" w14:paraId="146254AB" w14:textId="77777777" w:rsidTr="00DF02F5">
        <w:trPr>
          <w:trHeight w:val="288"/>
        </w:trPr>
        <w:tc>
          <w:tcPr>
            <w:tcW w:w="1908" w:type="dxa"/>
          </w:tcPr>
          <w:p w14:paraId="2C09780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024E641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0.2 FTE</w:t>
            </w:r>
          </w:p>
        </w:tc>
      </w:tr>
    </w:tbl>
    <w:p w14:paraId="374D6AEC" w14:textId="77777777" w:rsidR="004A4775" w:rsidRPr="004A4775" w:rsidRDefault="004A477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67AE2E14" w14:textId="77777777" w:rsidTr="00DF02F5">
        <w:trPr>
          <w:trHeight w:val="288"/>
        </w:trPr>
        <w:tc>
          <w:tcPr>
            <w:tcW w:w="1908" w:type="dxa"/>
            <w:shd w:val="clear" w:color="auto" w:fill="B2A1C7" w:themeFill="accent4" w:themeFillTint="99"/>
          </w:tcPr>
          <w:p w14:paraId="7196635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316E187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#6 </w:t>
            </w:r>
          </w:p>
        </w:tc>
      </w:tr>
      <w:tr w:rsidR="00DF02F5" w:rsidRPr="004A4775" w14:paraId="58AC6980" w14:textId="77777777" w:rsidTr="00DF02F5">
        <w:trPr>
          <w:trHeight w:val="288"/>
        </w:trPr>
        <w:tc>
          <w:tcPr>
            <w:tcW w:w="1908" w:type="dxa"/>
            <w:shd w:val="clear" w:color="auto" w:fill="C2D69B" w:themeFill="accent3" w:themeFillTint="99"/>
          </w:tcPr>
          <w:p w14:paraId="202A97B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1D0B619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Shark Modelling Project</w:t>
            </w:r>
          </w:p>
        </w:tc>
      </w:tr>
      <w:tr w:rsidR="00DF02F5" w:rsidRPr="004A4775" w14:paraId="0B24533F" w14:textId="77777777" w:rsidTr="00DF02F5">
        <w:trPr>
          <w:trHeight w:val="288"/>
        </w:trPr>
        <w:tc>
          <w:tcPr>
            <w:tcW w:w="1908" w:type="dxa"/>
          </w:tcPr>
          <w:p w14:paraId="6958267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75C7C02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Modelling to account for the bias in the spatial distribution of observer data, total effort, </w:t>
            </w:r>
            <w:proofErr w:type="gramStart"/>
            <w:r w:rsidRPr="004A4775">
              <w:rPr>
                <w:rFonts w:ascii="Times New Roman" w:hAnsi="Times New Roman"/>
                <w:sz w:val="20"/>
                <w:szCs w:val="20"/>
              </w:rPr>
              <w:t>size</w:t>
            </w:r>
            <w:proofErr w:type="gramEnd"/>
            <w:r w:rsidRPr="004A4775">
              <w:rPr>
                <w:rFonts w:ascii="Times New Roman" w:hAnsi="Times New Roman"/>
                <w:sz w:val="20"/>
                <w:szCs w:val="20"/>
              </w:rPr>
              <w:t xml:space="preserve"> of the fishery, distribution of effort, catch and bycatch, and spatial stratification of the fishery in key stock assessment inputs.</w:t>
            </w:r>
          </w:p>
        </w:tc>
      </w:tr>
      <w:tr w:rsidR="00DF02F5" w:rsidRPr="004A4775" w14:paraId="76F2310B" w14:textId="77777777" w:rsidTr="00DF02F5">
        <w:trPr>
          <w:trHeight w:val="1147"/>
        </w:trPr>
        <w:tc>
          <w:tcPr>
            <w:tcW w:w="1908" w:type="dxa"/>
          </w:tcPr>
          <w:p w14:paraId="0B9A43B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3824CDA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Inconsistencies in the distribution of the observed data and distribution of the fishery can impact estimates of CPUE and catch. This project will produce alternative catch and CPUE time series estimates that can be used as alternative states of nature in future stock assessments. It builds upon the findings of analyses performed under WCPFC SC project 78. </w:t>
            </w:r>
          </w:p>
        </w:tc>
      </w:tr>
      <w:tr w:rsidR="00DF02F5" w:rsidRPr="004A4775" w14:paraId="161B28E2" w14:textId="77777777" w:rsidTr="00DF02F5">
        <w:trPr>
          <w:trHeight w:val="288"/>
        </w:trPr>
        <w:tc>
          <w:tcPr>
            <w:tcW w:w="1908" w:type="dxa"/>
            <w:vAlign w:val="center"/>
          </w:tcPr>
          <w:p w14:paraId="445067B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vAlign w:val="center"/>
          </w:tcPr>
          <w:p w14:paraId="5BA870FC"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information exists and can be located in a reasonable timeframe</w:t>
            </w:r>
          </w:p>
          <w:p w14:paraId="68035DA5"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regional observer data and logsheet data can be accessed by the analyst.</w:t>
            </w:r>
          </w:p>
          <w:p w14:paraId="642C6492"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The observer data and logsheet data can be linked at the level of the set. </w:t>
            </w:r>
          </w:p>
        </w:tc>
      </w:tr>
      <w:tr w:rsidR="00DF02F5" w:rsidRPr="004A4775" w14:paraId="0907DDAB" w14:textId="77777777" w:rsidTr="00DF02F5">
        <w:trPr>
          <w:trHeight w:val="288"/>
        </w:trPr>
        <w:tc>
          <w:tcPr>
            <w:tcW w:w="1908" w:type="dxa"/>
          </w:tcPr>
          <w:p w14:paraId="2AFC128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235FE09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Shark stock assessments in the past have suffered from a lack of data leading to large amounts of uncertainty in the assessment outputs. The assessments have not only suffered from a lack of catch data, but where data exist changes in targeting through time have impacted the reliability of the CPUE as an index of abundance. </w:t>
            </w:r>
          </w:p>
          <w:p w14:paraId="3038045B"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This work will assess the effect of the spatial coverage of longline and purse seine observer effort in relation to the spatial coverage of the fishing effort, and the influence of match/mismatch of these two metrics on the estimation of catch and CPUE for each of the selected key shark species in these fisheries.</w:t>
            </w:r>
          </w:p>
          <w:p w14:paraId="700BE86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To examine the potential interactions between shark species with different geographic distributions and interacting fisheries:</w:t>
            </w:r>
          </w:p>
          <w:p w14:paraId="13E0A7D8" w14:textId="77777777" w:rsidR="00DF02F5" w:rsidRPr="004A4775" w:rsidRDefault="00DF02F5" w:rsidP="0074425A">
            <w:pPr>
              <w:pStyle w:val="ListParagraph"/>
              <w:numPr>
                <w:ilvl w:val="0"/>
                <w:numId w:val="140"/>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as a minimum for longline there should be one run for silky, oceanic whitetip, hammerhead and thresher sharks that uses the best understanding of these species’ distribution, the fleet effort distribution and potential observer coverage distributions; one for mako and blue shark in the northern hemisphere; and one for porbeagle in the south. The results will be compared between the known and the uniform distribution of sampling effort and then used to quantify the gaps. </w:t>
            </w:r>
          </w:p>
          <w:p w14:paraId="2C93C1E4" w14:textId="77777777" w:rsidR="00DF02F5" w:rsidRPr="004A4775" w:rsidRDefault="00DF02F5" w:rsidP="0074425A">
            <w:pPr>
              <w:pStyle w:val="ListParagraph"/>
              <w:numPr>
                <w:ilvl w:val="0"/>
                <w:numId w:val="140"/>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This will then be repeated for FAL and OCS using the purse seine data. </w:t>
            </w:r>
          </w:p>
          <w:p w14:paraId="3B82190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The outputs will then be run through SS3 models to assess whether the data are sufficient to allow the model to assess alternative levels of depletion, such as 5%, 40% and 75% depletion.</w:t>
            </w:r>
          </w:p>
        </w:tc>
      </w:tr>
      <w:tr w:rsidR="00DF02F5" w:rsidRPr="004A4775" w14:paraId="29BCD8DF" w14:textId="77777777" w:rsidTr="00DF02F5">
        <w:trPr>
          <w:trHeight w:val="288"/>
        </w:trPr>
        <w:tc>
          <w:tcPr>
            <w:tcW w:w="1908" w:type="dxa"/>
          </w:tcPr>
          <w:p w14:paraId="0DCFA9B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72AE749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0.5 FTE</w:t>
            </w:r>
          </w:p>
        </w:tc>
      </w:tr>
    </w:tbl>
    <w:p w14:paraId="2E67F02F" w14:textId="300BBFF2"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2A827280" w14:textId="77777777" w:rsidTr="00DF02F5">
        <w:trPr>
          <w:trHeight w:val="288"/>
        </w:trPr>
        <w:tc>
          <w:tcPr>
            <w:tcW w:w="1908" w:type="dxa"/>
            <w:shd w:val="clear" w:color="auto" w:fill="B2A1C7" w:themeFill="accent4" w:themeFillTint="99"/>
          </w:tcPr>
          <w:p w14:paraId="6476074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1F01FE3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#7 </w:t>
            </w:r>
          </w:p>
        </w:tc>
      </w:tr>
      <w:tr w:rsidR="00DF02F5" w:rsidRPr="004A4775" w14:paraId="3E6198AA" w14:textId="77777777" w:rsidTr="00DF02F5">
        <w:trPr>
          <w:trHeight w:val="288"/>
        </w:trPr>
        <w:tc>
          <w:tcPr>
            <w:tcW w:w="1908" w:type="dxa"/>
            <w:shd w:val="clear" w:color="auto" w:fill="C2D69B" w:themeFill="accent3" w:themeFillTint="99"/>
          </w:tcPr>
          <w:p w14:paraId="696F6F4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730C6A94"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SRP mid-term review </w:t>
            </w:r>
          </w:p>
        </w:tc>
      </w:tr>
      <w:tr w:rsidR="00DF02F5" w:rsidRPr="004A4775" w14:paraId="0741FC63" w14:textId="77777777" w:rsidTr="00DF02F5">
        <w:trPr>
          <w:trHeight w:val="288"/>
        </w:trPr>
        <w:tc>
          <w:tcPr>
            <w:tcW w:w="1908" w:type="dxa"/>
          </w:tcPr>
          <w:p w14:paraId="412A96F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19EF2A9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Review the WCPFC Scientific Committee’s 2016-2020 shark research </w:t>
            </w:r>
            <w:proofErr w:type="gramStart"/>
            <w:r w:rsidRPr="004A4775">
              <w:rPr>
                <w:rFonts w:ascii="Times New Roman" w:hAnsi="Times New Roman"/>
                <w:sz w:val="20"/>
                <w:szCs w:val="20"/>
              </w:rPr>
              <w:t>plan</w:t>
            </w:r>
            <w:proofErr w:type="gramEnd"/>
            <w:r w:rsidRPr="004A4775">
              <w:rPr>
                <w:rFonts w:ascii="Times New Roman" w:hAnsi="Times New Roman"/>
                <w:sz w:val="20"/>
                <w:szCs w:val="20"/>
              </w:rPr>
              <w:t xml:space="preserve">, to evaluate progress against the plan and assess future needs for shark research relevant to management of the WCPO shark stocks. </w:t>
            </w:r>
          </w:p>
        </w:tc>
      </w:tr>
      <w:tr w:rsidR="00DF02F5" w:rsidRPr="004A4775" w14:paraId="509BBEA5" w14:textId="77777777" w:rsidTr="00DF02F5">
        <w:trPr>
          <w:trHeight w:val="288"/>
        </w:trPr>
        <w:tc>
          <w:tcPr>
            <w:tcW w:w="1908" w:type="dxa"/>
          </w:tcPr>
          <w:p w14:paraId="097C1C6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795AB5B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The first Shark Research Plan (SRP) covered 2010-2014. At its Tenth Session the Scientific Committee (SC10) agreed in 2014 on a programme of shark work for the Scientific Service Provider (SSP). This work was to be carried out in 2015, and included that the SSP draft a new SRP for consideration by SC11 to cover work in 2016-2020. This project will evaluate progress against that plan and consider the future shark information needs of the WCPFC. </w:t>
            </w:r>
          </w:p>
          <w:p w14:paraId="27F9476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This work will also evaluate the progress against and need for the original SRP components:</w:t>
            </w:r>
          </w:p>
          <w:p w14:paraId="213611AB" w14:textId="77777777" w:rsidR="00DF02F5" w:rsidRPr="004A4775" w:rsidRDefault="00DF02F5" w:rsidP="0074425A">
            <w:pPr>
              <w:pStyle w:val="ListParagraph"/>
              <w:numPr>
                <w:ilvl w:val="0"/>
                <w:numId w:val="14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Phase 1: assessments to be undertaken with existing and available data;</w:t>
            </w:r>
          </w:p>
          <w:p w14:paraId="32508445" w14:textId="77777777" w:rsidR="00DF02F5" w:rsidRPr="004A4775" w:rsidRDefault="00DF02F5" w:rsidP="0074425A">
            <w:pPr>
              <w:pStyle w:val="ListParagraph"/>
              <w:numPr>
                <w:ilvl w:val="0"/>
                <w:numId w:val="14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Phase 2: coordination of research efforts to supplement biological and other assessment related information; and</w:t>
            </w:r>
          </w:p>
          <w:p w14:paraId="55EF18EA" w14:textId="77777777" w:rsidR="00DF02F5" w:rsidRPr="004A4775" w:rsidRDefault="00DF02F5" w:rsidP="0074425A">
            <w:pPr>
              <w:pStyle w:val="ListParagraph"/>
              <w:numPr>
                <w:ilvl w:val="0"/>
                <w:numId w:val="141"/>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Phase 3: improvement of data from commercial fisheries.</w:t>
            </w:r>
          </w:p>
        </w:tc>
      </w:tr>
      <w:tr w:rsidR="00DF02F5" w:rsidRPr="004A4775" w14:paraId="2CE42D12" w14:textId="77777777" w:rsidTr="00DF02F5">
        <w:trPr>
          <w:trHeight w:val="288"/>
        </w:trPr>
        <w:tc>
          <w:tcPr>
            <w:tcW w:w="1908" w:type="dxa"/>
          </w:tcPr>
          <w:p w14:paraId="01EDA08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143413B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SPC or another regional body has the personnel and budget available to undertake this work. </w:t>
            </w:r>
          </w:p>
        </w:tc>
      </w:tr>
      <w:tr w:rsidR="00DF02F5" w:rsidRPr="004A4775" w14:paraId="2396B52D" w14:textId="77777777" w:rsidTr="00DF02F5">
        <w:trPr>
          <w:trHeight w:val="288"/>
        </w:trPr>
        <w:tc>
          <w:tcPr>
            <w:tcW w:w="1908" w:type="dxa"/>
          </w:tcPr>
          <w:p w14:paraId="48A1C5C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012C827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While this document will focus on the WCPFC key shark species, other elasmobranchs will be considered as required. </w:t>
            </w:r>
          </w:p>
        </w:tc>
      </w:tr>
      <w:tr w:rsidR="00DF02F5" w:rsidRPr="004A4775" w14:paraId="31C57D79" w14:textId="77777777" w:rsidTr="00DF02F5">
        <w:trPr>
          <w:trHeight w:val="288"/>
        </w:trPr>
        <w:tc>
          <w:tcPr>
            <w:tcW w:w="1908" w:type="dxa"/>
          </w:tcPr>
          <w:p w14:paraId="67B148ED"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17479FA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0.3 FTE , US$45,000</w:t>
            </w:r>
          </w:p>
        </w:tc>
      </w:tr>
    </w:tbl>
    <w:p w14:paraId="4DCF6315" w14:textId="77777777" w:rsidR="004A4775" w:rsidRPr="004A4775" w:rsidRDefault="004A477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129671BE" w14:textId="77777777" w:rsidTr="00DF02F5">
        <w:trPr>
          <w:trHeight w:val="288"/>
        </w:trPr>
        <w:tc>
          <w:tcPr>
            <w:tcW w:w="1908" w:type="dxa"/>
            <w:shd w:val="clear" w:color="auto" w:fill="B2A1C7" w:themeFill="accent4" w:themeFillTint="99"/>
          </w:tcPr>
          <w:p w14:paraId="340F2BE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45135AF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#8 </w:t>
            </w:r>
          </w:p>
        </w:tc>
      </w:tr>
      <w:tr w:rsidR="00DF02F5" w:rsidRPr="004A4775" w14:paraId="130BFA73" w14:textId="77777777" w:rsidTr="00DF02F5">
        <w:trPr>
          <w:trHeight w:val="288"/>
        </w:trPr>
        <w:tc>
          <w:tcPr>
            <w:tcW w:w="1908" w:type="dxa"/>
            <w:shd w:val="clear" w:color="auto" w:fill="C2D69B" w:themeFill="accent3" w:themeFillTint="99"/>
          </w:tcPr>
          <w:p w14:paraId="30964F6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11700F6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Hammerhead shark catch histories </w:t>
            </w:r>
          </w:p>
        </w:tc>
      </w:tr>
      <w:tr w:rsidR="00DF02F5" w:rsidRPr="004A4775" w14:paraId="544D812F" w14:textId="77777777" w:rsidTr="00DF02F5">
        <w:trPr>
          <w:trHeight w:val="288"/>
        </w:trPr>
        <w:tc>
          <w:tcPr>
            <w:tcW w:w="1908" w:type="dxa"/>
          </w:tcPr>
          <w:p w14:paraId="4D93D64F"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3B9167F2"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In order to account for the bias or lack of catch reporting, catch histories will need to be developed prior to any form of assessment. This work will attempt to develop methods for estimation of catch using recent observer data for hammerhead sharks in the WCPO. Using commercial logsheet data, the catch proportions (or other relevant quanta) will then be used to back-calculate catch of hammerhead sharks the WCPO fisheries.</w:t>
            </w:r>
          </w:p>
        </w:tc>
      </w:tr>
      <w:tr w:rsidR="00DF02F5" w:rsidRPr="004A4775" w14:paraId="047F0AE5" w14:textId="77777777" w:rsidTr="00DF02F5">
        <w:trPr>
          <w:trHeight w:val="288"/>
        </w:trPr>
        <w:tc>
          <w:tcPr>
            <w:tcW w:w="1908" w:type="dxa"/>
          </w:tcPr>
          <w:p w14:paraId="3C61D2D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0FE2A275"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Lack of catch reporting form sharks has resulted in poor or absent catch histories for most species. This work will build on relevant findings of SC13-EB-WP-07 to estimate historic catch based on recent catch effort and fishery distribution data. These data can then be used as official catch history estimates for future assessment work.  </w:t>
            </w:r>
          </w:p>
        </w:tc>
      </w:tr>
      <w:tr w:rsidR="00DF02F5" w:rsidRPr="004A4775" w14:paraId="258006E6" w14:textId="77777777" w:rsidTr="00DF02F5">
        <w:trPr>
          <w:trHeight w:val="288"/>
        </w:trPr>
        <w:tc>
          <w:tcPr>
            <w:tcW w:w="1908" w:type="dxa"/>
          </w:tcPr>
          <w:p w14:paraId="18D1A300"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vAlign w:val="center"/>
          </w:tcPr>
          <w:p w14:paraId="3D66E621"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information exists and can be located in a reasonable timeframe</w:t>
            </w:r>
          </w:p>
          <w:p w14:paraId="2F97637F"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regional observer data and logsheet data can be accessed by the analyst.</w:t>
            </w:r>
          </w:p>
          <w:p w14:paraId="5DD0BB01"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The observer data and logsheet data can be linked at the level of the set. </w:t>
            </w:r>
          </w:p>
          <w:p w14:paraId="2BA2F439" w14:textId="77777777" w:rsidR="00DF02F5" w:rsidRPr="004A4775" w:rsidRDefault="00DF02F5" w:rsidP="0074425A">
            <w:pPr>
              <w:pStyle w:val="ListParagraph"/>
              <w:numPr>
                <w:ilvl w:val="0"/>
                <w:numId w:val="137"/>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Outputs of SC13-EB-WP-07 indicate that an analysis is potentially feasible for hammerhead shark.</w:t>
            </w:r>
          </w:p>
        </w:tc>
      </w:tr>
      <w:tr w:rsidR="00DF02F5" w:rsidRPr="004A4775" w14:paraId="493BFA64" w14:textId="77777777" w:rsidTr="00DF02F5">
        <w:trPr>
          <w:trHeight w:val="288"/>
        </w:trPr>
        <w:tc>
          <w:tcPr>
            <w:tcW w:w="1908" w:type="dxa"/>
          </w:tcPr>
          <w:p w14:paraId="3B95776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70118533"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Shark stock assessments in the past have suffered from a lack of data leading to large amounts of uncertainty in the assessment outputs. The assessments have not only suffered from a lack of catch data, but where data exist changes in targeting through time have impacted the reliability of the CPUE as an index of abundance. One of the most time consuming aspects of shark assessments is the development of reliable catch histories, and for future assessments this should be done prior to considering an assessment attempt.  </w:t>
            </w:r>
          </w:p>
          <w:p w14:paraId="6B2FE1D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This work will assess the effect of the spatial coverage of longline and purse seine observer effort in relation to the spatial coverage of the fishing effort, and the influence of match/mismatch of these two metrics on the estimation of catch and CPUE for each of the selected key shark species in these fisheries.</w:t>
            </w:r>
          </w:p>
          <w:p w14:paraId="26F91AE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Following an analysis of the level and appropriateness of species-specific hammerhead shark data in space, time and fishery, catch history estimates will be generated at appropriate species and species group levels. </w:t>
            </w:r>
          </w:p>
          <w:p w14:paraId="3D88EEB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Note: 1) at SC12 a review of the data availability, data quality and data gaps for sharks was proposed, the results of that work may need to be considered prior to considering this work; 2) there may be substantial overlap with project 6 above and this work may benefit from being combined with that project. </w:t>
            </w:r>
          </w:p>
        </w:tc>
      </w:tr>
      <w:tr w:rsidR="00DF02F5" w:rsidRPr="004A4775" w14:paraId="6776E5F1" w14:textId="77777777" w:rsidTr="00DF02F5">
        <w:trPr>
          <w:trHeight w:val="288"/>
        </w:trPr>
        <w:tc>
          <w:tcPr>
            <w:tcW w:w="1908" w:type="dxa"/>
          </w:tcPr>
          <w:p w14:paraId="1D01A27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62C2D51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0.5 FTE</w:t>
            </w:r>
          </w:p>
        </w:tc>
      </w:tr>
    </w:tbl>
    <w:p w14:paraId="57604D07" w14:textId="77777777" w:rsidR="00DF02F5" w:rsidRDefault="00DF02F5" w:rsidP="00DF02F5">
      <w:pPr>
        <w:adjustRightInd w:val="0"/>
        <w:snapToGrid w:val="0"/>
        <w:spacing w:after="0"/>
        <w:rPr>
          <w:rFonts w:ascii="Times New Roman" w:hAnsi="Times New Roman"/>
          <w:sz w:val="20"/>
          <w:szCs w:val="20"/>
          <w:lang w:eastAsia="ko-KR"/>
        </w:rPr>
      </w:pPr>
    </w:p>
    <w:p w14:paraId="7315C487" w14:textId="77777777" w:rsidR="005C4FDC" w:rsidRDefault="005C4FDC" w:rsidP="00DF02F5">
      <w:pPr>
        <w:adjustRightInd w:val="0"/>
        <w:snapToGrid w:val="0"/>
        <w:spacing w:after="0"/>
        <w:rPr>
          <w:rFonts w:ascii="Times New Roman" w:hAnsi="Times New Roman"/>
          <w:sz w:val="20"/>
          <w:szCs w:val="20"/>
          <w:lang w:eastAsia="ko-KR"/>
        </w:rPr>
      </w:pPr>
    </w:p>
    <w:tbl>
      <w:tblPr>
        <w:tblStyle w:val="TableGrid"/>
        <w:tblW w:w="9828" w:type="dxa"/>
        <w:tblLook w:val="04A0" w:firstRow="1" w:lastRow="0" w:firstColumn="1" w:lastColumn="0" w:noHBand="0" w:noVBand="1"/>
      </w:tblPr>
      <w:tblGrid>
        <w:gridCol w:w="1908"/>
        <w:gridCol w:w="7920"/>
      </w:tblGrid>
      <w:tr w:rsidR="00DF02F5" w:rsidRPr="004A4775" w14:paraId="71CD58B4" w14:textId="77777777" w:rsidTr="00DF02F5">
        <w:trPr>
          <w:trHeight w:val="288"/>
        </w:trPr>
        <w:tc>
          <w:tcPr>
            <w:tcW w:w="1908" w:type="dxa"/>
            <w:shd w:val="clear" w:color="auto" w:fill="B2A1C7" w:themeFill="accent4" w:themeFillTint="99"/>
          </w:tcPr>
          <w:p w14:paraId="2477F6C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29425BE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#9 </w:t>
            </w:r>
          </w:p>
        </w:tc>
      </w:tr>
      <w:tr w:rsidR="00DF02F5" w:rsidRPr="004A4775" w14:paraId="1B9F459E" w14:textId="77777777" w:rsidTr="00DF02F5">
        <w:trPr>
          <w:trHeight w:val="288"/>
        </w:trPr>
        <w:tc>
          <w:tcPr>
            <w:tcW w:w="1908" w:type="dxa"/>
            <w:shd w:val="clear" w:color="auto" w:fill="C2D69B" w:themeFill="accent3" w:themeFillTint="99"/>
          </w:tcPr>
          <w:p w14:paraId="6DD0E7C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025896D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Hammerhead shark biology </w:t>
            </w:r>
          </w:p>
        </w:tc>
      </w:tr>
      <w:tr w:rsidR="00DF02F5" w:rsidRPr="004A4775" w14:paraId="40F1CA7B" w14:textId="77777777" w:rsidTr="00DF02F5">
        <w:trPr>
          <w:trHeight w:val="288"/>
        </w:trPr>
        <w:tc>
          <w:tcPr>
            <w:tcW w:w="1908" w:type="dxa"/>
          </w:tcPr>
          <w:p w14:paraId="483E88E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2215FF5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Review the findings and references from the WCPFC Pacific shark life-history expert panel workshop to identify which species, and for which regions the age and growth uncertainties are highest. Then undertake biological sampling and age and growth reproductive analyses to fill those gaps.</w:t>
            </w:r>
          </w:p>
        </w:tc>
      </w:tr>
      <w:tr w:rsidR="00DF02F5" w:rsidRPr="004A4775" w14:paraId="0C56D2D2" w14:textId="77777777" w:rsidTr="00DF02F5">
        <w:trPr>
          <w:trHeight w:val="288"/>
        </w:trPr>
        <w:tc>
          <w:tcPr>
            <w:tcW w:w="1908" w:type="dxa"/>
          </w:tcPr>
          <w:p w14:paraId="16F19FA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4E86DB1A"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Data on hammerhead sharks are extremely sparse; these species are both oceanic and coastal and data for these species are very patchy in time and space (Rice et al. 2015). As a result an age-structured modelling approach is unlikely to result in a reliable estimate of stock status. </w:t>
            </w:r>
          </w:p>
          <w:p w14:paraId="269063F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Prior to any form of quantitative assessment, be it a per-recruit analysis or a fully integrated assessment, understanding of the fishes biology is essential. Furthermore, in the absence of an assessment, an understanding of the biology of a species can provide some insights into the productivity of a stock and its susceptibility to fishing pressure. </w:t>
            </w:r>
          </w:p>
        </w:tc>
      </w:tr>
      <w:tr w:rsidR="00DF02F5" w:rsidRPr="004A4775" w14:paraId="0484727F" w14:textId="77777777" w:rsidTr="00DF02F5">
        <w:trPr>
          <w:trHeight w:val="288"/>
        </w:trPr>
        <w:tc>
          <w:tcPr>
            <w:tcW w:w="1908" w:type="dxa"/>
          </w:tcPr>
          <w:p w14:paraId="79E27397"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7F79559F" w14:textId="77777777" w:rsidR="00DF02F5" w:rsidRPr="004A4775" w:rsidRDefault="00DF02F5" w:rsidP="0074425A">
            <w:pPr>
              <w:pStyle w:val="ListParagraph"/>
              <w:numPr>
                <w:ilvl w:val="0"/>
                <w:numId w:val="14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Samples can be sourced within the timeframes required. </w:t>
            </w:r>
          </w:p>
          <w:p w14:paraId="6CD6B902" w14:textId="77777777" w:rsidR="00DF02F5" w:rsidRPr="004A4775" w:rsidRDefault="00DF02F5" w:rsidP="0074425A">
            <w:pPr>
              <w:pStyle w:val="ListParagraph"/>
              <w:numPr>
                <w:ilvl w:val="0"/>
                <w:numId w:val="142"/>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Sufficient samples from across the species distribution can be collected. </w:t>
            </w:r>
          </w:p>
        </w:tc>
      </w:tr>
      <w:tr w:rsidR="00DF02F5" w:rsidRPr="004A4775" w14:paraId="5D8E06FB" w14:textId="77777777" w:rsidTr="00DF02F5">
        <w:trPr>
          <w:trHeight w:val="288"/>
        </w:trPr>
        <w:tc>
          <w:tcPr>
            <w:tcW w:w="1908" w:type="dxa"/>
          </w:tcPr>
          <w:p w14:paraId="682933D9"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0FB6F123"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Phase 1: conduct a review of the findings from the WCPFC Pacific shark life-history expert panel workshop to identify which hammerhead shark species, and for which regions the age and growth uncertainties are highest. Then undertake an assessment of the likelihood of collecting samples for these species in sufficient quantities to undertake meaningful analyses. </w:t>
            </w:r>
          </w:p>
          <w:p w14:paraId="784D955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Phase 2: using the results of phase 1, undertake biological sampling and age and growth reproductive analysis to identify the productivity, longevity and reproductive capacity of these species. </w:t>
            </w:r>
          </w:p>
          <w:p w14:paraId="5368263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Note: 1) at SC12 a project to review the operational planning for shark biological data improvement was proposed but did not go ahead and is tabled again in project </w:t>
            </w:r>
            <w:r w:rsidRPr="004A4775">
              <w:rPr>
                <w:rFonts w:ascii="Times New Roman" w:hAnsi="Times New Roman"/>
                <w:i/>
                <w:sz w:val="20"/>
                <w:szCs w:val="20"/>
              </w:rPr>
              <w:t xml:space="preserve">Sheet 3 </w:t>
            </w:r>
            <w:r w:rsidRPr="004A4775">
              <w:rPr>
                <w:rFonts w:ascii="Times New Roman" w:hAnsi="Times New Roman"/>
                <w:sz w:val="20"/>
                <w:szCs w:val="20"/>
              </w:rPr>
              <w:t xml:space="preserve">above, the results of that work may need to be considered prior to considering this project, which could be postponed for one year if project #3 is approved. </w:t>
            </w:r>
          </w:p>
        </w:tc>
      </w:tr>
      <w:tr w:rsidR="00DF02F5" w:rsidRPr="004A4775" w14:paraId="410E0DAD" w14:textId="77777777" w:rsidTr="00DF02F5">
        <w:trPr>
          <w:trHeight w:val="288"/>
        </w:trPr>
        <w:tc>
          <w:tcPr>
            <w:tcW w:w="1908" w:type="dxa"/>
          </w:tcPr>
          <w:p w14:paraId="2CAEBB9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465EE1E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0.5 FTE  (first year) 1 FTE (once all the samples have been collected) </w:t>
            </w:r>
          </w:p>
        </w:tc>
      </w:tr>
    </w:tbl>
    <w:p w14:paraId="532F71C0" w14:textId="77777777" w:rsidR="00DF02F5" w:rsidRPr="004A4775" w:rsidRDefault="00DF02F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2A79F453" w14:textId="77777777" w:rsidTr="00DF02F5">
        <w:trPr>
          <w:trHeight w:val="288"/>
        </w:trPr>
        <w:tc>
          <w:tcPr>
            <w:tcW w:w="1908" w:type="dxa"/>
            <w:shd w:val="clear" w:color="auto" w:fill="B2A1C7" w:themeFill="accent4" w:themeFillTint="99"/>
          </w:tcPr>
          <w:p w14:paraId="5E2BACA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4C8BCE66"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#10 </w:t>
            </w:r>
          </w:p>
        </w:tc>
      </w:tr>
      <w:tr w:rsidR="00DF02F5" w:rsidRPr="004A4775" w14:paraId="0C91E3B5" w14:textId="77777777" w:rsidTr="00DF02F5">
        <w:trPr>
          <w:trHeight w:val="288"/>
        </w:trPr>
        <w:tc>
          <w:tcPr>
            <w:tcW w:w="1908" w:type="dxa"/>
            <w:shd w:val="clear" w:color="auto" w:fill="C2D69B" w:themeFill="accent3" w:themeFillTint="99"/>
          </w:tcPr>
          <w:p w14:paraId="239EE2C1"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216DCE5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Whale shark stock discrimination </w:t>
            </w:r>
          </w:p>
        </w:tc>
      </w:tr>
      <w:tr w:rsidR="00DF02F5" w:rsidRPr="004A4775" w14:paraId="62FD9D2F" w14:textId="77777777" w:rsidTr="00DF02F5">
        <w:trPr>
          <w:trHeight w:val="288"/>
        </w:trPr>
        <w:tc>
          <w:tcPr>
            <w:tcW w:w="1908" w:type="dxa"/>
          </w:tcPr>
          <w:p w14:paraId="53D95325"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53579BB7"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Develop an understanding of the stock structure of whale sharks in the Pacific Ocean. </w:t>
            </w:r>
          </w:p>
        </w:tc>
      </w:tr>
      <w:tr w:rsidR="00DF02F5" w:rsidRPr="004A4775" w14:paraId="26AC1B7E" w14:textId="77777777" w:rsidTr="00DF02F5">
        <w:trPr>
          <w:trHeight w:val="288"/>
        </w:trPr>
        <w:tc>
          <w:tcPr>
            <w:tcW w:w="1908" w:type="dxa"/>
          </w:tcPr>
          <w:p w14:paraId="36840EE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033BC2C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The stock structure of whale sharks in the Pacific Ocean is not well understood and developing an understanding of a population’s stock structure and connectivity is essential for effective management of any species, as it identifies the appropriate spatial context for management actions.  Whale shark population connectivity have been assessed through photographic identification, however, whale sharks are observed only rarely throughout their range except for the few locations where seasonal aggregations of whale sharks occur. Satellite tags have been used in a few studies with either limited deployments or in discreet areas such as the Red Sea.  Genetic analysis has indicated that whale sharks represent three major populations in the Pacific, Caribbean, and Indian Oceans. Within each ocean there is little genetic differentiation between animals, indicating historical gene flow between populations and well mixed populations within each Ocean.  Both the tagging and genetic analyses have been based on low numbers of samples and have not covered the Pacific Ocean particularly well.  </w:t>
            </w:r>
          </w:p>
        </w:tc>
      </w:tr>
      <w:tr w:rsidR="00DF02F5" w:rsidRPr="004A4775" w14:paraId="0CB0A47F" w14:textId="77777777" w:rsidTr="00DF02F5">
        <w:trPr>
          <w:trHeight w:val="288"/>
        </w:trPr>
        <w:tc>
          <w:tcPr>
            <w:tcW w:w="1908" w:type="dxa"/>
          </w:tcPr>
          <w:p w14:paraId="33A78A6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3D74F219" w14:textId="77777777" w:rsidR="00DF02F5" w:rsidRPr="004A4775" w:rsidRDefault="00DF02F5" w:rsidP="0074425A">
            <w:pPr>
              <w:pStyle w:val="ListParagraph"/>
              <w:numPr>
                <w:ilvl w:val="0"/>
                <w:numId w:val="14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Enough work has been undertaken elsewhere to evaluate effective tagging, genetic or other methods. </w:t>
            </w:r>
          </w:p>
          <w:p w14:paraId="4A7885C5" w14:textId="77777777" w:rsidR="00DF02F5" w:rsidRPr="004A4775" w:rsidRDefault="00DF02F5" w:rsidP="0074425A">
            <w:pPr>
              <w:pStyle w:val="ListParagraph"/>
              <w:numPr>
                <w:ilvl w:val="0"/>
                <w:numId w:val="143"/>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personnel and budget are available to undertake this work.</w:t>
            </w:r>
          </w:p>
        </w:tc>
      </w:tr>
      <w:tr w:rsidR="00DF02F5" w:rsidRPr="004A4775" w14:paraId="35A8172A" w14:textId="77777777" w:rsidTr="00DF02F5">
        <w:trPr>
          <w:trHeight w:val="288"/>
        </w:trPr>
        <w:tc>
          <w:tcPr>
            <w:tcW w:w="1908" w:type="dxa"/>
          </w:tcPr>
          <w:p w14:paraId="6FA34C0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66A811EA"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This work should have two phases. Phase 1: determine the best and most cost effective method to assess whale shark stock structure in the Pacific Ocean; and Phase 2: pending approval from SC14, undertake the biological sampling and analysis proposed under Phase 1. </w:t>
            </w:r>
          </w:p>
          <w:p w14:paraId="58C41D64"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Phase 1 of this project should be a desktop analysis to outline effective methods and design ways to undertake the analyses, provide full costings for each and identify potential difficulties with each method. This work should include potential costings of each method and be presented to SC14 for consideration of Phase 2. </w:t>
            </w:r>
          </w:p>
          <w:p w14:paraId="76A867E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Note: at SC12 a review of the data availability, data quality and data gaps for sharks was proposed, the results of that work presented in this EB-WP-07 should to be considered prior to considering this project.</w:t>
            </w:r>
          </w:p>
        </w:tc>
      </w:tr>
      <w:tr w:rsidR="00DF02F5" w:rsidRPr="004A4775" w14:paraId="36BD25DE" w14:textId="77777777" w:rsidTr="00DF02F5">
        <w:trPr>
          <w:trHeight w:val="288"/>
        </w:trPr>
        <w:tc>
          <w:tcPr>
            <w:tcW w:w="1908" w:type="dxa"/>
          </w:tcPr>
          <w:p w14:paraId="0C8D69E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2825370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0.3 FTE</w:t>
            </w:r>
          </w:p>
        </w:tc>
      </w:tr>
    </w:tbl>
    <w:p w14:paraId="5FE254B4" w14:textId="77777777" w:rsidR="004A4775" w:rsidRPr="004A4775" w:rsidRDefault="004A477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06B7ACF9" w14:textId="77777777" w:rsidTr="00DF02F5">
        <w:trPr>
          <w:trHeight w:val="288"/>
        </w:trPr>
        <w:tc>
          <w:tcPr>
            <w:tcW w:w="1908" w:type="dxa"/>
            <w:shd w:val="clear" w:color="auto" w:fill="B2A1C7" w:themeFill="accent4" w:themeFillTint="99"/>
          </w:tcPr>
          <w:p w14:paraId="0C0AECE4"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1A2E8BD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#11 </w:t>
            </w:r>
          </w:p>
        </w:tc>
      </w:tr>
      <w:tr w:rsidR="00DF02F5" w:rsidRPr="004A4775" w14:paraId="01F34C2A" w14:textId="77777777" w:rsidTr="00DF02F5">
        <w:trPr>
          <w:trHeight w:val="288"/>
        </w:trPr>
        <w:tc>
          <w:tcPr>
            <w:tcW w:w="1908" w:type="dxa"/>
            <w:shd w:val="clear" w:color="auto" w:fill="C2D69B" w:themeFill="accent3" w:themeFillTint="99"/>
          </w:tcPr>
          <w:p w14:paraId="4F73753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1B64B7FE"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Assess stock recruit relationships </w:t>
            </w:r>
          </w:p>
        </w:tc>
      </w:tr>
      <w:tr w:rsidR="00DF02F5" w:rsidRPr="004A4775" w14:paraId="6F8FA092" w14:textId="77777777" w:rsidTr="00DF02F5">
        <w:trPr>
          <w:trHeight w:val="288"/>
        </w:trPr>
        <w:tc>
          <w:tcPr>
            <w:tcW w:w="1908" w:type="dxa"/>
          </w:tcPr>
          <w:p w14:paraId="6DBDA645"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1FA09C0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Assess methods to determine the stock recruit relationships for WCPO key shark species and propose methods to be used for future stock assessments. </w:t>
            </w:r>
          </w:p>
        </w:tc>
      </w:tr>
      <w:tr w:rsidR="00DF02F5" w:rsidRPr="004A4775" w14:paraId="1A0A62C4" w14:textId="77777777" w:rsidTr="00DF02F5">
        <w:trPr>
          <w:trHeight w:val="288"/>
        </w:trPr>
        <w:tc>
          <w:tcPr>
            <w:tcW w:w="1908" w:type="dxa"/>
          </w:tcPr>
          <w:p w14:paraId="740FF8EC"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23CD678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Shark stock assessments in the WCPO have historically been particularly challenging and the results are often uncertain and considered works in progress. One major uncertainty is the ambiguity in the estimated stock recruitment relationship. This project will develop methods to assess the stock recruit relationships for elasmobranchs and propose methods and quanta (e.g. an appropriate range of steepness values) to be considered in future assessments. </w:t>
            </w:r>
          </w:p>
        </w:tc>
      </w:tr>
      <w:tr w:rsidR="00DF02F5" w:rsidRPr="004A4775" w14:paraId="383D0D86" w14:textId="77777777" w:rsidTr="00DF02F5">
        <w:trPr>
          <w:trHeight w:val="288"/>
        </w:trPr>
        <w:tc>
          <w:tcPr>
            <w:tcW w:w="1908" w:type="dxa"/>
          </w:tcPr>
          <w:p w14:paraId="1B7BCB2D"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772E4C3E" w14:textId="77777777" w:rsidR="00DF02F5" w:rsidRPr="004A4775" w:rsidRDefault="00DF02F5" w:rsidP="0074425A">
            <w:pPr>
              <w:pStyle w:val="ListParagraph"/>
              <w:numPr>
                <w:ilvl w:val="0"/>
                <w:numId w:val="145"/>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 xml:space="preserve">The data are available to undertake this work. </w:t>
            </w:r>
          </w:p>
          <w:p w14:paraId="462FF0FE" w14:textId="77777777" w:rsidR="00DF02F5" w:rsidRPr="004A4775" w:rsidRDefault="00DF02F5" w:rsidP="0074425A">
            <w:pPr>
              <w:pStyle w:val="ListParagraph"/>
              <w:numPr>
                <w:ilvl w:val="0"/>
                <w:numId w:val="145"/>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The personnel and budget are available to undertake this work.</w:t>
            </w:r>
          </w:p>
        </w:tc>
      </w:tr>
      <w:tr w:rsidR="00DF02F5" w:rsidRPr="004A4775" w14:paraId="6397C41A" w14:textId="77777777" w:rsidTr="00DF02F5">
        <w:trPr>
          <w:trHeight w:val="288"/>
        </w:trPr>
        <w:tc>
          <w:tcPr>
            <w:tcW w:w="1908" w:type="dxa"/>
          </w:tcPr>
          <w:p w14:paraId="193CB1F0"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4882F903"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The stock recruitment relationship for elasmobranchs is particularly opaque and difficult to estimate in assessments. This opacity resulted in particular problems in some previous assessments, particularly for the blue shark assessment in the North Pacific model that used the low fecundity spawner recruitment relationship, where the resulting stock status conclusions were extremely sensitive to the shape of the curve.  An assessment of the appropriate way to model elasmobranch stock recruitment relationships should be undertaken. Note the ISC SHARKWG has undertaken a meta-analysis to assess shark stock recruitment relationships in general and this will need to be taken into consideration when undertaking this work. </w:t>
            </w:r>
          </w:p>
        </w:tc>
      </w:tr>
      <w:tr w:rsidR="00DF02F5" w:rsidRPr="004A4775" w14:paraId="36750B21" w14:textId="77777777" w:rsidTr="00DF02F5">
        <w:trPr>
          <w:trHeight w:val="288"/>
        </w:trPr>
        <w:tc>
          <w:tcPr>
            <w:tcW w:w="1908" w:type="dxa"/>
          </w:tcPr>
          <w:p w14:paraId="504AF562"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66B48591"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0.5 FTE</w:t>
            </w:r>
          </w:p>
        </w:tc>
      </w:tr>
    </w:tbl>
    <w:p w14:paraId="08D87714" w14:textId="77777777" w:rsidR="004A4775" w:rsidRPr="004A4775" w:rsidRDefault="004A4775" w:rsidP="00DF02F5">
      <w:pPr>
        <w:adjustRightInd w:val="0"/>
        <w:snapToGrid w:val="0"/>
        <w:spacing w:after="0"/>
        <w:rPr>
          <w:rFonts w:ascii="Times New Roman" w:hAnsi="Times New Roman"/>
          <w:sz w:val="20"/>
          <w:szCs w:val="20"/>
        </w:rPr>
      </w:pPr>
    </w:p>
    <w:tbl>
      <w:tblPr>
        <w:tblStyle w:val="TableGrid"/>
        <w:tblW w:w="9828" w:type="dxa"/>
        <w:tblLook w:val="04A0" w:firstRow="1" w:lastRow="0" w:firstColumn="1" w:lastColumn="0" w:noHBand="0" w:noVBand="1"/>
      </w:tblPr>
      <w:tblGrid>
        <w:gridCol w:w="1908"/>
        <w:gridCol w:w="7920"/>
      </w:tblGrid>
      <w:tr w:rsidR="00DF02F5" w:rsidRPr="004A4775" w14:paraId="70021EB2" w14:textId="77777777" w:rsidTr="00DF02F5">
        <w:trPr>
          <w:trHeight w:val="288"/>
        </w:trPr>
        <w:tc>
          <w:tcPr>
            <w:tcW w:w="1908" w:type="dxa"/>
            <w:shd w:val="clear" w:color="auto" w:fill="B2A1C7" w:themeFill="accent4" w:themeFillTint="99"/>
          </w:tcPr>
          <w:p w14:paraId="749EDAA0"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Sheet Number</w:t>
            </w:r>
          </w:p>
        </w:tc>
        <w:tc>
          <w:tcPr>
            <w:tcW w:w="7920" w:type="dxa"/>
            <w:shd w:val="clear" w:color="auto" w:fill="B2A1C7" w:themeFill="accent4" w:themeFillTint="99"/>
          </w:tcPr>
          <w:p w14:paraId="0D361CF8"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#12 </w:t>
            </w:r>
          </w:p>
        </w:tc>
      </w:tr>
      <w:tr w:rsidR="00DF02F5" w:rsidRPr="004A4775" w14:paraId="7B17D4A1" w14:textId="77777777" w:rsidTr="00DF02F5">
        <w:trPr>
          <w:trHeight w:val="288"/>
        </w:trPr>
        <w:tc>
          <w:tcPr>
            <w:tcW w:w="1908" w:type="dxa"/>
            <w:shd w:val="clear" w:color="auto" w:fill="C2D69B" w:themeFill="accent3" w:themeFillTint="99"/>
          </w:tcPr>
          <w:p w14:paraId="1C60933E"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Project title</w:t>
            </w:r>
          </w:p>
        </w:tc>
        <w:tc>
          <w:tcPr>
            <w:tcW w:w="7920" w:type="dxa"/>
            <w:shd w:val="clear" w:color="auto" w:fill="C2D69B" w:themeFill="accent3" w:themeFillTint="99"/>
          </w:tcPr>
          <w:p w14:paraId="3FFD7FAD"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South Pacific mako shark assessment </w:t>
            </w:r>
          </w:p>
        </w:tc>
      </w:tr>
      <w:tr w:rsidR="00DF02F5" w:rsidRPr="004A4775" w14:paraId="298522EF" w14:textId="77777777" w:rsidTr="00DF02F5">
        <w:trPr>
          <w:trHeight w:val="288"/>
        </w:trPr>
        <w:tc>
          <w:tcPr>
            <w:tcW w:w="1908" w:type="dxa"/>
          </w:tcPr>
          <w:p w14:paraId="5C451AF3"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Objectives</w:t>
            </w:r>
          </w:p>
        </w:tc>
        <w:tc>
          <w:tcPr>
            <w:tcW w:w="7920" w:type="dxa"/>
          </w:tcPr>
          <w:p w14:paraId="6227BCD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Undertake a quantitative assessment of south Pacific Ocean mako sharks. </w:t>
            </w:r>
          </w:p>
        </w:tc>
      </w:tr>
      <w:tr w:rsidR="00DF02F5" w:rsidRPr="004A4775" w14:paraId="3451C667" w14:textId="77777777" w:rsidTr="00DF02F5">
        <w:trPr>
          <w:trHeight w:val="288"/>
        </w:trPr>
        <w:tc>
          <w:tcPr>
            <w:tcW w:w="1908" w:type="dxa"/>
          </w:tcPr>
          <w:p w14:paraId="7399EA96"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Rationale</w:t>
            </w:r>
          </w:p>
        </w:tc>
        <w:tc>
          <w:tcPr>
            <w:tcW w:w="7920" w:type="dxa"/>
          </w:tcPr>
          <w:p w14:paraId="72C96C6F"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This species is unproductive and susceptible to overfishing, but has never had a formal stock assessment undertaken to assess the impact of fishing. Furthermore shortfin mako sharks are listed as vulnerable on the IUCN’s Red List due to a decline in their abundance.</w:t>
            </w:r>
          </w:p>
        </w:tc>
      </w:tr>
      <w:tr w:rsidR="00DF02F5" w:rsidRPr="004A4775" w14:paraId="3110B74D" w14:textId="77777777" w:rsidTr="00DF02F5">
        <w:trPr>
          <w:trHeight w:val="288"/>
        </w:trPr>
        <w:tc>
          <w:tcPr>
            <w:tcW w:w="1908" w:type="dxa"/>
          </w:tcPr>
          <w:p w14:paraId="40351C6F"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Assumptions</w:t>
            </w:r>
          </w:p>
        </w:tc>
        <w:tc>
          <w:tcPr>
            <w:tcW w:w="7920" w:type="dxa"/>
          </w:tcPr>
          <w:p w14:paraId="50909EF2" w14:textId="77777777" w:rsidR="00DF02F5" w:rsidRPr="004A4775" w:rsidRDefault="00DF02F5" w:rsidP="0074425A">
            <w:pPr>
              <w:pStyle w:val="ListParagraph"/>
              <w:numPr>
                <w:ilvl w:val="0"/>
                <w:numId w:val="14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Much of the existing fisheries and biological data are readily available.</w:t>
            </w:r>
          </w:p>
          <w:p w14:paraId="572E94D6" w14:textId="77777777" w:rsidR="00DF02F5" w:rsidRPr="004A4775" w:rsidRDefault="00DF02F5" w:rsidP="0074425A">
            <w:pPr>
              <w:pStyle w:val="ListParagraph"/>
              <w:numPr>
                <w:ilvl w:val="0"/>
                <w:numId w:val="144"/>
              </w:numPr>
              <w:adjustRightInd w:val="0"/>
              <w:snapToGrid w:val="0"/>
              <w:contextualSpacing w:val="0"/>
              <w:jc w:val="left"/>
              <w:rPr>
                <w:rFonts w:ascii="Times New Roman" w:hAnsi="Times New Roman"/>
                <w:sz w:val="20"/>
                <w:szCs w:val="20"/>
              </w:rPr>
            </w:pPr>
            <w:r w:rsidRPr="004A4775">
              <w:rPr>
                <w:rFonts w:ascii="Times New Roman" w:hAnsi="Times New Roman"/>
                <w:sz w:val="20"/>
                <w:szCs w:val="20"/>
              </w:rPr>
              <w:t>Assessment personal are available to undertaking this work</w:t>
            </w:r>
          </w:p>
        </w:tc>
      </w:tr>
      <w:tr w:rsidR="00DF02F5" w:rsidRPr="004A4775" w14:paraId="582DB92E" w14:textId="77777777" w:rsidTr="00DF02F5">
        <w:trPr>
          <w:trHeight w:val="288"/>
        </w:trPr>
        <w:tc>
          <w:tcPr>
            <w:tcW w:w="1908" w:type="dxa"/>
          </w:tcPr>
          <w:p w14:paraId="6954CB7A"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Scope</w:t>
            </w:r>
          </w:p>
        </w:tc>
        <w:tc>
          <w:tcPr>
            <w:tcW w:w="7920" w:type="dxa"/>
          </w:tcPr>
          <w:p w14:paraId="750F0499" w14:textId="77777777" w:rsidR="00DF02F5" w:rsidRPr="004A4775" w:rsidRDefault="00DF02F5" w:rsidP="00DF02F5">
            <w:pPr>
              <w:pStyle w:val="Default"/>
              <w:adjustRightInd w:val="0"/>
              <w:snapToGrid w:val="0"/>
              <w:rPr>
                <w:rFonts w:ascii="Times New Roman" w:hAnsi="Times New Roman" w:cs="Times New Roman"/>
                <w:sz w:val="20"/>
                <w:szCs w:val="20"/>
              </w:rPr>
            </w:pPr>
            <w:r w:rsidRPr="004A4775">
              <w:rPr>
                <w:rFonts w:ascii="Times New Roman" w:hAnsi="Times New Roman" w:cs="Times New Roman"/>
                <w:sz w:val="20"/>
                <w:szCs w:val="20"/>
              </w:rPr>
              <w:t>Reviewing the previous shark assessment in the WCPO to assess and improve on methods to increase the understanding of data strengths and weaknesses, and update stock status. Update WCPO LL catch estimates and abundance indices using recent observer data. The analysis should consider what might be appropriate limit reference points for this species, but in the absence of any agreed reference points present the stock status in terms of F/F</w:t>
            </w:r>
            <w:r w:rsidRPr="004A4775">
              <w:rPr>
                <w:rFonts w:ascii="Times New Roman" w:hAnsi="Times New Roman" w:cs="Times New Roman"/>
                <w:sz w:val="20"/>
                <w:szCs w:val="20"/>
                <w:vertAlign w:val="subscript"/>
              </w:rPr>
              <w:t>MSY</w:t>
            </w:r>
            <w:r w:rsidRPr="004A4775">
              <w:rPr>
                <w:rFonts w:ascii="Times New Roman" w:hAnsi="Times New Roman" w:cs="Times New Roman"/>
                <w:sz w:val="20"/>
                <w:szCs w:val="20"/>
              </w:rPr>
              <w:t xml:space="preserve"> and SB/SB</w:t>
            </w:r>
            <w:r w:rsidRPr="004A4775">
              <w:rPr>
                <w:rFonts w:ascii="Times New Roman" w:hAnsi="Times New Roman" w:cs="Times New Roman"/>
                <w:sz w:val="20"/>
                <w:szCs w:val="20"/>
                <w:vertAlign w:val="subscript"/>
              </w:rPr>
              <w:t xml:space="preserve">F=0 </w:t>
            </w:r>
            <w:r w:rsidRPr="004A4775">
              <w:rPr>
                <w:rFonts w:ascii="Times New Roman" w:hAnsi="Times New Roman" w:cs="Times New Roman"/>
                <w:sz w:val="20"/>
                <w:szCs w:val="20"/>
              </w:rPr>
              <w:t xml:space="preserve">ratios. Prepare a report containing the above results for SC14. </w:t>
            </w:r>
          </w:p>
          <w:p w14:paraId="5C305665" w14:textId="77777777" w:rsidR="00DF02F5" w:rsidRPr="004A4775" w:rsidRDefault="00DF02F5" w:rsidP="00DF02F5">
            <w:pPr>
              <w:pStyle w:val="Default"/>
              <w:adjustRightInd w:val="0"/>
              <w:snapToGrid w:val="0"/>
              <w:rPr>
                <w:rFonts w:ascii="Times New Roman" w:hAnsi="Times New Roman" w:cs="Times New Roman"/>
                <w:sz w:val="20"/>
                <w:szCs w:val="20"/>
              </w:rPr>
            </w:pPr>
            <w:r w:rsidRPr="004A4775">
              <w:rPr>
                <w:rFonts w:ascii="Times New Roman" w:hAnsi="Times New Roman" w:cs="Times New Roman"/>
                <w:sz w:val="20"/>
                <w:szCs w:val="20"/>
              </w:rPr>
              <w:t xml:space="preserve">If the data are too poor to undertake a full quantitative assessment then an indicator analysis may be appropriate. </w:t>
            </w:r>
          </w:p>
          <w:p w14:paraId="456F416C"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 xml:space="preserve">Note: The ISC is undertaking an assessment of mako sharks in the north Pacific in 2018, and collaboration with these scientists to progress methods and data preparation procedures would be useful for both assessments. </w:t>
            </w:r>
          </w:p>
        </w:tc>
      </w:tr>
      <w:tr w:rsidR="00DF02F5" w:rsidRPr="004A4775" w14:paraId="477D35AD" w14:textId="77777777" w:rsidTr="00DF02F5">
        <w:trPr>
          <w:trHeight w:val="288"/>
        </w:trPr>
        <w:tc>
          <w:tcPr>
            <w:tcW w:w="1908" w:type="dxa"/>
          </w:tcPr>
          <w:p w14:paraId="6D25F798" w14:textId="77777777" w:rsidR="00DF02F5" w:rsidRPr="004A4775" w:rsidRDefault="00DF02F5" w:rsidP="00DF02F5">
            <w:pPr>
              <w:adjustRightInd w:val="0"/>
              <w:snapToGrid w:val="0"/>
              <w:spacing w:after="0"/>
              <w:rPr>
                <w:rFonts w:ascii="Times New Roman" w:hAnsi="Times New Roman"/>
                <w:b/>
                <w:sz w:val="20"/>
                <w:szCs w:val="20"/>
              </w:rPr>
            </w:pPr>
            <w:r w:rsidRPr="004A4775">
              <w:rPr>
                <w:rFonts w:ascii="Times New Roman" w:hAnsi="Times New Roman"/>
                <w:b/>
                <w:sz w:val="20"/>
                <w:szCs w:val="20"/>
              </w:rPr>
              <w:t>Budget</w:t>
            </w:r>
          </w:p>
        </w:tc>
        <w:tc>
          <w:tcPr>
            <w:tcW w:w="7920" w:type="dxa"/>
          </w:tcPr>
          <w:p w14:paraId="649872E9" w14:textId="77777777" w:rsidR="00DF02F5" w:rsidRPr="004A4775" w:rsidRDefault="00DF02F5" w:rsidP="00DF02F5">
            <w:pPr>
              <w:adjustRightInd w:val="0"/>
              <w:snapToGrid w:val="0"/>
              <w:spacing w:after="0"/>
              <w:rPr>
                <w:rFonts w:ascii="Times New Roman" w:hAnsi="Times New Roman"/>
                <w:sz w:val="20"/>
                <w:szCs w:val="20"/>
              </w:rPr>
            </w:pPr>
            <w:r w:rsidRPr="004A4775">
              <w:rPr>
                <w:rFonts w:ascii="Times New Roman" w:hAnsi="Times New Roman"/>
                <w:sz w:val="20"/>
                <w:szCs w:val="20"/>
              </w:rPr>
              <w:t>1 FTE</w:t>
            </w:r>
          </w:p>
        </w:tc>
      </w:tr>
    </w:tbl>
    <w:p w14:paraId="2981104E" w14:textId="77777777" w:rsidR="00DF02F5" w:rsidRPr="004A4775" w:rsidRDefault="00DF02F5" w:rsidP="00DF02F5">
      <w:pPr>
        <w:adjustRightInd w:val="0"/>
        <w:snapToGrid w:val="0"/>
        <w:spacing w:after="0"/>
        <w:rPr>
          <w:rFonts w:ascii="Times New Roman" w:hAnsi="Times New Roman"/>
          <w:sz w:val="20"/>
          <w:szCs w:val="20"/>
        </w:rPr>
      </w:pPr>
    </w:p>
    <w:p w14:paraId="575B4DBC" w14:textId="77777777" w:rsidR="00DF02F5" w:rsidRPr="004A4775" w:rsidRDefault="00DF02F5" w:rsidP="00DF02F5">
      <w:pPr>
        <w:adjustRightInd w:val="0"/>
        <w:snapToGrid w:val="0"/>
        <w:spacing w:after="0"/>
        <w:rPr>
          <w:rFonts w:ascii="Times New Roman" w:hAnsi="Times New Roman"/>
          <w:sz w:val="20"/>
          <w:szCs w:val="20"/>
        </w:rPr>
      </w:pPr>
    </w:p>
    <w:p w14:paraId="7589B06A" w14:textId="7813FE35" w:rsidR="00C72947" w:rsidRDefault="00C72947">
      <w:pPr>
        <w:spacing w:after="0"/>
        <w:jc w:val="left"/>
        <w:rPr>
          <w:rFonts w:ascii="Times New Roman" w:hAnsi="Times New Roman"/>
          <w:sz w:val="20"/>
          <w:szCs w:val="20"/>
          <w:lang w:val="en-US"/>
        </w:rPr>
      </w:pPr>
      <w:r>
        <w:rPr>
          <w:rFonts w:ascii="Times New Roman" w:hAnsi="Times New Roman"/>
          <w:sz w:val="20"/>
          <w:szCs w:val="20"/>
          <w:lang w:val="en-US"/>
        </w:rPr>
        <w:br w:type="page"/>
      </w:r>
    </w:p>
    <w:p w14:paraId="1F23D8A3" w14:textId="511B6BDD" w:rsidR="00C72947" w:rsidRPr="0072610C" w:rsidRDefault="00C72947" w:rsidP="00C72947">
      <w:pPr>
        <w:autoSpaceDE w:val="0"/>
        <w:autoSpaceDN w:val="0"/>
        <w:adjustRightInd w:val="0"/>
        <w:snapToGrid w:val="0"/>
        <w:spacing w:after="0"/>
        <w:jc w:val="right"/>
        <w:rPr>
          <w:rFonts w:ascii="Times New Roman" w:hAnsi="Times New Roman"/>
          <w:b/>
          <w:bCs/>
          <w:lang w:val="en-AU" w:eastAsia="en-NZ"/>
        </w:rPr>
      </w:pPr>
      <w:r w:rsidRPr="0072610C">
        <w:rPr>
          <w:rFonts w:ascii="Times New Roman" w:hAnsi="Times New Roman"/>
          <w:b/>
          <w:bCs/>
          <w:lang w:val="en-AU" w:eastAsia="en-NZ"/>
        </w:rPr>
        <w:t xml:space="preserve">Attachment </w:t>
      </w:r>
      <w:r>
        <w:rPr>
          <w:rFonts w:ascii="Times New Roman" w:hAnsi="Times New Roman"/>
          <w:b/>
          <w:bCs/>
          <w:lang w:val="en-AU" w:eastAsia="en-NZ"/>
        </w:rPr>
        <w:t>J</w:t>
      </w:r>
    </w:p>
    <w:p w14:paraId="3D3AAC06" w14:textId="77777777" w:rsidR="00C72947" w:rsidRPr="0072610C" w:rsidRDefault="00C72947" w:rsidP="00C72947">
      <w:pPr>
        <w:autoSpaceDE w:val="0"/>
        <w:autoSpaceDN w:val="0"/>
        <w:adjustRightInd w:val="0"/>
        <w:snapToGrid w:val="0"/>
        <w:spacing w:after="0"/>
        <w:jc w:val="center"/>
        <w:rPr>
          <w:rFonts w:ascii="Times New Roman" w:hAnsi="Times New Roman"/>
          <w:b/>
          <w:bCs/>
          <w:lang w:val="en-AU" w:eastAsia="en-NZ"/>
        </w:rPr>
      </w:pPr>
    </w:p>
    <w:p w14:paraId="0EE62E9C" w14:textId="77777777" w:rsidR="00C72947" w:rsidRPr="0072610C" w:rsidRDefault="00C72947" w:rsidP="00C72947">
      <w:pPr>
        <w:autoSpaceDE w:val="0"/>
        <w:autoSpaceDN w:val="0"/>
        <w:adjustRightInd w:val="0"/>
        <w:snapToGrid w:val="0"/>
        <w:spacing w:after="0"/>
        <w:jc w:val="center"/>
        <w:rPr>
          <w:rFonts w:ascii="Times New Roman" w:hAnsi="Times New Roman"/>
          <w:b/>
          <w:bCs/>
          <w:lang w:val="en-AU" w:eastAsia="en-NZ"/>
        </w:rPr>
      </w:pPr>
      <w:r w:rsidRPr="0072610C">
        <w:rPr>
          <w:rFonts w:ascii="Times New Roman" w:hAnsi="Times New Roman"/>
          <w:b/>
          <w:bCs/>
          <w:lang w:val="en-AU" w:eastAsia="en-NZ"/>
        </w:rPr>
        <w:t xml:space="preserve">The Commission for the Conservation and Management of </w:t>
      </w:r>
      <w:r w:rsidRPr="0072610C">
        <w:rPr>
          <w:rFonts w:ascii="Times New Roman" w:hAnsi="Times New Roman"/>
          <w:b/>
          <w:bCs/>
          <w:lang w:val="en-AU" w:eastAsia="en-NZ"/>
        </w:rPr>
        <w:br/>
        <w:t>Highly Migratory Fish Stocks in the Western and Central Pacific Ocean</w:t>
      </w:r>
    </w:p>
    <w:p w14:paraId="2F96D4A4" w14:textId="77777777" w:rsidR="00C72947" w:rsidRPr="00C72947" w:rsidRDefault="00C72947" w:rsidP="00C72947">
      <w:pPr>
        <w:autoSpaceDE w:val="0"/>
        <w:autoSpaceDN w:val="0"/>
        <w:adjustRightInd w:val="0"/>
        <w:snapToGrid w:val="0"/>
        <w:spacing w:after="0"/>
        <w:jc w:val="center"/>
        <w:rPr>
          <w:rFonts w:ascii="Times New Roman" w:hAnsi="Times New Roman"/>
          <w:b/>
          <w:bCs/>
          <w:lang w:val="en-AU" w:eastAsia="ko-KR"/>
        </w:rPr>
      </w:pPr>
      <w:r w:rsidRPr="00C72947">
        <w:rPr>
          <w:rFonts w:ascii="Times New Roman" w:hAnsi="Times New Roman"/>
          <w:b/>
          <w:bCs/>
          <w:lang w:val="en-AU" w:eastAsia="en-NZ"/>
        </w:rPr>
        <w:t xml:space="preserve">Scientific Committee </w:t>
      </w:r>
    </w:p>
    <w:p w14:paraId="4868535F" w14:textId="77777777" w:rsidR="00C72947" w:rsidRPr="00C72947" w:rsidRDefault="00C72947" w:rsidP="00C72947">
      <w:pPr>
        <w:autoSpaceDE w:val="0"/>
        <w:autoSpaceDN w:val="0"/>
        <w:adjustRightInd w:val="0"/>
        <w:snapToGrid w:val="0"/>
        <w:spacing w:after="0"/>
        <w:jc w:val="center"/>
        <w:rPr>
          <w:rFonts w:ascii="Times New Roman" w:hAnsi="Times New Roman"/>
          <w:b/>
          <w:bCs/>
          <w:lang w:val="en-AU" w:eastAsia="ko-KR"/>
        </w:rPr>
      </w:pPr>
      <w:r w:rsidRPr="00C72947">
        <w:rPr>
          <w:rFonts w:ascii="Times New Roman" w:hAnsi="Times New Roman"/>
          <w:b/>
          <w:bCs/>
          <w:lang w:val="en-AU" w:eastAsia="en-NZ"/>
        </w:rPr>
        <w:t>Thirteenth Regular Session</w:t>
      </w:r>
    </w:p>
    <w:p w14:paraId="65533B67" w14:textId="77777777" w:rsidR="00C72947" w:rsidRPr="00C72947" w:rsidRDefault="00C72947" w:rsidP="00C72947">
      <w:pPr>
        <w:autoSpaceDE w:val="0"/>
        <w:autoSpaceDN w:val="0"/>
        <w:adjustRightInd w:val="0"/>
        <w:snapToGrid w:val="0"/>
        <w:spacing w:after="0"/>
        <w:jc w:val="center"/>
        <w:rPr>
          <w:rFonts w:ascii="Times New Roman" w:hAnsi="Times New Roman"/>
          <w:bCs/>
          <w:lang w:val="en-AU" w:eastAsia="en-NZ"/>
        </w:rPr>
      </w:pPr>
      <w:r w:rsidRPr="00C72947">
        <w:rPr>
          <w:rFonts w:ascii="Times New Roman" w:hAnsi="Times New Roman"/>
          <w:bCs/>
          <w:lang w:val="en-AU" w:eastAsia="en-NZ"/>
        </w:rPr>
        <w:t>Rarotonga, Cook Islands</w:t>
      </w:r>
      <w:r w:rsidRPr="00C72947">
        <w:rPr>
          <w:rFonts w:ascii="Times New Roman" w:hAnsi="Times New Roman"/>
          <w:bCs/>
          <w:lang w:val="en-AU" w:eastAsia="en-NZ"/>
        </w:rPr>
        <w:br/>
        <w:t>9 - 17 August 2017</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C72947" w:rsidRPr="00C72947" w14:paraId="4C299916" w14:textId="77777777" w:rsidTr="00C06F80">
        <w:tc>
          <w:tcPr>
            <w:tcW w:w="9576" w:type="dxa"/>
            <w:tcBorders>
              <w:top w:val="single" w:sz="12" w:space="0" w:color="auto"/>
              <w:left w:val="nil"/>
              <w:bottom w:val="single" w:sz="12" w:space="0" w:color="auto"/>
              <w:right w:val="nil"/>
            </w:tcBorders>
            <w:hideMark/>
          </w:tcPr>
          <w:p w14:paraId="451ABABB" w14:textId="0E825F28" w:rsidR="00C72947" w:rsidRPr="00C72947" w:rsidRDefault="00C72947" w:rsidP="00C06F80">
            <w:pPr>
              <w:adjustRightInd w:val="0"/>
              <w:snapToGrid w:val="0"/>
              <w:spacing w:after="0"/>
              <w:jc w:val="center"/>
              <w:rPr>
                <w:rFonts w:ascii="Times New Roman" w:hAnsi="Times New Roman"/>
                <w:b/>
                <w:lang w:val="en-US"/>
              </w:rPr>
            </w:pPr>
            <w:r w:rsidRPr="00C72947">
              <w:rPr>
                <w:rFonts w:ascii="Times New Roman" w:hAnsi="Times New Roman"/>
                <w:b/>
                <w:lang w:val="en-US"/>
              </w:rPr>
              <w:t>Report of the ISG-07</w:t>
            </w:r>
          </w:p>
          <w:p w14:paraId="2D7A6962" w14:textId="775A3943" w:rsidR="00C72947" w:rsidRPr="00C72947" w:rsidRDefault="00C72947" w:rsidP="00C06F80">
            <w:pPr>
              <w:adjustRightInd w:val="0"/>
              <w:snapToGrid w:val="0"/>
              <w:spacing w:after="0"/>
              <w:jc w:val="center"/>
              <w:rPr>
                <w:rFonts w:ascii="Times New Roman" w:eastAsia="맑은 고딕" w:hAnsi="Times New Roman"/>
                <w:b/>
                <w:lang w:val="en-AU" w:eastAsia="ko-KR"/>
              </w:rPr>
            </w:pPr>
            <w:r w:rsidRPr="00C72947">
              <w:rPr>
                <w:rFonts w:ascii="Times New Roman" w:hAnsi="Times New Roman"/>
                <w:b/>
                <w:noProof/>
                <w:lang w:eastAsia="ko-KR"/>
              </w:rPr>
              <w:t>SC Work Programme and Budget for 2018-2020</w:t>
            </w:r>
          </w:p>
        </w:tc>
      </w:tr>
    </w:tbl>
    <w:p w14:paraId="72E2BB94" w14:textId="77777777" w:rsidR="00C72947" w:rsidRPr="00C72947" w:rsidRDefault="00C72947" w:rsidP="00C72947">
      <w:pPr>
        <w:autoSpaceDE w:val="0"/>
        <w:autoSpaceDN w:val="0"/>
        <w:adjustRightInd w:val="0"/>
        <w:snapToGrid w:val="0"/>
        <w:spacing w:after="0"/>
        <w:rPr>
          <w:rFonts w:ascii="Times New Roman" w:hAnsi="Times New Roman"/>
          <w:lang w:val="en-AU"/>
        </w:rPr>
      </w:pPr>
    </w:p>
    <w:p w14:paraId="7F430DC1" w14:textId="77777777" w:rsidR="00C72947" w:rsidRPr="00C72947" w:rsidRDefault="00C72947" w:rsidP="00C72947">
      <w:pPr>
        <w:adjustRightInd w:val="0"/>
        <w:snapToGrid w:val="0"/>
        <w:spacing w:after="0"/>
        <w:rPr>
          <w:rFonts w:ascii="Times New Roman" w:hAnsi="Times New Roman"/>
          <w:b/>
          <w:lang w:val="en-US"/>
        </w:rPr>
      </w:pPr>
    </w:p>
    <w:p w14:paraId="2A1A68AA" w14:textId="1C2D3A6E" w:rsidR="009A53E1" w:rsidRPr="009A53E1" w:rsidRDefault="009A53E1" w:rsidP="009A53E1">
      <w:pPr>
        <w:pStyle w:val="Default"/>
        <w:adjustRightInd w:val="0"/>
        <w:snapToGrid w:val="0"/>
        <w:jc w:val="left"/>
        <w:rPr>
          <w:rFonts w:ascii="Times New Roman" w:hAnsi="Times New Roman" w:cs="Times New Roman"/>
          <w:color w:val="auto"/>
          <w:sz w:val="22"/>
          <w:szCs w:val="22"/>
          <w:lang w:val="en-US"/>
        </w:rPr>
      </w:pPr>
      <w:proofErr w:type="gramStart"/>
      <w:r w:rsidRPr="009A53E1">
        <w:rPr>
          <w:rFonts w:ascii="Times New Roman" w:hAnsi="Times New Roman" w:cs="Times New Roman"/>
          <w:b/>
          <w:bCs/>
          <w:color w:val="auto"/>
          <w:sz w:val="22"/>
          <w:szCs w:val="22"/>
        </w:rPr>
        <w:t xml:space="preserve">Table 1: </w:t>
      </w:r>
      <w:r w:rsidRPr="009A53E1">
        <w:rPr>
          <w:rFonts w:ascii="Times New Roman" w:hAnsi="Times New Roman" w:cs="Times New Roman"/>
          <w:color w:val="auto"/>
          <w:sz w:val="22"/>
          <w:szCs w:val="22"/>
        </w:rPr>
        <w:t>List of SC work programme titles and budget for 201</w:t>
      </w:r>
      <w:r w:rsidR="00137482">
        <w:rPr>
          <w:rFonts w:ascii="Times New Roman" w:hAnsi="Times New Roman" w:cs="Times New Roman" w:hint="eastAsia"/>
          <w:color w:val="auto"/>
          <w:sz w:val="22"/>
          <w:szCs w:val="22"/>
          <w:lang w:eastAsia="ko-KR"/>
        </w:rPr>
        <w:t>8</w:t>
      </w:r>
      <w:r w:rsidRPr="009A53E1">
        <w:rPr>
          <w:rFonts w:ascii="Times New Roman" w:hAnsi="Times New Roman" w:cs="Times New Roman"/>
          <w:color w:val="auto"/>
          <w:sz w:val="22"/>
          <w:szCs w:val="22"/>
        </w:rPr>
        <w:t>, and indicative budget for 201</w:t>
      </w:r>
      <w:r w:rsidR="00137482">
        <w:rPr>
          <w:rFonts w:ascii="Times New Roman" w:eastAsia="맑은 고딕" w:hAnsi="Times New Roman" w:cs="Times New Roman" w:hint="eastAsia"/>
          <w:color w:val="auto"/>
          <w:sz w:val="22"/>
          <w:szCs w:val="22"/>
          <w:lang w:eastAsia="ko-KR"/>
        </w:rPr>
        <w:t>9</w:t>
      </w:r>
      <w:r w:rsidR="00137482">
        <w:rPr>
          <w:rFonts w:ascii="Times New Roman" w:hAnsi="Times New Roman" w:cs="Times New Roman"/>
          <w:color w:val="auto"/>
          <w:sz w:val="22"/>
          <w:szCs w:val="22"/>
        </w:rPr>
        <w:t>–20</w:t>
      </w:r>
      <w:r w:rsidR="00137482">
        <w:rPr>
          <w:rFonts w:ascii="Times New Roman" w:hAnsi="Times New Roman" w:cs="Times New Roman" w:hint="eastAsia"/>
          <w:color w:val="auto"/>
          <w:sz w:val="22"/>
          <w:szCs w:val="22"/>
          <w:lang w:eastAsia="ko-KR"/>
        </w:rPr>
        <w:t>20</w:t>
      </w:r>
      <w:r w:rsidRPr="009A53E1">
        <w:rPr>
          <w:rFonts w:ascii="Times New Roman" w:hAnsi="Times New Roman" w:cs="Times New Roman"/>
          <w:color w:val="auto"/>
          <w:sz w:val="22"/>
          <w:szCs w:val="22"/>
        </w:rPr>
        <w:t>, which require funding from the Commission’s core budget</w:t>
      </w:r>
      <w:r w:rsidRPr="009A53E1">
        <w:rPr>
          <w:rFonts w:ascii="Times New Roman" w:eastAsia="맑은 고딕" w:hAnsi="Times New Roman" w:cs="Times New Roman"/>
          <w:color w:val="auto"/>
          <w:sz w:val="22"/>
          <w:szCs w:val="22"/>
          <w:lang w:eastAsia="ko-KR"/>
        </w:rPr>
        <w:t>.</w:t>
      </w:r>
      <w:proofErr w:type="gramEnd"/>
    </w:p>
    <w:tbl>
      <w:tblPr>
        <w:tblW w:w="5000" w:type="pct"/>
        <w:tblLayout w:type="fixed"/>
        <w:tblLook w:val="04A0" w:firstRow="1" w:lastRow="0" w:firstColumn="1" w:lastColumn="0" w:noHBand="0" w:noVBand="1"/>
      </w:tblPr>
      <w:tblGrid>
        <w:gridCol w:w="3078"/>
        <w:gridCol w:w="810"/>
        <w:gridCol w:w="979"/>
        <w:gridCol w:w="1090"/>
        <w:gridCol w:w="1205"/>
        <w:gridCol w:w="1207"/>
        <w:gridCol w:w="1207"/>
      </w:tblGrid>
      <w:tr w:rsidR="009A53E1" w:rsidRPr="009C3370" w14:paraId="79F061DE" w14:textId="77777777" w:rsidTr="00137482">
        <w:trPr>
          <w:tblHeader/>
        </w:trPr>
        <w:tc>
          <w:tcPr>
            <w:tcW w:w="16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E0844" w14:textId="77777777" w:rsidR="009A53E1" w:rsidRPr="00137482" w:rsidRDefault="009A53E1" w:rsidP="00137482">
            <w:pPr>
              <w:adjustRightInd w:val="0"/>
              <w:snapToGrid w:val="0"/>
              <w:spacing w:after="0"/>
              <w:jc w:val="center"/>
              <w:rPr>
                <w:rFonts w:ascii="Times New Roman" w:eastAsia="맑은 고딕" w:hAnsi="Times New Roman"/>
                <w:b/>
                <w:bCs/>
                <w:sz w:val="20"/>
                <w:szCs w:val="20"/>
                <w:lang w:eastAsia="ko-KR"/>
              </w:rPr>
            </w:pPr>
            <w:r w:rsidRPr="00137482">
              <w:rPr>
                <w:rFonts w:ascii="Times New Roman" w:eastAsia="Times New Roman" w:hAnsi="Times New Roman"/>
                <w:b/>
                <w:bCs/>
                <w:sz w:val="20"/>
                <w:szCs w:val="20"/>
              </w:rPr>
              <w:t>Project</w:t>
            </w:r>
            <w:r w:rsidRPr="00137482">
              <w:rPr>
                <w:rFonts w:ascii="Times New Roman" w:eastAsia="맑은 고딕" w:hAnsi="Times New Roman"/>
                <w:b/>
                <w:bCs/>
                <w:sz w:val="20"/>
                <w:szCs w:val="20"/>
                <w:lang w:eastAsia="ko-KR"/>
              </w:rPr>
              <w:t xml:space="preserve"> title</w:t>
            </w:r>
          </w:p>
        </w:tc>
        <w:tc>
          <w:tcPr>
            <w:tcW w:w="4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FEF9F" w14:textId="77777777" w:rsidR="009A53E1" w:rsidRPr="00137482" w:rsidRDefault="009A53E1" w:rsidP="00137482">
            <w:pPr>
              <w:adjustRightInd w:val="0"/>
              <w:snapToGrid w:val="0"/>
              <w:spacing w:after="0"/>
              <w:jc w:val="center"/>
              <w:rPr>
                <w:rFonts w:ascii="Times New Roman" w:eastAsia="맑은 고딕" w:hAnsi="Times New Roman"/>
                <w:b/>
                <w:bCs/>
                <w:sz w:val="20"/>
                <w:szCs w:val="20"/>
                <w:lang w:eastAsia="ko-KR"/>
              </w:rPr>
            </w:pPr>
            <w:r w:rsidRPr="00137482">
              <w:rPr>
                <w:rFonts w:ascii="Times New Roman" w:eastAsia="맑은 고딕" w:hAnsi="Times New Roman"/>
                <w:b/>
                <w:bCs/>
                <w:sz w:val="20"/>
                <w:szCs w:val="20"/>
                <w:lang w:eastAsia="ko-KR"/>
              </w:rPr>
              <w:t>TORs</w:t>
            </w:r>
          </w:p>
        </w:tc>
        <w:tc>
          <w:tcPr>
            <w:tcW w:w="5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987536" w14:textId="77777777" w:rsidR="009A53E1" w:rsidRPr="00137482" w:rsidRDefault="009A53E1" w:rsidP="00137482">
            <w:pPr>
              <w:adjustRightInd w:val="0"/>
              <w:snapToGrid w:val="0"/>
              <w:spacing w:after="0"/>
              <w:jc w:val="center"/>
              <w:rPr>
                <w:rFonts w:ascii="Times New Roman" w:eastAsia="맑은 고딕" w:hAnsi="Times New Roman"/>
                <w:b/>
                <w:bCs/>
                <w:sz w:val="20"/>
                <w:szCs w:val="20"/>
                <w:lang w:eastAsia="ko-KR"/>
              </w:rPr>
            </w:pPr>
            <w:r w:rsidRPr="00137482">
              <w:rPr>
                <w:rFonts w:ascii="Times New Roman" w:eastAsia="맑은 고딕" w:hAnsi="Times New Roman"/>
                <w:b/>
                <w:bCs/>
                <w:sz w:val="20"/>
                <w:szCs w:val="20"/>
                <w:lang w:eastAsia="ko-KR"/>
              </w:rPr>
              <w:t>Essential</w:t>
            </w: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D57947" w14:textId="77777777" w:rsidR="009A53E1" w:rsidRPr="00137482" w:rsidRDefault="009A53E1" w:rsidP="00137482">
            <w:pPr>
              <w:adjustRightInd w:val="0"/>
              <w:snapToGrid w:val="0"/>
              <w:spacing w:after="0"/>
              <w:jc w:val="center"/>
              <w:rPr>
                <w:rFonts w:ascii="Times New Roman" w:eastAsia="Times New Roman" w:hAnsi="Times New Roman"/>
                <w:b/>
                <w:bCs/>
                <w:sz w:val="20"/>
                <w:szCs w:val="20"/>
              </w:rPr>
            </w:pPr>
            <w:r w:rsidRPr="00137482">
              <w:rPr>
                <w:rFonts w:ascii="Times New Roman" w:eastAsia="Times New Roman" w:hAnsi="Times New Roman"/>
                <w:b/>
                <w:bCs/>
                <w:sz w:val="20"/>
                <w:szCs w:val="20"/>
              </w:rPr>
              <w:t>P</w:t>
            </w:r>
            <w:r w:rsidRPr="00137482">
              <w:rPr>
                <w:rFonts w:ascii="Times New Roman" w:eastAsia="맑은 고딕" w:hAnsi="Times New Roman"/>
                <w:b/>
                <w:bCs/>
                <w:sz w:val="20"/>
                <w:szCs w:val="20"/>
                <w:lang w:eastAsia="ko-KR"/>
              </w:rPr>
              <w:t>riority / Rank</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9A5869" w14:textId="77777777" w:rsidR="009A53E1" w:rsidRPr="00137482" w:rsidRDefault="009A53E1" w:rsidP="00137482">
            <w:pPr>
              <w:adjustRightInd w:val="0"/>
              <w:snapToGrid w:val="0"/>
              <w:spacing w:after="0"/>
              <w:jc w:val="center"/>
              <w:rPr>
                <w:rFonts w:ascii="Times New Roman" w:eastAsia="Times New Roman" w:hAnsi="Times New Roman"/>
                <w:b/>
                <w:bCs/>
                <w:sz w:val="20"/>
                <w:szCs w:val="20"/>
              </w:rPr>
            </w:pPr>
            <w:r w:rsidRPr="00137482">
              <w:rPr>
                <w:rFonts w:ascii="Times New Roman" w:eastAsia="Times New Roman" w:hAnsi="Times New Roman"/>
                <w:b/>
                <w:bCs/>
                <w:sz w:val="20"/>
                <w:szCs w:val="20"/>
              </w:rPr>
              <w:t>2018</w:t>
            </w:r>
          </w:p>
        </w:tc>
        <w:tc>
          <w:tcPr>
            <w:tcW w:w="6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E6FC9" w14:textId="77777777" w:rsidR="009A53E1" w:rsidRPr="00137482" w:rsidRDefault="009A53E1" w:rsidP="00137482">
            <w:pPr>
              <w:adjustRightInd w:val="0"/>
              <w:snapToGrid w:val="0"/>
              <w:spacing w:after="0"/>
              <w:jc w:val="center"/>
              <w:rPr>
                <w:rFonts w:ascii="Times New Roman" w:eastAsia="맑은 고딕" w:hAnsi="Times New Roman"/>
                <w:b/>
                <w:bCs/>
                <w:sz w:val="20"/>
                <w:szCs w:val="20"/>
                <w:lang w:eastAsia="ko-KR"/>
              </w:rPr>
            </w:pPr>
            <w:r w:rsidRPr="00137482">
              <w:rPr>
                <w:rFonts w:ascii="Times New Roman" w:eastAsia="맑은 고딕" w:hAnsi="Times New Roman"/>
                <w:b/>
                <w:bCs/>
                <w:sz w:val="20"/>
                <w:szCs w:val="20"/>
                <w:lang w:eastAsia="ko-KR"/>
              </w:rPr>
              <w:t>2019</w:t>
            </w:r>
          </w:p>
        </w:tc>
        <w:tc>
          <w:tcPr>
            <w:tcW w:w="6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536256" w14:textId="77777777" w:rsidR="009A53E1" w:rsidRPr="00137482" w:rsidRDefault="009A53E1" w:rsidP="00137482">
            <w:pPr>
              <w:adjustRightInd w:val="0"/>
              <w:snapToGrid w:val="0"/>
              <w:spacing w:after="0"/>
              <w:jc w:val="center"/>
              <w:rPr>
                <w:rFonts w:ascii="Times New Roman" w:eastAsia="맑은 고딕" w:hAnsi="Times New Roman"/>
                <w:b/>
                <w:bCs/>
                <w:sz w:val="20"/>
                <w:szCs w:val="20"/>
                <w:lang w:eastAsia="ko-KR"/>
              </w:rPr>
            </w:pPr>
            <w:r w:rsidRPr="00137482">
              <w:rPr>
                <w:rFonts w:ascii="Times New Roman" w:eastAsia="맑은 고딕" w:hAnsi="Times New Roman"/>
                <w:b/>
                <w:bCs/>
                <w:sz w:val="20"/>
                <w:szCs w:val="20"/>
                <w:lang w:eastAsia="ko-KR"/>
              </w:rPr>
              <w:t>2020</w:t>
            </w:r>
          </w:p>
        </w:tc>
      </w:tr>
      <w:tr w:rsidR="009A53E1" w:rsidRPr="009C3370" w14:paraId="6F5E8AD1"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E77FAE"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Times New Roman" w:hAnsi="Times New Roman"/>
                <w:b/>
                <w:sz w:val="20"/>
                <w:szCs w:val="20"/>
              </w:rPr>
              <w:t>SPC Oceanic Fisheries Programme Budget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D19FD9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237436"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DFEFB"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9BA1F8"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맑은 고딕" w:hAnsi="Times New Roman"/>
                <w:sz w:val="20"/>
                <w:szCs w:val="20"/>
                <w:lang w:eastAsia="ko-KR"/>
              </w:rPr>
              <w:t>888,624</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0A1AF8B"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맑은 고딕" w:hAnsi="Times New Roman"/>
                <w:sz w:val="20"/>
                <w:szCs w:val="20"/>
                <w:lang w:eastAsia="ko-KR"/>
              </w:rPr>
              <w:t>906,396</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5D8205E"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924,524</w:t>
            </w:r>
          </w:p>
        </w:tc>
      </w:tr>
      <w:tr w:rsidR="009A53E1" w:rsidRPr="009C3370" w14:paraId="5E009AA4"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9005782" w14:textId="77777777" w:rsidR="009A53E1" w:rsidRPr="00137482" w:rsidRDefault="009A53E1" w:rsidP="00137482">
            <w:pPr>
              <w:adjustRightInd w:val="0"/>
              <w:snapToGrid w:val="0"/>
              <w:spacing w:after="0"/>
              <w:jc w:val="left"/>
              <w:rPr>
                <w:rFonts w:ascii="Times New Roman" w:hAnsi="Times New Roman"/>
                <w:b/>
                <w:sz w:val="20"/>
                <w:szCs w:val="20"/>
                <w:lang w:eastAsia="ko-KR"/>
              </w:rPr>
            </w:pPr>
            <w:r w:rsidRPr="00137482">
              <w:rPr>
                <w:rFonts w:ascii="Times New Roman" w:eastAsia="맑은 고딕" w:hAnsi="Times New Roman"/>
                <w:b/>
                <w:sz w:val="20"/>
                <w:szCs w:val="20"/>
                <w:lang w:eastAsia="ko-KR"/>
              </w:rPr>
              <w:t xml:space="preserve">SPC – </w:t>
            </w:r>
            <w:r w:rsidRPr="00137482">
              <w:rPr>
                <w:rFonts w:ascii="Times New Roman" w:hAnsi="Times New Roman"/>
                <w:b/>
                <w:sz w:val="20"/>
                <w:szCs w:val="20"/>
              </w:rPr>
              <w:t xml:space="preserve">Additional </w:t>
            </w:r>
            <w:r w:rsidRPr="00137482">
              <w:rPr>
                <w:rFonts w:ascii="Times New Roman" w:eastAsia="맑은 고딕" w:hAnsi="Times New Roman"/>
                <w:b/>
                <w:sz w:val="20"/>
                <w:szCs w:val="20"/>
                <w:lang w:eastAsia="ko-KR"/>
              </w:rPr>
              <w:t>r</w:t>
            </w:r>
            <w:r w:rsidRPr="00137482">
              <w:rPr>
                <w:rFonts w:ascii="Times New Roman" w:hAnsi="Times New Roman"/>
                <w:b/>
                <w:sz w:val="20"/>
                <w:szCs w:val="20"/>
              </w:rPr>
              <w:t>esourcing for harvest strategy evaluation, including stock assessments</w:t>
            </w:r>
            <w:r w:rsidRPr="00137482">
              <w:rPr>
                <w:rStyle w:val="FootnoteReference"/>
                <w:rFonts w:ascii="Times New Roman" w:hAnsi="Times New Roman"/>
                <w:b/>
                <w:sz w:val="20"/>
                <w:szCs w:val="20"/>
              </w:rPr>
              <w:footnoteReference w:id="8"/>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D29D923"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097BF56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38304A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45755E4"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163,200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586B4AA"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164,832</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BCDB75F"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166,480</w:t>
            </w:r>
          </w:p>
        </w:tc>
      </w:tr>
      <w:tr w:rsidR="009A53E1" w:rsidRPr="009C3370" w14:paraId="7F2A46B2"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8396B54" w14:textId="77777777" w:rsidR="009A53E1" w:rsidRPr="00137482" w:rsidRDefault="009A53E1" w:rsidP="00137482">
            <w:pPr>
              <w:adjustRightInd w:val="0"/>
              <w:snapToGrid w:val="0"/>
              <w:spacing w:after="0"/>
              <w:jc w:val="left"/>
              <w:rPr>
                <w:rFonts w:ascii="Times New Roman" w:eastAsia="Times New Roman" w:hAnsi="Times New Roman"/>
                <w:b/>
                <w:sz w:val="20"/>
                <w:szCs w:val="20"/>
              </w:rPr>
            </w:pPr>
            <w:r w:rsidRPr="00137482">
              <w:rPr>
                <w:rFonts w:ascii="Times New Roman" w:eastAsia="Times New Roman" w:hAnsi="Times New Roman"/>
                <w:b/>
                <w:sz w:val="20"/>
                <w:szCs w:val="20"/>
              </w:rPr>
              <w:t>Project 35b. Maintenance and enhancement of the WCPFC Tissue Bank</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DD768FB"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3BE33B80"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76E80EF"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High</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5505BA"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p w14:paraId="29C96D30"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Times New Roman" w:hAnsi="Times New Roman"/>
                <w:sz w:val="20"/>
                <w:szCs w:val="20"/>
              </w:rPr>
              <w:t>97,2</w:t>
            </w:r>
            <w:r w:rsidRPr="00137482">
              <w:rPr>
                <w:rFonts w:ascii="Times New Roman" w:eastAsia="맑은 고딕" w:hAnsi="Times New Roman"/>
                <w:sz w:val="20"/>
                <w:szCs w:val="20"/>
                <w:lang w:eastAsia="ko-KR"/>
              </w:rPr>
              <w:t>0</w:t>
            </w:r>
            <w:r w:rsidRPr="00137482">
              <w:rPr>
                <w:rFonts w:ascii="Times New Roman" w:eastAsia="Times New Roman" w:hAnsi="Times New Roman"/>
                <w:sz w:val="20"/>
                <w:szCs w:val="20"/>
              </w:rPr>
              <w:t>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F6EA241"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p w14:paraId="42536CF5"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Times New Roman" w:hAnsi="Times New Roman"/>
                <w:sz w:val="20"/>
                <w:szCs w:val="20"/>
              </w:rPr>
              <w:t>97,2</w:t>
            </w:r>
            <w:r w:rsidRPr="00137482">
              <w:rPr>
                <w:rFonts w:ascii="Times New Roman" w:eastAsia="맑은 고딕" w:hAnsi="Times New Roman"/>
                <w:sz w:val="20"/>
                <w:szCs w:val="20"/>
                <w:lang w:eastAsia="ko-KR"/>
              </w:rPr>
              <w:t>0</w:t>
            </w:r>
            <w:r w:rsidRPr="00137482">
              <w:rPr>
                <w:rFonts w:ascii="Times New Roman" w:eastAsia="Times New Roman" w:hAnsi="Times New Roman"/>
                <w:sz w:val="20"/>
                <w:szCs w:val="20"/>
              </w:rPr>
              <w:t>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587C893"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p w14:paraId="15267384"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Times New Roman" w:hAnsi="Times New Roman"/>
                <w:sz w:val="20"/>
                <w:szCs w:val="20"/>
              </w:rPr>
              <w:t>97,2</w:t>
            </w:r>
            <w:r w:rsidRPr="00137482">
              <w:rPr>
                <w:rFonts w:ascii="Times New Roman" w:eastAsia="맑은 고딕" w:hAnsi="Times New Roman"/>
                <w:sz w:val="20"/>
                <w:szCs w:val="20"/>
                <w:lang w:eastAsia="ko-KR"/>
              </w:rPr>
              <w:t>0</w:t>
            </w:r>
            <w:r w:rsidRPr="00137482">
              <w:rPr>
                <w:rFonts w:ascii="Times New Roman" w:eastAsia="Times New Roman" w:hAnsi="Times New Roman"/>
                <w:sz w:val="20"/>
                <w:szCs w:val="20"/>
              </w:rPr>
              <w:t>0</w:t>
            </w:r>
          </w:p>
        </w:tc>
      </w:tr>
      <w:tr w:rsidR="009A53E1" w:rsidRPr="009C3370" w14:paraId="560D1FC7"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3E72044"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hAnsi="Times New Roman"/>
                <w:b/>
                <w:sz w:val="20"/>
                <w:szCs w:val="20"/>
                <w:lang w:eastAsia="ko-KR"/>
              </w:rPr>
              <w:t>Project 42 Pacific Tuna Tagging Program (PTTP)</w:t>
            </w:r>
          </w:p>
          <w:p w14:paraId="24CD7F16" w14:textId="77777777" w:rsidR="009A53E1" w:rsidRPr="00137482" w:rsidRDefault="009A53E1" w:rsidP="00137482">
            <w:pPr>
              <w:adjustRightInd w:val="0"/>
              <w:snapToGrid w:val="0"/>
              <w:spacing w:after="0"/>
              <w:jc w:val="lef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Other budget: Approx. $170,000 from Korea</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A91332C"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2F652A6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71972C9"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Times New Roman" w:hAnsi="Times New Roman"/>
                <w:sz w:val="20"/>
                <w:szCs w:val="20"/>
              </w:rPr>
              <w:t>High</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56509" w14:textId="77777777" w:rsidR="009A53E1" w:rsidRPr="00137482" w:rsidRDefault="009A53E1" w:rsidP="00137482">
            <w:pPr>
              <w:adjustRightInd w:val="0"/>
              <w:snapToGrid w:val="0"/>
              <w:spacing w:after="0"/>
              <w:jc w:val="right"/>
              <w:rPr>
                <w:rFonts w:ascii="Times New Roman" w:hAnsi="Times New Roman"/>
                <w:sz w:val="20"/>
                <w:szCs w:val="20"/>
              </w:rPr>
            </w:pPr>
            <w:r w:rsidRPr="00137482">
              <w:rPr>
                <w:rFonts w:ascii="Times New Roman" w:hAnsi="Times New Roman"/>
                <w:sz w:val="20"/>
                <w:szCs w:val="20"/>
              </w:rPr>
              <w:t>500,000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511BFD9" w14:textId="77777777" w:rsidR="009A53E1" w:rsidRPr="00137482" w:rsidRDefault="009A53E1" w:rsidP="00137482">
            <w:pPr>
              <w:adjustRightInd w:val="0"/>
              <w:snapToGrid w:val="0"/>
              <w:spacing w:after="0"/>
              <w:jc w:val="right"/>
              <w:rPr>
                <w:rFonts w:ascii="Times New Roman" w:hAnsi="Times New Roman"/>
                <w:sz w:val="20"/>
                <w:szCs w:val="20"/>
              </w:rPr>
            </w:pPr>
            <w:r w:rsidRPr="00137482">
              <w:rPr>
                <w:rFonts w:ascii="Times New Roman" w:hAnsi="Times New Roman"/>
                <w:sz w:val="20"/>
                <w:szCs w:val="20"/>
              </w:rPr>
              <w:t>650,000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64F9966F" w14:textId="77777777" w:rsidR="009A53E1" w:rsidRPr="00137482" w:rsidRDefault="009A53E1" w:rsidP="00137482">
            <w:pPr>
              <w:adjustRightInd w:val="0"/>
              <w:snapToGrid w:val="0"/>
              <w:spacing w:after="0"/>
              <w:jc w:val="right"/>
              <w:rPr>
                <w:rFonts w:ascii="Times New Roman" w:hAnsi="Times New Roman"/>
                <w:sz w:val="20"/>
                <w:szCs w:val="20"/>
              </w:rPr>
            </w:pPr>
            <w:r w:rsidRPr="00137482">
              <w:rPr>
                <w:rFonts w:ascii="Times New Roman" w:hAnsi="Times New Roman"/>
                <w:sz w:val="20"/>
                <w:szCs w:val="20"/>
              </w:rPr>
              <w:t>690,000</w:t>
            </w:r>
          </w:p>
        </w:tc>
      </w:tr>
      <w:tr w:rsidR="009A53E1" w:rsidRPr="009C3370" w14:paraId="714E61D6"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088EE02" w14:textId="77777777" w:rsidR="009A53E1" w:rsidRPr="00137482" w:rsidRDefault="009A53E1" w:rsidP="00137482">
            <w:pPr>
              <w:adjustRightInd w:val="0"/>
              <w:snapToGrid w:val="0"/>
              <w:spacing w:after="0"/>
              <w:jc w:val="left"/>
              <w:rPr>
                <w:rFonts w:ascii="Times New Roman" w:hAnsi="Times New Roman"/>
                <w:b/>
                <w:sz w:val="20"/>
                <w:szCs w:val="20"/>
              </w:rPr>
            </w:pPr>
            <w:r w:rsidRPr="00137482">
              <w:rPr>
                <w:rFonts w:ascii="Times New Roman" w:hAnsi="Times New Roman"/>
                <w:b/>
                <w:sz w:val="20"/>
                <w:szCs w:val="20"/>
                <w:lang w:eastAsia="ja-JP"/>
              </w:rPr>
              <w:t xml:space="preserve">Project 57. </w:t>
            </w:r>
            <w:r w:rsidRPr="00137482">
              <w:rPr>
                <w:rFonts w:ascii="Times New Roman" w:hAnsi="Times New Roman"/>
                <w:b/>
                <w:sz w:val="20"/>
                <w:szCs w:val="20"/>
              </w:rPr>
              <w:t>Identifying appropriate Limit Reference Points (LRPs) for elasmobranchs within the WCPFC</w:t>
            </w:r>
          </w:p>
          <w:p w14:paraId="301F9EF7" w14:textId="77777777" w:rsidR="009A53E1" w:rsidRPr="00137482" w:rsidRDefault="009A53E1" w:rsidP="00137482">
            <w:pPr>
              <w:adjustRightInd w:val="0"/>
              <w:snapToGrid w:val="0"/>
              <w:spacing w:after="0"/>
              <w:jc w:val="left"/>
              <w:rPr>
                <w:rFonts w:ascii="Times New Roman" w:hAnsi="Times New Roman"/>
                <w:sz w:val="20"/>
                <w:szCs w:val="20"/>
                <w:lang w:eastAsia="ko-KR"/>
              </w:rPr>
            </w:pPr>
            <w:r w:rsidRPr="00137482">
              <w:rPr>
                <w:rFonts w:ascii="Times New Roman" w:hAnsi="Times New Roman"/>
                <w:sz w:val="20"/>
                <w:szCs w:val="20"/>
              </w:rPr>
              <w:t xml:space="preserve">Other budget: Approx. $30,000 from New Zealand. </w:t>
            </w:r>
            <w:r w:rsidRPr="00137482">
              <w:rPr>
                <w:rFonts w:ascii="Times New Roman" w:hAnsi="Times New Roman"/>
                <w:sz w:val="20"/>
                <w:szCs w:val="20"/>
                <w:lang w:eastAsia="ko-KR"/>
              </w:rPr>
              <w:t>Possible to use $25,000 presently unspent in 2017</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8223436"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6339C439"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A2998EC"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DC63E2"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25,000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69F0C03F"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40C2759"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0</w:t>
            </w:r>
          </w:p>
        </w:tc>
      </w:tr>
      <w:tr w:rsidR="009A53E1" w:rsidRPr="009C3370" w14:paraId="61E0BC65"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70C4D25"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Times New Roman" w:hAnsi="Times New Roman"/>
                <w:b/>
                <w:sz w:val="20"/>
                <w:szCs w:val="20"/>
              </w:rPr>
              <w:t>Project 60: Improving purse seine species composition</w:t>
            </w:r>
          </w:p>
          <w:p w14:paraId="5DF86EC3" w14:textId="77777777" w:rsidR="009A53E1" w:rsidRPr="00137482" w:rsidRDefault="009A53E1" w:rsidP="00137482">
            <w:pPr>
              <w:adjustRightInd w:val="0"/>
              <w:snapToGrid w:val="0"/>
              <w:spacing w:after="0"/>
              <w:jc w:val="left"/>
              <w:rPr>
                <w:rFonts w:ascii="Times New Roman" w:hAnsi="Times New Roman"/>
                <w:sz w:val="20"/>
                <w:szCs w:val="20"/>
                <w:lang w:eastAsia="ko-KR"/>
              </w:rPr>
            </w:pPr>
            <w:r w:rsidRPr="00137482">
              <w:rPr>
                <w:rFonts w:ascii="Times New Roman" w:hAnsi="Times New Roman"/>
                <w:sz w:val="20"/>
                <w:szCs w:val="20"/>
                <w:lang w:eastAsia="ko-KR"/>
              </w:rPr>
              <w:t>P</w:t>
            </w:r>
            <w:r w:rsidRPr="00137482">
              <w:rPr>
                <w:rFonts w:ascii="Times New Roman" w:hAnsi="Times New Roman"/>
                <w:sz w:val="20"/>
                <w:szCs w:val="20"/>
              </w:rPr>
              <w:t>ossible to use EU funding to SPC for 2018</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EBE2561"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7FACBB59"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09C3F9E"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Times New Roman" w:hAnsi="Times New Roman"/>
                <w:sz w:val="20"/>
                <w:szCs w:val="20"/>
              </w:rPr>
              <w:t>Medium</w:t>
            </w:r>
            <w:r w:rsidRPr="00137482">
              <w:rPr>
                <w:rFonts w:ascii="Times New Roman" w:eastAsia="맑은 고딕" w:hAnsi="Times New Roman"/>
                <w:sz w:val="20"/>
                <w:szCs w:val="20"/>
                <w:lang w:eastAsia="ko-KR"/>
              </w:rPr>
              <w:t xml:space="preserve"> / 1</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154A9"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6599D14"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40,000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6EBDF42"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40,000</w:t>
            </w:r>
          </w:p>
        </w:tc>
      </w:tr>
      <w:tr w:rsidR="009A53E1" w:rsidRPr="009C3370" w14:paraId="595469CB"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5A84B3B"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Times New Roman" w:hAnsi="Times New Roman"/>
                <w:b/>
                <w:sz w:val="20"/>
                <w:szCs w:val="20"/>
              </w:rPr>
              <w:t>Project 67</w:t>
            </w:r>
            <w:r w:rsidRPr="00137482">
              <w:rPr>
                <w:rFonts w:ascii="Times New Roman" w:eastAsia="맑은 고딕" w:hAnsi="Times New Roman"/>
                <w:b/>
                <w:sz w:val="20"/>
                <w:szCs w:val="20"/>
                <w:lang w:eastAsia="ko-KR"/>
              </w:rPr>
              <w:t xml:space="preserve">: </w:t>
            </w:r>
            <w:r w:rsidRPr="00137482">
              <w:rPr>
                <w:rFonts w:ascii="Times New Roman" w:eastAsia="Times New Roman" w:hAnsi="Times New Roman"/>
                <w:b/>
                <w:sz w:val="20"/>
                <w:szCs w:val="20"/>
              </w:rPr>
              <w:t>Review of impacts of recent high catches of skipjack on fisheries on the margins of the WCPFC Convention Area</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45AD66D"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4BE0CBB8"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9F42D8F"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Low</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48703" w14:textId="77777777" w:rsidR="009A53E1" w:rsidRPr="00137482" w:rsidRDefault="009A53E1" w:rsidP="00137482">
            <w:pPr>
              <w:adjustRightInd w:val="0"/>
              <w:snapToGrid w:val="0"/>
              <w:spacing w:after="0"/>
              <w:jc w:val="right"/>
              <w:rPr>
                <w:rFonts w:ascii="Times New Roman"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23C638B" w14:textId="77777777" w:rsidR="009A53E1" w:rsidRPr="00137482" w:rsidRDefault="009A53E1" w:rsidP="00137482">
            <w:pPr>
              <w:adjustRightInd w:val="0"/>
              <w:snapToGrid w:val="0"/>
              <w:spacing w:after="0"/>
              <w:jc w:val="right"/>
              <w:rPr>
                <w:rFonts w:ascii="Times New Roman"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1C3A316" w14:textId="77777777" w:rsidR="009A53E1" w:rsidRPr="00137482" w:rsidRDefault="009A53E1" w:rsidP="00137482">
            <w:pPr>
              <w:adjustRightInd w:val="0"/>
              <w:snapToGrid w:val="0"/>
              <w:spacing w:after="0"/>
              <w:jc w:val="right"/>
              <w:rPr>
                <w:rFonts w:ascii="Times New Roman" w:hAnsi="Times New Roman"/>
                <w:sz w:val="20"/>
                <w:szCs w:val="20"/>
                <w:lang w:eastAsia="ko-KR"/>
              </w:rPr>
            </w:pPr>
          </w:p>
        </w:tc>
      </w:tr>
      <w:tr w:rsidR="009A53E1" w:rsidRPr="009C3370" w14:paraId="2C2A9F34"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66B72AE"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 xml:space="preserve">Project 68. Estimation of </w:t>
            </w:r>
            <w:r w:rsidRPr="00137482">
              <w:rPr>
                <w:rFonts w:ascii="Times New Roman" w:hAnsi="Times New Roman"/>
                <w:b/>
                <w:sz w:val="20"/>
                <w:szCs w:val="20"/>
              </w:rPr>
              <w:t>seabird mortality across the WCPO Convention area</w:t>
            </w:r>
            <w:r w:rsidRPr="00137482">
              <w:rPr>
                <w:rFonts w:ascii="Times New Roman" w:eastAsia="맑은 고딕" w:hAnsi="Times New Roman"/>
                <w:b/>
                <w:sz w:val="20"/>
                <w:szCs w:val="20"/>
                <w:lang w:eastAsia="ko-KR"/>
              </w:rPr>
              <w:t xml:space="preserve"> </w:t>
            </w:r>
          </w:p>
          <w:p w14:paraId="331B4033" w14:textId="77777777" w:rsidR="009A53E1" w:rsidRPr="00137482" w:rsidRDefault="009A53E1" w:rsidP="00137482">
            <w:pPr>
              <w:adjustRightInd w:val="0"/>
              <w:snapToGrid w:val="0"/>
              <w:spacing w:after="0"/>
              <w:jc w:val="lef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Other budget: $52,500 from FAO/ABNJ. Contract is underway.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377AA6D7"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775F566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F838903"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2C03D8"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hAnsi="Times New Roman"/>
                <w:sz w:val="20"/>
                <w:szCs w:val="20"/>
                <w:lang w:eastAsia="ko-KR"/>
              </w:rPr>
              <w:t>22,500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79C4171"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hAnsi="Times New Roman"/>
                <w:sz w:val="20"/>
                <w:szCs w:val="20"/>
                <w:lang w:eastAsia="ko-KR"/>
              </w:rPr>
              <w:t>17,500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087934C" w14:textId="77777777" w:rsidR="009A53E1" w:rsidRPr="00137482" w:rsidRDefault="009A53E1" w:rsidP="00137482">
            <w:pPr>
              <w:adjustRightInd w:val="0"/>
              <w:snapToGrid w:val="0"/>
              <w:spacing w:after="0"/>
              <w:jc w:val="right"/>
              <w:rPr>
                <w:rFonts w:ascii="Times New Roman" w:hAnsi="Times New Roman"/>
                <w:sz w:val="20"/>
                <w:szCs w:val="20"/>
                <w:lang w:eastAsia="ko-KR"/>
              </w:rPr>
            </w:pPr>
          </w:p>
        </w:tc>
      </w:tr>
      <w:tr w:rsidR="009A53E1" w:rsidRPr="009C3370" w14:paraId="6797A5CE"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A2A6A80" w14:textId="6CE4E37A" w:rsidR="009A53E1" w:rsidRPr="00137482" w:rsidRDefault="009A53E1" w:rsidP="00852F80">
            <w:pPr>
              <w:adjustRightInd w:val="0"/>
              <w:snapToGrid w:val="0"/>
              <w:spacing w:after="0"/>
              <w:jc w:val="left"/>
              <w:rPr>
                <w:rFonts w:ascii="Times New Roman" w:eastAsia="Times New Roman" w:hAnsi="Times New Roman"/>
                <w:b/>
                <w:sz w:val="20"/>
                <w:szCs w:val="20"/>
              </w:rPr>
            </w:pPr>
            <w:r w:rsidRPr="00137482">
              <w:rPr>
                <w:rFonts w:ascii="Times New Roman" w:eastAsia="맑은 고딕" w:hAnsi="Times New Roman"/>
                <w:b/>
                <w:sz w:val="20"/>
                <w:szCs w:val="20"/>
                <w:lang w:eastAsia="ko-KR"/>
              </w:rPr>
              <w:t xml:space="preserve">Project 81. </w:t>
            </w:r>
            <w:r w:rsidRPr="00137482">
              <w:rPr>
                <w:rFonts w:ascii="Times New Roman" w:hAnsi="Times New Roman"/>
                <w:b/>
                <w:sz w:val="20"/>
                <w:szCs w:val="20"/>
              </w:rPr>
              <w:t>Further work on bigeye tuna age and growth</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8449DD2"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0B675BBB"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736D1A1"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High/1</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4C5E9"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맑은 고딕" w:hAnsi="Times New Roman"/>
                <w:sz w:val="20"/>
                <w:szCs w:val="20"/>
                <w:lang w:eastAsia="ko-KR"/>
              </w:rPr>
              <w:t>30,000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0F94CDF"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706B697"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r>
      <w:tr w:rsidR="009A53E1" w:rsidRPr="009C3370" w14:paraId="489B12FD"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FC0BFB4" w14:textId="70AF5E1E" w:rsidR="009A53E1" w:rsidRPr="00137482" w:rsidRDefault="009A53E1" w:rsidP="00852F80">
            <w:pPr>
              <w:adjustRightInd w:val="0"/>
              <w:snapToGrid w:val="0"/>
              <w:spacing w:after="0"/>
              <w:jc w:val="lef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 xml:space="preserve">Project 82. </w:t>
            </w:r>
            <w:r w:rsidRPr="00137482">
              <w:rPr>
                <w:rFonts w:ascii="Times New Roman" w:hAnsi="Times New Roman"/>
                <w:b/>
                <w:sz w:val="20"/>
                <w:szCs w:val="20"/>
              </w:rPr>
              <w:t>Yellowfin tuna age and growth</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0873D7F"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3F4F1A90"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8BACF97"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High/2</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BAC66D"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100,000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55AECA9"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맑은 고딕" w:hAnsi="Times New Roman"/>
                <w:sz w:val="20"/>
                <w:szCs w:val="20"/>
                <w:lang w:eastAsia="ko-KR"/>
              </w:rPr>
              <w:t>85,000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C35D78D"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r>
      <w:tr w:rsidR="009A53E1" w:rsidRPr="009C3370" w14:paraId="7A003004"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0345ACA" w14:textId="19AAF2AB"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83. Investigating the potential for a WCPFC tag vessel</w:t>
            </w:r>
          </w:p>
          <w:p w14:paraId="738BB9EB" w14:textId="77777777" w:rsidR="009A53E1" w:rsidRPr="00137482" w:rsidRDefault="009A53E1" w:rsidP="00137482">
            <w:pPr>
              <w:adjustRightInd w:val="0"/>
              <w:snapToGrid w:val="0"/>
              <w:spacing w:after="0"/>
              <w:jc w:val="left"/>
              <w:rPr>
                <w:rFonts w:ascii="Times New Roman" w:hAnsi="Times New Roman"/>
                <w:sz w:val="20"/>
                <w:szCs w:val="20"/>
                <w:lang w:eastAsia="ja-JP"/>
              </w:rPr>
            </w:pPr>
            <w:r w:rsidRPr="00137482">
              <w:rPr>
                <w:rFonts w:ascii="Times New Roman" w:eastAsia="맑은 고딕" w:hAnsi="Times New Roman"/>
                <w:sz w:val="20"/>
                <w:szCs w:val="20"/>
                <w:lang w:eastAsia="ko-KR"/>
              </w:rPr>
              <w:t>Co-funded to be sought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268519A"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070F51F2"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No</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1C771F3"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Medium</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6B6A98"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62,500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2E511AD"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8E3E621"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r>
      <w:tr w:rsidR="009A53E1" w:rsidRPr="009C3370" w14:paraId="76F1EC5C"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43EF3D9" w14:textId="1429B267" w:rsidR="009A53E1" w:rsidRPr="00137482" w:rsidRDefault="009A53E1" w:rsidP="00852F80">
            <w:pPr>
              <w:adjustRightInd w:val="0"/>
              <w:snapToGrid w:val="0"/>
              <w:spacing w:after="0"/>
              <w:jc w:val="left"/>
              <w:rPr>
                <w:rFonts w:ascii="Times New Roman" w:hAnsi="Times New Roman"/>
                <w:b/>
                <w:sz w:val="20"/>
                <w:szCs w:val="20"/>
                <w:lang w:eastAsia="ko-KR"/>
              </w:rPr>
            </w:pPr>
            <w:r w:rsidRPr="00137482">
              <w:rPr>
                <w:rFonts w:ascii="Times New Roman" w:hAnsi="Times New Roman"/>
                <w:b/>
                <w:sz w:val="20"/>
                <w:szCs w:val="20"/>
                <w:lang w:eastAsia="ko-KR"/>
              </w:rPr>
              <w:t xml:space="preserve">Project 84. Shark Research Plan </w:t>
            </w:r>
            <w:r w:rsidRPr="00137482">
              <w:rPr>
                <w:rFonts w:ascii="Times New Roman" w:hAnsi="Times New Roman"/>
                <w:b/>
                <w:sz w:val="20"/>
                <w:szCs w:val="20"/>
              </w:rPr>
              <w:t>mid-term review</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E1DC957"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47C1CBAC"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0AF60BF"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Low</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1F625F"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60D880A"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028C3F2"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r>
      <w:tr w:rsidR="009A53E1" w:rsidRPr="009C3370" w14:paraId="302D0073"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A057045" w14:textId="770954F7" w:rsidR="009A53E1" w:rsidRPr="00137482" w:rsidRDefault="009A53E1" w:rsidP="00F06518">
            <w:pPr>
              <w:adjustRightInd w:val="0"/>
              <w:snapToGrid w:val="0"/>
              <w:spacing w:after="0"/>
              <w:jc w:val="left"/>
              <w:rPr>
                <w:rFonts w:ascii="Times New Roman" w:eastAsia="맑은 고딕" w:hAnsi="Times New Roman"/>
                <w:color w:val="0000FF"/>
                <w:sz w:val="20"/>
                <w:szCs w:val="20"/>
                <w:lang w:eastAsia="ko-KR"/>
              </w:rPr>
            </w:pPr>
            <w:r w:rsidRPr="00137482">
              <w:rPr>
                <w:rFonts w:ascii="Times New Roman" w:eastAsia="맑은 고딕" w:hAnsi="Times New Roman"/>
                <w:b/>
                <w:sz w:val="20"/>
                <w:szCs w:val="20"/>
                <w:lang w:eastAsia="ko-KR"/>
              </w:rPr>
              <w:t>Project 85. Participation in ISC North Pacific shortfin mako shark stock assessment activities.</w:t>
            </w:r>
            <w:r w:rsidRPr="00137482">
              <w:rPr>
                <w:rFonts w:ascii="Times New Roman" w:eastAsia="맑은 고딕" w:hAnsi="Times New Roman"/>
                <w:sz w:val="20"/>
                <w:szCs w:val="20"/>
                <w:lang w:eastAsia="ko-KR"/>
              </w:rPr>
              <w:br/>
              <w:t>Fund</w:t>
            </w:r>
            <w:r w:rsidR="00F06518">
              <w:rPr>
                <w:rFonts w:ascii="Times New Roman" w:eastAsia="맑은 고딕" w:hAnsi="Times New Roman" w:hint="eastAsia"/>
                <w:sz w:val="20"/>
                <w:szCs w:val="20"/>
                <w:lang w:eastAsia="ko-KR"/>
              </w:rPr>
              <w:t>ing</w:t>
            </w:r>
            <w:r w:rsidRPr="00137482">
              <w:rPr>
                <w:rFonts w:ascii="Times New Roman" w:eastAsia="맑은 고딕" w:hAnsi="Times New Roman"/>
                <w:sz w:val="20"/>
                <w:szCs w:val="20"/>
                <w:lang w:eastAsia="ko-KR"/>
              </w:rPr>
              <w:t xml:space="preserve"> needed in 2017</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DB0E1A7"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05CDB4AA"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F988DF0"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Low</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8A0228" w14:textId="77777777" w:rsidR="009A53E1" w:rsidRPr="00137482" w:rsidRDefault="009A53E1" w:rsidP="00137482">
            <w:pPr>
              <w:adjustRightInd w:val="0"/>
              <w:snapToGrid w:val="0"/>
              <w:spacing w:after="0"/>
              <w:ind w:right="4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B81ADCA"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8F528DA"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r>
      <w:tr w:rsidR="009A53E1" w:rsidRPr="009C3370" w14:paraId="62D61140"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976F9AB" w14:textId="6D61365D" w:rsidR="009A53E1" w:rsidRPr="00137482" w:rsidRDefault="009A53E1" w:rsidP="00852F80">
            <w:pPr>
              <w:pStyle w:val="Default"/>
              <w:adjustRightInd w:val="0"/>
              <w:snapToGrid w:val="0"/>
              <w:jc w:val="left"/>
              <w:rPr>
                <w:rFonts w:ascii="Times New Roman" w:hAnsi="Times New Roman" w:cs="Times New Roman"/>
                <w:b/>
                <w:sz w:val="20"/>
                <w:szCs w:val="20"/>
              </w:rPr>
            </w:pPr>
            <w:r w:rsidRPr="00137482">
              <w:rPr>
                <w:rFonts w:ascii="Times New Roman" w:hAnsi="Times New Roman" w:cs="Times New Roman"/>
                <w:b/>
                <w:bCs/>
                <w:sz w:val="20"/>
                <w:szCs w:val="20"/>
              </w:rPr>
              <w:t xml:space="preserve">Project 86 </w:t>
            </w:r>
            <w:r w:rsidRPr="00137482">
              <w:rPr>
                <w:rFonts w:ascii="Times New Roman" w:hAnsi="Times New Roman" w:cs="Times New Roman"/>
                <w:b/>
                <w:sz w:val="20"/>
                <w:szCs w:val="20"/>
              </w:rPr>
              <w:t>FAD designs to reduce unwanted interactions with Species of Special Interest (SSIs; sharks, turtles)</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454F04E"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7993E2B5"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96D3C0E"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High/1</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5BA22"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6E2640C"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624F4F4"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r>
      <w:tr w:rsidR="009A53E1" w:rsidRPr="009C3370" w14:paraId="14584831"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960B192" w14:textId="4B7F9409" w:rsidR="009A53E1" w:rsidRPr="00137482" w:rsidRDefault="009A53E1" w:rsidP="00852F80">
            <w:pPr>
              <w:pStyle w:val="Default"/>
              <w:adjustRightInd w:val="0"/>
              <w:snapToGrid w:val="0"/>
              <w:jc w:val="left"/>
              <w:rPr>
                <w:rFonts w:ascii="Times New Roman" w:hAnsi="Times New Roman" w:cs="Times New Roman"/>
                <w:b/>
                <w:sz w:val="20"/>
                <w:szCs w:val="20"/>
                <w:lang w:eastAsia="ko-KR"/>
              </w:rPr>
            </w:pPr>
            <w:r w:rsidRPr="00137482">
              <w:rPr>
                <w:rFonts w:ascii="Times New Roman" w:hAnsi="Times New Roman" w:cs="Times New Roman"/>
                <w:b/>
                <w:bCs/>
                <w:sz w:val="20"/>
                <w:szCs w:val="20"/>
              </w:rPr>
              <w:t xml:space="preserve">Project 87. </w:t>
            </w:r>
            <w:r w:rsidRPr="00137482">
              <w:rPr>
                <w:rFonts w:ascii="Times New Roman" w:hAnsi="Times New Roman" w:cs="Times New Roman"/>
                <w:b/>
                <w:sz w:val="20"/>
                <w:szCs w:val="20"/>
                <w:lang w:eastAsia="ko-KR"/>
              </w:rPr>
              <w:t xml:space="preserve">FAD designs to reduce unwanted catches of juvenile </w:t>
            </w:r>
            <w:r w:rsidR="00977B42">
              <w:rPr>
                <w:rFonts w:ascii="Times New Roman" w:hAnsi="Times New Roman" w:cs="Times New Roman"/>
                <w:b/>
                <w:sz w:val="20"/>
                <w:szCs w:val="20"/>
                <w:lang w:eastAsia="ko-KR"/>
              </w:rPr>
              <w:t>bigeye tuna</w:t>
            </w:r>
            <w:r w:rsidRPr="00137482">
              <w:rPr>
                <w:rFonts w:ascii="Times New Roman" w:hAnsi="Times New Roman" w:cs="Times New Roman"/>
                <w:b/>
                <w:sz w:val="20"/>
                <w:szCs w:val="20"/>
                <w:lang w:eastAsia="ko-KR"/>
              </w:rPr>
              <w:t xml:space="preserve"> &amp; </w:t>
            </w:r>
            <w:r w:rsidR="00977B42">
              <w:rPr>
                <w:rFonts w:ascii="Times New Roman" w:hAnsi="Times New Roman" w:cs="Times New Roman"/>
                <w:b/>
                <w:sz w:val="20"/>
                <w:szCs w:val="20"/>
                <w:lang w:eastAsia="ko-KR"/>
              </w:rPr>
              <w:t>yellowfin tuna</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D890868" w14:textId="77777777" w:rsidR="009A53E1" w:rsidRPr="00137482" w:rsidRDefault="009A53E1" w:rsidP="00137482">
            <w:pPr>
              <w:adjustRightInd w:val="0"/>
              <w:snapToGrid w:val="0"/>
              <w:spacing w:after="0"/>
              <w:jc w:val="center"/>
              <w:rPr>
                <w:rFonts w:ascii="Times New Roman" w:eastAsia="맑은 고딕" w:hAnsi="Times New Roman"/>
                <w:i/>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2D143382"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B08BEC4"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High/2</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B5C6B"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265280D"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DBE3085" w14:textId="77777777" w:rsidR="009A53E1" w:rsidRPr="00137482" w:rsidRDefault="009A53E1" w:rsidP="00137482">
            <w:pPr>
              <w:adjustRightInd w:val="0"/>
              <w:snapToGrid w:val="0"/>
              <w:spacing w:after="0"/>
              <w:jc w:val="right"/>
              <w:rPr>
                <w:rFonts w:ascii="Times New Roman" w:hAnsi="Times New Roman"/>
                <w:i/>
                <w:sz w:val="20"/>
                <w:szCs w:val="20"/>
              </w:rPr>
            </w:pPr>
          </w:p>
        </w:tc>
      </w:tr>
      <w:tr w:rsidR="009A53E1" w:rsidRPr="009C3370" w14:paraId="6477EE50"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9D64C88" w14:textId="449F62FF" w:rsidR="009A53E1" w:rsidRPr="00137482" w:rsidRDefault="009A53E1" w:rsidP="00852F80">
            <w:pPr>
              <w:adjustRightInd w:val="0"/>
              <w:snapToGrid w:val="0"/>
              <w:spacing w:after="0"/>
              <w:jc w:val="left"/>
              <w:rPr>
                <w:rFonts w:ascii="Times New Roman" w:eastAsia="Times New Roman" w:hAnsi="Times New Roman"/>
                <w:b/>
                <w:sz w:val="20"/>
                <w:szCs w:val="20"/>
              </w:rPr>
            </w:pPr>
            <w:r w:rsidRPr="00137482">
              <w:rPr>
                <w:rFonts w:ascii="Times New Roman" w:hAnsi="Times New Roman"/>
                <w:b/>
                <w:bCs/>
                <w:sz w:val="20"/>
                <w:szCs w:val="20"/>
              </w:rPr>
              <w:t xml:space="preserve">Project 88. </w:t>
            </w:r>
            <w:r w:rsidRPr="00137482">
              <w:rPr>
                <w:rFonts w:ascii="Times New Roman" w:eastAsia="Times New Roman" w:hAnsi="Times New Roman"/>
                <w:b/>
                <w:sz w:val="20"/>
                <w:szCs w:val="20"/>
              </w:rPr>
              <w:t>Acoustic FAD analyses</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4D42B0E2"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12889FC7"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No</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E664852"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Medium</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F14003"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631A535"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120,000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99BAE3A"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72,000</w:t>
            </w:r>
          </w:p>
        </w:tc>
      </w:tr>
      <w:tr w:rsidR="009A53E1" w:rsidRPr="009C3370" w14:paraId="324E94D8"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7FE6E05" w14:textId="3D69E665" w:rsidR="009A53E1" w:rsidRPr="00137482" w:rsidRDefault="009A53E1" w:rsidP="00137482">
            <w:pPr>
              <w:pStyle w:val="Default"/>
              <w:adjustRightInd w:val="0"/>
              <w:snapToGrid w:val="0"/>
              <w:jc w:val="left"/>
              <w:rPr>
                <w:rFonts w:ascii="Times New Roman" w:eastAsia="맑은 고딕" w:hAnsi="Times New Roman" w:cs="Times New Roman"/>
                <w:b/>
                <w:bCs/>
                <w:sz w:val="20"/>
                <w:szCs w:val="20"/>
                <w:lang w:eastAsia="ko-KR"/>
              </w:rPr>
            </w:pPr>
            <w:r w:rsidRPr="00137482">
              <w:rPr>
                <w:rFonts w:ascii="Times New Roman" w:hAnsi="Times New Roman" w:cs="Times New Roman"/>
                <w:b/>
                <w:bCs/>
                <w:sz w:val="20"/>
                <w:szCs w:val="20"/>
              </w:rPr>
              <w:t>Project 89. Fleet behaviour</w:t>
            </w:r>
          </w:p>
          <w:p w14:paraId="26CF926E" w14:textId="77777777" w:rsidR="009A53E1" w:rsidRPr="00137482" w:rsidRDefault="009A53E1" w:rsidP="00137482">
            <w:pPr>
              <w:pStyle w:val="Default"/>
              <w:adjustRightInd w:val="0"/>
              <w:snapToGrid w:val="0"/>
              <w:jc w:val="left"/>
              <w:rPr>
                <w:rFonts w:ascii="Times New Roman" w:eastAsia="맑은 고딕" w:hAnsi="Times New Roman" w:cs="Times New Roman"/>
                <w:bCs/>
                <w:sz w:val="20"/>
                <w:szCs w:val="20"/>
                <w:lang w:eastAsia="ko-KR"/>
              </w:rPr>
            </w:pPr>
            <w:r w:rsidRPr="00137482">
              <w:rPr>
                <w:rFonts w:ascii="Times New Roman" w:eastAsia="맑은 고딕" w:hAnsi="Times New Roman" w:cs="Times New Roman"/>
                <w:bCs/>
                <w:sz w:val="20"/>
                <w:szCs w:val="20"/>
                <w:lang w:eastAsia="ko-KR"/>
              </w:rPr>
              <w:t>Data limited at present time</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4314CEC"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7260ADBB"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r w:rsidRPr="00137482">
              <w:rPr>
                <w:rFonts w:ascii="Times New Roman" w:eastAsia="Times New Roman" w:hAnsi="Times New Roman"/>
                <w:sz w:val="20"/>
                <w:szCs w:val="20"/>
              </w:rPr>
              <w:t>Yes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1F5E163"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High/3</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44F95"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BFDDEF2"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55ED642"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r>
      <w:tr w:rsidR="009A53E1" w:rsidRPr="009C3370" w14:paraId="6DBBCB57"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BB0E768" w14:textId="1CEF31D9" w:rsidR="009A53E1" w:rsidRPr="00137482" w:rsidRDefault="009A53E1" w:rsidP="00852F80">
            <w:pPr>
              <w:adjustRightInd w:val="0"/>
              <w:snapToGrid w:val="0"/>
              <w:spacing w:after="0"/>
              <w:jc w:val="lef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90. Better data on fish weights and lengths for scientific analyses</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CAA3875"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Annexed</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49449268"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6B17892" w14:textId="77777777" w:rsidR="009A53E1" w:rsidRPr="00137482" w:rsidRDefault="009A53E1" w:rsidP="00137482">
            <w:pPr>
              <w:adjustRightInd w:val="0"/>
              <w:snapToGrid w:val="0"/>
              <w:spacing w:after="0"/>
              <w:jc w:val="center"/>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High</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6B5C3F"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EBEA33E"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맑은 고딕" w:hAnsi="Times New Roman"/>
                <w:sz w:val="20"/>
                <w:szCs w:val="20"/>
                <w:lang w:eastAsia="ko-KR"/>
              </w:rPr>
              <w:t>40,000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28970DF"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20,000</w:t>
            </w:r>
          </w:p>
        </w:tc>
      </w:tr>
      <w:tr w:rsidR="009A53E1" w:rsidRPr="009C3370" w14:paraId="736614CA"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874A884" w14:textId="77777777" w:rsidR="009A53E1" w:rsidRPr="00137482" w:rsidRDefault="009A53E1" w:rsidP="00137482">
            <w:pPr>
              <w:adjustRightInd w:val="0"/>
              <w:snapToGrid w:val="0"/>
              <w:spacing w:after="0"/>
              <w:jc w:val="left"/>
              <w:rPr>
                <w:rFonts w:ascii="Times New Roman" w:eastAsia="Times New Roman" w:hAnsi="Times New Roman"/>
                <w:b/>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0E71AD8B" w14:textId="77777777" w:rsidR="009A53E1" w:rsidRPr="00137482" w:rsidRDefault="009A53E1" w:rsidP="00137482">
            <w:pPr>
              <w:adjustRightInd w:val="0"/>
              <w:snapToGrid w:val="0"/>
              <w:spacing w:after="0"/>
              <w:rPr>
                <w:rFonts w:ascii="Times New Roman" w:eastAsia="Times New Roman" w:hAnsi="Times New Roman"/>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3A1B5BF4"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6A36ACB"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4CEB5"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8BAAAE1"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C3A4B43"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p>
        </w:tc>
      </w:tr>
      <w:tr w:rsidR="009A53E1" w:rsidRPr="009C3370" w14:paraId="58C7E0BF"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E388637" w14:textId="77777777" w:rsidR="009A53E1" w:rsidRPr="00137482" w:rsidRDefault="009A53E1" w:rsidP="00137482">
            <w:pPr>
              <w:adjustRightInd w:val="0"/>
              <w:snapToGrid w:val="0"/>
              <w:spacing w:after="0"/>
              <w:jc w:val="left"/>
              <w:rPr>
                <w:rFonts w:ascii="Times New Roman" w:eastAsia="맑은 고딕" w:hAnsi="Times New Roman"/>
                <w:b/>
                <w:sz w:val="20"/>
                <w:szCs w:val="20"/>
                <w:lang w:eastAsia="ko-KR"/>
              </w:rPr>
            </w:pPr>
            <w:r w:rsidRPr="00137482">
              <w:rPr>
                <w:rFonts w:ascii="Times New Roman" w:eastAsia="Times New Roman" w:hAnsi="Times New Roman"/>
                <w:b/>
                <w:sz w:val="20"/>
                <w:szCs w:val="20"/>
              </w:rPr>
              <w:t>Unobligated</w:t>
            </w:r>
            <w:r w:rsidRPr="00137482">
              <w:rPr>
                <w:rFonts w:ascii="Times New Roman" w:hAnsi="Times New Roman"/>
                <w:b/>
                <w:sz w:val="20"/>
                <w:szCs w:val="20"/>
              </w:rPr>
              <w:t xml:space="preserve"> (Contingency)</w:t>
            </w:r>
            <w:r w:rsidRPr="00137482">
              <w:rPr>
                <w:rFonts w:ascii="Times New Roman" w:eastAsia="Times New Roman" w:hAnsi="Times New Roman"/>
                <w:b/>
                <w:sz w:val="20"/>
                <w:szCs w:val="20"/>
              </w:rPr>
              <w:t xml:space="preserve"> Budget </w:t>
            </w:r>
          </w:p>
          <w:p w14:paraId="4981B6FC" w14:textId="77777777" w:rsidR="009A53E1" w:rsidRPr="00137482" w:rsidRDefault="009A53E1" w:rsidP="00137482">
            <w:pPr>
              <w:adjustRightInd w:val="0"/>
              <w:snapToGrid w:val="0"/>
              <w:spacing w:after="0"/>
              <w:jc w:val="left"/>
              <w:rPr>
                <w:rFonts w:ascii="Times New Roman" w:eastAsia="맑은 고딕" w:hAnsi="Times New Roman"/>
                <w:sz w:val="20"/>
                <w:szCs w:val="20"/>
                <w:lang w:eastAsia="ko-KR"/>
              </w:rPr>
            </w:pPr>
            <w:r w:rsidRPr="00137482">
              <w:rPr>
                <w:rFonts w:ascii="Times New Roman" w:eastAsia="맑은 고딕" w:hAnsi="Times New Roman"/>
                <w:sz w:val="20"/>
                <w:szCs w:val="20"/>
                <w:u w:val="single"/>
                <w:lang w:eastAsia="ko-KR"/>
              </w:rPr>
              <w:t>Note</w:t>
            </w:r>
            <w:r w:rsidRPr="00137482">
              <w:rPr>
                <w:rFonts w:ascii="Times New Roman" w:eastAsia="맑은 고딕" w:hAnsi="Times New Roman"/>
                <w:sz w:val="20"/>
                <w:szCs w:val="20"/>
                <w:lang w:eastAsia="ko-KR"/>
              </w:rPr>
              <w:t>: A</w:t>
            </w:r>
            <w:r w:rsidRPr="00137482">
              <w:rPr>
                <w:rFonts w:ascii="Times New Roman" w:hAnsi="Times New Roman"/>
                <w:sz w:val="20"/>
                <w:szCs w:val="20"/>
              </w:rPr>
              <w:t>ny science-related projects requested by the Commission with no budget allocation</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1055B492" w14:textId="77777777" w:rsidR="009A53E1" w:rsidRPr="00137482" w:rsidRDefault="009A53E1" w:rsidP="00137482">
            <w:pPr>
              <w:adjustRightInd w:val="0"/>
              <w:snapToGrid w:val="0"/>
              <w:spacing w:after="0"/>
              <w:rPr>
                <w:rFonts w:ascii="Times New Roman" w:eastAsia="Times New Roman" w:hAnsi="Times New Roman"/>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42FD0268"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F52208D" w14:textId="77777777" w:rsidR="009A53E1" w:rsidRPr="00137482" w:rsidRDefault="009A53E1" w:rsidP="00137482">
            <w:pPr>
              <w:adjustRightInd w:val="0"/>
              <w:snapToGrid w:val="0"/>
              <w:spacing w:after="0"/>
              <w:jc w:val="center"/>
              <w:rPr>
                <w:rFonts w:ascii="Times New Roman" w:eastAsia="Times New Roman" w:hAnsi="Times New Roman"/>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7BA16" w14:textId="77777777" w:rsidR="009A53E1" w:rsidRPr="00137482" w:rsidRDefault="009A53E1" w:rsidP="00137482">
            <w:pPr>
              <w:adjustRightInd w:val="0"/>
              <w:snapToGrid w:val="0"/>
              <w:spacing w:after="0"/>
              <w:jc w:val="right"/>
              <w:rPr>
                <w:rFonts w:ascii="Times New Roman" w:eastAsia="Times New Roman" w:hAnsi="Times New Roman"/>
                <w:sz w:val="20"/>
                <w:szCs w:val="20"/>
              </w:rPr>
            </w:pPr>
            <w:r w:rsidRPr="00137482">
              <w:rPr>
                <w:rFonts w:ascii="Times New Roman" w:eastAsia="Times New Roman" w:hAnsi="Times New Roman"/>
                <w:sz w:val="20"/>
                <w:szCs w:val="20"/>
              </w:rPr>
              <w:t>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F6A9104"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83,000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64A3B0B" w14:textId="77777777" w:rsidR="009A53E1" w:rsidRPr="00137482" w:rsidRDefault="009A53E1" w:rsidP="00137482">
            <w:pPr>
              <w:adjustRightInd w:val="0"/>
              <w:snapToGrid w:val="0"/>
              <w:spacing w:after="0"/>
              <w:jc w:val="right"/>
              <w:rPr>
                <w:rFonts w:ascii="Times New Roman" w:eastAsia="맑은 고딕" w:hAnsi="Times New Roman"/>
                <w:sz w:val="20"/>
                <w:szCs w:val="20"/>
                <w:lang w:eastAsia="ko-KR"/>
              </w:rPr>
            </w:pPr>
            <w:r w:rsidRPr="00137482">
              <w:rPr>
                <w:rFonts w:ascii="Times New Roman" w:eastAsia="맑은 고딕" w:hAnsi="Times New Roman"/>
                <w:sz w:val="20"/>
                <w:szCs w:val="20"/>
                <w:lang w:eastAsia="ko-KR"/>
              </w:rPr>
              <w:t>83,000</w:t>
            </w:r>
          </w:p>
        </w:tc>
      </w:tr>
      <w:tr w:rsidR="009A53E1" w:rsidRPr="009C3370" w14:paraId="03581E1C" w14:textId="77777777" w:rsidTr="00137482">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05F1BB" w14:textId="77777777" w:rsidR="009A53E1" w:rsidRPr="00137482" w:rsidRDefault="009A53E1" w:rsidP="00137482">
            <w:pPr>
              <w:adjustRightInd w:val="0"/>
              <w:snapToGrid w:val="0"/>
              <w:spacing w:after="0"/>
              <w:jc w:val="center"/>
              <w:rPr>
                <w:rFonts w:ascii="Times New Roman" w:eastAsia="Times New Roman" w:hAnsi="Times New Roman"/>
                <w:b/>
                <w:bCs/>
                <w:sz w:val="20"/>
                <w:szCs w:val="20"/>
              </w:rPr>
            </w:pPr>
            <w:r w:rsidRPr="00137482">
              <w:rPr>
                <w:rFonts w:ascii="Times New Roman" w:eastAsia="Times New Roman" w:hAnsi="Times New Roman"/>
                <w:b/>
                <w:bCs/>
                <w:sz w:val="20"/>
                <w:szCs w:val="20"/>
              </w:rPr>
              <w:t>SC13 TOTAL BUDGET</w:t>
            </w:r>
          </w:p>
        </w:tc>
        <w:tc>
          <w:tcPr>
            <w:tcW w:w="15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174D75" w14:textId="77777777" w:rsidR="009A53E1" w:rsidRPr="00137482" w:rsidRDefault="009A53E1" w:rsidP="00137482">
            <w:pPr>
              <w:adjustRightInd w:val="0"/>
              <w:snapToGrid w:val="0"/>
              <w:spacing w:after="0"/>
              <w:jc w:val="center"/>
              <w:rPr>
                <w:rFonts w:ascii="Times New Roman" w:eastAsia="Times New Roman" w:hAnsi="Times New Roman"/>
                <w:b/>
                <w:bCs/>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032FA9" w14:textId="1F5810ED" w:rsidR="009A53E1" w:rsidRPr="00137482" w:rsidRDefault="009A53E1" w:rsidP="00137482">
            <w:pPr>
              <w:adjustRightInd w:val="0"/>
              <w:snapToGrid w:val="0"/>
              <w:spacing w:after="0"/>
              <w:jc w:val="righ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1,889</w:t>
            </w:r>
            <w:r w:rsidR="00D57209">
              <w:rPr>
                <w:rFonts w:ascii="Times New Roman" w:eastAsia="맑은 고딕" w:hAnsi="Times New Roman" w:hint="eastAsia"/>
                <w:b/>
                <w:sz w:val="20"/>
                <w:szCs w:val="20"/>
                <w:lang w:eastAsia="ko-KR"/>
              </w:rPr>
              <w:t>,</w:t>
            </w:r>
            <w:r w:rsidRPr="00137482">
              <w:rPr>
                <w:rFonts w:ascii="Times New Roman" w:eastAsia="맑은 고딕" w:hAnsi="Times New Roman"/>
                <w:b/>
                <w:sz w:val="20"/>
                <w:szCs w:val="20"/>
                <w:lang w:eastAsia="ko-KR"/>
              </w:rPr>
              <w:t>024</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4483C0B" w14:textId="77777777" w:rsidR="009A53E1" w:rsidRPr="00137482" w:rsidRDefault="009A53E1" w:rsidP="00137482">
            <w:pPr>
              <w:adjustRightInd w:val="0"/>
              <w:snapToGrid w:val="0"/>
              <w:spacing w:after="0"/>
              <w:jc w:val="righ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2,203,928</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623416B6" w14:textId="77777777" w:rsidR="009A53E1" w:rsidRPr="00137482" w:rsidRDefault="009A53E1" w:rsidP="00137482">
            <w:pPr>
              <w:adjustRightInd w:val="0"/>
              <w:snapToGrid w:val="0"/>
              <w:spacing w:after="0"/>
              <w:jc w:val="right"/>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2,093,205</w:t>
            </w:r>
          </w:p>
        </w:tc>
      </w:tr>
    </w:tbl>
    <w:p w14:paraId="6687D16A" w14:textId="77777777" w:rsidR="009A53E1" w:rsidRPr="009C3370" w:rsidRDefault="009A53E1" w:rsidP="009A53E1">
      <w:pPr>
        <w:adjustRightInd w:val="0"/>
        <w:snapToGrid w:val="0"/>
        <w:spacing w:after="0"/>
        <w:rPr>
          <w:rFonts w:ascii="Times New Roman" w:hAnsi="Times New Roman"/>
        </w:rPr>
      </w:pPr>
    </w:p>
    <w:p w14:paraId="0379C706" w14:textId="77777777" w:rsidR="009A53E1" w:rsidRPr="009C3370" w:rsidRDefault="009A53E1" w:rsidP="009A53E1">
      <w:pPr>
        <w:adjustRightInd w:val="0"/>
        <w:snapToGrid w:val="0"/>
        <w:spacing w:after="0"/>
        <w:rPr>
          <w:rFonts w:ascii="Times New Roman" w:hAnsi="Times New Roman"/>
          <w:lang w:val="en-AU"/>
        </w:rPr>
      </w:pPr>
      <w:r w:rsidRPr="009C3370">
        <w:rPr>
          <w:rFonts w:ascii="Times New Roman" w:hAnsi="Times New Roman"/>
          <w:lang w:val="en-AU"/>
        </w:rPr>
        <w:br w:type="page"/>
      </w:r>
    </w:p>
    <w:p w14:paraId="71D4D9CA" w14:textId="77777777" w:rsidR="009A53E1" w:rsidRPr="009C3370" w:rsidRDefault="009A53E1" w:rsidP="009A53E1">
      <w:pPr>
        <w:adjustRightInd w:val="0"/>
        <w:snapToGrid w:val="0"/>
        <w:spacing w:after="0"/>
        <w:ind w:firstLine="720"/>
        <w:jc w:val="center"/>
        <w:rPr>
          <w:rFonts w:ascii="Times New Roman" w:hAnsi="Times New Roman"/>
          <w:b/>
          <w:lang w:val="en-AU" w:eastAsia="ko-KR"/>
        </w:rPr>
        <w:sectPr w:rsidR="009A53E1" w:rsidRPr="009C3370" w:rsidSect="00C06F80">
          <w:pgSz w:w="12240" w:h="15840" w:code="1"/>
          <w:pgMar w:top="1440" w:right="1440" w:bottom="1440" w:left="1440" w:header="720" w:footer="720" w:gutter="0"/>
          <w:cols w:space="720"/>
          <w:docGrid w:linePitch="360"/>
        </w:sectPr>
      </w:pPr>
    </w:p>
    <w:p w14:paraId="0DB40575" w14:textId="77777777" w:rsidR="009A53E1" w:rsidRPr="009C3370" w:rsidRDefault="009A53E1" w:rsidP="009A53E1">
      <w:pPr>
        <w:adjustRightInd w:val="0"/>
        <w:snapToGrid w:val="0"/>
        <w:spacing w:after="0"/>
        <w:jc w:val="center"/>
        <w:rPr>
          <w:rFonts w:ascii="Times New Roman" w:eastAsia="맑은 고딕" w:hAnsi="Times New Roman"/>
          <w:b/>
          <w:bCs/>
          <w:lang w:eastAsia="ko-KR"/>
        </w:rPr>
      </w:pPr>
      <w:r w:rsidRPr="009C3370">
        <w:rPr>
          <w:rFonts w:ascii="Times New Roman" w:hAnsi="Times New Roman"/>
          <w:b/>
          <w:bCs/>
        </w:rPr>
        <w:t>TERMS OF REFERENCE</w:t>
      </w:r>
      <w:r w:rsidRPr="009C3370">
        <w:rPr>
          <w:rFonts w:ascii="Times New Roman" w:eastAsia="맑은 고딕" w:hAnsi="Times New Roman"/>
          <w:b/>
          <w:bCs/>
          <w:lang w:eastAsia="ko-KR"/>
        </w:rPr>
        <w:t xml:space="preserve"> / SCOPE OF WORK</w:t>
      </w:r>
    </w:p>
    <w:p w14:paraId="4E4222B5" w14:textId="77777777" w:rsidR="009A53E1" w:rsidRPr="009C3370" w:rsidRDefault="009A53E1" w:rsidP="009A53E1">
      <w:pPr>
        <w:adjustRightInd w:val="0"/>
        <w:snapToGrid w:val="0"/>
        <w:spacing w:after="0"/>
        <w:jc w:val="center"/>
        <w:rPr>
          <w:rFonts w:ascii="Times New Roman" w:hAnsi="Times New Roman"/>
          <w:b/>
          <w:bCs/>
        </w:rPr>
      </w:pPr>
    </w:p>
    <w:p w14:paraId="5A3A655A" w14:textId="77777777" w:rsidR="009A53E1" w:rsidRPr="00137482" w:rsidRDefault="009A53E1" w:rsidP="009A53E1">
      <w:pPr>
        <w:pStyle w:val="Heading1"/>
        <w:adjustRightInd w:val="0"/>
        <w:snapToGrid w:val="0"/>
        <w:jc w:val="left"/>
        <w:rPr>
          <w:rFonts w:ascii="Times New Roman" w:hAnsi="Times New Roman"/>
          <w:sz w:val="20"/>
          <w:szCs w:val="20"/>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A53E1" w:rsidRPr="00137482" w14:paraId="3E8DDDA0" w14:textId="77777777" w:rsidTr="00C06F80">
        <w:tc>
          <w:tcPr>
            <w:tcW w:w="9576" w:type="dxa"/>
          </w:tcPr>
          <w:p w14:paraId="0D4F013E" w14:textId="77777777" w:rsidR="009A53E1" w:rsidRPr="00137482" w:rsidRDefault="009A53E1" w:rsidP="00C06F80">
            <w:pPr>
              <w:pStyle w:val="Heading1"/>
              <w:adjustRightInd w:val="0"/>
              <w:snapToGrid w:val="0"/>
              <w:jc w:val="left"/>
              <w:outlineLvl w:val="0"/>
              <w:rPr>
                <w:rFonts w:ascii="Times New Roman" w:hAnsi="Times New Roman"/>
                <w:sz w:val="20"/>
                <w:szCs w:val="20"/>
              </w:rPr>
            </w:pPr>
            <w:r w:rsidRPr="00137482">
              <w:rPr>
                <w:rFonts w:ascii="Times New Roman" w:hAnsi="Times New Roman"/>
                <w:sz w:val="20"/>
                <w:szCs w:val="20"/>
              </w:rPr>
              <w:t>project 35b</w:t>
            </w:r>
          </w:p>
          <w:p w14:paraId="2AEF6F4E" w14:textId="77777777" w:rsidR="009A53E1" w:rsidRPr="00137482" w:rsidRDefault="009A53E1" w:rsidP="00C06F80">
            <w:pPr>
              <w:pStyle w:val="Heading1"/>
              <w:adjustRightInd w:val="0"/>
              <w:snapToGrid w:val="0"/>
              <w:jc w:val="left"/>
              <w:outlineLvl w:val="0"/>
              <w:rPr>
                <w:rFonts w:ascii="Times New Roman" w:hAnsi="Times New Roman"/>
                <w:caps w:val="0"/>
                <w:sz w:val="20"/>
                <w:szCs w:val="20"/>
                <w:lang w:eastAsia="ko-KR"/>
              </w:rPr>
            </w:pPr>
            <w:r w:rsidRPr="00137482">
              <w:rPr>
                <w:rFonts w:ascii="Times New Roman" w:hAnsi="Times New Roman"/>
                <w:caps w:val="0"/>
                <w:sz w:val="20"/>
                <w:szCs w:val="20"/>
              </w:rPr>
              <w:t>WCPFC Tuna Tissue Bank</w:t>
            </w:r>
          </w:p>
        </w:tc>
      </w:tr>
    </w:tbl>
    <w:p w14:paraId="637C183E" w14:textId="77777777" w:rsidR="009A53E1" w:rsidRPr="00137482" w:rsidRDefault="009A53E1" w:rsidP="009A53E1">
      <w:pPr>
        <w:adjustRightInd w:val="0"/>
        <w:snapToGrid w:val="0"/>
        <w:spacing w:after="0"/>
        <w:rPr>
          <w:rFonts w:ascii="Times New Roman" w:hAnsi="Times New Roman"/>
          <w:sz w:val="20"/>
          <w:szCs w:val="20"/>
        </w:rPr>
      </w:pPr>
    </w:p>
    <w:p w14:paraId="2ABAE98D"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The scope of work will include, but not limited to, the following:</w:t>
      </w:r>
    </w:p>
    <w:p w14:paraId="5F9E96B2" w14:textId="77777777" w:rsidR="009A53E1" w:rsidRPr="00137482" w:rsidRDefault="009A53E1" w:rsidP="0074425A">
      <w:pPr>
        <w:pStyle w:val="ListParagraph"/>
        <w:numPr>
          <w:ilvl w:val="0"/>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Maintain and develop:</w:t>
      </w:r>
    </w:p>
    <w:p w14:paraId="620807A6"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proofErr w:type="gramStart"/>
      <w:r w:rsidRPr="00137482">
        <w:rPr>
          <w:rFonts w:ascii="Times New Roman" w:hAnsi="Times New Roman"/>
          <w:sz w:val="20"/>
          <w:szCs w:val="20"/>
        </w:rPr>
        <w:t>the</w:t>
      </w:r>
      <w:proofErr w:type="gramEnd"/>
      <w:r w:rsidRPr="00137482">
        <w:rPr>
          <w:rFonts w:ascii="Times New Roman" w:hAnsi="Times New Roman"/>
          <w:sz w:val="20"/>
          <w:szCs w:val="20"/>
        </w:rPr>
        <w:t xml:space="preserve"> public SPC webpage informing interested parties of the tissue bank, including the rules of procedure to access samples from the tissue bank.</w:t>
      </w:r>
    </w:p>
    <w:p w14:paraId="691A551A"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a web-accessed database holding non-public data</w:t>
      </w:r>
    </w:p>
    <w:p w14:paraId="323FB291"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a relational database that catalogues the samples to include fishery/sampling metadata</w:t>
      </w:r>
    </w:p>
    <w:p w14:paraId="50B242A3"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the Brisbane (CSIRO) storage site, including sorting specimens on arrival and reconciling with quarantine data, entering data describing specimens received into BioDaSys, storing specimens systematically so that they can be retrieved when requested and the laboratory and storage materials needed to complete curation</w:t>
      </w:r>
    </w:p>
    <w:p w14:paraId="61B33883" w14:textId="77777777" w:rsidR="009A53E1" w:rsidRPr="00137482" w:rsidRDefault="009A53E1" w:rsidP="0074425A">
      <w:pPr>
        <w:pStyle w:val="ListParagraph"/>
        <w:numPr>
          <w:ilvl w:val="0"/>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Tissue sample utilisation and a record of outcomes/outputs will also be detailed in the relational database.</w:t>
      </w:r>
    </w:p>
    <w:p w14:paraId="338BD681" w14:textId="77777777" w:rsidR="009A53E1" w:rsidRPr="00137482" w:rsidRDefault="009A53E1" w:rsidP="0074425A">
      <w:pPr>
        <w:pStyle w:val="ListParagraph"/>
        <w:numPr>
          <w:ilvl w:val="0"/>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Subject to approval by the WCPFC Executive Director:</w:t>
      </w:r>
    </w:p>
    <w:p w14:paraId="16B0CF55"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metadata will be made available to institutions or organizations responsible for providing scientific advice in fisheries through the web-accessible component of the database, and subsequently,</w:t>
      </w:r>
    </w:p>
    <w:p w14:paraId="180EB9C3" w14:textId="77777777" w:rsidR="009A53E1" w:rsidRPr="00137482" w:rsidRDefault="009A53E1" w:rsidP="0074425A">
      <w:pPr>
        <w:pStyle w:val="ListParagraph"/>
        <w:numPr>
          <w:ilvl w:val="1"/>
          <w:numId w:val="150"/>
        </w:numPr>
        <w:adjustRightInd w:val="0"/>
        <w:snapToGrid w:val="0"/>
        <w:contextualSpacing w:val="0"/>
        <w:rPr>
          <w:rFonts w:ascii="Times New Roman" w:hAnsi="Times New Roman"/>
          <w:sz w:val="20"/>
          <w:szCs w:val="20"/>
        </w:rPr>
      </w:pPr>
      <w:r w:rsidRPr="00137482">
        <w:rPr>
          <w:rFonts w:ascii="Times New Roman" w:hAnsi="Times New Roman"/>
          <w:sz w:val="20"/>
          <w:szCs w:val="20"/>
        </w:rPr>
        <w:t>SPC-OFP will facilitate the transmission of requested samples to specified researchers/organisations, and the return of unused and/or processed samples to the relevant storage facility.</w:t>
      </w:r>
    </w:p>
    <w:p w14:paraId="07F92511" w14:textId="77777777" w:rsidR="009A53E1" w:rsidRPr="00137482" w:rsidRDefault="009A53E1" w:rsidP="009A53E1">
      <w:pPr>
        <w:adjustRightInd w:val="0"/>
        <w:snapToGrid w:val="0"/>
        <w:spacing w:after="0"/>
        <w:rPr>
          <w:rFonts w:ascii="Times New Roman" w:eastAsia="맑은 고딕" w:hAnsi="Times New Roman"/>
          <w:sz w:val="20"/>
          <w:szCs w:val="20"/>
          <w:lang w:eastAsia="ko-KR"/>
        </w:rPr>
      </w:pPr>
    </w:p>
    <w:p w14:paraId="7C0FABA1" w14:textId="77777777" w:rsidR="009A53E1" w:rsidRPr="00137482" w:rsidRDefault="009A53E1" w:rsidP="009A53E1">
      <w:pPr>
        <w:adjustRightInd w:val="0"/>
        <w:snapToGrid w:val="0"/>
        <w:spacing w:after="0"/>
        <w:rPr>
          <w:rFonts w:ascii="Times New Roman" w:eastAsia="맑은 고딕" w:hAnsi="Times New Roman"/>
          <w:sz w:val="20"/>
          <w:szCs w:val="20"/>
          <w:u w:val="single"/>
          <w:lang w:eastAsia="ko-KR"/>
        </w:rPr>
      </w:pPr>
      <w:r w:rsidRPr="00137482">
        <w:rPr>
          <w:rFonts w:ascii="Times New Roman" w:eastAsia="맑은 고딕" w:hAnsi="Times New Roman"/>
          <w:sz w:val="20"/>
          <w:szCs w:val="20"/>
          <w:u w:val="single"/>
          <w:lang w:eastAsia="ko-KR"/>
        </w:rPr>
        <w:t>Additional $15,000 to Project 35B</w:t>
      </w:r>
    </w:p>
    <w:p w14:paraId="00383102" w14:textId="77777777" w:rsidR="009A53E1" w:rsidRPr="00137482" w:rsidRDefault="009A53E1" w:rsidP="009A53E1">
      <w:pPr>
        <w:adjustRightInd w:val="0"/>
        <w:snapToGrid w:val="0"/>
        <w:spacing w:after="0"/>
        <w:ind w:left="72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Australia has provided access to their quarantine and sample storage infrastructure through CSIRO. To date this has been an in-kind contribution to the operation of the tuna tissue bank. The challenge is that although the samples are stored, they are not curated which makes access when needed very difficult and time consuming. It is also creating problems with quarantine data. This work would see the samples curated at the Brisbane site on an ongoing basis and eliminate the quarantine issues. CSIRO can commit to the in-kind contribution of maintaining space and transfer of specimens on an ongoing basis with this funding for sorting and curation.)</w:t>
      </w:r>
    </w:p>
    <w:p w14:paraId="06BCD466" w14:textId="77777777" w:rsidR="009A53E1" w:rsidRPr="00137482" w:rsidRDefault="009A53E1" w:rsidP="009A53E1">
      <w:pPr>
        <w:adjustRightInd w:val="0"/>
        <w:snapToGrid w:val="0"/>
        <w:spacing w:after="0"/>
        <w:ind w:left="720"/>
        <w:rPr>
          <w:rFonts w:ascii="Times New Roman" w:eastAsia="맑은 고딕" w:hAnsi="Times New Roman"/>
          <w:sz w:val="20"/>
          <w:szCs w:val="20"/>
          <w:lang w:eastAsia="ko-KR"/>
        </w:rPr>
      </w:pPr>
    </w:p>
    <w:p w14:paraId="152D0927" w14:textId="77777777" w:rsidR="009A53E1" w:rsidRPr="00137482" w:rsidRDefault="009A53E1" w:rsidP="009A53E1">
      <w:pPr>
        <w:adjustRightInd w:val="0"/>
        <w:snapToGrid w:val="0"/>
        <w:spacing w:after="0"/>
        <w:ind w:left="720"/>
        <w:rPr>
          <w:rFonts w:ascii="Times New Roman" w:eastAsia="MS Mincho" w:hAnsi="Times New Roman"/>
          <w:sz w:val="20"/>
          <w:szCs w:val="20"/>
          <w:lang w:eastAsia="ja-JP"/>
        </w:rPr>
      </w:pPr>
      <w:r w:rsidRPr="00137482">
        <w:rPr>
          <w:rFonts w:ascii="Times New Roman" w:eastAsia="MS Mincho" w:hAnsi="Times New Roman"/>
          <w:sz w:val="20"/>
          <w:szCs w:val="20"/>
          <w:lang w:eastAsia="ja-JP"/>
        </w:rPr>
        <w:t xml:space="preserve">This proposal is to extend aspects of the existing WCPFC tissue bank. The funding is additional to the existing ongoing budget for Project 35b. The scope of this extension work is to curate and store specimens at an additional site. </w:t>
      </w:r>
    </w:p>
    <w:p w14:paraId="7BC4D294" w14:textId="77777777" w:rsidR="009A53E1" w:rsidRPr="00137482" w:rsidRDefault="009A53E1" w:rsidP="009A53E1">
      <w:pPr>
        <w:adjustRightInd w:val="0"/>
        <w:snapToGrid w:val="0"/>
        <w:spacing w:after="0"/>
        <w:ind w:left="720"/>
        <w:rPr>
          <w:rFonts w:ascii="Times New Roman" w:eastAsia="MS Mincho" w:hAnsi="Times New Roman"/>
          <w:sz w:val="20"/>
          <w:szCs w:val="20"/>
          <w:lang w:eastAsia="ja-JP"/>
        </w:rPr>
      </w:pPr>
    </w:p>
    <w:p w14:paraId="48CF7C47" w14:textId="77777777" w:rsidR="009A53E1" w:rsidRPr="00137482" w:rsidRDefault="009A53E1" w:rsidP="009A53E1">
      <w:pPr>
        <w:adjustRightInd w:val="0"/>
        <w:snapToGrid w:val="0"/>
        <w:spacing w:after="0"/>
        <w:ind w:left="720"/>
        <w:rPr>
          <w:rFonts w:ascii="Times New Roman" w:eastAsia="MS Mincho" w:hAnsi="Times New Roman"/>
          <w:sz w:val="20"/>
          <w:szCs w:val="20"/>
          <w:lang w:eastAsia="ja-JP"/>
        </w:rPr>
      </w:pPr>
      <w:r w:rsidRPr="00137482">
        <w:rPr>
          <w:rFonts w:ascii="Times New Roman" w:eastAsia="MS Mincho" w:hAnsi="Times New Roman"/>
          <w:sz w:val="20"/>
          <w:szCs w:val="20"/>
          <w:lang w:eastAsia="ja-JP"/>
        </w:rPr>
        <w:t>The specific work is to:</w:t>
      </w:r>
    </w:p>
    <w:p w14:paraId="5ADF7F4A" w14:textId="77777777" w:rsidR="009A53E1" w:rsidRPr="00137482" w:rsidRDefault="009A53E1" w:rsidP="0074425A">
      <w:pPr>
        <w:pStyle w:val="NoSpacing"/>
        <w:numPr>
          <w:ilvl w:val="0"/>
          <w:numId w:val="152"/>
        </w:numPr>
        <w:adjustRightInd w:val="0"/>
        <w:snapToGrid w:val="0"/>
        <w:ind w:left="1440"/>
        <w:jc w:val="both"/>
        <w:rPr>
          <w:rFonts w:ascii="Times New Roman" w:hAnsi="Times New Roman" w:cs="Times New Roman"/>
          <w:sz w:val="20"/>
          <w:szCs w:val="20"/>
          <w:lang w:eastAsia="ja-JP"/>
        </w:rPr>
      </w:pPr>
      <w:r w:rsidRPr="00137482">
        <w:rPr>
          <w:rFonts w:ascii="Times New Roman" w:hAnsi="Times New Roman" w:cs="Times New Roman"/>
          <w:sz w:val="20"/>
          <w:szCs w:val="20"/>
          <w:lang w:eastAsia="ja-JP"/>
        </w:rPr>
        <w:t>Sort specimens on arrival and reconcile with quarantine data</w:t>
      </w:r>
    </w:p>
    <w:p w14:paraId="4B232F5F" w14:textId="77777777" w:rsidR="009A53E1" w:rsidRPr="00137482" w:rsidRDefault="009A53E1" w:rsidP="0074425A">
      <w:pPr>
        <w:pStyle w:val="NoSpacing"/>
        <w:numPr>
          <w:ilvl w:val="0"/>
          <w:numId w:val="152"/>
        </w:numPr>
        <w:adjustRightInd w:val="0"/>
        <w:snapToGrid w:val="0"/>
        <w:ind w:left="1440"/>
        <w:jc w:val="both"/>
        <w:rPr>
          <w:rFonts w:ascii="Times New Roman" w:hAnsi="Times New Roman" w:cs="Times New Roman"/>
          <w:sz w:val="20"/>
          <w:szCs w:val="20"/>
          <w:lang w:eastAsia="ja-JP"/>
        </w:rPr>
      </w:pPr>
      <w:r w:rsidRPr="00137482">
        <w:rPr>
          <w:rFonts w:ascii="Times New Roman" w:hAnsi="Times New Roman" w:cs="Times New Roman"/>
          <w:sz w:val="20"/>
          <w:szCs w:val="20"/>
          <w:lang w:eastAsia="ja-JP"/>
        </w:rPr>
        <w:t>Enter data describing specimens received into BioDaSys</w:t>
      </w:r>
    </w:p>
    <w:p w14:paraId="1FDD2229" w14:textId="77777777" w:rsidR="009A53E1" w:rsidRPr="00137482" w:rsidRDefault="009A53E1" w:rsidP="0074425A">
      <w:pPr>
        <w:pStyle w:val="NoSpacing"/>
        <w:numPr>
          <w:ilvl w:val="0"/>
          <w:numId w:val="152"/>
        </w:numPr>
        <w:adjustRightInd w:val="0"/>
        <w:snapToGrid w:val="0"/>
        <w:ind w:left="1440"/>
        <w:jc w:val="both"/>
        <w:rPr>
          <w:rFonts w:ascii="Times New Roman" w:hAnsi="Times New Roman" w:cs="Times New Roman"/>
          <w:sz w:val="20"/>
          <w:szCs w:val="20"/>
          <w:lang w:eastAsia="ja-JP"/>
        </w:rPr>
      </w:pPr>
      <w:r w:rsidRPr="00137482">
        <w:rPr>
          <w:rFonts w:ascii="Times New Roman" w:hAnsi="Times New Roman" w:cs="Times New Roman"/>
          <w:sz w:val="20"/>
          <w:szCs w:val="20"/>
          <w:lang w:eastAsia="ja-JP"/>
        </w:rPr>
        <w:t>Store specimens systematically so that they can be retrieved when requested</w:t>
      </w:r>
    </w:p>
    <w:p w14:paraId="01743FC9" w14:textId="77777777" w:rsidR="009A53E1" w:rsidRPr="00137482" w:rsidRDefault="009A53E1" w:rsidP="009A53E1">
      <w:pPr>
        <w:adjustRightInd w:val="0"/>
        <w:snapToGrid w:val="0"/>
        <w:spacing w:after="0"/>
        <w:ind w:left="720"/>
        <w:rPr>
          <w:rFonts w:ascii="Times New Roman" w:eastAsia="맑은 고딕" w:hAnsi="Times New Roman"/>
          <w:sz w:val="20"/>
          <w:szCs w:val="20"/>
          <w:lang w:eastAsia="ko-KR"/>
        </w:rPr>
      </w:pPr>
      <w:r w:rsidRPr="00137482">
        <w:rPr>
          <w:rFonts w:ascii="Times New Roman" w:hAnsi="Times New Roman"/>
          <w:sz w:val="20"/>
          <w:szCs w:val="20"/>
          <w:lang w:eastAsia="ja-JP"/>
        </w:rPr>
        <w:t>Laboratory and storage materials to complete curation</w:t>
      </w:r>
    </w:p>
    <w:p w14:paraId="63BFC108" w14:textId="77777777" w:rsidR="009A53E1" w:rsidRPr="00137482" w:rsidRDefault="009A53E1" w:rsidP="009A53E1">
      <w:pPr>
        <w:adjustRightInd w:val="0"/>
        <w:snapToGrid w:val="0"/>
        <w:spacing w:after="0"/>
        <w:rPr>
          <w:rFonts w:ascii="Times New Roman" w:eastAsia="맑은 고딕" w:hAnsi="Times New Roman"/>
          <w:b/>
          <w:caps/>
          <w:sz w:val="20"/>
          <w:szCs w:val="20"/>
          <w:lang w:eastAsia="ko-KR"/>
        </w:rPr>
      </w:pPr>
    </w:p>
    <w:p w14:paraId="4E5D46E5" w14:textId="77777777" w:rsidR="009A53E1" w:rsidRPr="00137482" w:rsidRDefault="009A53E1" w:rsidP="009A53E1">
      <w:pPr>
        <w:adjustRightInd w:val="0"/>
        <w:snapToGrid w:val="0"/>
        <w:spacing w:after="0"/>
        <w:rPr>
          <w:rFonts w:ascii="Times New Roman" w:eastAsia="맑은 고딕" w:hAnsi="Times New Roman"/>
          <w:b/>
          <w:caps/>
          <w:sz w:val="20"/>
          <w:szCs w:val="20"/>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A53E1" w:rsidRPr="00137482" w14:paraId="6E146C8D" w14:textId="77777777" w:rsidTr="00C06F80">
        <w:tc>
          <w:tcPr>
            <w:tcW w:w="9576" w:type="dxa"/>
          </w:tcPr>
          <w:p w14:paraId="6B758F36" w14:textId="77777777" w:rsidR="009A53E1" w:rsidRPr="00137482" w:rsidRDefault="009A53E1" w:rsidP="00C06F80">
            <w:pPr>
              <w:adjustRightInd w:val="0"/>
              <w:snapToGrid w:val="0"/>
              <w:spacing w:after="0"/>
              <w:rPr>
                <w:rFonts w:ascii="Times New Roman" w:eastAsia="맑은 고딕" w:hAnsi="Times New Roman"/>
                <w:b/>
                <w:caps/>
                <w:sz w:val="20"/>
                <w:szCs w:val="20"/>
                <w:lang w:eastAsia="ko-KR"/>
              </w:rPr>
            </w:pPr>
            <w:r w:rsidRPr="00137482">
              <w:rPr>
                <w:rFonts w:ascii="Times New Roman" w:hAnsi="Times New Roman"/>
                <w:b/>
                <w:caps/>
                <w:sz w:val="20"/>
                <w:szCs w:val="20"/>
                <w:lang w:eastAsia="ko-KR"/>
              </w:rPr>
              <w:t xml:space="preserve">Project 42 </w:t>
            </w:r>
            <w:r w:rsidRPr="00137482">
              <w:rPr>
                <w:rFonts w:ascii="Times New Roman" w:eastAsia="맑은 고딕" w:hAnsi="Times New Roman"/>
                <w:b/>
                <w:caps/>
                <w:sz w:val="20"/>
                <w:szCs w:val="20"/>
                <w:lang w:eastAsia="ko-KR"/>
              </w:rPr>
              <w:t>(REVISED PROPOSAL)</w:t>
            </w:r>
          </w:p>
          <w:p w14:paraId="18040A86" w14:textId="77777777" w:rsidR="009A53E1" w:rsidRPr="00137482" w:rsidRDefault="009A53E1" w:rsidP="00C06F80">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lang w:eastAsia="ko-KR"/>
              </w:rPr>
              <w:t>Pacific Tuna Tagging Programme (PTTP)</w:t>
            </w:r>
          </w:p>
        </w:tc>
      </w:tr>
    </w:tbl>
    <w:p w14:paraId="20954E11" w14:textId="77777777" w:rsidR="009A53E1" w:rsidRPr="00137482" w:rsidRDefault="009A53E1" w:rsidP="009A53E1">
      <w:pPr>
        <w:adjustRightInd w:val="0"/>
        <w:snapToGrid w:val="0"/>
        <w:spacing w:after="0"/>
        <w:rPr>
          <w:rFonts w:ascii="Times New Roman" w:hAnsi="Times New Roman"/>
          <w:sz w:val="20"/>
          <w:szCs w:val="20"/>
        </w:rPr>
      </w:pPr>
    </w:p>
    <w:p w14:paraId="1AE0AAC9" w14:textId="58C55774" w:rsidR="009A53E1" w:rsidRPr="00137482" w:rsidRDefault="009A53E1" w:rsidP="009A53E1">
      <w:pPr>
        <w:adjustRightInd w:val="0"/>
        <w:snapToGrid w:val="0"/>
        <w:spacing w:after="0"/>
        <w:rPr>
          <w:rFonts w:ascii="Times New Roman" w:eastAsia="MS Mincho" w:hAnsi="Times New Roman"/>
          <w:sz w:val="20"/>
          <w:szCs w:val="20"/>
          <w:lang w:eastAsia="ja-JP"/>
        </w:rPr>
      </w:pPr>
      <w:r w:rsidRPr="00137482">
        <w:rPr>
          <w:rFonts w:ascii="Times New Roman" w:eastAsia="MS Mincho" w:hAnsi="Times New Roman"/>
          <w:sz w:val="20"/>
          <w:szCs w:val="20"/>
          <w:lang w:eastAsia="ja-JP"/>
        </w:rPr>
        <w:t xml:space="preserve">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SC13-RP-01 and SC-13-RP-02 highlight implementation of that approach and this project will support continuation in the medium term. Under this plan, a SKJ+YFT (PL) research voyage will occur in 2017 and 2019, and a </w:t>
      </w:r>
      <w:r w:rsidR="00977B42">
        <w:rPr>
          <w:rFonts w:ascii="Times New Roman" w:eastAsia="MS Mincho" w:hAnsi="Times New Roman"/>
          <w:sz w:val="20"/>
          <w:szCs w:val="20"/>
          <w:lang w:eastAsia="ja-JP"/>
        </w:rPr>
        <w:t>BET</w:t>
      </w:r>
      <w:r w:rsidRPr="00137482">
        <w:rPr>
          <w:rFonts w:ascii="Times New Roman" w:eastAsia="MS Mincho" w:hAnsi="Times New Roman"/>
          <w:sz w:val="20"/>
          <w:szCs w:val="20"/>
          <w:lang w:eastAsia="ja-JP"/>
        </w:rPr>
        <w:t xml:space="preserve"> (HL) research voyage will occur in 2018 and 2020.</w:t>
      </w:r>
    </w:p>
    <w:p w14:paraId="380494DF" w14:textId="77777777" w:rsidR="009A53E1" w:rsidRPr="00137482" w:rsidRDefault="009A53E1" w:rsidP="009A53E1">
      <w:pPr>
        <w:adjustRightInd w:val="0"/>
        <w:snapToGrid w:val="0"/>
        <w:spacing w:after="0"/>
        <w:rPr>
          <w:rFonts w:ascii="Times New Roman" w:eastAsia="MS Mincho" w:hAnsi="Times New Roman"/>
          <w:sz w:val="20"/>
          <w:szCs w:val="20"/>
          <w:lang w:eastAsia="ja-JP"/>
        </w:rPr>
      </w:pPr>
    </w:p>
    <w:p w14:paraId="22CFFD2A" w14:textId="5FCC8CEA" w:rsidR="009A53E1" w:rsidRPr="00137482" w:rsidRDefault="009A53E1" w:rsidP="009A53E1">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 xml:space="preserve">The following funding support would be required to implement this work, which would target the release of 20,000 </w:t>
      </w:r>
      <w:r w:rsidR="00977B42">
        <w:rPr>
          <w:rFonts w:ascii="Times New Roman" w:eastAsia="MS Mincho" w:hAnsi="Times New Roman"/>
          <w:sz w:val="20"/>
          <w:szCs w:val="20"/>
          <w:lang w:eastAsia="ja-JP"/>
        </w:rPr>
        <w:t>skipjack tuna</w:t>
      </w:r>
      <w:r w:rsidRPr="00137482">
        <w:rPr>
          <w:rFonts w:ascii="Times New Roman" w:eastAsia="MS Mincho" w:hAnsi="Times New Roman"/>
          <w:sz w:val="20"/>
          <w:szCs w:val="20"/>
          <w:lang w:eastAsia="ja-JP"/>
        </w:rPr>
        <w:t xml:space="preserve"> and 5,000 </w:t>
      </w:r>
      <w:r w:rsidR="00977B42">
        <w:rPr>
          <w:rFonts w:ascii="Times New Roman" w:eastAsia="MS Mincho" w:hAnsi="Times New Roman"/>
          <w:sz w:val="20"/>
          <w:szCs w:val="20"/>
          <w:lang w:eastAsia="ja-JP"/>
        </w:rPr>
        <w:t>yellowfin tuna</w:t>
      </w:r>
      <w:r w:rsidRPr="00137482">
        <w:rPr>
          <w:rFonts w:ascii="Times New Roman" w:eastAsia="MS Mincho" w:hAnsi="Times New Roman"/>
          <w:sz w:val="20"/>
          <w:szCs w:val="20"/>
          <w:lang w:eastAsia="ja-JP"/>
        </w:rPr>
        <w:t xml:space="preserve"> in each pole-and-line cruise and 2,000 </w:t>
      </w:r>
      <w:r w:rsidR="00977B42">
        <w:rPr>
          <w:rFonts w:ascii="Times New Roman" w:eastAsia="MS Mincho" w:hAnsi="Times New Roman"/>
          <w:sz w:val="20"/>
          <w:szCs w:val="20"/>
          <w:lang w:eastAsia="ja-JP"/>
        </w:rPr>
        <w:t>bigeye tuna</w:t>
      </w:r>
      <w:r w:rsidRPr="00137482">
        <w:rPr>
          <w:rFonts w:ascii="Times New Roman" w:eastAsia="MS Mincho" w:hAnsi="Times New Roman"/>
          <w:sz w:val="20"/>
          <w:szCs w:val="20"/>
          <w:lang w:eastAsia="ja-JP"/>
        </w:rPr>
        <w:t xml:space="preserve"> in each handline fishing cruise. The two budget columns below refer to the alternating years targeting SKJ/YFT and </w:t>
      </w:r>
      <w:r w:rsidR="00FC4173">
        <w:rPr>
          <w:rFonts w:ascii="Times New Roman" w:eastAsia="MS Mincho" w:hAnsi="Times New Roman"/>
          <w:sz w:val="20"/>
          <w:szCs w:val="20"/>
          <w:lang w:eastAsia="ja-JP"/>
        </w:rPr>
        <w:t>BET</w:t>
      </w:r>
      <w:r w:rsidRPr="00137482">
        <w:rPr>
          <w:rFonts w:ascii="Times New Roman" w:eastAsia="MS Mincho" w:hAnsi="Times New Roman"/>
          <w:sz w:val="20"/>
          <w:szCs w:val="20"/>
          <w:lang w:eastAsia="ja-JP"/>
        </w:rPr>
        <w:t>:</w:t>
      </w:r>
    </w:p>
    <w:p w14:paraId="202FF90B" w14:textId="77777777" w:rsidR="009A53E1" w:rsidRPr="00137482" w:rsidRDefault="009A53E1" w:rsidP="009A53E1">
      <w:pPr>
        <w:adjustRightInd w:val="0"/>
        <w:snapToGrid w:val="0"/>
        <w:spacing w:after="0"/>
        <w:rPr>
          <w:rFonts w:ascii="Times New Roman" w:eastAsia="맑은 고딕" w:hAnsi="Times New Roman"/>
          <w:sz w:val="20"/>
          <w:szCs w:val="20"/>
          <w:lang w:eastAsia="ko-KR"/>
        </w:rPr>
      </w:pPr>
    </w:p>
    <w:tbl>
      <w:tblPr>
        <w:tblStyle w:val="TableGrid"/>
        <w:tblW w:w="0" w:type="auto"/>
        <w:tblInd w:w="144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364"/>
        <w:gridCol w:w="1878"/>
        <w:gridCol w:w="1878"/>
      </w:tblGrid>
      <w:tr w:rsidR="009A53E1" w:rsidRPr="00137482" w14:paraId="1E4F796C" w14:textId="77777777" w:rsidTr="00C06F80">
        <w:tc>
          <w:tcPr>
            <w:tcW w:w="2364" w:type="dxa"/>
            <w:tcBorders>
              <w:bottom w:val="single" w:sz="4" w:space="0" w:color="000000" w:themeColor="text1"/>
            </w:tcBorders>
          </w:tcPr>
          <w:p w14:paraId="6B71EB18"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Budget item</w:t>
            </w:r>
          </w:p>
        </w:tc>
        <w:tc>
          <w:tcPr>
            <w:tcW w:w="1878" w:type="dxa"/>
            <w:tcBorders>
              <w:bottom w:val="single" w:sz="4" w:space="0" w:color="000000" w:themeColor="text1"/>
            </w:tcBorders>
          </w:tcPr>
          <w:p w14:paraId="0C54D83B"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SKJ+YFT (PL)</w:t>
            </w:r>
          </w:p>
        </w:tc>
        <w:tc>
          <w:tcPr>
            <w:tcW w:w="1878" w:type="dxa"/>
            <w:tcBorders>
              <w:bottom w:val="single" w:sz="4" w:space="0" w:color="000000" w:themeColor="text1"/>
            </w:tcBorders>
          </w:tcPr>
          <w:p w14:paraId="2DF8011D"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BET (HL)</w:t>
            </w:r>
          </w:p>
        </w:tc>
      </w:tr>
      <w:tr w:rsidR="009A53E1" w:rsidRPr="00137482" w14:paraId="67E17CF5" w14:textId="77777777" w:rsidTr="00C06F80">
        <w:tc>
          <w:tcPr>
            <w:tcW w:w="2364" w:type="dxa"/>
            <w:tcBorders>
              <w:bottom w:val="nil"/>
            </w:tcBorders>
          </w:tcPr>
          <w:p w14:paraId="69F1ED70"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Vessel charter</w:t>
            </w:r>
          </w:p>
        </w:tc>
        <w:tc>
          <w:tcPr>
            <w:tcW w:w="1878" w:type="dxa"/>
            <w:tcBorders>
              <w:bottom w:val="nil"/>
            </w:tcBorders>
          </w:tcPr>
          <w:p w14:paraId="012ECD4A"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600,000</w:t>
            </w:r>
            <w:r w:rsidRPr="00137482">
              <w:rPr>
                <w:rFonts w:ascii="Times New Roman" w:eastAsia="MS Mincho" w:hAnsi="Times New Roman"/>
                <w:sz w:val="20"/>
                <w:szCs w:val="20"/>
                <w:lang w:eastAsia="ja-JP"/>
              </w:rPr>
              <w:tab/>
            </w:r>
          </w:p>
        </w:tc>
        <w:tc>
          <w:tcPr>
            <w:tcW w:w="1878" w:type="dxa"/>
            <w:tcBorders>
              <w:bottom w:val="nil"/>
            </w:tcBorders>
          </w:tcPr>
          <w:p w14:paraId="7B863D10"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300,000</w:t>
            </w:r>
          </w:p>
        </w:tc>
      </w:tr>
      <w:tr w:rsidR="009A53E1" w:rsidRPr="00137482" w14:paraId="31022C43" w14:textId="77777777" w:rsidTr="00C06F80">
        <w:tc>
          <w:tcPr>
            <w:tcW w:w="2364" w:type="dxa"/>
            <w:tcBorders>
              <w:top w:val="nil"/>
              <w:bottom w:val="nil"/>
            </w:tcBorders>
          </w:tcPr>
          <w:p w14:paraId="5083A8D5"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Tags/equipment</w:t>
            </w:r>
          </w:p>
        </w:tc>
        <w:tc>
          <w:tcPr>
            <w:tcW w:w="1878" w:type="dxa"/>
            <w:tcBorders>
              <w:top w:val="nil"/>
              <w:bottom w:val="nil"/>
            </w:tcBorders>
          </w:tcPr>
          <w:p w14:paraId="65F0C772"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150,000</w:t>
            </w:r>
          </w:p>
        </w:tc>
        <w:tc>
          <w:tcPr>
            <w:tcW w:w="1878" w:type="dxa"/>
            <w:tcBorders>
              <w:top w:val="nil"/>
              <w:bottom w:val="nil"/>
            </w:tcBorders>
          </w:tcPr>
          <w:p w14:paraId="612058F9"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100,000</w:t>
            </w:r>
          </w:p>
        </w:tc>
      </w:tr>
      <w:tr w:rsidR="009A53E1" w:rsidRPr="00137482" w14:paraId="7FEEC6D1" w14:textId="77777777" w:rsidTr="00C06F80">
        <w:tc>
          <w:tcPr>
            <w:tcW w:w="2364" w:type="dxa"/>
            <w:tcBorders>
              <w:top w:val="nil"/>
              <w:bottom w:val="nil"/>
            </w:tcBorders>
          </w:tcPr>
          <w:p w14:paraId="3B68DE15"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Personnel</w:t>
            </w:r>
          </w:p>
        </w:tc>
        <w:tc>
          <w:tcPr>
            <w:tcW w:w="1878" w:type="dxa"/>
            <w:tcBorders>
              <w:top w:val="nil"/>
              <w:bottom w:val="nil"/>
            </w:tcBorders>
          </w:tcPr>
          <w:p w14:paraId="411C9A01"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150,000</w:t>
            </w:r>
          </w:p>
        </w:tc>
        <w:tc>
          <w:tcPr>
            <w:tcW w:w="1878" w:type="dxa"/>
            <w:tcBorders>
              <w:top w:val="nil"/>
              <w:bottom w:val="nil"/>
            </w:tcBorders>
          </w:tcPr>
          <w:p w14:paraId="014CF20E"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100,000</w:t>
            </w:r>
          </w:p>
        </w:tc>
      </w:tr>
      <w:tr w:rsidR="009A53E1" w:rsidRPr="00137482" w14:paraId="3E17229B" w14:textId="77777777" w:rsidTr="00C06F80">
        <w:tc>
          <w:tcPr>
            <w:tcW w:w="2364" w:type="dxa"/>
            <w:tcBorders>
              <w:top w:val="nil"/>
              <w:bottom w:val="nil"/>
            </w:tcBorders>
          </w:tcPr>
          <w:p w14:paraId="064E47ED"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Tag recovery</w:t>
            </w:r>
          </w:p>
        </w:tc>
        <w:tc>
          <w:tcPr>
            <w:tcW w:w="1878" w:type="dxa"/>
            <w:tcBorders>
              <w:top w:val="nil"/>
              <w:bottom w:val="nil"/>
            </w:tcBorders>
          </w:tcPr>
          <w:p w14:paraId="042A01AE"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300,000</w:t>
            </w:r>
            <w:r w:rsidRPr="00137482">
              <w:rPr>
                <w:rFonts w:ascii="Times New Roman" w:eastAsia="MS Mincho" w:hAnsi="Times New Roman"/>
                <w:sz w:val="20"/>
                <w:szCs w:val="20"/>
                <w:lang w:eastAsia="ja-JP"/>
              </w:rPr>
              <w:tab/>
            </w:r>
          </w:p>
        </w:tc>
        <w:tc>
          <w:tcPr>
            <w:tcW w:w="1878" w:type="dxa"/>
            <w:tcBorders>
              <w:top w:val="nil"/>
              <w:bottom w:val="nil"/>
            </w:tcBorders>
          </w:tcPr>
          <w:p w14:paraId="5A8F14A0"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100,000</w:t>
            </w:r>
          </w:p>
        </w:tc>
      </w:tr>
      <w:tr w:rsidR="009A53E1" w:rsidRPr="00137482" w14:paraId="6B6AB6BF" w14:textId="77777777" w:rsidTr="00C06F80">
        <w:tc>
          <w:tcPr>
            <w:tcW w:w="2364" w:type="dxa"/>
            <w:tcBorders>
              <w:top w:val="nil"/>
            </w:tcBorders>
          </w:tcPr>
          <w:p w14:paraId="18975E0A"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Admin/reporting</w:t>
            </w:r>
          </w:p>
        </w:tc>
        <w:tc>
          <w:tcPr>
            <w:tcW w:w="1878" w:type="dxa"/>
            <w:tcBorders>
              <w:top w:val="nil"/>
            </w:tcBorders>
          </w:tcPr>
          <w:p w14:paraId="01FF7549"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180,000</w:t>
            </w:r>
          </w:p>
        </w:tc>
        <w:tc>
          <w:tcPr>
            <w:tcW w:w="1878" w:type="dxa"/>
            <w:tcBorders>
              <w:top w:val="nil"/>
            </w:tcBorders>
          </w:tcPr>
          <w:p w14:paraId="40432838" w14:textId="77777777" w:rsidR="009A53E1" w:rsidRPr="00137482" w:rsidRDefault="009A53E1" w:rsidP="00C06F80">
            <w:pPr>
              <w:adjustRightInd w:val="0"/>
              <w:snapToGrid w:val="0"/>
              <w:spacing w:after="0"/>
              <w:rPr>
                <w:rFonts w:ascii="Times New Roman" w:eastAsia="맑은 고딕" w:hAnsi="Times New Roman"/>
                <w:sz w:val="20"/>
                <w:szCs w:val="20"/>
                <w:lang w:eastAsia="ko-KR"/>
              </w:rPr>
            </w:pPr>
            <w:r w:rsidRPr="00137482">
              <w:rPr>
                <w:rFonts w:ascii="Times New Roman" w:eastAsia="MS Mincho" w:hAnsi="Times New Roman"/>
                <w:sz w:val="20"/>
                <w:szCs w:val="20"/>
                <w:lang w:eastAsia="ja-JP"/>
              </w:rPr>
              <w:t>90,000</w:t>
            </w:r>
          </w:p>
        </w:tc>
      </w:tr>
      <w:tr w:rsidR="009A53E1" w:rsidRPr="00137482" w14:paraId="1AFD2E12" w14:textId="77777777" w:rsidTr="00C06F80">
        <w:tc>
          <w:tcPr>
            <w:tcW w:w="2364" w:type="dxa"/>
          </w:tcPr>
          <w:p w14:paraId="77F1BC63"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TOTAL</w:t>
            </w:r>
          </w:p>
        </w:tc>
        <w:tc>
          <w:tcPr>
            <w:tcW w:w="1878" w:type="dxa"/>
          </w:tcPr>
          <w:p w14:paraId="0FD51DAD"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1,380,000</w:t>
            </w:r>
          </w:p>
        </w:tc>
        <w:tc>
          <w:tcPr>
            <w:tcW w:w="1878" w:type="dxa"/>
          </w:tcPr>
          <w:p w14:paraId="7DE02520"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MS Mincho" w:hAnsi="Times New Roman"/>
                <w:b/>
                <w:sz w:val="20"/>
                <w:szCs w:val="20"/>
                <w:lang w:eastAsia="ja-JP"/>
              </w:rPr>
              <w:t>690,000</w:t>
            </w:r>
          </w:p>
        </w:tc>
      </w:tr>
    </w:tbl>
    <w:p w14:paraId="7DDD1C29" w14:textId="77777777" w:rsidR="009A53E1" w:rsidRPr="00137482" w:rsidRDefault="009A53E1" w:rsidP="009A53E1">
      <w:pPr>
        <w:pStyle w:val="Heading1"/>
        <w:adjustRightInd w:val="0"/>
        <w:snapToGrid w:val="0"/>
        <w:jc w:val="both"/>
        <w:rPr>
          <w:rFonts w:ascii="Times New Roman" w:hAnsi="Times New Roman"/>
          <w:sz w:val="20"/>
          <w:szCs w:val="20"/>
          <w:lang w:eastAsia="ko-KR"/>
        </w:rPr>
      </w:pPr>
    </w:p>
    <w:p w14:paraId="268E56DE" w14:textId="77777777" w:rsidR="009A53E1" w:rsidRPr="00137482" w:rsidRDefault="009A53E1" w:rsidP="009A53E1">
      <w:pPr>
        <w:adjustRightInd w:val="0"/>
        <w:snapToGrid w:val="0"/>
        <w:spacing w:after="0"/>
        <w:rPr>
          <w:rFonts w:ascii="Times New Roman" w:hAnsi="Times New Roman"/>
          <w:sz w:val="20"/>
          <w:szCs w:val="20"/>
          <w:lang w:val="en-AU"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A53E1" w:rsidRPr="00137482" w14:paraId="47DF78B4" w14:textId="77777777" w:rsidTr="00C06F80">
        <w:tc>
          <w:tcPr>
            <w:tcW w:w="9576" w:type="dxa"/>
          </w:tcPr>
          <w:p w14:paraId="3DA753CC" w14:textId="77777777" w:rsidR="009A53E1" w:rsidRPr="00137482" w:rsidRDefault="009A53E1" w:rsidP="00C06F80">
            <w:pPr>
              <w:pStyle w:val="Heading1"/>
              <w:adjustRightInd w:val="0"/>
              <w:snapToGrid w:val="0"/>
              <w:jc w:val="both"/>
              <w:outlineLvl w:val="0"/>
              <w:rPr>
                <w:rFonts w:ascii="Times New Roman" w:hAnsi="Times New Roman"/>
                <w:sz w:val="20"/>
                <w:szCs w:val="20"/>
                <w:lang w:eastAsia="ko-KR"/>
              </w:rPr>
            </w:pPr>
            <w:r w:rsidRPr="00137482">
              <w:rPr>
                <w:rFonts w:ascii="Times New Roman" w:hAnsi="Times New Roman"/>
                <w:sz w:val="20"/>
                <w:szCs w:val="20"/>
                <w:lang w:eastAsia="ko-KR"/>
              </w:rPr>
              <w:t>PROJECT 57</w:t>
            </w:r>
          </w:p>
          <w:p w14:paraId="57468815" w14:textId="77777777" w:rsidR="009A53E1" w:rsidRPr="00137482" w:rsidRDefault="009A53E1" w:rsidP="00C06F80">
            <w:pPr>
              <w:adjustRightInd w:val="0"/>
              <w:snapToGrid w:val="0"/>
              <w:spacing w:after="0"/>
              <w:rPr>
                <w:rFonts w:ascii="Times New Roman" w:hAnsi="Times New Roman"/>
                <w:sz w:val="20"/>
                <w:szCs w:val="20"/>
                <w:lang w:eastAsia="ko-KR"/>
              </w:rPr>
            </w:pPr>
            <w:r w:rsidRPr="00137482">
              <w:rPr>
                <w:rFonts w:ascii="Times New Roman" w:hAnsi="Times New Roman"/>
                <w:b/>
                <w:sz w:val="20"/>
                <w:szCs w:val="20"/>
              </w:rPr>
              <w:t>Identifying appropriate Limit Reference Points (LRPs) for elasmobranchs within the WCPFC</w:t>
            </w:r>
          </w:p>
        </w:tc>
      </w:tr>
    </w:tbl>
    <w:p w14:paraId="63265A85" w14:textId="77777777" w:rsidR="009A53E1" w:rsidRPr="00137482" w:rsidRDefault="009A53E1" w:rsidP="009A53E1">
      <w:pPr>
        <w:adjustRightInd w:val="0"/>
        <w:snapToGrid w:val="0"/>
        <w:spacing w:after="0"/>
        <w:rPr>
          <w:rFonts w:ascii="Times New Roman" w:hAnsi="Times New Roman"/>
          <w:b/>
          <w:sz w:val="20"/>
          <w:szCs w:val="20"/>
        </w:rPr>
      </w:pPr>
    </w:p>
    <w:p w14:paraId="516B84F2" w14:textId="77777777" w:rsidR="009A53E1" w:rsidRPr="00137482" w:rsidRDefault="009A53E1" w:rsidP="009A53E1">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Background:</w:t>
      </w:r>
    </w:p>
    <w:p w14:paraId="24D80F95"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14:paraId="0FDA8E8A" w14:textId="77777777" w:rsidR="009A53E1" w:rsidRPr="00137482" w:rsidRDefault="009A53E1" w:rsidP="009A53E1">
      <w:pPr>
        <w:adjustRightInd w:val="0"/>
        <w:snapToGrid w:val="0"/>
        <w:spacing w:after="0"/>
        <w:rPr>
          <w:rFonts w:ascii="Times New Roman" w:hAnsi="Times New Roman"/>
          <w:b/>
          <w:sz w:val="20"/>
          <w:szCs w:val="20"/>
          <w:lang w:eastAsia="ko-KR"/>
        </w:rPr>
      </w:pPr>
    </w:p>
    <w:p w14:paraId="4E9AFB94" w14:textId="77777777" w:rsidR="009A53E1" w:rsidRPr="00137482" w:rsidRDefault="009A53E1" w:rsidP="009A53E1">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Aim:</w:t>
      </w:r>
    </w:p>
    <w:p w14:paraId="2AB2467E" w14:textId="77777777" w:rsidR="009A53E1" w:rsidRPr="00137482" w:rsidRDefault="009A53E1" w:rsidP="009A53E1">
      <w:pPr>
        <w:adjustRightInd w:val="0"/>
        <w:snapToGrid w:val="0"/>
        <w:spacing w:after="0"/>
        <w:rPr>
          <w:rFonts w:ascii="Times New Roman" w:hAnsi="Times New Roman"/>
          <w:sz w:val="20"/>
          <w:szCs w:val="20"/>
          <w:lang w:eastAsia="ko-KR"/>
        </w:rPr>
      </w:pPr>
      <w:r w:rsidRPr="00137482">
        <w:rPr>
          <w:rFonts w:ascii="Times New Roman" w:hAnsi="Times New Roman"/>
          <w:sz w:val="20"/>
          <w:szCs w:val="20"/>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14:paraId="14470E91" w14:textId="77777777" w:rsidR="009A53E1" w:rsidRPr="00137482" w:rsidRDefault="009A53E1" w:rsidP="009A53E1">
      <w:pPr>
        <w:adjustRightInd w:val="0"/>
        <w:snapToGrid w:val="0"/>
        <w:spacing w:after="0"/>
        <w:rPr>
          <w:rFonts w:ascii="Times New Roman" w:hAnsi="Times New Roman"/>
          <w:sz w:val="20"/>
          <w:szCs w:val="20"/>
          <w:lang w:eastAsia="ko-KR"/>
        </w:rPr>
      </w:pPr>
    </w:p>
    <w:p w14:paraId="05068C66" w14:textId="77777777" w:rsidR="009A53E1" w:rsidRPr="00137482" w:rsidRDefault="009A53E1" w:rsidP="009A53E1">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Scope of Work:</w:t>
      </w:r>
    </w:p>
    <w:p w14:paraId="6744CF9D" w14:textId="77777777" w:rsidR="009A53E1" w:rsidRPr="00137482" w:rsidRDefault="009A53E1" w:rsidP="009A53E1">
      <w:pPr>
        <w:adjustRightInd w:val="0"/>
        <w:snapToGrid w:val="0"/>
        <w:spacing w:after="0"/>
        <w:rPr>
          <w:rFonts w:ascii="Times New Roman" w:hAnsi="Times New Roman"/>
          <w:sz w:val="20"/>
          <w:szCs w:val="20"/>
          <w:lang w:eastAsia="ko-KR"/>
        </w:rPr>
      </w:pPr>
      <w:r w:rsidRPr="00137482">
        <w:rPr>
          <w:rFonts w:ascii="Times New Roman" w:hAnsi="Times New Roman"/>
          <w:sz w:val="20"/>
          <w:szCs w:val="20"/>
        </w:rPr>
        <w:t>This project will facilitate a small workshop, or similar, of shark and stock assessment experts to undertake the following tasks:</w:t>
      </w:r>
    </w:p>
    <w:p w14:paraId="55DD9A78" w14:textId="77777777" w:rsidR="009A53E1" w:rsidRPr="00137482" w:rsidRDefault="009A53E1" w:rsidP="009A53E1">
      <w:pPr>
        <w:adjustRightInd w:val="0"/>
        <w:snapToGrid w:val="0"/>
        <w:spacing w:after="0"/>
        <w:rPr>
          <w:rFonts w:ascii="Times New Roman" w:hAnsi="Times New Roman"/>
          <w:sz w:val="20"/>
          <w:szCs w:val="20"/>
          <w:lang w:eastAsia="ko-KR"/>
        </w:rPr>
      </w:pPr>
    </w:p>
    <w:p w14:paraId="317BBEAB"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14:paraId="734E6E20" w14:textId="77777777" w:rsidR="009A53E1" w:rsidRPr="00137482" w:rsidRDefault="009A53E1" w:rsidP="009A53E1">
      <w:pPr>
        <w:pStyle w:val="ListParagraph"/>
        <w:adjustRightInd w:val="0"/>
        <w:snapToGrid w:val="0"/>
        <w:contextualSpacing w:val="0"/>
        <w:rPr>
          <w:rFonts w:ascii="Times New Roman" w:hAnsi="Times New Roman"/>
          <w:sz w:val="20"/>
          <w:szCs w:val="20"/>
        </w:rPr>
      </w:pPr>
    </w:p>
    <w:p w14:paraId="22E3B0D2"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For those elasmobranchs which have not been evaluated using a stock assessment model </w:t>
      </w:r>
      <w:proofErr w:type="gramStart"/>
      <w:r w:rsidRPr="00137482">
        <w:rPr>
          <w:rFonts w:ascii="Times New Roman" w:hAnsi="Times New Roman"/>
          <w:sz w:val="20"/>
          <w:szCs w:val="20"/>
        </w:rPr>
        <w:t>advise</w:t>
      </w:r>
      <w:proofErr w:type="gramEnd"/>
      <w:r w:rsidRPr="00137482">
        <w:rPr>
          <w:rFonts w:ascii="Times New Roman" w:hAnsi="Times New Roman"/>
          <w:sz w:val="20"/>
          <w:szCs w:val="20"/>
        </w:rPr>
        <w:t xml:space="preserve"> on alternative ways to estimate of current fishing mortality (F). Risk-based LRPs (as described in SC10-MI-07) should then be developed for all WCPFC key shark species.  </w:t>
      </w:r>
    </w:p>
    <w:p w14:paraId="1403310C"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Where the stock-recruitment relationship is highly uncertain, compare F</w:t>
      </w:r>
      <w:r w:rsidRPr="00137482">
        <w:rPr>
          <w:rFonts w:ascii="Times New Roman" w:hAnsi="Times New Roman"/>
          <w:sz w:val="20"/>
          <w:szCs w:val="20"/>
          <w:vertAlign w:val="subscript"/>
        </w:rPr>
        <w:t>current</w:t>
      </w:r>
      <w:r w:rsidRPr="00137482">
        <w:rPr>
          <w:rFonts w:ascii="Times New Roman" w:hAnsi="Times New Roman"/>
          <w:i/>
          <w:iCs/>
          <w:sz w:val="20"/>
          <w:szCs w:val="20"/>
        </w:rPr>
        <w:t xml:space="preserve"> </w:t>
      </w:r>
      <w:r w:rsidRPr="00137482">
        <w:rPr>
          <w:rFonts w:ascii="Times New Roman" w:hAnsi="Times New Roman"/>
          <w:sz w:val="20"/>
          <w:szCs w:val="20"/>
        </w:rPr>
        <w:t xml:space="preserve">to SPR-based LRP such as </w:t>
      </w:r>
      <w:proofErr w:type="gramStart"/>
      <w:r w:rsidRPr="00137482">
        <w:rPr>
          <w:rFonts w:ascii="Times New Roman" w:hAnsi="Times New Roman"/>
          <w:sz w:val="20"/>
          <w:szCs w:val="20"/>
        </w:rPr>
        <w:t>F</w:t>
      </w:r>
      <w:r w:rsidRPr="00137482">
        <w:rPr>
          <w:rFonts w:ascii="Times New Roman" w:hAnsi="Times New Roman"/>
          <w:sz w:val="20"/>
          <w:szCs w:val="20"/>
          <w:vertAlign w:val="subscript"/>
        </w:rPr>
        <w:t>60%SPRunfished</w:t>
      </w:r>
      <w:r w:rsidRPr="00137482">
        <w:rPr>
          <w:rFonts w:ascii="Times New Roman" w:hAnsi="Times New Roman"/>
          <w:sz w:val="20"/>
          <w:szCs w:val="20"/>
        </w:rPr>
        <w:t xml:space="preserve"> and discuss any new insights into the recommended estimated LRPs so that the WCPFC Scientific Committee can decided</w:t>
      </w:r>
      <w:proofErr w:type="gramEnd"/>
      <w:r w:rsidRPr="00137482">
        <w:rPr>
          <w:rFonts w:ascii="Times New Roman" w:hAnsi="Times New Roman"/>
          <w:sz w:val="20"/>
          <w:szCs w:val="20"/>
        </w:rPr>
        <w:t xml:space="preserve"> on a case-by-case basis which LRP is most appropriate.</w:t>
      </w:r>
    </w:p>
    <w:p w14:paraId="597D5B25" w14:textId="77777777" w:rsidR="009A53E1" w:rsidRPr="00137482" w:rsidRDefault="009A53E1" w:rsidP="009A53E1">
      <w:pPr>
        <w:pStyle w:val="ListParagraph"/>
        <w:adjustRightInd w:val="0"/>
        <w:snapToGrid w:val="0"/>
        <w:contextualSpacing w:val="0"/>
        <w:rPr>
          <w:rFonts w:ascii="Times New Roman" w:hAnsi="Times New Roman"/>
          <w:sz w:val="20"/>
          <w:szCs w:val="20"/>
        </w:rPr>
      </w:pPr>
    </w:p>
    <w:p w14:paraId="391E86B7"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Review the use or otherwise of other potential LRPs based on, for example, SPR, reduction of recruitment or empirical measures (e.g. catch rate or length values designed to signal unacceptable population states).</w:t>
      </w:r>
    </w:p>
    <w:p w14:paraId="6322E003" w14:textId="77777777" w:rsidR="009A53E1" w:rsidRPr="00137482" w:rsidRDefault="009A53E1" w:rsidP="009A53E1">
      <w:pPr>
        <w:pStyle w:val="ListParagraph"/>
        <w:adjustRightInd w:val="0"/>
        <w:snapToGrid w:val="0"/>
        <w:contextualSpacing w:val="0"/>
        <w:rPr>
          <w:rFonts w:ascii="Times New Roman" w:hAnsi="Times New Roman"/>
          <w:sz w:val="20"/>
          <w:szCs w:val="20"/>
        </w:rPr>
      </w:pPr>
    </w:p>
    <w:p w14:paraId="4BF8C282"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Advise on any changes or updates to the recommended LRPs in SC10-MI-07 based on new developments, including any suggestions for further technical work before consideration of adoption of LRPs by fishery managers.</w:t>
      </w:r>
    </w:p>
    <w:p w14:paraId="214AD2E4" w14:textId="77777777" w:rsidR="009A53E1" w:rsidRPr="00137482" w:rsidRDefault="009A53E1" w:rsidP="009A53E1">
      <w:pPr>
        <w:pStyle w:val="ListParagraph"/>
        <w:adjustRightInd w:val="0"/>
        <w:snapToGrid w:val="0"/>
        <w:contextualSpacing w:val="0"/>
        <w:rPr>
          <w:rFonts w:ascii="Times New Roman" w:hAnsi="Times New Roman"/>
          <w:sz w:val="20"/>
          <w:szCs w:val="20"/>
        </w:rPr>
      </w:pPr>
    </w:p>
    <w:p w14:paraId="4E892A40" w14:textId="77777777" w:rsidR="009A53E1" w:rsidRPr="00137482" w:rsidRDefault="009A53E1" w:rsidP="0074425A">
      <w:pPr>
        <w:pStyle w:val="ListParagraph"/>
        <w:numPr>
          <w:ilvl w:val="0"/>
          <w:numId w:val="146"/>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14:paraId="7F26C6A4" w14:textId="77777777" w:rsidR="009A53E1" w:rsidRPr="00137482" w:rsidRDefault="009A53E1" w:rsidP="009A53E1">
      <w:pPr>
        <w:adjustRightInd w:val="0"/>
        <w:snapToGrid w:val="0"/>
        <w:spacing w:after="0"/>
        <w:rPr>
          <w:rFonts w:ascii="Times New Roman" w:hAnsi="Times New Roman"/>
          <w:b/>
          <w:sz w:val="20"/>
          <w:szCs w:val="20"/>
          <w:lang w:eastAsia="ko-KR"/>
        </w:rPr>
      </w:pPr>
    </w:p>
    <w:p w14:paraId="0D9F8947" w14:textId="77777777" w:rsidR="009A53E1" w:rsidRPr="00137482" w:rsidRDefault="009A53E1" w:rsidP="009A53E1">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Output:</w:t>
      </w:r>
    </w:p>
    <w:p w14:paraId="3C621A79"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The project will produce a final report which shall be presented to and reviewed by SC13. </w:t>
      </w:r>
    </w:p>
    <w:p w14:paraId="1A9E57D8" w14:textId="77777777" w:rsidR="009A53E1" w:rsidRPr="00137482" w:rsidRDefault="009A53E1" w:rsidP="009A53E1">
      <w:pPr>
        <w:adjustRightInd w:val="0"/>
        <w:snapToGrid w:val="0"/>
        <w:spacing w:after="0"/>
        <w:rPr>
          <w:rFonts w:ascii="Times New Roman" w:hAnsi="Times New Roman"/>
          <w:b/>
          <w:sz w:val="20"/>
          <w:szCs w:val="20"/>
          <w:lang w:eastAsia="ko-KR"/>
        </w:rPr>
      </w:pPr>
    </w:p>
    <w:p w14:paraId="479CC2AC" w14:textId="77777777" w:rsidR="009A53E1" w:rsidRPr="00137482" w:rsidRDefault="009A53E1" w:rsidP="009A53E1">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Secretariat Support:</w:t>
      </w:r>
    </w:p>
    <w:p w14:paraId="63E52C14"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The Principal Investigator for the project should liaise with the WCPFC Secretariat to help facilitate and coordinate arrangements for the workshop (e.g. arranging travel for the participants).</w:t>
      </w:r>
    </w:p>
    <w:p w14:paraId="69D8F52C" w14:textId="77777777" w:rsidR="009A53E1" w:rsidRPr="00137482" w:rsidRDefault="009A53E1" w:rsidP="009A53E1">
      <w:pPr>
        <w:adjustRightInd w:val="0"/>
        <w:snapToGrid w:val="0"/>
        <w:spacing w:after="0"/>
        <w:rPr>
          <w:rFonts w:ascii="Times New Roman" w:hAnsi="Times New Roman"/>
          <w:sz w:val="20"/>
          <w:szCs w:val="20"/>
        </w:rPr>
      </w:pPr>
    </w:p>
    <w:p w14:paraId="43428721" w14:textId="77777777" w:rsidR="009A53E1" w:rsidRPr="00137482" w:rsidRDefault="009A53E1" w:rsidP="009A53E1">
      <w:pPr>
        <w:adjustRightInd w:val="0"/>
        <w:snapToGrid w:val="0"/>
        <w:spacing w:after="0"/>
        <w:rPr>
          <w:rFonts w:ascii="Times New Roman" w:hAnsi="Times New Roman"/>
          <w:sz w:val="20"/>
          <w:szCs w:val="20"/>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76"/>
      </w:tblGrid>
      <w:tr w:rsidR="009A53E1" w:rsidRPr="00137482" w14:paraId="15E038AC" w14:textId="77777777" w:rsidTr="00C06F80">
        <w:tc>
          <w:tcPr>
            <w:tcW w:w="9576" w:type="dxa"/>
          </w:tcPr>
          <w:p w14:paraId="6A46D746" w14:textId="77777777" w:rsidR="009A53E1" w:rsidRPr="00137482" w:rsidRDefault="009A53E1" w:rsidP="00C06F80">
            <w:pPr>
              <w:pStyle w:val="Heading1"/>
              <w:adjustRightInd w:val="0"/>
              <w:snapToGrid w:val="0"/>
              <w:jc w:val="both"/>
              <w:outlineLvl w:val="0"/>
              <w:rPr>
                <w:rFonts w:ascii="Times New Roman" w:hAnsi="Times New Roman"/>
                <w:sz w:val="20"/>
                <w:szCs w:val="20"/>
              </w:rPr>
            </w:pPr>
            <w:r w:rsidRPr="00137482">
              <w:rPr>
                <w:rFonts w:ascii="Times New Roman" w:hAnsi="Times New Roman"/>
                <w:sz w:val="20"/>
                <w:szCs w:val="20"/>
              </w:rPr>
              <w:t>Project 60</w:t>
            </w:r>
          </w:p>
          <w:p w14:paraId="3ABD93EA" w14:textId="77777777" w:rsidR="009A53E1" w:rsidRPr="00137482" w:rsidRDefault="009A53E1" w:rsidP="00C06F80">
            <w:pPr>
              <w:pStyle w:val="Heading1"/>
              <w:adjustRightInd w:val="0"/>
              <w:snapToGrid w:val="0"/>
              <w:jc w:val="both"/>
              <w:outlineLvl w:val="0"/>
              <w:rPr>
                <w:rFonts w:ascii="Times New Roman" w:hAnsi="Times New Roman"/>
                <w:caps w:val="0"/>
                <w:sz w:val="20"/>
                <w:szCs w:val="20"/>
              </w:rPr>
            </w:pPr>
            <w:r w:rsidRPr="00137482">
              <w:rPr>
                <w:rFonts w:ascii="Times New Roman" w:hAnsi="Times New Roman"/>
                <w:caps w:val="0"/>
                <w:sz w:val="20"/>
                <w:szCs w:val="20"/>
              </w:rPr>
              <w:t>Improving purse seine species composition</w:t>
            </w:r>
          </w:p>
        </w:tc>
      </w:tr>
    </w:tbl>
    <w:p w14:paraId="55EAEEF5" w14:textId="77777777" w:rsidR="009A53E1" w:rsidRPr="00137482" w:rsidRDefault="009A53E1" w:rsidP="009A53E1">
      <w:pPr>
        <w:pStyle w:val="StyleHeading1Left0"/>
        <w:adjustRightInd w:val="0"/>
        <w:snapToGrid w:val="0"/>
        <w:spacing w:before="0" w:after="0"/>
        <w:jc w:val="both"/>
        <w:rPr>
          <w:rFonts w:ascii="Times New Roman" w:hAnsi="Times New Roman"/>
          <w:sz w:val="20"/>
          <w:szCs w:val="20"/>
        </w:rPr>
      </w:pPr>
    </w:p>
    <w:p w14:paraId="30DE09FE"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This work continues to build upon work to date under Project 60 and reported in SC13-ST-WP-02 and SC13-ST-WP-03. SC13 recommended that the:</w:t>
      </w:r>
    </w:p>
    <w:p w14:paraId="513218B5" w14:textId="77777777" w:rsidR="009A53E1" w:rsidRPr="00137482" w:rsidRDefault="009A53E1" w:rsidP="0074425A">
      <w:pPr>
        <w:pStyle w:val="ListParagraph"/>
        <w:numPr>
          <w:ilvl w:val="0"/>
          <w:numId w:val="163"/>
        </w:numPr>
        <w:adjustRightInd w:val="0"/>
        <w:snapToGrid w:val="0"/>
        <w:contextualSpacing w:val="0"/>
        <w:rPr>
          <w:rFonts w:ascii="Times New Roman" w:hAnsi="Times New Roman"/>
          <w:sz w:val="20"/>
          <w:szCs w:val="20"/>
        </w:rPr>
      </w:pPr>
      <w:r w:rsidRPr="00137482">
        <w:rPr>
          <w:rFonts w:ascii="Times New Roman" w:hAnsi="Times New Roman"/>
          <w:sz w:val="20"/>
          <w:szCs w:val="20"/>
        </w:rPr>
        <w:t>future work proposed by the Scientific Service Provider under Project 60 (Improving purse seine species composition) continue over the coming year with a report to SC14 and agreed that this work should continue in the medium-term subject to annual review; and</w:t>
      </w:r>
    </w:p>
    <w:p w14:paraId="09EAC3E1" w14:textId="77777777" w:rsidR="009A53E1" w:rsidRPr="00137482" w:rsidRDefault="009A53E1" w:rsidP="0074425A">
      <w:pPr>
        <w:pStyle w:val="ListParagraph"/>
        <w:numPr>
          <w:ilvl w:val="0"/>
          <w:numId w:val="163"/>
        </w:numPr>
        <w:adjustRightInd w:val="0"/>
        <w:snapToGrid w:val="0"/>
        <w:contextualSpacing w:val="0"/>
        <w:rPr>
          <w:rFonts w:ascii="Times New Roman" w:hAnsi="Times New Roman"/>
          <w:sz w:val="20"/>
          <w:szCs w:val="20"/>
        </w:rPr>
      </w:pPr>
      <w:r w:rsidRPr="00137482">
        <w:rPr>
          <w:rFonts w:ascii="Times New Roman" w:hAnsi="Times New Roman"/>
          <w:sz w:val="20"/>
          <w:szCs w:val="20"/>
        </w:rPr>
        <w:t>Scientific Services Provider explore opportunities to undertake comprehensive comparisons of corrected grab sample based species compositions with accurate composition estimates from in-port sampling with other CCMs who hold the required data.</w:t>
      </w:r>
    </w:p>
    <w:p w14:paraId="0E694657" w14:textId="77777777" w:rsidR="009A53E1" w:rsidRPr="00137482" w:rsidRDefault="009A53E1" w:rsidP="009A53E1">
      <w:pPr>
        <w:pStyle w:val="ListParagraph"/>
        <w:adjustRightInd w:val="0"/>
        <w:snapToGrid w:val="0"/>
        <w:contextualSpacing w:val="0"/>
        <w:rPr>
          <w:rFonts w:ascii="Times New Roman" w:hAnsi="Times New Roman"/>
          <w:sz w:val="20"/>
          <w:szCs w:val="20"/>
        </w:rPr>
      </w:pPr>
    </w:p>
    <w:p w14:paraId="77BC2289"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The scope of work will include, but not limited to, the following items below:</w:t>
      </w:r>
    </w:p>
    <w:p w14:paraId="0785E50C" w14:textId="77777777" w:rsidR="009A53E1" w:rsidRPr="00137482" w:rsidRDefault="009A53E1" w:rsidP="0074425A">
      <w:pPr>
        <w:pStyle w:val="Default"/>
        <w:numPr>
          <w:ilvl w:val="0"/>
          <w:numId w:val="148"/>
        </w:numPr>
        <w:adjustRightInd w:val="0"/>
        <w:snapToGrid w:val="0"/>
        <w:ind w:left="720"/>
        <w:rPr>
          <w:rFonts w:ascii="Times New Roman" w:hAnsi="Times New Roman" w:cs="Times New Roman"/>
          <w:color w:val="auto"/>
          <w:sz w:val="20"/>
          <w:szCs w:val="20"/>
        </w:rPr>
      </w:pPr>
      <w:r w:rsidRPr="00137482">
        <w:rPr>
          <w:rFonts w:ascii="Times New Roman" w:hAnsi="Times New Roman" w:cs="Times New Roman"/>
          <w:color w:val="auto"/>
          <w:sz w:val="20"/>
          <w:szCs w:val="20"/>
        </w:rPr>
        <w:t>Continue to identify key sources of sampling bias in the manner in which species composition data are currently collected from WCPO purse seine fisheries and investigate how such biases can be reduced</w:t>
      </w:r>
    </w:p>
    <w:p w14:paraId="36B0B9D4" w14:textId="77777777" w:rsidR="009A53E1" w:rsidRPr="00137482" w:rsidRDefault="009A53E1" w:rsidP="0074425A">
      <w:pPr>
        <w:pStyle w:val="Default"/>
        <w:numPr>
          <w:ilvl w:val="0"/>
          <w:numId w:val="148"/>
        </w:numPr>
        <w:adjustRightInd w:val="0"/>
        <w:snapToGrid w:val="0"/>
        <w:ind w:left="720"/>
        <w:rPr>
          <w:rFonts w:ascii="Times New Roman" w:hAnsi="Times New Roman" w:cs="Times New Roman"/>
          <w:color w:val="auto"/>
          <w:sz w:val="20"/>
          <w:szCs w:val="20"/>
        </w:rPr>
      </w:pPr>
      <w:r w:rsidRPr="00137482">
        <w:rPr>
          <w:rFonts w:ascii="Times New Roman" w:hAnsi="Times New Roman" w:cs="Times New Roman"/>
          <w:color w:val="auto"/>
          <w:sz w:val="20"/>
          <w:szCs w:val="20"/>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14:paraId="34D5C3E5" w14:textId="77777777" w:rsidR="009A53E1" w:rsidRPr="00137482" w:rsidRDefault="009A53E1" w:rsidP="0074425A">
      <w:pPr>
        <w:pStyle w:val="Default"/>
        <w:numPr>
          <w:ilvl w:val="0"/>
          <w:numId w:val="148"/>
        </w:numPr>
        <w:adjustRightInd w:val="0"/>
        <w:snapToGrid w:val="0"/>
        <w:ind w:left="720"/>
        <w:rPr>
          <w:rFonts w:ascii="Times New Roman" w:hAnsi="Times New Roman" w:cs="Times New Roman"/>
          <w:color w:val="auto"/>
          <w:sz w:val="20"/>
          <w:szCs w:val="20"/>
        </w:rPr>
      </w:pPr>
      <w:r w:rsidRPr="00137482">
        <w:rPr>
          <w:rFonts w:ascii="Times New Roman" w:hAnsi="Times New Roman" w:cs="Times New Roman"/>
          <w:color w:val="auto"/>
          <w:sz w:val="20"/>
          <w:szCs w:val="20"/>
        </w:rPr>
        <w:t>Review current stock assessment input data in relation to purse-seine species composition and investigate any other areas to be improved in species composition data, including the improvements of the accuracy of collected data,</w:t>
      </w:r>
    </w:p>
    <w:p w14:paraId="07C905C8" w14:textId="77777777" w:rsidR="009A53E1" w:rsidRPr="00137482" w:rsidRDefault="009A53E1" w:rsidP="0074425A">
      <w:pPr>
        <w:pStyle w:val="Default"/>
        <w:numPr>
          <w:ilvl w:val="0"/>
          <w:numId w:val="148"/>
        </w:numPr>
        <w:adjustRightInd w:val="0"/>
        <w:snapToGrid w:val="0"/>
        <w:ind w:left="720"/>
        <w:rPr>
          <w:rFonts w:ascii="Times New Roman" w:hAnsi="Times New Roman" w:cs="Times New Roman"/>
          <w:color w:val="auto"/>
          <w:sz w:val="20"/>
          <w:szCs w:val="20"/>
        </w:rPr>
      </w:pPr>
      <w:r w:rsidRPr="00137482">
        <w:rPr>
          <w:rFonts w:ascii="Times New Roman" w:hAnsi="Times New Roman" w:cs="Times New Roman"/>
          <w:color w:val="auto"/>
          <w:sz w:val="20"/>
          <w:szCs w:val="20"/>
        </w:rPr>
        <w:t>Update standard spill sampling methodology if required.</w:t>
      </w:r>
    </w:p>
    <w:p w14:paraId="45EF781D" w14:textId="77777777" w:rsidR="009A53E1" w:rsidRPr="00137482" w:rsidRDefault="009A53E1" w:rsidP="0074425A">
      <w:pPr>
        <w:pStyle w:val="Default"/>
        <w:numPr>
          <w:ilvl w:val="0"/>
          <w:numId w:val="148"/>
        </w:numPr>
        <w:adjustRightInd w:val="0"/>
        <w:snapToGrid w:val="0"/>
        <w:ind w:left="720"/>
        <w:rPr>
          <w:rFonts w:ascii="Times New Roman" w:hAnsi="Times New Roman" w:cs="Times New Roman"/>
          <w:color w:val="auto"/>
          <w:sz w:val="20"/>
          <w:szCs w:val="20"/>
        </w:rPr>
      </w:pPr>
      <w:r w:rsidRPr="00137482">
        <w:rPr>
          <w:rFonts w:ascii="Times New Roman" w:hAnsi="Times New Roman" w:cs="Times New Roman"/>
          <w:color w:val="auto"/>
          <w:sz w:val="20"/>
          <w:szCs w:val="20"/>
        </w:rPr>
        <w:t xml:space="preserve">Analyse additional data collected to evaluate the benefits of spill sampling compared to </w:t>
      </w:r>
      <w:proofErr w:type="gramStart"/>
      <w:r w:rsidRPr="00137482">
        <w:rPr>
          <w:rFonts w:ascii="Times New Roman" w:hAnsi="Times New Roman" w:cs="Times New Roman"/>
          <w:color w:val="auto"/>
          <w:sz w:val="20"/>
          <w:szCs w:val="20"/>
        </w:rPr>
        <w:t>corrected</w:t>
      </w:r>
      <w:proofErr w:type="gramEnd"/>
      <w:r w:rsidRPr="00137482">
        <w:rPr>
          <w:rFonts w:ascii="Times New Roman" w:hAnsi="Times New Roman" w:cs="Times New Roman"/>
          <w:color w:val="auto"/>
          <w:sz w:val="20"/>
          <w:szCs w:val="20"/>
        </w:rPr>
        <w:t xml:space="preserve"> grab-sampling.</w:t>
      </w:r>
    </w:p>
    <w:p w14:paraId="0EDFBBB1" w14:textId="77777777" w:rsidR="009A53E1" w:rsidRPr="00137482" w:rsidRDefault="009A53E1" w:rsidP="009A53E1">
      <w:pPr>
        <w:adjustRightInd w:val="0"/>
        <w:snapToGrid w:val="0"/>
        <w:spacing w:after="0"/>
        <w:rPr>
          <w:rFonts w:ascii="Times New Roman" w:hAnsi="Times New Roman"/>
          <w:sz w:val="20"/>
          <w:szCs w:val="20"/>
        </w:rPr>
      </w:pPr>
    </w:p>
    <w:p w14:paraId="38302FE5" w14:textId="77777777" w:rsidR="009A53E1" w:rsidRPr="00137482" w:rsidRDefault="009A53E1" w:rsidP="009A53E1">
      <w:pPr>
        <w:adjustRightInd w:val="0"/>
        <w:snapToGrid w:val="0"/>
        <w:spacing w:after="0"/>
        <w:rPr>
          <w:rFonts w:ascii="Times New Roman" w:hAnsi="Times New Roman"/>
          <w:sz w:val="20"/>
          <w:szCs w:val="20"/>
          <w:u w:val="single"/>
        </w:rPr>
      </w:pPr>
      <w:r w:rsidRPr="00137482">
        <w:rPr>
          <w:rFonts w:ascii="Times New Roman" w:hAnsi="Times New Roman"/>
          <w:sz w:val="20"/>
          <w:szCs w:val="20"/>
          <w:u w:val="single"/>
        </w:rPr>
        <w:t>2017 Tasks</w:t>
      </w:r>
    </w:p>
    <w:p w14:paraId="2BAA3FAE"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This work should be progressed by the following activities: </w:t>
      </w:r>
    </w:p>
    <w:p w14:paraId="3D59C7BC" w14:textId="77777777" w:rsidR="009A53E1" w:rsidRPr="00137482" w:rsidRDefault="009A53E1" w:rsidP="0074425A">
      <w:pPr>
        <w:pStyle w:val="ListParagraph"/>
        <w:numPr>
          <w:ilvl w:val="0"/>
          <w:numId w:val="149"/>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Undertake additional observer sampling / unloading comparisons where it is possible to conduct paired sampling trials and obtain accurate estimates of catch by species for the same trips from unloadings. </w:t>
      </w:r>
    </w:p>
    <w:p w14:paraId="385042C0" w14:textId="77777777" w:rsidR="009A53E1" w:rsidRPr="00137482" w:rsidRDefault="009A53E1" w:rsidP="0074425A">
      <w:pPr>
        <w:pStyle w:val="ListParagraph"/>
        <w:numPr>
          <w:ilvl w:val="0"/>
          <w:numId w:val="149"/>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Extend the comparisons of grab- and spill-sampling-based species composition with accurate unloadings data to include the comparison of grab samples corrected for selectivity bias with the unloadings data. </w:t>
      </w:r>
    </w:p>
    <w:p w14:paraId="7A1D9637" w14:textId="77777777" w:rsidR="009A53E1" w:rsidRPr="00137482" w:rsidRDefault="009A53E1" w:rsidP="0074425A">
      <w:pPr>
        <w:pStyle w:val="ListParagraph"/>
        <w:numPr>
          <w:ilvl w:val="0"/>
          <w:numId w:val="149"/>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Where possible and logistically feasible, observer programmes should continue to undertake paired sampling trials on a limited basis (say 6 trips per year) to continue to refine estimates of selectivity bias and to support additional simulation modelling. </w:t>
      </w:r>
    </w:p>
    <w:p w14:paraId="5C18AD58" w14:textId="77777777" w:rsidR="009A53E1" w:rsidRPr="00137482" w:rsidRDefault="009A53E1" w:rsidP="0074425A">
      <w:pPr>
        <w:pStyle w:val="ListParagraph"/>
        <w:numPr>
          <w:ilvl w:val="0"/>
          <w:numId w:val="149"/>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Undertake additional simulation modelling to estimate precision and bias of using corrected spill sampling data as the basis for estimating purse seine species composition at various levels of resolution. </w:t>
      </w:r>
    </w:p>
    <w:p w14:paraId="39BF026E" w14:textId="77777777" w:rsidR="009A53E1" w:rsidRPr="00137482" w:rsidRDefault="009A53E1" w:rsidP="0074425A">
      <w:pPr>
        <w:pStyle w:val="ListParagraph"/>
        <w:numPr>
          <w:ilvl w:val="0"/>
          <w:numId w:val="149"/>
        </w:numPr>
        <w:adjustRightInd w:val="0"/>
        <w:snapToGrid w:val="0"/>
        <w:contextualSpacing w:val="0"/>
        <w:rPr>
          <w:rFonts w:ascii="Times New Roman" w:hAnsi="Times New Roman"/>
          <w:sz w:val="20"/>
          <w:szCs w:val="20"/>
        </w:rPr>
      </w:pPr>
      <w:r w:rsidRPr="00137482">
        <w:rPr>
          <w:rFonts w:ascii="Times New Roman" w:hAnsi="Times New Roman"/>
          <w:sz w:val="20"/>
          <w:szCs w:val="20"/>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14:paraId="6FCCFA4B" w14:textId="77777777" w:rsidR="009A53E1" w:rsidRPr="00137482" w:rsidRDefault="009A53E1" w:rsidP="009A53E1">
      <w:pPr>
        <w:adjustRightInd w:val="0"/>
        <w:snapToGrid w:val="0"/>
        <w:spacing w:after="0"/>
        <w:rPr>
          <w:rFonts w:ascii="Times New Roman" w:eastAsia="맑은 고딕" w:hAnsi="Times New Roman"/>
          <w:sz w:val="20"/>
          <w:szCs w:val="20"/>
          <w:lang w:eastAsia="ko-KR"/>
        </w:rPr>
      </w:pPr>
    </w:p>
    <w:p w14:paraId="25AB0243" w14:textId="77777777" w:rsidR="009A53E1" w:rsidRPr="00137482" w:rsidRDefault="009A53E1" w:rsidP="009A53E1">
      <w:pPr>
        <w:adjustRightInd w:val="0"/>
        <w:snapToGrid w:val="0"/>
        <w:spacing w:after="0"/>
        <w:rPr>
          <w:rFonts w:ascii="Times New Roman" w:eastAsia="맑은 고딕" w:hAnsi="Times New Roman"/>
          <w:sz w:val="20"/>
          <w:szCs w:val="20"/>
          <w:lang w:eastAsia="ko-KR"/>
        </w:rPr>
      </w:pPr>
    </w:p>
    <w:tbl>
      <w:tblPr>
        <w:tblStyle w:val="TableGrid"/>
        <w:tblW w:w="0" w:type="auto"/>
        <w:tblLook w:val="04A0" w:firstRow="1" w:lastRow="0" w:firstColumn="1" w:lastColumn="0" w:noHBand="0" w:noVBand="1"/>
      </w:tblPr>
      <w:tblGrid>
        <w:gridCol w:w="9576"/>
      </w:tblGrid>
      <w:tr w:rsidR="009A53E1" w:rsidRPr="00137482" w14:paraId="002EA70E" w14:textId="77777777" w:rsidTr="00C06F80">
        <w:tc>
          <w:tcPr>
            <w:tcW w:w="9576" w:type="dxa"/>
          </w:tcPr>
          <w:p w14:paraId="2C829749" w14:textId="77777777"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lang w:eastAsia="ko-KR"/>
              </w:rPr>
            </w:pPr>
            <w:r w:rsidRPr="00137482">
              <w:rPr>
                <w:rFonts w:ascii="Times New Roman" w:eastAsia="맑은 고딕" w:hAnsi="Times New Roman"/>
                <w:b/>
                <w:caps/>
                <w:sz w:val="20"/>
                <w:szCs w:val="20"/>
                <w:lang w:eastAsia="ko-KR"/>
              </w:rPr>
              <w:t>PROJECT 68</w:t>
            </w:r>
          </w:p>
          <w:p w14:paraId="28F2A848" w14:textId="77777777"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lang w:eastAsia="ko-KR"/>
              </w:rPr>
            </w:pPr>
            <w:r w:rsidRPr="00137482">
              <w:rPr>
                <w:rFonts w:ascii="Times New Roman" w:eastAsia="맑은 고딕" w:hAnsi="Times New Roman"/>
                <w:b/>
                <w:sz w:val="20"/>
                <w:szCs w:val="20"/>
                <w:lang w:eastAsia="ko-KR"/>
              </w:rPr>
              <w:t xml:space="preserve">Estimation of </w:t>
            </w:r>
            <w:r w:rsidRPr="00137482">
              <w:rPr>
                <w:rFonts w:ascii="Times New Roman" w:hAnsi="Times New Roman"/>
                <w:b/>
                <w:sz w:val="20"/>
                <w:szCs w:val="20"/>
              </w:rPr>
              <w:t>seabird mortality across the WCPO Convention area</w:t>
            </w:r>
          </w:p>
        </w:tc>
      </w:tr>
    </w:tbl>
    <w:p w14:paraId="18CB6FD9" w14:textId="77777777" w:rsidR="009A53E1" w:rsidRPr="00137482" w:rsidRDefault="009A53E1" w:rsidP="009A53E1">
      <w:pPr>
        <w:autoSpaceDE w:val="0"/>
        <w:autoSpaceDN w:val="0"/>
        <w:adjustRightInd w:val="0"/>
        <w:snapToGrid w:val="0"/>
        <w:spacing w:after="0"/>
        <w:rPr>
          <w:rFonts w:ascii="Times New Roman" w:eastAsia="맑은 고딕" w:hAnsi="Times New Roman"/>
          <w:b/>
          <w:caps/>
          <w:sz w:val="20"/>
          <w:szCs w:val="20"/>
          <w:lang w:eastAsia="ko-KR"/>
        </w:rPr>
      </w:pPr>
    </w:p>
    <w:p w14:paraId="4F8E8E4E" w14:textId="77777777" w:rsidR="009A53E1" w:rsidRPr="00137482" w:rsidRDefault="009A53E1" w:rsidP="0074425A">
      <w:pPr>
        <w:numPr>
          <w:ilvl w:val="0"/>
          <w:numId w:val="151"/>
        </w:numPr>
        <w:adjustRightInd w:val="0"/>
        <w:snapToGrid w:val="0"/>
        <w:spacing w:after="0"/>
        <w:rPr>
          <w:rFonts w:ascii="Times New Roman" w:hAnsi="Times New Roman"/>
          <w:sz w:val="20"/>
          <w:szCs w:val="20"/>
          <w:lang w:val="en-GB" w:eastAsia="ko-KR"/>
        </w:rPr>
      </w:pPr>
      <w:r w:rsidRPr="00137482">
        <w:rPr>
          <w:rFonts w:ascii="Times New Roman" w:hAnsi="Times New Roman"/>
          <w:sz w:val="20"/>
          <w:szCs w:val="20"/>
          <w:lang w:val="en-GB" w:eastAsia="ko-KR"/>
        </w:rPr>
        <w:t xml:space="preserve">Fulfil the requirement under the WCPFC seabird CMMs to estimate the total number of seabirds being killed per year in WCPFC fisheries. </w:t>
      </w:r>
    </w:p>
    <w:p w14:paraId="2AF63091" w14:textId="77777777" w:rsidR="009A53E1" w:rsidRPr="00137482" w:rsidRDefault="009A53E1" w:rsidP="0074425A">
      <w:pPr>
        <w:numPr>
          <w:ilvl w:val="0"/>
          <w:numId w:val="151"/>
        </w:numPr>
        <w:adjustRightInd w:val="0"/>
        <w:snapToGrid w:val="0"/>
        <w:spacing w:after="0"/>
        <w:rPr>
          <w:rFonts w:ascii="Times New Roman" w:hAnsi="Times New Roman"/>
          <w:sz w:val="20"/>
          <w:szCs w:val="20"/>
          <w:lang w:val="en-GB" w:eastAsia="ko-KR"/>
        </w:rPr>
      </w:pPr>
      <w:r w:rsidRPr="00137482">
        <w:rPr>
          <w:rFonts w:ascii="Times New Roman" w:hAnsi="Times New Roman"/>
          <w:sz w:val="20"/>
          <w:szCs w:val="20"/>
          <w:lang w:val="en-GB" w:eastAsia="ko-KR"/>
        </w:rPr>
        <w:t xml:space="preserve">Assess mortality per year over the ten years since the first WCPFC seabird CMM, as requested under CMM2006-02, CMM 2007-04 and CMM 2012-07, and assess whether there is any detectable trend. </w:t>
      </w:r>
    </w:p>
    <w:p w14:paraId="41B1FBC0" w14:textId="77777777" w:rsidR="009A53E1" w:rsidRPr="00137482" w:rsidRDefault="009A53E1" w:rsidP="0074425A">
      <w:pPr>
        <w:numPr>
          <w:ilvl w:val="0"/>
          <w:numId w:val="151"/>
        </w:numPr>
        <w:adjustRightInd w:val="0"/>
        <w:snapToGrid w:val="0"/>
        <w:spacing w:after="0"/>
        <w:rPr>
          <w:rFonts w:ascii="Times New Roman" w:hAnsi="Times New Roman"/>
          <w:sz w:val="20"/>
          <w:szCs w:val="20"/>
          <w:lang w:val="en-GB" w:eastAsia="ko-KR"/>
        </w:rPr>
      </w:pPr>
      <w:r w:rsidRPr="00137482">
        <w:rPr>
          <w:rFonts w:ascii="Times New Roman" w:hAnsi="Times New Roman"/>
          <w:sz w:val="20"/>
          <w:szCs w:val="20"/>
          <w:lang w:val="en-GB" w:eastAsia="ko-KR"/>
        </w:rPr>
        <w:t xml:space="preserve">Describe the methods used to estimate total mortality, including treatment of data gaps, and </w:t>
      </w:r>
    </w:p>
    <w:p w14:paraId="6413BCC1" w14:textId="77777777" w:rsidR="009A53E1" w:rsidRPr="00137482" w:rsidRDefault="009A53E1" w:rsidP="0074425A">
      <w:pPr>
        <w:numPr>
          <w:ilvl w:val="0"/>
          <w:numId w:val="151"/>
        </w:numPr>
        <w:adjustRightInd w:val="0"/>
        <w:snapToGrid w:val="0"/>
        <w:spacing w:after="0"/>
        <w:rPr>
          <w:rFonts w:ascii="Times New Roman" w:hAnsi="Times New Roman"/>
          <w:sz w:val="20"/>
          <w:szCs w:val="20"/>
          <w:lang w:val="en-GB" w:eastAsia="ko-KR"/>
        </w:rPr>
      </w:pPr>
      <w:r w:rsidRPr="00137482">
        <w:rPr>
          <w:rFonts w:ascii="Times New Roman" w:hAnsi="Times New Roman"/>
          <w:sz w:val="20"/>
          <w:szCs w:val="20"/>
          <w:lang w:val="en-GB" w:eastAsia="ko-KR"/>
        </w:rPr>
        <w:t xml:space="preserve">Identify the limitations in the data available, allowing the SC to generate advice to the Commission on what improvements are needed to enable better analyses to be made.  </w:t>
      </w:r>
    </w:p>
    <w:p w14:paraId="643D274E" w14:textId="77777777" w:rsidR="009A53E1" w:rsidRPr="00137482" w:rsidRDefault="009A53E1" w:rsidP="0074425A">
      <w:pPr>
        <w:numPr>
          <w:ilvl w:val="0"/>
          <w:numId w:val="151"/>
        </w:numPr>
        <w:adjustRightInd w:val="0"/>
        <w:snapToGrid w:val="0"/>
        <w:spacing w:after="0"/>
        <w:rPr>
          <w:rFonts w:ascii="Times New Roman" w:hAnsi="Times New Roman"/>
          <w:sz w:val="20"/>
          <w:szCs w:val="20"/>
          <w:lang w:val="en-GB" w:eastAsia="ko-KR"/>
        </w:rPr>
      </w:pPr>
      <w:r w:rsidRPr="00137482">
        <w:rPr>
          <w:rFonts w:ascii="Times New Roman" w:hAnsi="Times New Roman"/>
          <w:sz w:val="20"/>
          <w:szCs w:val="20"/>
          <w:lang w:val="en-GB" w:eastAsia="ko-KR"/>
        </w:rPr>
        <w:t>Generate advice on what further level of seabird assessment at species or species-group level can be conducted, given the amount and quality of data currently available</w:t>
      </w:r>
    </w:p>
    <w:p w14:paraId="0D78AC4B" w14:textId="77777777" w:rsidR="009A53E1" w:rsidRPr="00137482" w:rsidRDefault="009A53E1" w:rsidP="009A53E1">
      <w:pPr>
        <w:autoSpaceDE w:val="0"/>
        <w:autoSpaceDN w:val="0"/>
        <w:adjustRightInd w:val="0"/>
        <w:snapToGrid w:val="0"/>
        <w:spacing w:after="0"/>
        <w:rPr>
          <w:rFonts w:ascii="Times New Roman" w:eastAsia="맑은 고딕" w:hAnsi="Times New Roman"/>
          <w:b/>
          <w:caps/>
          <w:sz w:val="20"/>
          <w:szCs w:val="20"/>
          <w:lang w:val="en-GB"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75"/>
        <w:gridCol w:w="7701"/>
      </w:tblGrid>
      <w:tr w:rsidR="009A53E1" w:rsidRPr="00137482" w14:paraId="44C5403B" w14:textId="77777777" w:rsidTr="00C06F80">
        <w:tc>
          <w:tcPr>
            <w:tcW w:w="9576" w:type="dxa"/>
            <w:gridSpan w:val="2"/>
          </w:tcPr>
          <w:p w14:paraId="69767F27" w14:textId="336F27F4" w:rsidR="009A53E1" w:rsidRPr="00137482" w:rsidRDefault="009A53E1" w:rsidP="00C06F80">
            <w:pPr>
              <w:pStyle w:val="Heading1"/>
              <w:adjustRightInd w:val="0"/>
              <w:snapToGrid w:val="0"/>
              <w:jc w:val="left"/>
              <w:outlineLvl w:val="0"/>
              <w:rPr>
                <w:rFonts w:ascii="Times New Roman" w:hAnsi="Times New Roman"/>
                <w:sz w:val="20"/>
                <w:szCs w:val="20"/>
              </w:rPr>
            </w:pPr>
            <w:r w:rsidRPr="00137482">
              <w:rPr>
                <w:rFonts w:ascii="Times New Roman" w:hAnsi="Times New Roman"/>
                <w:sz w:val="20"/>
                <w:szCs w:val="20"/>
              </w:rPr>
              <w:t>project 81</w:t>
            </w:r>
          </w:p>
          <w:p w14:paraId="01F8E712" w14:textId="77777777" w:rsidR="009A53E1" w:rsidRPr="00137482" w:rsidRDefault="009A53E1" w:rsidP="00C06F80">
            <w:pPr>
              <w:pStyle w:val="Heading1"/>
              <w:adjustRightInd w:val="0"/>
              <w:snapToGrid w:val="0"/>
              <w:jc w:val="left"/>
              <w:outlineLvl w:val="0"/>
              <w:rPr>
                <w:rFonts w:ascii="Times New Roman" w:hAnsi="Times New Roman"/>
                <w:caps w:val="0"/>
                <w:sz w:val="20"/>
                <w:szCs w:val="20"/>
                <w:lang w:eastAsia="ko-KR"/>
              </w:rPr>
            </w:pPr>
            <w:r w:rsidRPr="00137482">
              <w:rPr>
                <w:rFonts w:ascii="Times New Roman" w:hAnsi="Times New Roman"/>
                <w:caps w:val="0"/>
                <w:sz w:val="20"/>
                <w:szCs w:val="20"/>
              </w:rPr>
              <w:t>Further work on bigeye tuna age and growth</w:t>
            </w:r>
          </w:p>
        </w:tc>
      </w:tr>
      <w:tr w:rsidR="009A53E1" w:rsidRPr="00137482" w14:paraId="09F08C8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576"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5E3DF518"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#35c</w:t>
            </w:r>
          </w:p>
        </w:tc>
      </w:tr>
      <w:tr w:rsidR="009A53E1" w:rsidRPr="00137482" w14:paraId="1F4888E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shd w:val="clear" w:color="auto" w:fill="92D050"/>
            <w:hideMark/>
          </w:tcPr>
          <w:p w14:paraId="6C4B3B8E"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7701" w:type="dxa"/>
            <w:tcBorders>
              <w:top w:val="single" w:sz="4" w:space="0" w:color="auto"/>
              <w:left w:val="single" w:sz="4" w:space="0" w:color="auto"/>
              <w:bottom w:val="single" w:sz="4" w:space="0" w:color="auto"/>
              <w:right w:val="single" w:sz="4" w:space="0" w:color="auto"/>
            </w:tcBorders>
            <w:shd w:val="clear" w:color="auto" w:fill="92D050"/>
            <w:hideMark/>
          </w:tcPr>
          <w:p w14:paraId="1D3898BF"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Further work on bigeye tuna age and growth</w:t>
            </w:r>
          </w:p>
        </w:tc>
      </w:tr>
      <w:tr w:rsidR="009A53E1" w:rsidRPr="00137482" w14:paraId="197B74A6"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3CB9555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Objectives</w:t>
            </w:r>
          </w:p>
        </w:tc>
        <w:tc>
          <w:tcPr>
            <w:tcW w:w="7701" w:type="dxa"/>
            <w:tcBorders>
              <w:top w:val="single" w:sz="4" w:space="0" w:color="auto"/>
              <w:left w:val="single" w:sz="4" w:space="0" w:color="auto"/>
              <w:bottom w:val="single" w:sz="4" w:space="0" w:color="auto"/>
              <w:right w:val="single" w:sz="4" w:space="0" w:color="auto"/>
            </w:tcBorders>
            <w:hideMark/>
          </w:tcPr>
          <w:p w14:paraId="2D0AFC3D"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To further improve age and growth estimates for bigeye tuna in the WCPO to inform future stock assessments and related analyses.</w:t>
            </w:r>
          </w:p>
        </w:tc>
      </w:tr>
      <w:tr w:rsidR="009A53E1" w:rsidRPr="00137482" w14:paraId="6DBA5324"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3036B888"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Rationale</w:t>
            </w:r>
          </w:p>
        </w:tc>
        <w:tc>
          <w:tcPr>
            <w:tcW w:w="7701" w:type="dxa"/>
            <w:tcBorders>
              <w:top w:val="single" w:sz="4" w:space="0" w:color="auto"/>
              <w:left w:val="single" w:sz="4" w:space="0" w:color="auto"/>
              <w:bottom w:val="single" w:sz="4" w:space="0" w:color="auto"/>
              <w:right w:val="single" w:sz="4" w:space="0" w:color="auto"/>
            </w:tcBorders>
          </w:tcPr>
          <w:p w14:paraId="3E52040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This project builds upon work to date under Project 35 and reported in Farley et al. 2017 (SC13-SA-WP01). </w:t>
            </w:r>
          </w:p>
          <w:p w14:paraId="6B71A3CF" w14:textId="77777777" w:rsidR="009A53E1" w:rsidRPr="00137482" w:rsidRDefault="009A53E1" w:rsidP="00C06F80">
            <w:pPr>
              <w:adjustRightInd w:val="0"/>
              <w:snapToGrid w:val="0"/>
              <w:spacing w:after="0"/>
              <w:rPr>
                <w:rFonts w:ascii="Times New Roman" w:hAnsi="Times New Roman"/>
                <w:sz w:val="20"/>
                <w:szCs w:val="20"/>
              </w:rPr>
            </w:pPr>
          </w:p>
          <w:p w14:paraId="01A6348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During review of Farley et al. (2017) during SC13, it was noted that the analyses could be strengthened through the inclusion of additional otoliths from larger fish. </w:t>
            </w:r>
          </w:p>
          <w:p w14:paraId="603A3AAB" w14:textId="77777777" w:rsidR="009A53E1" w:rsidRPr="00137482" w:rsidRDefault="009A53E1" w:rsidP="00C06F80">
            <w:pPr>
              <w:adjustRightInd w:val="0"/>
              <w:snapToGrid w:val="0"/>
              <w:spacing w:after="0"/>
              <w:rPr>
                <w:rFonts w:ascii="Times New Roman" w:hAnsi="Times New Roman"/>
                <w:sz w:val="20"/>
                <w:szCs w:val="20"/>
              </w:rPr>
            </w:pPr>
          </w:p>
          <w:p w14:paraId="34E9963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Japan and SPC (for the WCPFC Tuna Tissue Bank) have identified additional bigeye otoliths, as yet unread, from fish &gt;130cm in length from the WCPO and CPO just outside the WCPFC area. They are plotted below along with the size distribution of fish already aged in Project 35. The 130-140 cm and 140-150 cm groups are considerably enhanced, but the &gt;150 cm groups only moderately so. The larger sized </w:t>
            </w:r>
            <w:proofErr w:type="gramStart"/>
            <w:r w:rsidRPr="00137482">
              <w:rPr>
                <w:rFonts w:ascii="Times New Roman" w:hAnsi="Times New Roman"/>
                <w:sz w:val="20"/>
                <w:szCs w:val="20"/>
              </w:rPr>
              <w:t>bigeye appear</w:t>
            </w:r>
            <w:proofErr w:type="gramEnd"/>
            <w:r w:rsidRPr="00137482">
              <w:rPr>
                <w:rFonts w:ascii="Times New Roman" w:hAnsi="Times New Roman"/>
                <w:sz w:val="20"/>
                <w:szCs w:val="20"/>
              </w:rPr>
              <w:t xml:space="preserve"> uncommon in the catch in the WCPO. Additional otoliths may be available from Chinese Taipei from larger fish in the WCPO and from USA from the CPO.</w:t>
            </w:r>
          </w:p>
          <w:p w14:paraId="003507CA" w14:textId="77777777" w:rsidR="009A53E1" w:rsidRPr="00137482" w:rsidRDefault="009A53E1" w:rsidP="00C06F80">
            <w:pPr>
              <w:adjustRightInd w:val="0"/>
              <w:snapToGrid w:val="0"/>
              <w:spacing w:after="0"/>
              <w:rPr>
                <w:rFonts w:ascii="Times New Roman" w:hAnsi="Times New Roman"/>
                <w:sz w:val="20"/>
                <w:szCs w:val="20"/>
              </w:rPr>
            </w:pPr>
          </w:p>
          <w:p w14:paraId="0D788642" w14:textId="77777777" w:rsidR="009A53E1" w:rsidRPr="00137482" w:rsidRDefault="009A53E1" w:rsidP="00C06F80">
            <w:pPr>
              <w:adjustRightInd w:val="0"/>
              <w:snapToGrid w:val="0"/>
              <w:spacing w:after="0"/>
              <w:jc w:val="center"/>
              <w:rPr>
                <w:rFonts w:ascii="Times New Roman" w:hAnsi="Times New Roman"/>
                <w:sz w:val="20"/>
                <w:szCs w:val="20"/>
              </w:rPr>
            </w:pPr>
            <w:r w:rsidRPr="00137482">
              <w:rPr>
                <w:rFonts w:ascii="Times New Roman" w:hAnsi="Times New Roman"/>
                <w:noProof/>
                <w:sz w:val="20"/>
                <w:szCs w:val="20"/>
                <w:lang w:val="en-US" w:eastAsia="ko-KR"/>
              </w:rPr>
              <w:drawing>
                <wp:inline distT="0" distB="0" distL="0" distR="0" wp14:anchorId="448F7E65" wp14:editId="4FF0C407">
                  <wp:extent cx="3943350" cy="1962150"/>
                  <wp:effectExtent l="0" t="0" r="0" b="0"/>
                  <wp:docPr id="33" name="Picture 33" descr="cid:image003.png@01D315CC.E6421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315CC.E6421B00"/>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3943350" cy="1962150"/>
                          </a:xfrm>
                          <a:prstGeom prst="rect">
                            <a:avLst/>
                          </a:prstGeom>
                          <a:noFill/>
                          <a:ln>
                            <a:noFill/>
                          </a:ln>
                        </pic:spPr>
                      </pic:pic>
                    </a:graphicData>
                  </a:graphic>
                </wp:inline>
              </w:drawing>
            </w:r>
          </w:p>
          <w:p w14:paraId="63C35C74" w14:textId="77777777" w:rsidR="009A53E1" w:rsidRPr="00137482" w:rsidRDefault="009A53E1" w:rsidP="00C06F80">
            <w:pPr>
              <w:adjustRightInd w:val="0"/>
              <w:snapToGrid w:val="0"/>
              <w:spacing w:after="0"/>
              <w:rPr>
                <w:rFonts w:ascii="Times New Roman" w:hAnsi="Times New Roman"/>
                <w:sz w:val="20"/>
                <w:szCs w:val="20"/>
              </w:rPr>
            </w:pPr>
          </w:p>
          <w:p w14:paraId="58BECB7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Some of the additional otolith </w:t>
            </w:r>
            <w:proofErr w:type="gramStart"/>
            <w:r w:rsidRPr="00137482">
              <w:rPr>
                <w:rFonts w:ascii="Times New Roman" w:hAnsi="Times New Roman"/>
                <w:sz w:val="20"/>
                <w:szCs w:val="20"/>
              </w:rPr>
              <w:t>sample are</w:t>
            </w:r>
            <w:proofErr w:type="gramEnd"/>
            <w:r w:rsidRPr="00137482">
              <w:rPr>
                <w:rFonts w:ascii="Times New Roman" w:hAnsi="Times New Roman"/>
                <w:sz w:val="20"/>
                <w:szCs w:val="20"/>
              </w:rPr>
              <w:t xml:space="preserve"> single otoliths and some are pairs. The project would have all of the singles and one of each pair sent to CSIRO for processing and analysis. The 2</w:t>
            </w:r>
            <w:r w:rsidRPr="00137482">
              <w:rPr>
                <w:rFonts w:ascii="Times New Roman" w:hAnsi="Times New Roman"/>
                <w:sz w:val="20"/>
                <w:szCs w:val="20"/>
                <w:vertAlign w:val="superscript"/>
              </w:rPr>
              <w:t>nd</w:t>
            </w:r>
            <w:r w:rsidRPr="00137482">
              <w:rPr>
                <w:rFonts w:ascii="Times New Roman" w:hAnsi="Times New Roman"/>
                <w:sz w:val="20"/>
                <w:szCs w:val="20"/>
              </w:rPr>
              <w:t xml:space="preserve"> otoliths of the paired samples would be processed and analysed by project partners, and then the results for the same individual bigeye compared. This would likely involved collaborative work at the CSIRO laboratories.</w:t>
            </w:r>
          </w:p>
          <w:p w14:paraId="2A90E49C" w14:textId="77777777" w:rsidR="009A53E1" w:rsidRPr="00137482" w:rsidRDefault="009A53E1" w:rsidP="00C06F80">
            <w:pPr>
              <w:adjustRightInd w:val="0"/>
              <w:snapToGrid w:val="0"/>
              <w:spacing w:after="0"/>
              <w:rPr>
                <w:rFonts w:ascii="Times New Roman" w:hAnsi="Times New Roman"/>
                <w:sz w:val="20"/>
                <w:szCs w:val="20"/>
              </w:rPr>
            </w:pPr>
          </w:p>
          <w:p w14:paraId="139EED9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Note that if additional otoliths from the &gt;150 cm groups were provided by other project partners, the number of otoliths in the 130-139 and 140-149cm groups read would be reduced as statistically appropriate to keep the analyses to 125 otolith readings. </w:t>
            </w:r>
          </w:p>
          <w:p w14:paraId="530EA209" w14:textId="77777777" w:rsidR="009A53E1" w:rsidRPr="00137482" w:rsidRDefault="009A53E1" w:rsidP="00C06F80">
            <w:pPr>
              <w:adjustRightInd w:val="0"/>
              <w:snapToGrid w:val="0"/>
              <w:spacing w:after="0"/>
              <w:rPr>
                <w:rFonts w:ascii="Times New Roman" w:hAnsi="Times New Roman"/>
                <w:sz w:val="20"/>
                <w:szCs w:val="20"/>
              </w:rPr>
            </w:pPr>
          </w:p>
          <w:p w14:paraId="736B12B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The resulting analyses would be reported to SC14.</w:t>
            </w:r>
          </w:p>
        </w:tc>
      </w:tr>
      <w:tr w:rsidR="009A53E1" w:rsidRPr="00137482" w14:paraId="30DC046F"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201489B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Assumptions</w:t>
            </w:r>
          </w:p>
        </w:tc>
        <w:tc>
          <w:tcPr>
            <w:tcW w:w="7701" w:type="dxa"/>
            <w:tcBorders>
              <w:top w:val="single" w:sz="4" w:space="0" w:color="auto"/>
              <w:left w:val="single" w:sz="4" w:space="0" w:color="auto"/>
              <w:bottom w:val="single" w:sz="4" w:space="0" w:color="auto"/>
              <w:right w:val="single" w:sz="4" w:space="0" w:color="auto"/>
            </w:tcBorders>
            <w:hideMark/>
          </w:tcPr>
          <w:p w14:paraId="4EF4BC4D" w14:textId="77777777" w:rsidR="009A53E1" w:rsidRPr="00137482" w:rsidRDefault="009A53E1" w:rsidP="0074425A">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The otoliths identified as available by project partners are provided in a timely manner.</w:t>
            </w:r>
          </w:p>
          <w:p w14:paraId="1DE8A8FF" w14:textId="77777777" w:rsidR="009A53E1" w:rsidRPr="00137482" w:rsidRDefault="009A53E1" w:rsidP="0074425A">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 xml:space="preserve">The otoliths provided by project </w:t>
            </w:r>
            <w:proofErr w:type="gramStart"/>
            <w:r w:rsidRPr="00137482">
              <w:rPr>
                <w:rFonts w:ascii="Times New Roman" w:hAnsi="Times New Roman"/>
                <w:sz w:val="20"/>
                <w:szCs w:val="20"/>
              </w:rPr>
              <w:t>partners,</w:t>
            </w:r>
            <w:proofErr w:type="gramEnd"/>
            <w:r w:rsidRPr="00137482">
              <w:rPr>
                <w:rFonts w:ascii="Times New Roman" w:hAnsi="Times New Roman"/>
                <w:sz w:val="20"/>
                <w:szCs w:val="20"/>
              </w:rPr>
              <w:t xml:space="preserve"> and those from the WCPFC Tuna Tissue Bank are of sufficient quality to be produce readable slides.</w:t>
            </w:r>
          </w:p>
          <w:p w14:paraId="01A7FC02" w14:textId="77777777" w:rsidR="009A53E1" w:rsidRPr="00137482" w:rsidRDefault="009A53E1" w:rsidP="0074425A">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Work to be completed by project partners is finished on time.</w:t>
            </w:r>
          </w:p>
          <w:p w14:paraId="247B8323" w14:textId="77777777" w:rsidR="009A53E1" w:rsidRPr="00137482" w:rsidRDefault="009A53E1" w:rsidP="0074425A">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Otoliths from the WCPFC Tuna Tissue Bank will be released without needing to have the research proposal approved by the SC Research Committee.</w:t>
            </w:r>
          </w:p>
          <w:p w14:paraId="3162A837" w14:textId="77777777" w:rsidR="009A53E1" w:rsidRPr="00137482" w:rsidRDefault="009A53E1" w:rsidP="0074425A">
            <w:pPr>
              <w:pStyle w:val="ListParagraph"/>
              <w:numPr>
                <w:ilvl w:val="0"/>
                <w:numId w:val="164"/>
              </w:numPr>
              <w:adjustRightInd w:val="0"/>
              <w:snapToGrid w:val="0"/>
              <w:contextualSpacing w:val="0"/>
              <w:rPr>
                <w:rFonts w:ascii="Times New Roman" w:hAnsi="Times New Roman"/>
                <w:sz w:val="20"/>
                <w:szCs w:val="20"/>
              </w:rPr>
            </w:pPr>
            <w:r w:rsidRPr="00137482">
              <w:rPr>
                <w:rFonts w:ascii="Times New Roman" w:hAnsi="Times New Roman"/>
                <w:sz w:val="20"/>
                <w:szCs w:val="20"/>
              </w:rPr>
              <w:t>CSIRO will undertake the core work and will actively collaborate with the Scientific Services Provider and Japan in the conduct of the analyses.</w:t>
            </w:r>
          </w:p>
        </w:tc>
      </w:tr>
      <w:tr w:rsidR="009A53E1" w:rsidRPr="00137482" w14:paraId="553F1C27"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03A2EC3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Scope</w:t>
            </w:r>
          </w:p>
        </w:tc>
        <w:tc>
          <w:tcPr>
            <w:tcW w:w="7701" w:type="dxa"/>
            <w:tcBorders>
              <w:top w:val="single" w:sz="4" w:space="0" w:color="auto"/>
              <w:left w:val="single" w:sz="4" w:space="0" w:color="auto"/>
              <w:bottom w:val="single" w:sz="4" w:space="0" w:color="auto"/>
              <w:right w:val="single" w:sz="4" w:space="0" w:color="auto"/>
            </w:tcBorders>
            <w:hideMark/>
          </w:tcPr>
          <w:p w14:paraId="1C4D63B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This work will:</w:t>
            </w:r>
          </w:p>
          <w:p w14:paraId="5FF76897"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Prepare and read an additional 125 otoliths using the annual increment method identified in Farley et al. (2017);</w:t>
            </w:r>
          </w:p>
          <w:p w14:paraId="317449C7"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Revise and update the Farley et al. (2017) age and growth estimates based on the additional data.</w:t>
            </w:r>
          </w:p>
        </w:tc>
      </w:tr>
      <w:tr w:rsidR="009A53E1" w:rsidRPr="00137482" w14:paraId="5A5A0890"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7127DB3B"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Timeframe</w:t>
            </w:r>
          </w:p>
        </w:tc>
        <w:tc>
          <w:tcPr>
            <w:tcW w:w="7701" w:type="dxa"/>
            <w:tcBorders>
              <w:top w:val="single" w:sz="4" w:space="0" w:color="auto"/>
              <w:left w:val="single" w:sz="4" w:space="0" w:color="auto"/>
              <w:bottom w:val="single" w:sz="4" w:space="0" w:color="auto"/>
              <w:right w:val="single" w:sz="4" w:space="0" w:color="auto"/>
            </w:tcBorders>
            <w:hideMark/>
          </w:tcPr>
          <w:p w14:paraId="21126930"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12 months</w:t>
            </w:r>
          </w:p>
        </w:tc>
      </w:tr>
      <w:tr w:rsidR="009A53E1" w:rsidRPr="00137482" w14:paraId="31DA465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tcPr>
          <w:p w14:paraId="4B076A0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Budget</w:t>
            </w:r>
          </w:p>
          <w:p w14:paraId="767AA591" w14:textId="77777777" w:rsidR="009A53E1" w:rsidRPr="00137482" w:rsidRDefault="009A53E1" w:rsidP="00C06F80">
            <w:pPr>
              <w:adjustRightInd w:val="0"/>
              <w:snapToGrid w:val="0"/>
              <w:spacing w:after="0"/>
              <w:rPr>
                <w:rFonts w:ascii="Times New Roman" w:hAnsi="Times New Roman"/>
                <w:sz w:val="20"/>
                <w:szCs w:val="20"/>
              </w:rPr>
            </w:pPr>
          </w:p>
        </w:tc>
        <w:tc>
          <w:tcPr>
            <w:tcW w:w="7701" w:type="dxa"/>
            <w:tcBorders>
              <w:top w:val="single" w:sz="4" w:space="0" w:color="auto"/>
              <w:left w:val="single" w:sz="4" w:space="0" w:color="auto"/>
              <w:bottom w:val="single" w:sz="4" w:space="0" w:color="auto"/>
              <w:right w:val="single" w:sz="4" w:space="0" w:color="auto"/>
            </w:tcBorders>
            <w:hideMark/>
          </w:tcPr>
          <w:p w14:paraId="5A2E998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US$30,000*</w:t>
            </w:r>
          </w:p>
          <w:p w14:paraId="48C46818"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*Note that this covers the CSIRO component of the work, including reading 125 otoliths, preparing a report and travelling to WCPFC SC14 to present the results.</w:t>
            </w:r>
          </w:p>
        </w:tc>
      </w:tr>
      <w:tr w:rsidR="009A53E1" w:rsidRPr="00137482" w14:paraId="4ADA483A"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1DC89D5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References</w:t>
            </w:r>
          </w:p>
        </w:tc>
        <w:tc>
          <w:tcPr>
            <w:tcW w:w="7701" w:type="dxa"/>
            <w:tcBorders>
              <w:top w:val="single" w:sz="4" w:space="0" w:color="auto"/>
              <w:left w:val="single" w:sz="4" w:space="0" w:color="auto"/>
              <w:bottom w:val="single" w:sz="4" w:space="0" w:color="auto"/>
              <w:right w:val="single" w:sz="4" w:space="0" w:color="auto"/>
            </w:tcBorders>
            <w:hideMark/>
          </w:tcPr>
          <w:p w14:paraId="34480AFC" w14:textId="5E15D363" w:rsidR="009A53E1" w:rsidRPr="00137482" w:rsidRDefault="009A53E1" w:rsidP="00D35815">
            <w:pPr>
              <w:adjustRightInd w:val="0"/>
              <w:snapToGrid w:val="0"/>
              <w:spacing w:after="0"/>
              <w:rPr>
                <w:rFonts w:ascii="Times New Roman" w:hAnsi="Times New Roman"/>
                <w:sz w:val="20"/>
                <w:szCs w:val="20"/>
              </w:rPr>
            </w:pPr>
            <w:r w:rsidRPr="00137482">
              <w:rPr>
                <w:rFonts w:ascii="Times New Roman" w:hAnsi="Times New Roman"/>
                <w:sz w:val="20"/>
                <w:szCs w:val="20"/>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14:paraId="3311BB61" w14:textId="77777777" w:rsidR="009A53E1" w:rsidRPr="00137482" w:rsidRDefault="009A53E1" w:rsidP="009A53E1">
      <w:pPr>
        <w:adjustRightInd w:val="0"/>
        <w:snapToGrid w:val="0"/>
        <w:spacing w:after="0"/>
        <w:rPr>
          <w:rFonts w:ascii="Times New Roman" w:hAnsi="Times New Roman"/>
          <w:sz w:val="20"/>
          <w:szCs w:val="20"/>
        </w:rPr>
      </w:pPr>
    </w:p>
    <w:p w14:paraId="4A4E37B4" w14:textId="77777777" w:rsidR="009A53E1" w:rsidRPr="00137482" w:rsidRDefault="009A53E1" w:rsidP="009A53E1">
      <w:pPr>
        <w:adjustRightInd w:val="0"/>
        <w:snapToGrid w:val="0"/>
        <w:spacing w:after="0"/>
        <w:rPr>
          <w:rFonts w:ascii="Times New Roman" w:hAnsi="Times New Roman"/>
          <w:sz w:val="20"/>
          <w:szCs w:val="20"/>
          <w:lang w:val="en-AU"/>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0"/>
        <w:gridCol w:w="8106"/>
      </w:tblGrid>
      <w:tr w:rsidR="009A53E1" w:rsidRPr="00137482" w14:paraId="07622E9F" w14:textId="77777777" w:rsidTr="00C06F80">
        <w:tc>
          <w:tcPr>
            <w:tcW w:w="9576" w:type="dxa"/>
            <w:gridSpan w:val="2"/>
          </w:tcPr>
          <w:p w14:paraId="35BBC876" w14:textId="7B5714E6" w:rsidR="009A53E1" w:rsidRPr="00137482" w:rsidRDefault="009A53E1" w:rsidP="00C06F80">
            <w:pPr>
              <w:pStyle w:val="Heading1"/>
              <w:adjustRightInd w:val="0"/>
              <w:snapToGrid w:val="0"/>
              <w:jc w:val="left"/>
              <w:outlineLvl w:val="0"/>
              <w:rPr>
                <w:rFonts w:ascii="Times New Roman" w:hAnsi="Times New Roman"/>
                <w:sz w:val="20"/>
                <w:szCs w:val="20"/>
              </w:rPr>
            </w:pPr>
            <w:r w:rsidRPr="00137482">
              <w:rPr>
                <w:rFonts w:ascii="Times New Roman" w:hAnsi="Times New Roman"/>
                <w:sz w:val="20"/>
                <w:szCs w:val="20"/>
              </w:rPr>
              <w:t>project 82</w:t>
            </w:r>
          </w:p>
          <w:p w14:paraId="00062911" w14:textId="77777777" w:rsidR="009A53E1" w:rsidRPr="00137482" w:rsidRDefault="009A53E1" w:rsidP="00C06F80">
            <w:pPr>
              <w:pStyle w:val="Heading1"/>
              <w:adjustRightInd w:val="0"/>
              <w:snapToGrid w:val="0"/>
              <w:jc w:val="left"/>
              <w:outlineLvl w:val="0"/>
              <w:rPr>
                <w:rFonts w:ascii="Times New Roman" w:hAnsi="Times New Roman"/>
                <w:caps w:val="0"/>
                <w:sz w:val="20"/>
                <w:szCs w:val="20"/>
                <w:lang w:eastAsia="ko-KR"/>
              </w:rPr>
            </w:pPr>
            <w:r w:rsidRPr="00137482">
              <w:rPr>
                <w:rFonts w:ascii="Times New Roman" w:hAnsi="Times New Roman"/>
                <w:caps w:val="0"/>
                <w:sz w:val="20"/>
                <w:szCs w:val="20"/>
              </w:rPr>
              <w:t>Yellowfin tuna age and growth</w:t>
            </w:r>
          </w:p>
        </w:tc>
      </w:tr>
      <w:tr w:rsidR="009A53E1" w:rsidRPr="00137482" w14:paraId="7D20B01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5CA33B24"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b/>
                <w:sz w:val="20"/>
                <w:szCs w:val="20"/>
              </w:rPr>
              <w:t>#35d</w:t>
            </w:r>
          </w:p>
        </w:tc>
      </w:tr>
      <w:tr w:rsidR="009A53E1" w:rsidRPr="00137482" w14:paraId="1147C8A7"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shd w:val="clear" w:color="auto" w:fill="92D050"/>
            <w:hideMark/>
          </w:tcPr>
          <w:p w14:paraId="6A10F63D"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8106" w:type="dxa"/>
            <w:tcBorders>
              <w:top w:val="single" w:sz="4" w:space="0" w:color="auto"/>
              <w:left w:val="single" w:sz="4" w:space="0" w:color="auto"/>
              <w:bottom w:val="single" w:sz="4" w:space="0" w:color="auto"/>
              <w:right w:val="single" w:sz="4" w:space="0" w:color="auto"/>
            </w:tcBorders>
            <w:shd w:val="clear" w:color="auto" w:fill="92D050"/>
            <w:hideMark/>
          </w:tcPr>
          <w:p w14:paraId="27C37AB9"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Yellowfin tuna age and growth</w:t>
            </w:r>
          </w:p>
        </w:tc>
      </w:tr>
      <w:tr w:rsidR="009A53E1" w:rsidRPr="00137482" w14:paraId="4E6F57FC"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09E9600D"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Objectives</w:t>
            </w:r>
          </w:p>
        </w:tc>
        <w:tc>
          <w:tcPr>
            <w:tcW w:w="8106" w:type="dxa"/>
            <w:tcBorders>
              <w:top w:val="single" w:sz="4" w:space="0" w:color="auto"/>
              <w:left w:val="single" w:sz="4" w:space="0" w:color="auto"/>
              <w:bottom w:val="single" w:sz="4" w:space="0" w:color="auto"/>
              <w:right w:val="single" w:sz="4" w:space="0" w:color="auto"/>
            </w:tcBorders>
            <w:hideMark/>
          </w:tcPr>
          <w:p w14:paraId="59167AB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To provide robust age and growth estimates for yellowfin tuna in the WCPO to inform future stock assessments and related analyses.</w:t>
            </w:r>
          </w:p>
        </w:tc>
      </w:tr>
      <w:tr w:rsidR="009A53E1" w:rsidRPr="00137482" w14:paraId="5F1A257C"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208F48A6"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Rationale</w:t>
            </w:r>
          </w:p>
        </w:tc>
        <w:tc>
          <w:tcPr>
            <w:tcW w:w="8106" w:type="dxa"/>
            <w:tcBorders>
              <w:top w:val="single" w:sz="4" w:space="0" w:color="auto"/>
              <w:left w:val="single" w:sz="4" w:space="0" w:color="auto"/>
              <w:bottom w:val="single" w:sz="4" w:space="0" w:color="auto"/>
              <w:right w:val="single" w:sz="4" w:space="0" w:color="auto"/>
            </w:tcBorders>
          </w:tcPr>
          <w:p w14:paraId="33E2C39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The 2017 yellowfin tuna stock assessment (Tremblay-Boyer et al. 2017) identified that new estimates of age and growth be developed for yellowfin tuna in the WCPO. This recommendation arose given how influential updated growth estimates for bigeye tuna (Farley et al. 2017) proved on that assessment in 2017, noting similarities in the fisheries for those two species. In addition the current assessment model for yellowfin predicts a decline in the selectivity of large fish for longline fisheries, a counter-intuitive result which can occur if the growth is incorrectly specified within the assessment model. </w:t>
            </w:r>
          </w:p>
          <w:p w14:paraId="1D75ABE1" w14:textId="77777777" w:rsidR="009A53E1" w:rsidRPr="00137482" w:rsidRDefault="009A53E1" w:rsidP="00C06F80">
            <w:pPr>
              <w:adjustRightInd w:val="0"/>
              <w:snapToGrid w:val="0"/>
              <w:spacing w:after="0"/>
              <w:rPr>
                <w:rFonts w:ascii="Times New Roman" w:hAnsi="Times New Roman"/>
                <w:sz w:val="20"/>
                <w:szCs w:val="20"/>
              </w:rPr>
            </w:pPr>
          </w:p>
          <w:p w14:paraId="464FA98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This project would undertake the first comprehensive age and growth study for yellowfin tuna in the WCPO using otoliths. This project represents an area of work not yet pursued in the WCPO. Through Project 35 and 35b, the Tuna Tissue Bank, a range of yellowfin otolith samples have been collected to date (&gt;4000). As for bigeye the limitation is otoliths for very small fish (&lt;30 cm) and for large fish (&gt;140 cm).</w:t>
            </w:r>
          </w:p>
          <w:p w14:paraId="7927BB97" w14:textId="77777777" w:rsidR="009A53E1" w:rsidRPr="00137482" w:rsidRDefault="009A53E1" w:rsidP="00C06F80">
            <w:pPr>
              <w:adjustRightInd w:val="0"/>
              <w:snapToGrid w:val="0"/>
              <w:spacing w:after="0"/>
              <w:rPr>
                <w:rFonts w:ascii="Times New Roman" w:hAnsi="Times New Roman"/>
                <w:sz w:val="20"/>
                <w:szCs w:val="20"/>
              </w:rPr>
            </w:pPr>
          </w:p>
          <w:p w14:paraId="0454935C" w14:textId="77777777" w:rsidR="009A53E1" w:rsidRPr="00137482" w:rsidRDefault="009A53E1" w:rsidP="00C06F80">
            <w:pPr>
              <w:adjustRightInd w:val="0"/>
              <w:snapToGrid w:val="0"/>
              <w:spacing w:after="0"/>
              <w:rPr>
                <w:rFonts w:ascii="Times New Roman" w:eastAsiaTheme="minorHAnsi" w:hAnsi="Times New Roman"/>
                <w:sz w:val="20"/>
                <w:szCs w:val="20"/>
              </w:rPr>
            </w:pPr>
            <w:r w:rsidRPr="00137482">
              <w:rPr>
                <w:rFonts w:ascii="Times New Roman" w:hAnsi="Times New Roman"/>
                <w:sz w:val="20"/>
                <w:szCs w:val="20"/>
              </w:rPr>
              <w:t>SPC (for the WCPFC Tuna Tissue Bank) have identified the available yellowfin tuna otoliths, by size class sampled after 01 January 2014. These unread otoliths, along with additional yellowfin otoliths which Japan has indicated are available for this research, are plotted below with numbers of available otoliths per 10cm size bin. These samples should be adequate to complete a comprehensive and robust study of yellowfin tuna age and growth.  It may be useful to seek additional otoliths from larger fish in the WCPO from other project partners.</w:t>
            </w:r>
          </w:p>
          <w:p w14:paraId="3BA5DB82" w14:textId="77777777" w:rsidR="009A53E1" w:rsidRPr="00137482" w:rsidRDefault="009A53E1" w:rsidP="00C06F80">
            <w:pPr>
              <w:adjustRightInd w:val="0"/>
              <w:snapToGrid w:val="0"/>
              <w:spacing w:after="0"/>
              <w:rPr>
                <w:rFonts w:ascii="Times New Roman" w:hAnsi="Times New Roman"/>
                <w:sz w:val="20"/>
                <w:szCs w:val="20"/>
              </w:rPr>
            </w:pPr>
          </w:p>
          <w:p w14:paraId="64E2CEB6" w14:textId="77777777" w:rsidR="009A53E1" w:rsidRPr="00137482" w:rsidRDefault="009A53E1" w:rsidP="00C06F80">
            <w:pPr>
              <w:adjustRightInd w:val="0"/>
              <w:snapToGrid w:val="0"/>
              <w:spacing w:after="0"/>
              <w:jc w:val="center"/>
              <w:rPr>
                <w:rFonts w:ascii="Times New Roman" w:eastAsiaTheme="minorHAnsi" w:hAnsi="Times New Roman"/>
                <w:sz w:val="20"/>
                <w:szCs w:val="20"/>
              </w:rPr>
            </w:pPr>
            <w:r w:rsidRPr="00137482">
              <w:rPr>
                <w:rFonts w:ascii="Times New Roman" w:hAnsi="Times New Roman"/>
                <w:noProof/>
                <w:sz w:val="20"/>
                <w:szCs w:val="20"/>
                <w:lang w:val="en-US" w:eastAsia="ko-KR"/>
              </w:rPr>
              <w:drawing>
                <wp:inline distT="0" distB="0" distL="0" distR="0" wp14:anchorId="629D2A7D" wp14:editId="4273F778">
                  <wp:extent cx="5010150" cy="2705100"/>
                  <wp:effectExtent l="0" t="0" r="0" b="0"/>
                  <wp:docPr id="34" name="Picture 34" descr="cid:image001.png@01D315BA.2055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1.png@01D315BA.20555540"/>
                          <pic:cNvPicPr>
                            <a:picLocks noChangeAspect="1" noChangeArrowheads="1"/>
                          </pic:cNvPicPr>
                        </pic:nvPicPr>
                        <pic:blipFill>
                          <a:blip r:embed="rId97" r:link="rId98">
                            <a:extLst>
                              <a:ext uri="{28A0092B-C50C-407E-A947-70E740481C1C}">
                                <a14:useLocalDpi xmlns:a14="http://schemas.microsoft.com/office/drawing/2010/main" val="0"/>
                              </a:ext>
                            </a:extLst>
                          </a:blip>
                          <a:srcRect/>
                          <a:stretch>
                            <a:fillRect/>
                          </a:stretch>
                        </pic:blipFill>
                        <pic:spPr bwMode="auto">
                          <a:xfrm>
                            <a:off x="0" y="0"/>
                            <a:ext cx="5010150" cy="2705100"/>
                          </a:xfrm>
                          <a:prstGeom prst="rect">
                            <a:avLst/>
                          </a:prstGeom>
                          <a:noFill/>
                          <a:ln>
                            <a:noFill/>
                          </a:ln>
                        </pic:spPr>
                      </pic:pic>
                    </a:graphicData>
                  </a:graphic>
                </wp:inline>
              </w:drawing>
            </w:r>
          </w:p>
          <w:p w14:paraId="6C20F6B4" w14:textId="77777777" w:rsidR="009A53E1" w:rsidRPr="00137482" w:rsidRDefault="009A53E1" w:rsidP="00C06F80">
            <w:pPr>
              <w:adjustRightInd w:val="0"/>
              <w:snapToGrid w:val="0"/>
              <w:spacing w:after="0"/>
              <w:rPr>
                <w:rFonts w:ascii="Times New Roman" w:hAnsi="Times New Roman"/>
                <w:sz w:val="20"/>
                <w:szCs w:val="20"/>
              </w:rPr>
            </w:pPr>
          </w:p>
          <w:p w14:paraId="47A54862" w14:textId="77777777" w:rsidR="009A53E1" w:rsidRPr="00137482" w:rsidRDefault="009A53E1" w:rsidP="00C06F80">
            <w:pPr>
              <w:adjustRightInd w:val="0"/>
              <w:snapToGrid w:val="0"/>
              <w:spacing w:after="0"/>
              <w:rPr>
                <w:rFonts w:ascii="Times New Roman" w:eastAsiaTheme="minorHAnsi" w:hAnsi="Times New Roman"/>
                <w:sz w:val="20"/>
                <w:szCs w:val="20"/>
              </w:rPr>
            </w:pPr>
            <w:r w:rsidRPr="00137482">
              <w:rPr>
                <w:rFonts w:ascii="Times New Roman" w:hAnsi="Times New Roman"/>
                <w:sz w:val="20"/>
                <w:szCs w:val="20"/>
              </w:rPr>
              <w:t>Some of the additional otolith samples from Japan are single otoliths and some are pairs. The project would have all of the singles and one of each pair sent to CSIRO for processing and analysis. The 2</w:t>
            </w:r>
            <w:r w:rsidRPr="00137482">
              <w:rPr>
                <w:rFonts w:ascii="Times New Roman" w:hAnsi="Times New Roman"/>
                <w:sz w:val="20"/>
                <w:szCs w:val="20"/>
                <w:vertAlign w:val="superscript"/>
              </w:rPr>
              <w:t>nd</w:t>
            </w:r>
            <w:r w:rsidRPr="00137482">
              <w:rPr>
                <w:rFonts w:ascii="Times New Roman" w:hAnsi="Times New Roman"/>
                <w:sz w:val="20"/>
                <w:szCs w:val="20"/>
              </w:rPr>
              <w:t xml:space="preserve"> otoliths of the paired samples would be processed and analysed by Japan, and then the results for the same individual yellowfin compared. This would likely involved collaborative work at the CSIRO laboratories.</w:t>
            </w:r>
          </w:p>
          <w:p w14:paraId="2AD6AE25" w14:textId="77777777" w:rsidR="009A53E1" w:rsidRPr="00137482" w:rsidRDefault="009A53E1" w:rsidP="00C06F80">
            <w:pPr>
              <w:adjustRightInd w:val="0"/>
              <w:snapToGrid w:val="0"/>
              <w:spacing w:after="0"/>
              <w:rPr>
                <w:rFonts w:ascii="Times New Roman" w:hAnsi="Times New Roman"/>
                <w:sz w:val="20"/>
                <w:szCs w:val="20"/>
              </w:rPr>
            </w:pPr>
          </w:p>
          <w:p w14:paraId="08E3936B" w14:textId="77777777" w:rsidR="009A53E1" w:rsidRPr="00137482" w:rsidRDefault="009A53E1" w:rsidP="00C06F80">
            <w:pPr>
              <w:adjustRightInd w:val="0"/>
              <w:snapToGrid w:val="0"/>
              <w:spacing w:after="0"/>
              <w:rPr>
                <w:rFonts w:ascii="Times New Roman" w:eastAsiaTheme="minorHAnsi" w:hAnsi="Times New Roman"/>
                <w:sz w:val="20"/>
                <w:szCs w:val="20"/>
              </w:rPr>
            </w:pPr>
            <w:r w:rsidRPr="00137482">
              <w:rPr>
                <w:rFonts w:ascii="Times New Roman" w:hAnsi="Times New Roman"/>
                <w:sz w:val="20"/>
                <w:szCs w:val="20"/>
              </w:rPr>
              <w:t xml:space="preserve">Note that if additional otoliths from the &gt;140 cm groups were provided by other project partners they would be incorporated into the analyses in a similar manner, subject to funding. </w:t>
            </w:r>
          </w:p>
          <w:p w14:paraId="1D9B1869" w14:textId="77777777" w:rsidR="009A53E1" w:rsidRPr="00137482" w:rsidRDefault="009A53E1" w:rsidP="00C06F80">
            <w:pPr>
              <w:adjustRightInd w:val="0"/>
              <w:snapToGrid w:val="0"/>
              <w:spacing w:after="0"/>
              <w:rPr>
                <w:rFonts w:ascii="Times New Roman" w:hAnsi="Times New Roman"/>
                <w:sz w:val="20"/>
                <w:szCs w:val="20"/>
              </w:rPr>
            </w:pPr>
          </w:p>
          <w:p w14:paraId="620431E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The project would begin </w:t>
            </w:r>
            <w:proofErr w:type="gramStart"/>
            <w:r w:rsidRPr="00137482">
              <w:rPr>
                <w:rFonts w:ascii="Times New Roman" w:hAnsi="Times New Roman"/>
                <w:sz w:val="20"/>
                <w:szCs w:val="20"/>
              </w:rPr>
              <w:t>with a preliminary analyses</w:t>
            </w:r>
            <w:proofErr w:type="gramEnd"/>
            <w:r w:rsidRPr="00137482">
              <w:rPr>
                <w:rFonts w:ascii="Times New Roman" w:hAnsi="Times New Roman"/>
                <w:sz w:val="20"/>
                <w:szCs w:val="20"/>
              </w:rPr>
              <w:t xml:space="preserve"> of WCPO yellowfin conducted by CSIRO to determine if the otoliths are suitable for annual age estimation. This study would include an initial reading of otoliths using daily increments to establish annual check marks, followed by an examination of otoliths across the available size range to assess readability. This work would establish a reference otolith set for the rest of the study.  At this time no otoliths with chemical check marks for validating age estimates are available. CSIRO and the Scientific Services Provider will collaborate to try and obtain strontium chloride marked otoliths within the life of the project, however it is more likely that these will not be available until after the project is complete. Accordingly, should the preliminary work determine yellowfin otoliths are suitable for a large-scale study (a target of 1500 otoliths across the size range read using the annual method, and 150 using the daily growth increment method, these targets including otoliths read in the preliminary study), a marginal increment analysis will be conducted to support the estimates of age and growth arising from that work.</w:t>
            </w:r>
          </w:p>
          <w:p w14:paraId="55FA9EB7" w14:textId="77777777" w:rsidR="009A53E1" w:rsidRPr="00137482" w:rsidRDefault="009A53E1" w:rsidP="00C06F80">
            <w:pPr>
              <w:adjustRightInd w:val="0"/>
              <w:snapToGrid w:val="0"/>
              <w:spacing w:after="0"/>
              <w:rPr>
                <w:rFonts w:ascii="Times New Roman" w:hAnsi="Times New Roman"/>
                <w:sz w:val="20"/>
                <w:szCs w:val="20"/>
              </w:rPr>
            </w:pPr>
          </w:p>
          <w:p w14:paraId="0AA7B6BD" w14:textId="77777777" w:rsidR="009A53E1" w:rsidRPr="00137482" w:rsidRDefault="009A53E1" w:rsidP="00C06F80">
            <w:pPr>
              <w:adjustRightInd w:val="0"/>
              <w:snapToGrid w:val="0"/>
              <w:spacing w:after="0"/>
              <w:rPr>
                <w:rFonts w:ascii="Times New Roman" w:eastAsiaTheme="minorHAnsi" w:hAnsi="Times New Roman"/>
                <w:sz w:val="20"/>
                <w:szCs w:val="20"/>
              </w:rPr>
            </w:pPr>
            <w:r w:rsidRPr="00137482">
              <w:rPr>
                <w:rFonts w:ascii="Times New Roman" w:hAnsi="Times New Roman"/>
                <w:sz w:val="20"/>
                <w:szCs w:val="20"/>
              </w:rPr>
              <w:t xml:space="preserve">The project would </w:t>
            </w:r>
            <w:proofErr w:type="gramStart"/>
            <w:r w:rsidRPr="00137482">
              <w:rPr>
                <w:rFonts w:ascii="Times New Roman" w:hAnsi="Times New Roman"/>
                <w:sz w:val="20"/>
                <w:szCs w:val="20"/>
              </w:rPr>
              <w:t>conducted</w:t>
            </w:r>
            <w:proofErr w:type="gramEnd"/>
            <w:r w:rsidRPr="00137482">
              <w:rPr>
                <w:rFonts w:ascii="Times New Roman" w:hAnsi="Times New Roman"/>
                <w:sz w:val="20"/>
                <w:szCs w:val="20"/>
              </w:rPr>
              <w:t xml:space="preserve"> preliminary work early in 2018. A small workshop would be conducted during the 2018 PAWS to finalise the approach for the large-scale study. A preliminary report would be provided to SC14. The remaining work would be completed during the remainder of 2018, with a final presentation to SC15 in 2019.</w:t>
            </w:r>
          </w:p>
        </w:tc>
      </w:tr>
      <w:tr w:rsidR="009A53E1" w:rsidRPr="00137482" w14:paraId="2BD619E5"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091CE210"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Assumptions</w:t>
            </w:r>
          </w:p>
        </w:tc>
        <w:tc>
          <w:tcPr>
            <w:tcW w:w="8106" w:type="dxa"/>
            <w:tcBorders>
              <w:top w:val="single" w:sz="4" w:space="0" w:color="auto"/>
              <w:left w:val="single" w:sz="4" w:space="0" w:color="auto"/>
              <w:bottom w:val="single" w:sz="4" w:space="0" w:color="auto"/>
              <w:right w:val="single" w:sz="4" w:space="0" w:color="auto"/>
            </w:tcBorders>
            <w:hideMark/>
          </w:tcPr>
          <w:p w14:paraId="34193563" w14:textId="77777777" w:rsidR="009A53E1" w:rsidRPr="00137482" w:rsidRDefault="009A53E1" w:rsidP="0074425A">
            <w:pPr>
              <w:pStyle w:val="ListParagraph"/>
              <w:numPr>
                <w:ilvl w:val="0"/>
                <w:numId w:val="166"/>
              </w:numPr>
              <w:adjustRightInd w:val="0"/>
              <w:snapToGrid w:val="0"/>
              <w:ind w:left="203" w:hanging="142"/>
              <w:contextualSpacing w:val="0"/>
              <w:rPr>
                <w:rFonts w:ascii="Times New Roman" w:hAnsi="Times New Roman"/>
                <w:sz w:val="20"/>
                <w:szCs w:val="20"/>
              </w:rPr>
            </w:pPr>
            <w:r w:rsidRPr="00137482">
              <w:rPr>
                <w:rFonts w:ascii="Times New Roman" w:hAnsi="Times New Roman"/>
                <w:sz w:val="20"/>
                <w:szCs w:val="20"/>
              </w:rPr>
              <w:t>The otoliths identified as available by project partners are provided in a timely manner.</w:t>
            </w:r>
          </w:p>
          <w:p w14:paraId="4621EBEF" w14:textId="77777777" w:rsidR="009A53E1" w:rsidRPr="00137482" w:rsidRDefault="009A53E1" w:rsidP="0074425A">
            <w:pPr>
              <w:pStyle w:val="ListParagraph"/>
              <w:numPr>
                <w:ilvl w:val="0"/>
                <w:numId w:val="166"/>
              </w:numPr>
              <w:adjustRightInd w:val="0"/>
              <w:snapToGrid w:val="0"/>
              <w:ind w:left="203" w:hanging="142"/>
              <w:contextualSpacing w:val="0"/>
              <w:rPr>
                <w:rFonts w:ascii="Times New Roman" w:hAnsi="Times New Roman"/>
                <w:sz w:val="20"/>
                <w:szCs w:val="20"/>
              </w:rPr>
            </w:pPr>
            <w:r w:rsidRPr="00137482">
              <w:rPr>
                <w:rFonts w:ascii="Times New Roman" w:hAnsi="Times New Roman"/>
                <w:sz w:val="20"/>
                <w:szCs w:val="20"/>
              </w:rPr>
              <w:t xml:space="preserve">The otoliths provided by project </w:t>
            </w:r>
            <w:proofErr w:type="gramStart"/>
            <w:r w:rsidRPr="00137482">
              <w:rPr>
                <w:rFonts w:ascii="Times New Roman" w:hAnsi="Times New Roman"/>
                <w:sz w:val="20"/>
                <w:szCs w:val="20"/>
              </w:rPr>
              <w:t>partners,</w:t>
            </w:r>
            <w:proofErr w:type="gramEnd"/>
            <w:r w:rsidRPr="00137482">
              <w:rPr>
                <w:rFonts w:ascii="Times New Roman" w:hAnsi="Times New Roman"/>
                <w:sz w:val="20"/>
                <w:szCs w:val="20"/>
              </w:rPr>
              <w:t xml:space="preserve"> and those from the WCPFC Tuna Tissue Bank are of sufficient quality to be produce readable slides.</w:t>
            </w:r>
          </w:p>
          <w:p w14:paraId="1E6508EB" w14:textId="77777777" w:rsidR="009A53E1" w:rsidRPr="00137482" w:rsidRDefault="009A53E1" w:rsidP="0074425A">
            <w:pPr>
              <w:pStyle w:val="ListParagraph"/>
              <w:numPr>
                <w:ilvl w:val="0"/>
                <w:numId w:val="166"/>
              </w:numPr>
              <w:adjustRightInd w:val="0"/>
              <w:snapToGrid w:val="0"/>
              <w:ind w:left="203" w:hanging="142"/>
              <w:contextualSpacing w:val="0"/>
              <w:rPr>
                <w:rFonts w:ascii="Times New Roman" w:hAnsi="Times New Roman"/>
                <w:sz w:val="20"/>
                <w:szCs w:val="20"/>
              </w:rPr>
            </w:pPr>
            <w:r w:rsidRPr="00137482">
              <w:rPr>
                <w:rFonts w:ascii="Times New Roman" w:hAnsi="Times New Roman"/>
                <w:sz w:val="20"/>
                <w:szCs w:val="20"/>
              </w:rPr>
              <w:t>Work to be completed by project partners is finished on time.</w:t>
            </w:r>
          </w:p>
          <w:p w14:paraId="2513D1BA" w14:textId="77777777" w:rsidR="009A53E1" w:rsidRPr="00137482" w:rsidRDefault="009A53E1" w:rsidP="0074425A">
            <w:pPr>
              <w:pStyle w:val="ListParagraph"/>
              <w:numPr>
                <w:ilvl w:val="0"/>
                <w:numId w:val="166"/>
              </w:numPr>
              <w:adjustRightInd w:val="0"/>
              <w:snapToGrid w:val="0"/>
              <w:ind w:left="203" w:hanging="142"/>
              <w:contextualSpacing w:val="0"/>
              <w:rPr>
                <w:rFonts w:ascii="Times New Roman" w:hAnsi="Times New Roman"/>
                <w:sz w:val="20"/>
                <w:szCs w:val="20"/>
              </w:rPr>
            </w:pPr>
            <w:r w:rsidRPr="00137482">
              <w:rPr>
                <w:rFonts w:ascii="Times New Roman" w:hAnsi="Times New Roman"/>
                <w:sz w:val="20"/>
                <w:szCs w:val="20"/>
              </w:rPr>
              <w:t>Otoliths from the WCPFC Tuna Tissue Bank will be released without needing to have the research proposal approved by the SC Research Committee.</w:t>
            </w:r>
          </w:p>
          <w:p w14:paraId="04618273" w14:textId="77777777" w:rsidR="009A53E1" w:rsidRPr="00137482" w:rsidRDefault="009A53E1" w:rsidP="0074425A">
            <w:pPr>
              <w:pStyle w:val="ListParagraph"/>
              <w:numPr>
                <w:ilvl w:val="0"/>
                <w:numId w:val="166"/>
              </w:numPr>
              <w:adjustRightInd w:val="0"/>
              <w:snapToGrid w:val="0"/>
              <w:ind w:left="203" w:hanging="142"/>
              <w:contextualSpacing w:val="0"/>
              <w:rPr>
                <w:rFonts w:ascii="Times New Roman" w:hAnsi="Times New Roman"/>
                <w:sz w:val="20"/>
                <w:szCs w:val="20"/>
              </w:rPr>
            </w:pPr>
            <w:r w:rsidRPr="00137482">
              <w:rPr>
                <w:rFonts w:ascii="Times New Roman" w:hAnsi="Times New Roman"/>
                <w:sz w:val="20"/>
                <w:szCs w:val="20"/>
              </w:rPr>
              <w:t>CSIRO will undertake the core work and will actively collaborate with the Scientific Services Provider and Japan in the conduct of the analyses.</w:t>
            </w:r>
          </w:p>
        </w:tc>
      </w:tr>
      <w:tr w:rsidR="009A53E1" w:rsidRPr="00137482" w14:paraId="36B753F5"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4FAC2EC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Scope</w:t>
            </w:r>
          </w:p>
        </w:tc>
        <w:tc>
          <w:tcPr>
            <w:tcW w:w="8106" w:type="dxa"/>
            <w:tcBorders>
              <w:top w:val="single" w:sz="4" w:space="0" w:color="auto"/>
              <w:left w:val="single" w:sz="4" w:space="0" w:color="auto"/>
              <w:bottom w:val="single" w:sz="4" w:space="0" w:color="auto"/>
              <w:right w:val="single" w:sz="4" w:space="0" w:color="auto"/>
            </w:tcBorders>
            <w:hideMark/>
          </w:tcPr>
          <w:p w14:paraId="1B8C225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This work will:</w:t>
            </w:r>
          </w:p>
          <w:p w14:paraId="6A0D984D"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Conduct a preliminary analysis of the suitability of yellowfin tuna otoliths for providing robust estimates of age and growth;</w:t>
            </w:r>
          </w:p>
          <w:p w14:paraId="2698AD1F"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Develop a reference collection and protocols for reading daily and annual growth checks in yellowfin tuna otoliths;</w:t>
            </w:r>
          </w:p>
          <w:p w14:paraId="4A364E5C"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Prepare and read 1500 otoliths using the annual increment method;</w:t>
            </w:r>
          </w:p>
          <w:p w14:paraId="2068FFEF"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Prepare and reading 150 otoliths using the daily growth increment method;</w:t>
            </w:r>
          </w:p>
          <w:p w14:paraId="772F2580"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Undertake a marginal increment analysis to support the age and growth estimates;</w:t>
            </w:r>
          </w:p>
          <w:p w14:paraId="66BE89BF" w14:textId="77777777" w:rsidR="009A53E1" w:rsidRPr="00137482" w:rsidRDefault="009A53E1" w:rsidP="0074425A">
            <w:pPr>
              <w:pStyle w:val="ListParagraph"/>
              <w:numPr>
                <w:ilvl w:val="0"/>
                <w:numId w:val="165"/>
              </w:numPr>
              <w:adjustRightInd w:val="0"/>
              <w:snapToGrid w:val="0"/>
              <w:contextualSpacing w:val="0"/>
              <w:rPr>
                <w:rFonts w:ascii="Times New Roman" w:hAnsi="Times New Roman"/>
                <w:sz w:val="20"/>
                <w:szCs w:val="20"/>
              </w:rPr>
            </w:pPr>
            <w:r w:rsidRPr="00137482">
              <w:rPr>
                <w:rFonts w:ascii="Times New Roman" w:hAnsi="Times New Roman"/>
                <w:sz w:val="20"/>
                <w:szCs w:val="20"/>
              </w:rPr>
              <w:t>Report estimates of age and growth for yellowfin tuna to WCPFC SC15.</w:t>
            </w:r>
          </w:p>
        </w:tc>
      </w:tr>
      <w:tr w:rsidR="009A53E1" w:rsidRPr="00137482" w14:paraId="4E9F9D89"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321CA33D"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Risks</w:t>
            </w:r>
          </w:p>
        </w:tc>
        <w:tc>
          <w:tcPr>
            <w:tcW w:w="8106" w:type="dxa"/>
            <w:tcBorders>
              <w:top w:val="single" w:sz="4" w:space="0" w:color="auto"/>
              <w:left w:val="single" w:sz="4" w:space="0" w:color="auto"/>
              <w:bottom w:val="single" w:sz="4" w:space="0" w:color="auto"/>
              <w:right w:val="single" w:sz="4" w:space="0" w:color="auto"/>
            </w:tcBorders>
            <w:hideMark/>
          </w:tcPr>
          <w:p w14:paraId="0FAF2EB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Note that due to the generally tropical distribution of yellowfin tuna, and the available otoliths, this study may need to be halted after the preliminary investigations. Should that occur, the report to SC14 will provide an opportunity to review next steps for developing robust estimates of age and growth for yellowfin tuna in the </w:t>
            </w:r>
            <w:proofErr w:type="gramStart"/>
            <w:r w:rsidRPr="00137482">
              <w:rPr>
                <w:rFonts w:ascii="Times New Roman" w:hAnsi="Times New Roman"/>
                <w:sz w:val="20"/>
                <w:szCs w:val="20"/>
              </w:rPr>
              <w:t>WCPO.</w:t>
            </w:r>
            <w:proofErr w:type="gramEnd"/>
          </w:p>
        </w:tc>
      </w:tr>
      <w:tr w:rsidR="009A53E1" w:rsidRPr="00137482" w14:paraId="5FEAE8B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5C6B6B0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Timeframe</w:t>
            </w:r>
          </w:p>
        </w:tc>
        <w:tc>
          <w:tcPr>
            <w:tcW w:w="8106" w:type="dxa"/>
            <w:tcBorders>
              <w:top w:val="single" w:sz="4" w:space="0" w:color="auto"/>
              <w:left w:val="single" w:sz="4" w:space="0" w:color="auto"/>
              <w:bottom w:val="single" w:sz="4" w:space="0" w:color="auto"/>
              <w:right w:val="single" w:sz="4" w:space="0" w:color="auto"/>
            </w:tcBorders>
            <w:hideMark/>
          </w:tcPr>
          <w:p w14:paraId="1FF6F39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24 months</w:t>
            </w:r>
          </w:p>
        </w:tc>
      </w:tr>
      <w:tr w:rsidR="009A53E1" w:rsidRPr="00137482" w14:paraId="21041DBE"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51EE11DD"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Budget</w:t>
            </w:r>
          </w:p>
        </w:tc>
        <w:tc>
          <w:tcPr>
            <w:tcW w:w="8106" w:type="dxa"/>
            <w:tcBorders>
              <w:top w:val="single" w:sz="4" w:space="0" w:color="auto"/>
              <w:left w:val="single" w:sz="4" w:space="0" w:color="auto"/>
              <w:bottom w:val="single" w:sz="4" w:space="0" w:color="auto"/>
              <w:right w:val="single" w:sz="4" w:space="0" w:color="auto"/>
            </w:tcBorders>
            <w:hideMark/>
          </w:tcPr>
          <w:p w14:paraId="35302846"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2018 USD$100,000</w:t>
            </w:r>
          </w:p>
          <w:p w14:paraId="1385C8DE"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2019 USD$85,000</w:t>
            </w:r>
          </w:p>
          <w:p w14:paraId="0E77B26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*Note that this covers the CSIRO component of the work, including reading 1650 otoliths, preparing two reports, travelling to the PAWS in 2018 and to WCPFC SC14 and SC15 to present the preliminary and final results. It does not cover costs of any project partners.</w:t>
            </w:r>
          </w:p>
        </w:tc>
      </w:tr>
      <w:tr w:rsidR="009A53E1" w:rsidRPr="00137482" w14:paraId="4802D10F"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0" w:type="dxa"/>
            <w:tcBorders>
              <w:top w:val="single" w:sz="4" w:space="0" w:color="auto"/>
              <w:left w:val="single" w:sz="4" w:space="0" w:color="auto"/>
              <w:bottom w:val="single" w:sz="4" w:space="0" w:color="auto"/>
              <w:right w:val="single" w:sz="4" w:space="0" w:color="auto"/>
            </w:tcBorders>
            <w:hideMark/>
          </w:tcPr>
          <w:p w14:paraId="35F5D35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References</w:t>
            </w:r>
          </w:p>
        </w:tc>
        <w:tc>
          <w:tcPr>
            <w:tcW w:w="8106" w:type="dxa"/>
            <w:tcBorders>
              <w:top w:val="single" w:sz="4" w:space="0" w:color="auto"/>
              <w:left w:val="single" w:sz="4" w:space="0" w:color="auto"/>
              <w:bottom w:val="single" w:sz="4" w:space="0" w:color="auto"/>
              <w:right w:val="single" w:sz="4" w:space="0" w:color="auto"/>
            </w:tcBorders>
          </w:tcPr>
          <w:p w14:paraId="32B8CDB4" w14:textId="1296E5D9"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Tremblay-Boyer, L., McKechnie, S., Pilling, G., and Hampton, J. 2017. Stock assessment of yellowfin tuna in the Western and Central Pacific Ocean. SC13-SA-WP-06. Thirteenth regular session of the Scientific Committee of the Western and Central Pacific Fisheries Commission. Rarotonga, Cook Islands, 9-17 August 2017.</w:t>
            </w:r>
          </w:p>
          <w:p w14:paraId="76B82EDB" w14:textId="77777777" w:rsidR="009A53E1" w:rsidRPr="00137482" w:rsidRDefault="009A53E1" w:rsidP="00C06F80">
            <w:pPr>
              <w:adjustRightInd w:val="0"/>
              <w:snapToGrid w:val="0"/>
              <w:spacing w:after="0"/>
              <w:rPr>
                <w:rFonts w:ascii="Times New Roman" w:hAnsi="Times New Roman"/>
                <w:sz w:val="20"/>
                <w:szCs w:val="20"/>
              </w:rPr>
            </w:pPr>
          </w:p>
          <w:p w14:paraId="12EA77CE" w14:textId="0F0CC316" w:rsidR="009A53E1" w:rsidRPr="00137482" w:rsidRDefault="009A53E1" w:rsidP="00D35815">
            <w:pPr>
              <w:adjustRightInd w:val="0"/>
              <w:snapToGrid w:val="0"/>
              <w:spacing w:after="0"/>
              <w:rPr>
                <w:rFonts w:ascii="Times New Roman" w:hAnsi="Times New Roman"/>
                <w:sz w:val="20"/>
                <w:szCs w:val="20"/>
              </w:rPr>
            </w:pPr>
            <w:r w:rsidRPr="00137482">
              <w:rPr>
                <w:rFonts w:ascii="Times New Roman" w:hAnsi="Times New Roman"/>
                <w:sz w:val="20"/>
                <w:szCs w:val="20"/>
              </w:rPr>
              <w:t>Farley, J., Eveson, P., Krusic-Golub, Sanchez, C., Roupsard,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14:paraId="2F1B0145" w14:textId="77777777" w:rsidR="009A53E1" w:rsidRPr="00137482" w:rsidRDefault="009A53E1" w:rsidP="009A53E1">
      <w:pPr>
        <w:adjustRightInd w:val="0"/>
        <w:snapToGrid w:val="0"/>
        <w:spacing w:after="0"/>
        <w:rPr>
          <w:rFonts w:ascii="Times New Roman" w:hAnsi="Times New Roman"/>
          <w:sz w:val="20"/>
          <w:szCs w:val="20"/>
          <w:lang w:val="en-AU"/>
        </w:rPr>
      </w:pPr>
    </w:p>
    <w:p w14:paraId="3A0C7F38" w14:textId="77777777" w:rsidR="009A53E1" w:rsidRPr="00137482" w:rsidRDefault="009A53E1" w:rsidP="009A53E1">
      <w:pPr>
        <w:autoSpaceDE w:val="0"/>
        <w:autoSpaceDN w:val="0"/>
        <w:adjustRightInd w:val="0"/>
        <w:snapToGrid w:val="0"/>
        <w:spacing w:after="0"/>
        <w:rPr>
          <w:rFonts w:ascii="Times New Roman" w:eastAsia="맑은 고딕" w:hAnsi="Times New Roman"/>
          <w:b/>
          <w:caps/>
          <w:sz w:val="20"/>
          <w:szCs w:val="20"/>
          <w:lang w:val="en-GB" w:eastAsia="ko-KR"/>
        </w:rPr>
      </w:pPr>
    </w:p>
    <w:p w14:paraId="0C79684E" w14:textId="77777777" w:rsidR="009A53E1" w:rsidRPr="00137482" w:rsidRDefault="009A53E1" w:rsidP="009A53E1">
      <w:pPr>
        <w:adjustRightInd w:val="0"/>
        <w:snapToGrid w:val="0"/>
        <w:spacing w:after="0"/>
        <w:rPr>
          <w:rFonts w:ascii="Times New Roman" w:hAnsi="Times New Roman"/>
          <w:sz w:val="20"/>
          <w:szCs w:val="20"/>
          <w:lang w:val="en-AU"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75"/>
        <w:gridCol w:w="7701"/>
      </w:tblGrid>
      <w:tr w:rsidR="009A53E1" w:rsidRPr="00137482" w14:paraId="6F879CC7" w14:textId="77777777" w:rsidTr="00C06F80">
        <w:tc>
          <w:tcPr>
            <w:tcW w:w="9576" w:type="dxa"/>
            <w:gridSpan w:val="2"/>
          </w:tcPr>
          <w:p w14:paraId="28A32D76" w14:textId="08F87474" w:rsidR="009A53E1" w:rsidRPr="00137482" w:rsidRDefault="009A53E1" w:rsidP="00C06F80">
            <w:pPr>
              <w:adjustRightInd w:val="0"/>
              <w:snapToGrid w:val="0"/>
              <w:spacing w:after="0"/>
              <w:rPr>
                <w:rFonts w:ascii="Times New Roman" w:eastAsia="맑은 고딕" w:hAnsi="Times New Roman"/>
                <w:b/>
                <w:caps/>
                <w:sz w:val="20"/>
                <w:szCs w:val="20"/>
                <w:lang w:eastAsia="ko-KR"/>
              </w:rPr>
            </w:pPr>
            <w:r w:rsidRPr="00137482">
              <w:rPr>
                <w:rFonts w:ascii="Times New Roman" w:hAnsi="Times New Roman"/>
                <w:b/>
                <w:caps/>
                <w:sz w:val="20"/>
                <w:szCs w:val="20"/>
                <w:lang w:eastAsia="ko-KR"/>
              </w:rPr>
              <w:t>Project 83</w:t>
            </w:r>
          </w:p>
          <w:p w14:paraId="1713D964" w14:textId="77777777" w:rsidR="009A53E1" w:rsidRPr="00137482" w:rsidRDefault="009A53E1" w:rsidP="00C06F80">
            <w:pPr>
              <w:adjustRightInd w:val="0"/>
              <w:snapToGrid w:val="0"/>
              <w:spacing w:after="0"/>
              <w:rPr>
                <w:rFonts w:ascii="Times New Roman" w:hAnsi="Times New Roman"/>
                <w:b/>
                <w:sz w:val="20"/>
                <w:szCs w:val="20"/>
                <w:lang w:eastAsia="ko-KR"/>
              </w:rPr>
            </w:pPr>
            <w:r w:rsidRPr="00137482">
              <w:rPr>
                <w:rFonts w:ascii="Times New Roman" w:hAnsi="Times New Roman"/>
                <w:b/>
                <w:sz w:val="20"/>
                <w:szCs w:val="20"/>
              </w:rPr>
              <w:t>Investigating the potential for a WCPFC tag vessel</w:t>
            </w:r>
          </w:p>
        </w:tc>
      </w:tr>
      <w:tr w:rsidR="009A53E1" w:rsidRPr="00137482" w14:paraId="67FE45A0"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40967B20"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#42b</w:t>
            </w:r>
          </w:p>
        </w:tc>
      </w:tr>
      <w:tr w:rsidR="009A53E1" w:rsidRPr="00137482" w14:paraId="3530D1C7"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shd w:val="clear" w:color="auto" w:fill="92D050"/>
            <w:hideMark/>
          </w:tcPr>
          <w:p w14:paraId="20C20483"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7701" w:type="dxa"/>
            <w:tcBorders>
              <w:top w:val="single" w:sz="4" w:space="0" w:color="auto"/>
              <w:left w:val="single" w:sz="4" w:space="0" w:color="auto"/>
              <w:bottom w:val="single" w:sz="4" w:space="0" w:color="auto"/>
              <w:right w:val="single" w:sz="4" w:space="0" w:color="auto"/>
            </w:tcBorders>
            <w:shd w:val="clear" w:color="auto" w:fill="92D050"/>
            <w:hideMark/>
          </w:tcPr>
          <w:p w14:paraId="4E33D2F5"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Investigating the potential for a WCPFC tag vessel</w:t>
            </w:r>
          </w:p>
        </w:tc>
      </w:tr>
      <w:tr w:rsidR="009A53E1" w:rsidRPr="00137482" w14:paraId="7C105948"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2CEC91C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Objectives</w:t>
            </w:r>
          </w:p>
        </w:tc>
        <w:tc>
          <w:tcPr>
            <w:tcW w:w="7701" w:type="dxa"/>
            <w:tcBorders>
              <w:top w:val="single" w:sz="4" w:space="0" w:color="auto"/>
              <w:left w:val="single" w:sz="4" w:space="0" w:color="auto"/>
              <w:bottom w:val="single" w:sz="4" w:space="0" w:color="auto"/>
              <w:right w:val="single" w:sz="4" w:space="0" w:color="auto"/>
            </w:tcBorders>
            <w:hideMark/>
          </w:tcPr>
          <w:p w14:paraId="0AA1CBB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To explore the costs and benefits of the permanent use of an adaptable research vessel dedicated to the collection of the data used in tuna stock assessment in the WCPO.</w:t>
            </w:r>
          </w:p>
        </w:tc>
      </w:tr>
      <w:tr w:rsidR="009A53E1" w:rsidRPr="00137482" w14:paraId="7E5EB049"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1A3E156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Rationale</w:t>
            </w:r>
          </w:p>
        </w:tc>
        <w:tc>
          <w:tcPr>
            <w:tcW w:w="7701" w:type="dxa"/>
            <w:tcBorders>
              <w:top w:val="single" w:sz="4" w:space="0" w:color="auto"/>
              <w:left w:val="single" w:sz="4" w:space="0" w:color="auto"/>
              <w:bottom w:val="single" w:sz="4" w:space="0" w:color="auto"/>
              <w:right w:val="single" w:sz="4" w:space="0" w:color="auto"/>
            </w:tcBorders>
          </w:tcPr>
          <w:p w14:paraId="5AC78F4B" w14:textId="77777777" w:rsidR="009A53E1" w:rsidRPr="00137482" w:rsidRDefault="009A53E1" w:rsidP="0074425A">
            <w:pPr>
              <w:numPr>
                <w:ilvl w:val="0"/>
                <w:numId w:val="167"/>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Rationale for project</w:t>
            </w:r>
          </w:p>
          <w:p w14:paraId="34D114A7" w14:textId="77777777" w:rsidR="009A53E1" w:rsidRPr="00137482" w:rsidRDefault="009A53E1" w:rsidP="00C06F80">
            <w:pPr>
              <w:adjustRightInd w:val="0"/>
              <w:snapToGrid w:val="0"/>
              <w:spacing w:after="0"/>
              <w:rPr>
                <w:rFonts w:ascii="Times New Roman" w:hAnsi="Times New Roman"/>
                <w:b/>
                <w:bCs/>
                <w:sz w:val="20"/>
                <w:szCs w:val="20"/>
              </w:rPr>
            </w:pPr>
          </w:p>
          <w:p w14:paraId="54120D6E" w14:textId="77777777" w:rsidR="009A53E1" w:rsidRPr="00137482" w:rsidRDefault="009A53E1" w:rsidP="0074425A">
            <w:pPr>
              <w:numPr>
                <w:ilvl w:val="0"/>
                <w:numId w:val="168"/>
              </w:numPr>
              <w:adjustRightInd w:val="0"/>
              <w:snapToGrid w:val="0"/>
              <w:spacing w:after="0"/>
              <w:rPr>
                <w:rFonts w:ascii="Times New Roman" w:hAnsi="Times New Roman"/>
                <w:b/>
                <w:bCs/>
                <w:sz w:val="20"/>
                <w:szCs w:val="20"/>
                <w:lang w:val="fr-FR"/>
              </w:rPr>
            </w:pPr>
            <w:r w:rsidRPr="00137482">
              <w:rPr>
                <w:rFonts w:ascii="Times New Roman" w:hAnsi="Times New Roman"/>
                <w:b/>
                <w:bCs/>
                <w:sz w:val="20"/>
                <w:szCs w:val="20"/>
                <w:lang w:val="fr-FR"/>
              </w:rPr>
              <w:t>General</w:t>
            </w:r>
          </w:p>
          <w:p w14:paraId="539A08BB"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More than 70% of the global tuna catch are fished in the Pacific Ocean for an estimated value of over US$6 billion. The harvesting level of tuna resources and the efficiency of the involved industrial fleet henceforth impose a very responsive management mode. The management measures need to be supported by strong evidence based on high quality data allowing stock assessment containing a minimum of uncertainty. The data obtained independently from the fishing fleets have become essential and the science based management bodies have the responsibility to support their analysis with the best scientific evidence available. This requires a continuous acquiring of mortality rates for the impacted species, a detailed knowledge of their biology, along with their behaviour in response to fishing gears and in response to the variations in their environment. Assessing the fishing impact on the whole ecosystem requires collecting data on all the species living in association with tuna and tuna-like species, data about their prey and the pelagic ecosystem. The collection of all this information requires the permanent use of an adaptable research vessel properly designed for the purpose. There are currently no suitable tuna research vessels available in the region (or beyond).</w:t>
            </w:r>
          </w:p>
          <w:p w14:paraId="574DCA9E" w14:textId="77777777" w:rsidR="009A53E1" w:rsidRPr="00137482" w:rsidRDefault="009A53E1" w:rsidP="00C06F80">
            <w:pPr>
              <w:adjustRightInd w:val="0"/>
              <w:snapToGrid w:val="0"/>
              <w:spacing w:after="0"/>
              <w:rPr>
                <w:rFonts w:ascii="Times New Roman" w:hAnsi="Times New Roman"/>
                <w:sz w:val="20"/>
                <w:szCs w:val="20"/>
              </w:rPr>
            </w:pPr>
          </w:p>
          <w:p w14:paraId="5E6303B0"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Accordingly it seems to be the appropriate timing to carefully explore the permanent use of an adaptable research vessel dedicated to the collection of the data used in tuna stock assessment.</w:t>
            </w:r>
          </w:p>
          <w:p w14:paraId="17914D2F" w14:textId="77777777" w:rsidR="009A53E1" w:rsidRPr="00137482" w:rsidRDefault="009A53E1" w:rsidP="00C06F80">
            <w:pPr>
              <w:adjustRightInd w:val="0"/>
              <w:snapToGrid w:val="0"/>
              <w:spacing w:after="0"/>
              <w:rPr>
                <w:rFonts w:ascii="Times New Roman" w:hAnsi="Times New Roman"/>
                <w:b/>
                <w:bCs/>
                <w:sz w:val="20"/>
                <w:szCs w:val="20"/>
              </w:rPr>
            </w:pPr>
          </w:p>
          <w:p w14:paraId="3C4ABA2C" w14:textId="77777777" w:rsidR="009A53E1" w:rsidRPr="00137482" w:rsidRDefault="009A53E1" w:rsidP="0074425A">
            <w:pPr>
              <w:numPr>
                <w:ilvl w:val="0"/>
                <w:numId w:val="168"/>
              </w:numPr>
              <w:adjustRightInd w:val="0"/>
              <w:snapToGrid w:val="0"/>
              <w:spacing w:after="0"/>
              <w:rPr>
                <w:rFonts w:ascii="Times New Roman" w:hAnsi="Times New Roman"/>
                <w:b/>
                <w:bCs/>
                <w:sz w:val="20"/>
                <w:szCs w:val="20"/>
                <w:lang w:val="fr-FR"/>
              </w:rPr>
            </w:pPr>
            <w:r w:rsidRPr="00137482">
              <w:rPr>
                <w:rFonts w:ascii="Times New Roman" w:hAnsi="Times New Roman"/>
                <w:b/>
                <w:bCs/>
                <w:sz w:val="20"/>
                <w:szCs w:val="20"/>
                <w:lang w:val="fr-FR"/>
              </w:rPr>
              <w:t xml:space="preserve">SC 13 </w:t>
            </w:r>
          </w:p>
          <w:p w14:paraId="19D5095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At SC13 the PTTP Steering Committee considered the issue of the availability of suitable tagging vessels, especially for pole and line based research, at its 11</w:t>
            </w:r>
            <w:r w:rsidRPr="00137482">
              <w:rPr>
                <w:rFonts w:ascii="Times New Roman" w:hAnsi="Times New Roman"/>
                <w:sz w:val="20"/>
                <w:szCs w:val="20"/>
                <w:vertAlign w:val="superscript"/>
              </w:rPr>
              <w:t>th</w:t>
            </w:r>
            <w:r w:rsidRPr="00137482">
              <w:rPr>
                <w:rFonts w:ascii="Times New Roman" w:hAnsi="Times New Roman"/>
                <w:sz w:val="20"/>
                <w:szCs w:val="20"/>
              </w:rPr>
              <w:t xml:space="preserve"> meeting during SC13. The PTTP Steering Commiteee endorsed the proposal outlined in SC13-RP-P42-02 Appendix II and recommended that SC13 support an assessment of the cost-effectiveness of acquiring a dedicated tagging vessel (SC13-RP-P42-01).</w:t>
            </w:r>
          </w:p>
          <w:p w14:paraId="1CD53DC2" w14:textId="77777777" w:rsidR="009A53E1" w:rsidRPr="00137482" w:rsidRDefault="009A53E1" w:rsidP="00C06F80">
            <w:pPr>
              <w:adjustRightInd w:val="0"/>
              <w:snapToGrid w:val="0"/>
              <w:spacing w:after="0"/>
              <w:rPr>
                <w:rFonts w:ascii="Times New Roman" w:hAnsi="Times New Roman"/>
                <w:sz w:val="20"/>
                <w:szCs w:val="20"/>
              </w:rPr>
            </w:pPr>
          </w:p>
          <w:p w14:paraId="3BAEF074" w14:textId="77777777" w:rsidR="009A53E1" w:rsidRPr="00137482" w:rsidRDefault="009A53E1" w:rsidP="0074425A">
            <w:pPr>
              <w:numPr>
                <w:ilvl w:val="0"/>
                <w:numId w:val="167"/>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Current availability of suitable research platforms</w:t>
            </w:r>
          </w:p>
          <w:p w14:paraId="414B55BA" w14:textId="77777777" w:rsidR="009A53E1" w:rsidRPr="00137482" w:rsidRDefault="009A53E1" w:rsidP="00C06F80">
            <w:pPr>
              <w:adjustRightInd w:val="0"/>
              <w:snapToGrid w:val="0"/>
              <w:spacing w:after="0"/>
              <w:rPr>
                <w:rFonts w:ascii="Times New Roman" w:hAnsi="Times New Roman"/>
                <w:b/>
                <w:bCs/>
                <w:sz w:val="20"/>
                <w:szCs w:val="20"/>
              </w:rPr>
            </w:pPr>
          </w:p>
          <w:p w14:paraId="02249445" w14:textId="77777777" w:rsidR="009A53E1" w:rsidRPr="00137482" w:rsidRDefault="009A53E1" w:rsidP="0074425A">
            <w:pPr>
              <w:numPr>
                <w:ilvl w:val="0"/>
                <w:numId w:val="169"/>
              </w:numPr>
              <w:adjustRightInd w:val="0"/>
              <w:snapToGrid w:val="0"/>
              <w:spacing w:after="0"/>
              <w:rPr>
                <w:rFonts w:ascii="Times New Roman" w:hAnsi="Times New Roman"/>
                <w:b/>
                <w:bCs/>
                <w:sz w:val="20"/>
                <w:szCs w:val="20"/>
                <w:lang w:val="fr-FR"/>
              </w:rPr>
            </w:pPr>
            <w:r w:rsidRPr="00137482">
              <w:rPr>
                <w:rFonts w:ascii="Times New Roman" w:hAnsi="Times New Roman"/>
                <w:b/>
                <w:bCs/>
                <w:sz w:val="20"/>
                <w:szCs w:val="20"/>
                <w:lang w:val="fr-FR"/>
              </w:rPr>
              <w:t>For tagging experiments</w:t>
            </w:r>
          </w:p>
          <w:p w14:paraId="5058CA6C" w14:textId="77777777" w:rsidR="009A53E1" w:rsidRPr="00137482" w:rsidRDefault="009A53E1" w:rsidP="00C06F80">
            <w:pPr>
              <w:adjustRightInd w:val="0"/>
              <w:snapToGrid w:val="0"/>
              <w:spacing w:after="0"/>
              <w:rPr>
                <w:rFonts w:ascii="Times New Roman" w:hAnsi="Times New Roman"/>
                <w:bCs/>
                <w:sz w:val="20"/>
                <w:szCs w:val="20"/>
              </w:rPr>
            </w:pPr>
            <w:r w:rsidRPr="00137482">
              <w:rPr>
                <w:rFonts w:ascii="Times New Roman" w:hAnsi="Times New Roman"/>
                <w:bCs/>
                <w:sz w:val="20"/>
                <w:szCs w:val="20"/>
                <w:lang w:val="fr-FR"/>
              </w:rPr>
              <w:t xml:space="preserve"> </w:t>
            </w:r>
            <w:r w:rsidRPr="00137482">
              <w:rPr>
                <w:rFonts w:ascii="Times New Roman" w:hAnsi="Times New Roman"/>
                <w:bCs/>
                <w:sz w:val="20"/>
                <w:szCs w:val="20"/>
              </w:rPr>
              <w:t>Tagging studies are commonly used in fisheries research to improve estimation of animal population size, mortality, movement (spatial stock structure) and growth. Until now, large scale tuna tagging campaigns for skipjack tuna have chartered medium-size commercial fishing boats around 200 GT tonnage (199 GT for last PTTP, 237 GT for IOTP)  for cost reasons, and also due to size restrictions on bait ground access and restricted suitable anchorage in some areas. Releasing a large number of conventionally tagged tuna implies the use of a pole-and-line vessel, but suitable such tagging platforms are becoming increasingly scarce worldwide. In most countries, pole-and-line fleets have been replaced by purse-seine fleets.</w:t>
            </w:r>
          </w:p>
          <w:p w14:paraId="795A6348" w14:textId="77777777" w:rsidR="009A53E1" w:rsidRPr="00137482" w:rsidRDefault="009A53E1" w:rsidP="00C06F80">
            <w:pPr>
              <w:adjustRightInd w:val="0"/>
              <w:snapToGrid w:val="0"/>
              <w:spacing w:after="0"/>
              <w:rPr>
                <w:rFonts w:ascii="Times New Roman" w:hAnsi="Times New Roman"/>
                <w:bCs/>
                <w:sz w:val="20"/>
                <w:szCs w:val="20"/>
              </w:rPr>
            </w:pPr>
          </w:p>
          <w:p w14:paraId="1B9FAE08" w14:textId="77777777" w:rsidR="009A53E1" w:rsidRPr="00137482" w:rsidRDefault="009A53E1" w:rsidP="00C06F80">
            <w:pPr>
              <w:adjustRightInd w:val="0"/>
              <w:snapToGrid w:val="0"/>
              <w:spacing w:after="0"/>
              <w:rPr>
                <w:rFonts w:ascii="Times New Roman" w:hAnsi="Times New Roman"/>
                <w:bCs/>
                <w:sz w:val="20"/>
                <w:szCs w:val="20"/>
              </w:rPr>
            </w:pPr>
            <w:r w:rsidRPr="00137482">
              <w:rPr>
                <w:rFonts w:ascii="Times New Roman" w:hAnsi="Times New Roman"/>
                <w:bCs/>
                <w:sz w:val="20"/>
                <w:szCs w:val="20"/>
              </w:rPr>
              <w:t xml:space="preserve">Research cruises more orientated towards electronic tagging and targeting all size tuna and their associated species need a more polyvalent tagging platform that could deploy a large variety of fishing gears (horizontal and vertical longlines, troll lines, danglers, rod and reel etc…). Catching and handling large size fish requires a working deck with easy access to the sea and a boat with high manoeuvrability facilitated by steering commands located at the working deck level. For example the design of a standard Japanese pole and line vessel is not suitable for the purpose. In the Pacific, some longline type fishing boats have been used to target the tuna schools that are associated with floating objects, mainly the oceanographic buoys (TAOs) that are anchored along the equator and the drifting FADs used by the purse seine fleet. The distances involved between floating objects and from ports with appropriate facilities for deploying a research voyage require the use of long range (&gt; 6,000 nm) platforms which are not common in the region for the necessary size of fishing vessels for successful research. </w:t>
            </w:r>
          </w:p>
          <w:p w14:paraId="57E41989" w14:textId="77777777" w:rsidR="009A53E1" w:rsidRPr="00137482" w:rsidRDefault="009A53E1" w:rsidP="00C06F80">
            <w:pPr>
              <w:adjustRightInd w:val="0"/>
              <w:snapToGrid w:val="0"/>
              <w:spacing w:after="0"/>
              <w:rPr>
                <w:rFonts w:ascii="Times New Roman" w:hAnsi="Times New Roman"/>
                <w:b/>
                <w:bCs/>
                <w:sz w:val="20"/>
                <w:szCs w:val="20"/>
              </w:rPr>
            </w:pPr>
          </w:p>
          <w:p w14:paraId="64B47230" w14:textId="77777777" w:rsidR="009A53E1" w:rsidRPr="00137482" w:rsidRDefault="009A53E1" w:rsidP="0074425A">
            <w:pPr>
              <w:numPr>
                <w:ilvl w:val="0"/>
                <w:numId w:val="169"/>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For collecting ecosystem biological and physical data</w:t>
            </w:r>
          </w:p>
          <w:p w14:paraId="798D77F9" w14:textId="77777777" w:rsidR="009A53E1" w:rsidRPr="00137482" w:rsidRDefault="009A53E1" w:rsidP="00C06F80">
            <w:pPr>
              <w:adjustRightInd w:val="0"/>
              <w:snapToGrid w:val="0"/>
              <w:spacing w:after="0"/>
              <w:rPr>
                <w:rFonts w:ascii="Times New Roman" w:hAnsi="Times New Roman"/>
                <w:bCs/>
                <w:sz w:val="20"/>
                <w:szCs w:val="20"/>
              </w:rPr>
            </w:pPr>
            <w:r w:rsidRPr="00137482">
              <w:rPr>
                <w:rFonts w:ascii="Times New Roman" w:hAnsi="Times New Roman"/>
                <w:bCs/>
                <w:sz w:val="20"/>
                <w:szCs w:val="20"/>
              </w:rPr>
              <w:t>This necessitate the use of gears that are usually not found on a commercial tuna fishing vessel, including : trawling nets to catch tuna prey and plankton size organisms, CTDs to collect sea water temp/depth profiles, and multi-beam echo-sounders that can manage continuous records of highly detailed bio-acoustic data.</w:t>
            </w:r>
          </w:p>
          <w:p w14:paraId="434071CF" w14:textId="77777777" w:rsidR="009A53E1" w:rsidRPr="00137482" w:rsidRDefault="009A53E1" w:rsidP="00C06F80">
            <w:pPr>
              <w:adjustRightInd w:val="0"/>
              <w:snapToGrid w:val="0"/>
              <w:spacing w:after="0"/>
              <w:rPr>
                <w:rFonts w:ascii="Times New Roman" w:hAnsi="Times New Roman"/>
                <w:bCs/>
                <w:sz w:val="20"/>
                <w:szCs w:val="20"/>
              </w:rPr>
            </w:pPr>
          </w:p>
          <w:p w14:paraId="1A5AF0B0" w14:textId="77777777" w:rsidR="009A53E1" w:rsidRPr="00137482" w:rsidRDefault="009A53E1" w:rsidP="00C06F80">
            <w:pPr>
              <w:adjustRightInd w:val="0"/>
              <w:snapToGrid w:val="0"/>
              <w:spacing w:after="0"/>
              <w:rPr>
                <w:rFonts w:ascii="Times New Roman" w:hAnsi="Times New Roman"/>
                <w:bCs/>
                <w:sz w:val="20"/>
                <w:szCs w:val="20"/>
              </w:rPr>
            </w:pPr>
            <w:r w:rsidRPr="00137482">
              <w:rPr>
                <w:rFonts w:ascii="Times New Roman" w:hAnsi="Times New Roman"/>
                <w:bCs/>
                <w:sz w:val="20"/>
                <w:szCs w:val="20"/>
              </w:rPr>
              <w:t>Boats used in this type of research are typically from the oceanographic vessel category. They are usually linked to governmental scientific institutes. To operate the different types of gears used at an ocean wide scale, those vessels need to be large (&gt;400 GT). To cover important operational and maintenance costs, their use is often shared between multidisciplinary research projects. Their availability is therefore limited, subjected to utilisation applications that need to be planned years in advance.</w:t>
            </w:r>
          </w:p>
          <w:p w14:paraId="2DD0454A" w14:textId="77777777" w:rsidR="009A53E1" w:rsidRPr="00137482" w:rsidRDefault="009A53E1" w:rsidP="00C06F80">
            <w:pPr>
              <w:adjustRightInd w:val="0"/>
              <w:snapToGrid w:val="0"/>
              <w:spacing w:after="0"/>
              <w:rPr>
                <w:rFonts w:ascii="Times New Roman" w:hAnsi="Times New Roman"/>
                <w:bCs/>
                <w:sz w:val="20"/>
                <w:szCs w:val="20"/>
              </w:rPr>
            </w:pPr>
          </w:p>
          <w:p w14:paraId="29FEE7F3" w14:textId="77777777" w:rsidR="009A53E1" w:rsidRPr="00137482" w:rsidRDefault="009A53E1" w:rsidP="0074425A">
            <w:pPr>
              <w:numPr>
                <w:ilvl w:val="0"/>
                <w:numId w:val="167"/>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Arguments for the construction of a new multipurpose platform dedicated to tuna research:</w:t>
            </w:r>
          </w:p>
          <w:p w14:paraId="3315145E" w14:textId="77777777" w:rsidR="009A53E1" w:rsidRPr="00137482" w:rsidRDefault="009A53E1" w:rsidP="00C06F80">
            <w:pPr>
              <w:adjustRightInd w:val="0"/>
              <w:snapToGrid w:val="0"/>
              <w:spacing w:after="0"/>
              <w:rPr>
                <w:rFonts w:ascii="Times New Roman" w:hAnsi="Times New Roman"/>
                <w:b/>
                <w:bCs/>
                <w:sz w:val="20"/>
                <w:szCs w:val="20"/>
              </w:rPr>
            </w:pPr>
          </w:p>
          <w:p w14:paraId="4ABB31BD" w14:textId="77777777" w:rsidR="009A53E1" w:rsidRPr="00137482" w:rsidRDefault="009A53E1" w:rsidP="0074425A">
            <w:pPr>
              <w:numPr>
                <w:ilvl w:val="0"/>
                <w:numId w:val="170"/>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Practicality:</w:t>
            </w:r>
          </w:p>
          <w:p w14:paraId="0A700677" w14:textId="77777777" w:rsidR="009A53E1" w:rsidRPr="00137482" w:rsidRDefault="009A53E1" w:rsidP="0074425A">
            <w:pPr>
              <w:numPr>
                <w:ilvl w:val="0"/>
                <w:numId w:val="171"/>
              </w:numPr>
              <w:adjustRightInd w:val="0"/>
              <w:snapToGrid w:val="0"/>
              <w:spacing w:after="0"/>
              <w:rPr>
                <w:rFonts w:ascii="Times New Roman" w:hAnsi="Times New Roman"/>
                <w:bCs/>
                <w:sz w:val="20"/>
                <w:szCs w:val="20"/>
              </w:rPr>
            </w:pPr>
            <w:r w:rsidRPr="00137482">
              <w:rPr>
                <w:rFonts w:ascii="Times New Roman" w:hAnsi="Times New Roman"/>
                <w:bCs/>
                <w:sz w:val="20"/>
                <w:szCs w:val="20"/>
              </w:rPr>
              <w:t>Tuna tagging data are likely to become increasingly important and need to be collected continuously rather than episodically. Other types of data need to be continuously collected to monitor the ecosystem changes.</w:t>
            </w:r>
          </w:p>
          <w:p w14:paraId="06B4BECD" w14:textId="77777777" w:rsidR="009A53E1" w:rsidRPr="00137482" w:rsidRDefault="009A53E1" w:rsidP="0074425A">
            <w:pPr>
              <w:numPr>
                <w:ilvl w:val="0"/>
                <w:numId w:val="171"/>
              </w:numPr>
              <w:adjustRightInd w:val="0"/>
              <w:snapToGrid w:val="0"/>
              <w:spacing w:after="0"/>
              <w:rPr>
                <w:rFonts w:ascii="Times New Roman" w:hAnsi="Times New Roman"/>
                <w:bCs/>
                <w:sz w:val="20"/>
                <w:szCs w:val="20"/>
              </w:rPr>
            </w:pPr>
            <w:r w:rsidRPr="00137482">
              <w:rPr>
                <w:rFonts w:ascii="Times New Roman" w:hAnsi="Times New Roman"/>
                <w:bCs/>
                <w:sz w:val="20"/>
                <w:szCs w:val="20"/>
              </w:rPr>
              <w:t>The pole and line vessels that can currently still be chartered are disappearing along with the associated fisher knowledge on operations and bait grounds. These platforms cannot cover all the different data collection needs.</w:t>
            </w:r>
          </w:p>
          <w:p w14:paraId="5F088175" w14:textId="77777777" w:rsidR="009A53E1" w:rsidRPr="00137482" w:rsidRDefault="009A53E1" w:rsidP="0074425A">
            <w:pPr>
              <w:numPr>
                <w:ilvl w:val="0"/>
                <w:numId w:val="172"/>
              </w:numPr>
              <w:adjustRightInd w:val="0"/>
              <w:snapToGrid w:val="0"/>
              <w:spacing w:after="0"/>
              <w:rPr>
                <w:rFonts w:ascii="Times New Roman" w:hAnsi="Times New Roman"/>
                <w:bCs/>
                <w:sz w:val="20"/>
                <w:szCs w:val="20"/>
              </w:rPr>
            </w:pPr>
            <w:r w:rsidRPr="00137482">
              <w:rPr>
                <w:rFonts w:ascii="Times New Roman" w:hAnsi="Times New Roman"/>
                <w:bCs/>
                <w:sz w:val="20"/>
                <w:szCs w:val="20"/>
              </w:rPr>
              <w:t>The global applicability of continuous data collection is likely to facilitate collaboration between the different tuna commissions (RFMOs). The cumulated needs at the Pacific scale could probably cover most parts of the yearly schedule of a single boat.</w:t>
            </w:r>
          </w:p>
          <w:p w14:paraId="645B4E2D" w14:textId="77777777" w:rsidR="009A53E1" w:rsidRPr="00137482" w:rsidRDefault="009A53E1" w:rsidP="0074425A">
            <w:pPr>
              <w:numPr>
                <w:ilvl w:val="0"/>
                <w:numId w:val="172"/>
              </w:numPr>
              <w:adjustRightInd w:val="0"/>
              <w:snapToGrid w:val="0"/>
              <w:spacing w:after="0"/>
              <w:rPr>
                <w:rFonts w:ascii="Times New Roman" w:hAnsi="Times New Roman"/>
                <w:bCs/>
                <w:sz w:val="20"/>
                <w:szCs w:val="20"/>
              </w:rPr>
            </w:pPr>
            <w:r w:rsidRPr="00137482">
              <w:rPr>
                <w:rFonts w:ascii="Times New Roman" w:hAnsi="Times New Roman"/>
                <w:bCs/>
                <w:sz w:val="20"/>
                <w:szCs w:val="20"/>
              </w:rPr>
              <w:t>A crew specifically recruited and trained to the specific research methods and strategies will be more capable than a commercial fishing boat crew that often need a long training period before they become fully efficient.</w:t>
            </w:r>
          </w:p>
          <w:p w14:paraId="1DD30B09" w14:textId="77777777" w:rsidR="009A53E1" w:rsidRPr="00137482" w:rsidRDefault="009A53E1" w:rsidP="00C06F80">
            <w:pPr>
              <w:adjustRightInd w:val="0"/>
              <w:snapToGrid w:val="0"/>
              <w:spacing w:after="0"/>
              <w:rPr>
                <w:rFonts w:ascii="Times New Roman" w:hAnsi="Times New Roman"/>
                <w:bCs/>
                <w:sz w:val="20"/>
                <w:szCs w:val="20"/>
              </w:rPr>
            </w:pPr>
          </w:p>
          <w:p w14:paraId="445B2752" w14:textId="77777777" w:rsidR="009A53E1" w:rsidRPr="00137482" w:rsidRDefault="009A53E1" w:rsidP="0074425A">
            <w:pPr>
              <w:numPr>
                <w:ilvl w:val="0"/>
                <w:numId w:val="170"/>
              </w:numPr>
              <w:adjustRightInd w:val="0"/>
              <w:snapToGrid w:val="0"/>
              <w:spacing w:after="0"/>
              <w:rPr>
                <w:rFonts w:ascii="Times New Roman" w:hAnsi="Times New Roman"/>
                <w:b/>
                <w:bCs/>
                <w:sz w:val="20"/>
                <w:szCs w:val="20"/>
              </w:rPr>
            </w:pPr>
            <w:r w:rsidRPr="00137482">
              <w:rPr>
                <w:rFonts w:ascii="Times New Roman" w:hAnsi="Times New Roman"/>
                <w:b/>
                <w:bCs/>
                <w:sz w:val="20"/>
                <w:szCs w:val="20"/>
              </w:rPr>
              <w:t>Cost:</w:t>
            </w:r>
          </w:p>
          <w:p w14:paraId="78004077" w14:textId="77777777" w:rsidR="009A53E1" w:rsidRPr="00137482" w:rsidRDefault="009A53E1" w:rsidP="0074425A">
            <w:pPr>
              <w:numPr>
                <w:ilvl w:val="0"/>
                <w:numId w:val="173"/>
              </w:numPr>
              <w:adjustRightInd w:val="0"/>
              <w:snapToGrid w:val="0"/>
              <w:spacing w:after="0"/>
              <w:rPr>
                <w:rFonts w:ascii="Times New Roman" w:hAnsi="Times New Roman"/>
                <w:bCs/>
                <w:sz w:val="20"/>
                <w:szCs w:val="20"/>
              </w:rPr>
            </w:pPr>
            <w:r w:rsidRPr="00137482">
              <w:rPr>
                <w:rFonts w:ascii="Times New Roman" w:hAnsi="Times New Roman"/>
                <w:bCs/>
                <w:sz w:val="20"/>
                <w:szCs w:val="20"/>
              </w:rPr>
              <w:t xml:space="preserve">Continuous research would avoid the substantial establishment costs needed each time a new programme is started. </w:t>
            </w:r>
          </w:p>
          <w:p w14:paraId="3CB6009A" w14:textId="77777777" w:rsidR="009A53E1" w:rsidRPr="00137482" w:rsidRDefault="009A53E1" w:rsidP="0074425A">
            <w:pPr>
              <w:numPr>
                <w:ilvl w:val="0"/>
                <w:numId w:val="173"/>
              </w:numPr>
              <w:adjustRightInd w:val="0"/>
              <w:snapToGrid w:val="0"/>
              <w:spacing w:after="0"/>
              <w:rPr>
                <w:rFonts w:ascii="Times New Roman" w:hAnsi="Times New Roman"/>
                <w:bCs/>
                <w:sz w:val="20"/>
                <w:szCs w:val="20"/>
              </w:rPr>
            </w:pPr>
            <w:r w:rsidRPr="00137482">
              <w:rPr>
                <w:rFonts w:ascii="Times New Roman" w:hAnsi="Times New Roman"/>
                <w:bCs/>
                <w:sz w:val="20"/>
                <w:szCs w:val="20"/>
              </w:rPr>
              <w:t xml:space="preserve">Some examples: </w:t>
            </w:r>
          </w:p>
          <w:p w14:paraId="2D41F906" w14:textId="77777777" w:rsidR="009A53E1" w:rsidRPr="00137482" w:rsidRDefault="009A53E1" w:rsidP="0074425A">
            <w:pPr>
              <w:numPr>
                <w:ilvl w:val="1"/>
                <w:numId w:val="174"/>
              </w:numPr>
              <w:adjustRightInd w:val="0"/>
              <w:snapToGrid w:val="0"/>
              <w:spacing w:after="0"/>
              <w:rPr>
                <w:rFonts w:ascii="Times New Roman" w:hAnsi="Times New Roman"/>
                <w:bCs/>
                <w:sz w:val="20"/>
                <w:szCs w:val="20"/>
              </w:rPr>
            </w:pPr>
            <w:r w:rsidRPr="00137482">
              <w:rPr>
                <w:rFonts w:ascii="Times New Roman" w:hAnsi="Times New Roman"/>
                <w:bCs/>
                <w:sz w:val="20"/>
                <w:szCs w:val="20"/>
              </w:rPr>
              <w:t>Previous recent charter costs, including fuel, for a long range tuna tagging platform (about 200GRT) were situated between 150,000 and 200,000 USD/month. Last offer (March 2017) was more than the double of these figures.</w:t>
            </w:r>
          </w:p>
          <w:p w14:paraId="56FB364B" w14:textId="77777777" w:rsidR="009A53E1" w:rsidRPr="00137482" w:rsidRDefault="009A53E1" w:rsidP="0074425A">
            <w:pPr>
              <w:numPr>
                <w:ilvl w:val="1"/>
                <w:numId w:val="174"/>
              </w:numPr>
              <w:adjustRightInd w:val="0"/>
              <w:snapToGrid w:val="0"/>
              <w:spacing w:after="0"/>
              <w:rPr>
                <w:rFonts w:ascii="Times New Roman" w:hAnsi="Times New Roman"/>
                <w:bCs/>
                <w:sz w:val="20"/>
                <w:szCs w:val="20"/>
              </w:rPr>
            </w:pPr>
            <w:r w:rsidRPr="00137482">
              <w:rPr>
                <w:rFonts w:ascii="Times New Roman" w:hAnsi="Times New Roman"/>
                <w:bCs/>
                <w:sz w:val="20"/>
                <w:szCs w:val="20"/>
              </w:rPr>
              <w:t>The total tagging platform charter costs spent during each of the last large tagging projects (PTTP and IOTP) is over the current estimated cost for building a new boat of around 35 metres/200GRT (</w:t>
            </w:r>
            <w:r w:rsidRPr="00137482">
              <w:rPr>
                <w:rFonts w:ascii="Times New Roman" w:hAnsi="Times New Roman"/>
                <w:bCs/>
                <w:i/>
                <w:sz w:val="20"/>
                <w:szCs w:val="20"/>
              </w:rPr>
              <w:t>Between 5 and 8 USD millions, IOTP vessels were built at about 4 USD millions in 2000</w:t>
            </w:r>
            <w:r w:rsidRPr="00137482">
              <w:rPr>
                <w:rFonts w:ascii="Times New Roman" w:hAnsi="Times New Roman"/>
                <w:bCs/>
                <w:sz w:val="20"/>
                <w:szCs w:val="20"/>
              </w:rPr>
              <w:t>). Last estimation for the currently running (2017) AOPT total charter cost is 9.1 million Euro (ICCAT, SCRS/2014/092).</w:t>
            </w:r>
          </w:p>
        </w:tc>
      </w:tr>
      <w:tr w:rsidR="009A53E1" w:rsidRPr="00137482" w14:paraId="7969085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119DE6F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Scope</w:t>
            </w:r>
          </w:p>
        </w:tc>
        <w:tc>
          <w:tcPr>
            <w:tcW w:w="7701" w:type="dxa"/>
            <w:tcBorders>
              <w:top w:val="single" w:sz="4" w:space="0" w:color="auto"/>
              <w:left w:val="single" w:sz="4" w:space="0" w:color="auto"/>
              <w:bottom w:val="single" w:sz="4" w:space="0" w:color="auto"/>
              <w:right w:val="single" w:sz="4" w:space="0" w:color="auto"/>
            </w:tcBorders>
          </w:tcPr>
          <w:p w14:paraId="71B18024"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The project would assess the full range of operational costs, including options on governance, inter-RFMO vessel sharing, multiple research modes, and future vessel replacement. These costs should be compared with the costs and benefits of the current approach.</w:t>
            </w:r>
          </w:p>
          <w:p w14:paraId="418DE80E" w14:textId="77777777" w:rsidR="009A53E1" w:rsidRPr="00137482" w:rsidRDefault="009A53E1" w:rsidP="00C06F80">
            <w:pPr>
              <w:adjustRightInd w:val="0"/>
              <w:snapToGrid w:val="0"/>
              <w:spacing w:after="0"/>
              <w:rPr>
                <w:rFonts w:ascii="Times New Roman" w:hAnsi="Times New Roman"/>
                <w:sz w:val="20"/>
                <w:szCs w:val="20"/>
              </w:rPr>
            </w:pPr>
          </w:p>
          <w:p w14:paraId="7C0C280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The scope of work includes undertaking this assessment utilising suitable external experts. A report will be prepared and provided to SC14 for its consideration.</w:t>
            </w:r>
          </w:p>
        </w:tc>
      </w:tr>
      <w:tr w:rsidR="009A53E1" w:rsidRPr="00137482" w14:paraId="57D4A412"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4D728D8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Timeframe</w:t>
            </w:r>
          </w:p>
        </w:tc>
        <w:tc>
          <w:tcPr>
            <w:tcW w:w="7701" w:type="dxa"/>
            <w:tcBorders>
              <w:top w:val="single" w:sz="4" w:space="0" w:color="auto"/>
              <w:left w:val="single" w:sz="4" w:space="0" w:color="auto"/>
              <w:bottom w:val="single" w:sz="4" w:space="0" w:color="auto"/>
              <w:right w:val="single" w:sz="4" w:space="0" w:color="auto"/>
            </w:tcBorders>
            <w:hideMark/>
          </w:tcPr>
          <w:p w14:paraId="3EAB973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Start early 2018, completed by late 2018</w:t>
            </w:r>
          </w:p>
        </w:tc>
      </w:tr>
      <w:tr w:rsidR="009A53E1" w:rsidRPr="00137482" w14:paraId="3FCCD954"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13A71BE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Budget</w:t>
            </w:r>
          </w:p>
        </w:tc>
        <w:tc>
          <w:tcPr>
            <w:tcW w:w="7701" w:type="dxa"/>
            <w:tcBorders>
              <w:top w:val="single" w:sz="4" w:space="0" w:color="auto"/>
              <w:left w:val="single" w:sz="4" w:space="0" w:color="auto"/>
              <w:bottom w:val="single" w:sz="4" w:space="0" w:color="auto"/>
              <w:right w:val="single" w:sz="4" w:space="0" w:color="auto"/>
            </w:tcBorders>
            <w:hideMark/>
          </w:tcPr>
          <w:p w14:paraId="0CE582A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2018 USD$125,000</w:t>
            </w:r>
          </w:p>
          <w:p w14:paraId="5BD2C498"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*Note that this covers the Scientific Services Providers input to the project, the cost of the external consultancy and reporting of the project outcomes to SC.</w:t>
            </w:r>
          </w:p>
        </w:tc>
      </w:tr>
      <w:tr w:rsidR="009A53E1" w:rsidRPr="00137482" w14:paraId="186DFD6F"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5" w:type="dxa"/>
            <w:tcBorders>
              <w:top w:val="single" w:sz="4" w:space="0" w:color="auto"/>
              <w:left w:val="single" w:sz="4" w:space="0" w:color="auto"/>
              <w:bottom w:val="single" w:sz="4" w:space="0" w:color="auto"/>
              <w:right w:val="single" w:sz="4" w:space="0" w:color="auto"/>
            </w:tcBorders>
            <w:hideMark/>
          </w:tcPr>
          <w:p w14:paraId="30BA4AC0"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References</w:t>
            </w:r>
          </w:p>
        </w:tc>
        <w:tc>
          <w:tcPr>
            <w:tcW w:w="7701" w:type="dxa"/>
            <w:tcBorders>
              <w:top w:val="single" w:sz="4" w:space="0" w:color="auto"/>
              <w:left w:val="single" w:sz="4" w:space="0" w:color="auto"/>
              <w:bottom w:val="single" w:sz="4" w:space="0" w:color="auto"/>
              <w:right w:val="single" w:sz="4" w:space="0" w:color="auto"/>
            </w:tcBorders>
          </w:tcPr>
          <w:p w14:paraId="75D27C6A" w14:textId="6EB3CD6A"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PTTP Steering Committee. 2017. Report of the Pacific Tuna Tagging Programme Steering Committee. SC13-RP-PTTP-01. Thirteenth regular session of the Scientific Committee of the Western and Central Pacific Fisheries Commission. Rarotonga, Cook Islands, 9-17 August 2017.</w:t>
            </w:r>
          </w:p>
          <w:p w14:paraId="26FBF874" w14:textId="77777777" w:rsidR="009A53E1" w:rsidRPr="00137482" w:rsidRDefault="009A53E1" w:rsidP="00C06F80">
            <w:pPr>
              <w:adjustRightInd w:val="0"/>
              <w:snapToGrid w:val="0"/>
              <w:spacing w:after="0"/>
              <w:rPr>
                <w:rFonts w:ascii="Times New Roman" w:hAnsi="Times New Roman"/>
                <w:sz w:val="20"/>
                <w:szCs w:val="20"/>
              </w:rPr>
            </w:pPr>
          </w:p>
          <w:p w14:paraId="2B773D0E" w14:textId="5AF66404" w:rsidR="009A53E1" w:rsidRPr="00137482" w:rsidRDefault="009A53E1" w:rsidP="00D35815">
            <w:pPr>
              <w:adjustRightInd w:val="0"/>
              <w:snapToGrid w:val="0"/>
              <w:spacing w:after="0"/>
              <w:rPr>
                <w:rFonts w:ascii="Times New Roman" w:hAnsi="Times New Roman"/>
                <w:sz w:val="20"/>
                <w:szCs w:val="20"/>
              </w:rPr>
            </w:pPr>
            <w:r w:rsidRPr="00137482">
              <w:rPr>
                <w:rFonts w:ascii="Times New Roman" w:hAnsi="Times New Roman"/>
                <w:sz w:val="20"/>
                <w:szCs w:val="20"/>
              </w:rPr>
              <w:t>SPC-OFP. 2017. Project 42: Pacific Tuna Tagging Project Report and Workplan for 2017-2020. SC13-RP-PTTP-02. Thirteenth regular session of the Scientific Committee of the Western and Central Pacific Fisheries Commission. Rarotonga, Cook Islands, 9-17 August 2017.</w:t>
            </w:r>
          </w:p>
        </w:tc>
      </w:tr>
    </w:tbl>
    <w:p w14:paraId="4EA03968" w14:textId="77777777" w:rsidR="009A53E1" w:rsidRPr="00137482" w:rsidRDefault="009A53E1" w:rsidP="009A53E1">
      <w:pPr>
        <w:adjustRightInd w:val="0"/>
        <w:snapToGrid w:val="0"/>
        <w:spacing w:after="0"/>
        <w:rPr>
          <w:rFonts w:ascii="Times New Roman" w:hAnsi="Times New Roman"/>
          <w:color w:val="FF0000"/>
          <w:sz w:val="20"/>
          <w:szCs w:val="20"/>
          <w:lang w:val="en-AU"/>
        </w:rPr>
      </w:pPr>
      <w:r w:rsidRPr="00137482">
        <w:rPr>
          <w:rFonts w:ascii="Times New Roman" w:hAnsi="Times New Roman"/>
          <w:color w:val="FF0000"/>
          <w:sz w:val="20"/>
          <w:szCs w:val="20"/>
        </w:rPr>
        <w:t xml:space="preserve"> </w:t>
      </w:r>
    </w:p>
    <w:p w14:paraId="73C71974" w14:textId="77777777" w:rsidR="009A53E1" w:rsidRPr="00137482" w:rsidRDefault="009A53E1" w:rsidP="009A53E1">
      <w:pPr>
        <w:autoSpaceDE w:val="0"/>
        <w:autoSpaceDN w:val="0"/>
        <w:adjustRightInd w:val="0"/>
        <w:snapToGrid w:val="0"/>
        <w:spacing w:after="0"/>
        <w:rPr>
          <w:rFonts w:ascii="Times New Roman" w:eastAsia="맑은 고딕" w:hAnsi="Times New Roman"/>
          <w:b/>
          <w:caps/>
          <w:sz w:val="20"/>
          <w:szCs w:val="20"/>
          <w:lang w:val="en-GB" w:eastAsia="ko-KR"/>
        </w:rPr>
      </w:pPr>
    </w:p>
    <w:tbl>
      <w:tblPr>
        <w:tblStyle w:val="TableGrid"/>
        <w:tblW w:w="0" w:type="auto"/>
        <w:tblLook w:val="04A0" w:firstRow="1" w:lastRow="0" w:firstColumn="1" w:lastColumn="0" w:noHBand="0" w:noVBand="1"/>
      </w:tblPr>
      <w:tblGrid>
        <w:gridCol w:w="1967"/>
        <w:gridCol w:w="7609"/>
      </w:tblGrid>
      <w:tr w:rsidR="009A53E1" w:rsidRPr="00137482" w14:paraId="65525C5D" w14:textId="77777777" w:rsidTr="00C06F80">
        <w:tc>
          <w:tcPr>
            <w:tcW w:w="9576" w:type="dxa"/>
            <w:gridSpan w:val="2"/>
          </w:tcPr>
          <w:p w14:paraId="38286CB4" w14:textId="61F89B82"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lang w:eastAsia="ko-KR"/>
              </w:rPr>
            </w:pPr>
            <w:r w:rsidRPr="00137482">
              <w:rPr>
                <w:rFonts w:ascii="Times New Roman" w:eastAsia="맑은 고딕" w:hAnsi="Times New Roman"/>
                <w:b/>
                <w:caps/>
                <w:sz w:val="20"/>
                <w:szCs w:val="20"/>
                <w:lang w:eastAsia="ko-KR"/>
              </w:rPr>
              <w:t>PROJECT 84.</w:t>
            </w:r>
          </w:p>
          <w:p w14:paraId="01DF0F15" w14:textId="77777777"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u w:val="single"/>
                <w:lang w:eastAsia="ko-KR"/>
              </w:rPr>
            </w:pPr>
            <w:r w:rsidRPr="00137482">
              <w:rPr>
                <w:rFonts w:ascii="Times New Roman" w:hAnsi="Times New Roman"/>
                <w:b/>
                <w:sz w:val="20"/>
                <w:szCs w:val="20"/>
              </w:rPr>
              <w:t>Shark Research Plan mid-term review</w:t>
            </w:r>
          </w:p>
        </w:tc>
      </w:tr>
      <w:tr w:rsidR="009A53E1" w:rsidRPr="00137482" w14:paraId="69A1446C" w14:textId="77777777" w:rsidTr="00137482">
        <w:tc>
          <w:tcPr>
            <w:tcW w:w="1967" w:type="dxa"/>
            <w:shd w:val="clear" w:color="auto" w:fill="B2A1C7" w:themeFill="accent4" w:themeFillTint="99"/>
          </w:tcPr>
          <w:p w14:paraId="23AE3D6C"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Sheet Number</w:t>
            </w:r>
          </w:p>
        </w:tc>
        <w:tc>
          <w:tcPr>
            <w:tcW w:w="7609" w:type="dxa"/>
            <w:shd w:val="clear" w:color="auto" w:fill="B2A1C7" w:themeFill="accent4" w:themeFillTint="99"/>
          </w:tcPr>
          <w:p w14:paraId="6E77165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#7 </w:t>
            </w:r>
          </w:p>
        </w:tc>
      </w:tr>
      <w:tr w:rsidR="009A53E1" w:rsidRPr="00137482" w14:paraId="44328EAE" w14:textId="77777777" w:rsidTr="00137482">
        <w:tc>
          <w:tcPr>
            <w:tcW w:w="1967" w:type="dxa"/>
            <w:shd w:val="clear" w:color="auto" w:fill="C2D69B" w:themeFill="accent3" w:themeFillTint="99"/>
          </w:tcPr>
          <w:p w14:paraId="6ACAD93F"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 title</w:t>
            </w:r>
          </w:p>
        </w:tc>
        <w:tc>
          <w:tcPr>
            <w:tcW w:w="7609" w:type="dxa"/>
            <w:shd w:val="clear" w:color="auto" w:fill="C2D69B" w:themeFill="accent3" w:themeFillTint="99"/>
          </w:tcPr>
          <w:p w14:paraId="02FD22F4"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SRP mid-term review </w:t>
            </w:r>
          </w:p>
        </w:tc>
      </w:tr>
      <w:tr w:rsidR="009A53E1" w:rsidRPr="00137482" w14:paraId="4D75B0B6" w14:textId="77777777" w:rsidTr="00137482">
        <w:tc>
          <w:tcPr>
            <w:tcW w:w="1967" w:type="dxa"/>
          </w:tcPr>
          <w:p w14:paraId="62989136"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Objectives</w:t>
            </w:r>
          </w:p>
        </w:tc>
        <w:tc>
          <w:tcPr>
            <w:tcW w:w="7609" w:type="dxa"/>
          </w:tcPr>
          <w:p w14:paraId="1207B9F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Review the WCPFC Scientific Committee’s 2016-2020 shark research </w:t>
            </w:r>
            <w:proofErr w:type="gramStart"/>
            <w:r w:rsidRPr="00137482">
              <w:rPr>
                <w:rFonts w:ascii="Times New Roman" w:hAnsi="Times New Roman"/>
                <w:sz w:val="20"/>
                <w:szCs w:val="20"/>
              </w:rPr>
              <w:t>plan</w:t>
            </w:r>
            <w:proofErr w:type="gramEnd"/>
            <w:r w:rsidRPr="00137482">
              <w:rPr>
                <w:rFonts w:ascii="Times New Roman" w:hAnsi="Times New Roman"/>
                <w:sz w:val="20"/>
                <w:szCs w:val="20"/>
              </w:rPr>
              <w:t xml:space="preserve">, to evaluate progress against the plan and assess future needs for shark research relevant to management of the WCPO shark stocks. </w:t>
            </w:r>
          </w:p>
        </w:tc>
      </w:tr>
      <w:tr w:rsidR="009A53E1" w:rsidRPr="00137482" w14:paraId="4FA8FDB3" w14:textId="77777777" w:rsidTr="00137482">
        <w:tc>
          <w:tcPr>
            <w:tcW w:w="1967" w:type="dxa"/>
          </w:tcPr>
          <w:p w14:paraId="3709259D"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Rationale</w:t>
            </w:r>
          </w:p>
        </w:tc>
        <w:tc>
          <w:tcPr>
            <w:tcW w:w="7609" w:type="dxa"/>
          </w:tcPr>
          <w:p w14:paraId="74F4B64C"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The first Shark Research Plan (SRP) covered 2010-2014. At its Tenth Session the Scientific Committee (SC10) agreed in 2014 on a programme of shark work for the Scientific Service Provider (SSP). This work was to be carried out in 2015, and included that the SSP draft a new SRP for consideration by SC11 to cover work in 2016-2020. This project will evaluate progress against that plan and consider the future shark information needs of the WCPFC. </w:t>
            </w:r>
          </w:p>
          <w:p w14:paraId="6B027FA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This work will also evaluate the progress against and need for the original SRP components:</w:t>
            </w:r>
          </w:p>
          <w:p w14:paraId="59E77DFC" w14:textId="77777777" w:rsidR="009A53E1" w:rsidRPr="00137482" w:rsidRDefault="009A53E1" w:rsidP="0074425A">
            <w:pPr>
              <w:pStyle w:val="ListParagraph"/>
              <w:numPr>
                <w:ilvl w:val="0"/>
                <w:numId w:val="141"/>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Phase 1: assessments to be undertaken with existing and available data;</w:t>
            </w:r>
          </w:p>
          <w:p w14:paraId="20D90A6F" w14:textId="77777777" w:rsidR="009A53E1" w:rsidRPr="00137482" w:rsidRDefault="009A53E1" w:rsidP="0074425A">
            <w:pPr>
              <w:pStyle w:val="ListParagraph"/>
              <w:numPr>
                <w:ilvl w:val="0"/>
                <w:numId w:val="141"/>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Phase 2: coordination of research efforts to supplement biological and other assessment related information; and</w:t>
            </w:r>
          </w:p>
          <w:p w14:paraId="41720EA7" w14:textId="77777777" w:rsidR="009A53E1" w:rsidRPr="00137482" w:rsidRDefault="009A53E1" w:rsidP="0074425A">
            <w:pPr>
              <w:pStyle w:val="ListParagraph"/>
              <w:numPr>
                <w:ilvl w:val="0"/>
                <w:numId w:val="141"/>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Phase 3: improvement of data from commercial fisheries.</w:t>
            </w:r>
          </w:p>
        </w:tc>
      </w:tr>
      <w:tr w:rsidR="009A53E1" w:rsidRPr="00137482" w14:paraId="66D3AF9A" w14:textId="77777777" w:rsidTr="00137482">
        <w:tc>
          <w:tcPr>
            <w:tcW w:w="1967" w:type="dxa"/>
          </w:tcPr>
          <w:p w14:paraId="21199E7C"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Assumptions</w:t>
            </w:r>
          </w:p>
        </w:tc>
        <w:tc>
          <w:tcPr>
            <w:tcW w:w="7609" w:type="dxa"/>
          </w:tcPr>
          <w:p w14:paraId="6EE1C87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SPC or another regional body has the personnel and budget available to undertake this work. </w:t>
            </w:r>
          </w:p>
        </w:tc>
      </w:tr>
      <w:tr w:rsidR="009A53E1" w:rsidRPr="00137482" w14:paraId="0CEEC9C6" w14:textId="77777777" w:rsidTr="00137482">
        <w:tc>
          <w:tcPr>
            <w:tcW w:w="1967" w:type="dxa"/>
          </w:tcPr>
          <w:p w14:paraId="6204A041"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Scope</w:t>
            </w:r>
          </w:p>
        </w:tc>
        <w:tc>
          <w:tcPr>
            <w:tcW w:w="7609" w:type="dxa"/>
          </w:tcPr>
          <w:p w14:paraId="6684BA5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While this document will focus on the WCPFC key shark species, other elasmobranchs will be considered as required. </w:t>
            </w:r>
          </w:p>
        </w:tc>
      </w:tr>
      <w:tr w:rsidR="009A53E1" w:rsidRPr="00137482" w14:paraId="437E8FCB" w14:textId="77777777" w:rsidTr="00137482">
        <w:tc>
          <w:tcPr>
            <w:tcW w:w="1967" w:type="dxa"/>
          </w:tcPr>
          <w:p w14:paraId="3FBF5CB0"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Budget</w:t>
            </w:r>
          </w:p>
        </w:tc>
        <w:tc>
          <w:tcPr>
            <w:tcW w:w="7609" w:type="dxa"/>
          </w:tcPr>
          <w:p w14:paraId="2B53A8C6"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0.3 FTE </w:t>
            </w:r>
          </w:p>
        </w:tc>
      </w:tr>
    </w:tbl>
    <w:p w14:paraId="695F2CBF" w14:textId="77777777" w:rsidR="009A53E1" w:rsidRPr="00137482" w:rsidRDefault="009A53E1" w:rsidP="009A53E1">
      <w:pPr>
        <w:adjustRightInd w:val="0"/>
        <w:snapToGrid w:val="0"/>
        <w:spacing w:after="0"/>
        <w:rPr>
          <w:rFonts w:ascii="Times New Roman" w:hAnsi="Times New Roman"/>
          <w:sz w:val="20"/>
          <w:szCs w:val="20"/>
          <w:lang w:eastAsia="ko-KR"/>
        </w:rPr>
      </w:pPr>
    </w:p>
    <w:p w14:paraId="0344789A" w14:textId="77777777" w:rsidR="009A53E1" w:rsidRPr="00137482" w:rsidRDefault="009A53E1" w:rsidP="009A53E1">
      <w:pPr>
        <w:adjustRightInd w:val="0"/>
        <w:snapToGrid w:val="0"/>
        <w:spacing w:after="0"/>
        <w:rPr>
          <w:rFonts w:ascii="Times New Roman" w:hAnsi="Times New Roman"/>
          <w:sz w:val="20"/>
          <w:szCs w:val="20"/>
          <w:lang w:eastAsia="ko-KR"/>
        </w:rPr>
      </w:pPr>
    </w:p>
    <w:tbl>
      <w:tblPr>
        <w:tblStyle w:val="TableGrid"/>
        <w:tblW w:w="9469" w:type="dxa"/>
        <w:tblInd w:w="108" w:type="dxa"/>
        <w:tblLook w:val="04A0" w:firstRow="1" w:lastRow="0" w:firstColumn="1" w:lastColumn="0" w:noHBand="0" w:noVBand="1"/>
      </w:tblPr>
      <w:tblGrid>
        <w:gridCol w:w="1860"/>
        <w:gridCol w:w="7609"/>
      </w:tblGrid>
      <w:tr w:rsidR="009A53E1" w:rsidRPr="00137482" w14:paraId="4D5105C9" w14:textId="77777777" w:rsidTr="00C06F80">
        <w:tc>
          <w:tcPr>
            <w:tcW w:w="9468" w:type="dxa"/>
            <w:gridSpan w:val="2"/>
          </w:tcPr>
          <w:p w14:paraId="74D35DEB" w14:textId="6046183D"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lang w:eastAsia="ko-KR"/>
              </w:rPr>
            </w:pPr>
            <w:r w:rsidRPr="00137482">
              <w:rPr>
                <w:rFonts w:ascii="Times New Roman" w:eastAsia="맑은 고딕" w:hAnsi="Times New Roman"/>
                <w:b/>
                <w:caps/>
                <w:sz w:val="20"/>
                <w:szCs w:val="20"/>
                <w:lang w:eastAsia="ko-KR"/>
              </w:rPr>
              <w:t>pROJECT 85.</w:t>
            </w:r>
          </w:p>
          <w:p w14:paraId="6BC7067E" w14:textId="77777777" w:rsidR="009A53E1" w:rsidRPr="00137482" w:rsidRDefault="009A53E1" w:rsidP="00C06F80">
            <w:pPr>
              <w:autoSpaceDE w:val="0"/>
              <w:autoSpaceDN w:val="0"/>
              <w:adjustRightInd w:val="0"/>
              <w:snapToGrid w:val="0"/>
              <w:spacing w:after="0"/>
              <w:rPr>
                <w:rFonts w:ascii="Times New Roman" w:eastAsia="맑은 고딕" w:hAnsi="Times New Roman"/>
                <w:b/>
                <w:caps/>
                <w:sz w:val="20"/>
                <w:szCs w:val="20"/>
                <w:u w:val="single"/>
                <w:lang w:eastAsia="ko-KR"/>
              </w:rPr>
            </w:pPr>
            <w:r w:rsidRPr="00137482">
              <w:rPr>
                <w:rFonts w:ascii="Times New Roman" w:hAnsi="Times New Roman"/>
                <w:b/>
                <w:sz w:val="20"/>
                <w:szCs w:val="20"/>
              </w:rPr>
              <w:t>Participation in ISC North Pacific shortfin mako shark stock assessment activities</w:t>
            </w:r>
          </w:p>
        </w:tc>
      </w:tr>
      <w:tr w:rsidR="009A53E1" w:rsidRPr="00137482" w14:paraId="3E07A9CC" w14:textId="77777777" w:rsidTr="00137482">
        <w:tc>
          <w:tcPr>
            <w:tcW w:w="1860" w:type="dxa"/>
            <w:shd w:val="clear" w:color="auto" w:fill="B2A1C7" w:themeFill="accent4" w:themeFillTint="99"/>
          </w:tcPr>
          <w:p w14:paraId="3857CD28"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Sheet Number</w:t>
            </w:r>
          </w:p>
        </w:tc>
        <w:tc>
          <w:tcPr>
            <w:tcW w:w="7609" w:type="dxa"/>
            <w:shd w:val="clear" w:color="auto" w:fill="B2A1C7" w:themeFill="accent4" w:themeFillTint="99"/>
          </w:tcPr>
          <w:p w14:paraId="1B6648E8"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#3</w:t>
            </w:r>
          </w:p>
        </w:tc>
      </w:tr>
      <w:tr w:rsidR="009A53E1" w:rsidRPr="00137482" w14:paraId="7FFAE58E" w14:textId="77777777" w:rsidTr="00137482">
        <w:tc>
          <w:tcPr>
            <w:tcW w:w="1860" w:type="dxa"/>
            <w:shd w:val="clear" w:color="auto" w:fill="C2D69B" w:themeFill="accent3" w:themeFillTint="99"/>
          </w:tcPr>
          <w:p w14:paraId="4709D5D2"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7609" w:type="dxa"/>
            <w:shd w:val="clear" w:color="auto" w:fill="C2D69B" w:themeFill="accent3" w:themeFillTint="99"/>
          </w:tcPr>
          <w:p w14:paraId="5F5CA38B"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Participation in ISC North Pacific shortfin mako shark stock assessment activities</w:t>
            </w:r>
          </w:p>
        </w:tc>
      </w:tr>
      <w:tr w:rsidR="009A53E1" w:rsidRPr="00137482" w14:paraId="7108B6C2" w14:textId="77777777" w:rsidTr="00137482">
        <w:tc>
          <w:tcPr>
            <w:tcW w:w="1860" w:type="dxa"/>
          </w:tcPr>
          <w:p w14:paraId="57458586"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Objectives</w:t>
            </w:r>
          </w:p>
        </w:tc>
        <w:tc>
          <w:tcPr>
            <w:tcW w:w="7609" w:type="dxa"/>
          </w:tcPr>
          <w:p w14:paraId="2120592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Contribute to and learn from ISC work toward revising the North Pacific shortfin mako shark stock assessment, thereby aiding methods development for other WCPO shark stocks.  </w:t>
            </w:r>
          </w:p>
        </w:tc>
      </w:tr>
      <w:tr w:rsidR="009A53E1" w:rsidRPr="00137482" w14:paraId="658D9996" w14:textId="77777777" w:rsidTr="00137482">
        <w:tc>
          <w:tcPr>
            <w:tcW w:w="1860" w:type="dxa"/>
          </w:tcPr>
          <w:p w14:paraId="765813E7"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Rationale</w:t>
            </w:r>
          </w:p>
        </w:tc>
        <w:tc>
          <w:tcPr>
            <w:tcW w:w="7609" w:type="dxa"/>
          </w:tcPr>
          <w:p w14:paraId="2C00869F" w14:textId="77777777" w:rsidR="009A53E1" w:rsidRPr="00137482" w:rsidRDefault="009A53E1" w:rsidP="0074425A">
            <w:pPr>
              <w:pStyle w:val="ListParagraph"/>
              <w:numPr>
                <w:ilvl w:val="0"/>
                <w:numId w:val="133"/>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The ISC will be working toward an assessment of the North Pacific shortfin mako in 2017-2018 with an aim to complete it by July 2018</w:t>
            </w:r>
          </w:p>
          <w:p w14:paraId="2B39456C" w14:textId="77777777" w:rsidR="009A53E1" w:rsidRPr="00137482" w:rsidRDefault="009A53E1" w:rsidP="0074425A">
            <w:pPr>
              <w:pStyle w:val="ListParagraph"/>
              <w:numPr>
                <w:ilvl w:val="0"/>
                <w:numId w:val="133"/>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The ISC assessment would benefit from the contribution of additional shortfin mako observer data (catch rates and total removals) in the North Pacific</w:t>
            </w:r>
          </w:p>
          <w:p w14:paraId="4F291AE6" w14:textId="77777777" w:rsidR="009A53E1" w:rsidRPr="00137482" w:rsidRDefault="009A53E1" w:rsidP="0074425A">
            <w:pPr>
              <w:pStyle w:val="ListParagraph"/>
              <w:numPr>
                <w:ilvl w:val="0"/>
                <w:numId w:val="133"/>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Participation in this collaborative stock assessment may lead to the development of new methods and/or new data insights for a future South Pacific shortfin mako assessment</w:t>
            </w:r>
          </w:p>
          <w:p w14:paraId="76F9BB26" w14:textId="77777777" w:rsidR="009A53E1" w:rsidRPr="00137482" w:rsidRDefault="009A53E1" w:rsidP="0074425A">
            <w:pPr>
              <w:pStyle w:val="ListParagraph"/>
              <w:numPr>
                <w:ilvl w:val="0"/>
                <w:numId w:val="133"/>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Cooperation between the WCPFC and its Northern Committee could be strengthened</w:t>
            </w:r>
          </w:p>
        </w:tc>
      </w:tr>
      <w:tr w:rsidR="009A53E1" w:rsidRPr="00137482" w14:paraId="4E7D1226" w14:textId="77777777" w:rsidTr="00137482">
        <w:tc>
          <w:tcPr>
            <w:tcW w:w="1860" w:type="dxa"/>
          </w:tcPr>
          <w:p w14:paraId="044A0835"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Assumptions</w:t>
            </w:r>
          </w:p>
        </w:tc>
        <w:tc>
          <w:tcPr>
            <w:tcW w:w="7609" w:type="dxa"/>
          </w:tcPr>
          <w:p w14:paraId="27297E45" w14:textId="77777777" w:rsidR="009A53E1" w:rsidRPr="00137482" w:rsidRDefault="009A53E1" w:rsidP="0074425A">
            <w:pPr>
              <w:pStyle w:val="ListParagraph"/>
              <w:numPr>
                <w:ilvl w:val="0"/>
                <w:numId w:val="134"/>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If SPC were available to participate, it would contribute its shortfin mako data holdings</w:t>
            </w:r>
          </w:p>
          <w:p w14:paraId="7DDDEC90" w14:textId="77777777" w:rsidR="009A53E1" w:rsidRPr="00137482" w:rsidRDefault="009A53E1" w:rsidP="0074425A">
            <w:pPr>
              <w:pStyle w:val="ListParagraph"/>
              <w:numPr>
                <w:ilvl w:val="0"/>
                <w:numId w:val="134"/>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If the Secretariat or ABNJ participates, fewer data can be contributed due to data confidentiality rules</w:t>
            </w:r>
          </w:p>
          <w:p w14:paraId="45C945CD" w14:textId="77777777" w:rsidR="009A53E1" w:rsidRPr="00137482" w:rsidRDefault="009A53E1" w:rsidP="0074425A">
            <w:pPr>
              <w:pStyle w:val="ListParagraph"/>
              <w:numPr>
                <w:ilvl w:val="0"/>
                <w:numId w:val="134"/>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ISC is able and willing to incorporate these contributions to its work</w:t>
            </w:r>
          </w:p>
          <w:p w14:paraId="55879C1E" w14:textId="77777777" w:rsidR="009A53E1" w:rsidRPr="00137482" w:rsidRDefault="009A53E1" w:rsidP="0074425A">
            <w:pPr>
              <w:pStyle w:val="ListParagraph"/>
              <w:numPr>
                <w:ilvl w:val="0"/>
                <w:numId w:val="134"/>
              </w:numPr>
              <w:adjustRightInd w:val="0"/>
              <w:snapToGrid w:val="0"/>
              <w:contextualSpacing w:val="0"/>
              <w:jc w:val="left"/>
              <w:rPr>
                <w:rFonts w:ascii="Times New Roman" w:hAnsi="Times New Roman"/>
                <w:sz w:val="20"/>
                <w:szCs w:val="20"/>
              </w:rPr>
            </w:pPr>
            <w:r w:rsidRPr="00137482">
              <w:rPr>
                <w:rFonts w:ascii="Times New Roman" w:hAnsi="Times New Roman"/>
                <w:sz w:val="20"/>
                <w:szCs w:val="20"/>
              </w:rPr>
              <w:t>ISC meetings avoid scheduling conflicts with other work</w:t>
            </w:r>
          </w:p>
        </w:tc>
      </w:tr>
      <w:tr w:rsidR="009A53E1" w:rsidRPr="00137482" w14:paraId="1C750F97" w14:textId="77777777" w:rsidTr="00137482">
        <w:tc>
          <w:tcPr>
            <w:tcW w:w="1860" w:type="dxa"/>
          </w:tcPr>
          <w:p w14:paraId="2F2E212F"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Scope</w:t>
            </w:r>
          </w:p>
        </w:tc>
        <w:tc>
          <w:tcPr>
            <w:tcW w:w="7609" w:type="dxa"/>
          </w:tcPr>
          <w:p w14:paraId="17BBD8B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Available WCPO data would be compiled, formatted and analysed to produce data products that could be contributed to ISC Shark Working Group (SWG) meetings (no raw data would be contributed; this is similar to the contributions of ISC member countries).  Data to be prepared would depend on needs identified by the ISC SWG but would be expected to include catch rate indices, catch estimates, effort statistics and/or biological data.  It is assumed that participation in two ISC SWG meetings would be required (the FTE estimate is intended to account for both time and travel costs).  These have tentatively been scheduled for November 2017 in Japan (data preparation meeting) and March-April 2018 in La Jolla (assessment meeting).  Total time input including data handling and analysis, ISC SWG meetings and other tasks, and report review is estimated at ~2.5 months.  </w:t>
            </w:r>
          </w:p>
        </w:tc>
      </w:tr>
      <w:tr w:rsidR="009A53E1" w:rsidRPr="00137482" w14:paraId="0B956A5B" w14:textId="77777777" w:rsidTr="00137482">
        <w:tc>
          <w:tcPr>
            <w:tcW w:w="1860" w:type="dxa"/>
          </w:tcPr>
          <w:p w14:paraId="51E3CF0C"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Budget</w:t>
            </w:r>
          </w:p>
        </w:tc>
        <w:tc>
          <w:tcPr>
            <w:tcW w:w="7609" w:type="dxa"/>
          </w:tcPr>
          <w:p w14:paraId="2B8AEC3B"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0.2 FTE</w:t>
            </w:r>
          </w:p>
        </w:tc>
      </w:tr>
    </w:tbl>
    <w:p w14:paraId="7E1DCD24" w14:textId="77777777" w:rsidR="009A53E1" w:rsidRPr="00137482" w:rsidRDefault="009A53E1" w:rsidP="009A53E1">
      <w:pPr>
        <w:autoSpaceDE w:val="0"/>
        <w:autoSpaceDN w:val="0"/>
        <w:adjustRightInd w:val="0"/>
        <w:snapToGrid w:val="0"/>
        <w:spacing w:after="0"/>
        <w:rPr>
          <w:rFonts w:ascii="Times New Roman" w:eastAsia="맑은 고딕" w:hAnsi="Times New Roman"/>
          <w:b/>
          <w:caps/>
          <w:sz w:val="20"/>
          <w:szCs w:val="20"/>
          <w:lang w:val="en-GB" w:eastAsia="ko-KR"/>
        </w:rPr>
      </w:pPr>
    </w:p>
    <w:p w14:paraId="5853E519" w14:textId="77777777" w:rsidR="009A53E1" w:rsidRPr="00137482" w:rsidRDefault="009A53E1" w:rsidP="009A53E1">
      <w:pPr>
        <w:adjustRightInd w:val="0"/>
        <w:snapToGrid w:val="0"/>
        <w:spacing w:after="0"/>
        <w:rPr>
          <w:rFonts w:ascii="Times New Roman" w:hAnsi="Times New Roman"/>
          <w:sz w:val="20"/>
          <w:szCs w:val="20"/>
          <w:lang w:val="en-AU"/>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60"/>
      </w:tblGrid>
      <w:tr w:rsidR="009A53E1" w:rsidRPr="00137482" w14:paraId="56F15575" w14:textId="77777777" w:rsidTr="00C06F80">
        <w:tc>
          <w:tcPr>
            <w:tcW w:w="9360" w:type="dxa"/>
          </w:tcPr>
          <w:p w14:paraId="2588D610" w14:textId="78A0C014"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86.</w:t>
            </w:r>
          </w:p>
          <w:p w14:paraId="0D88DF75"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FAD designs to reduce unwanted interactions with Species of Special Interest (SSIs; sharks, turtles)</w:t>
            </w:r>
          </w:p>
        </w:tc>
      </w:tr>
    </w:tbl>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23"/>
        <w:gridCol w:w="7747"/>
      </w:tblGrid>
      <w:tr w:rsidR="009A53E1" w:rsidRPr="00137482" w14:paraId="53876625" w14:textId="77777777" w:rsidTr="00137482">
        <w:tc>
          <w:tcPr>
            <w:tcW w:w="5000" w:type="pct"/>
            <w:gridSpan w:val="2"/>
            <w:shd w:val="clear" w:color="auto" w:fill="4AACC5"/>
          </w:tcPr>
          <w:p w14:paraId="03684E10"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Project #1</w:t>
            </w:r>
          </w:p>
        </w:tc>
      </w:tr>
      <w:tr w:rsidR="009A53E1" w:rsidRPr="00137482" w14:paraId="6663FF4E" w14:textId="77777777" w:rsidTr="00137482">
        <w:tc>
          <w:tcPr>
            <w:tcW w:w="866" w:type="pct"/>
            <w:shd w:val="clear" w:color="auto" w:fill="92D050"/>
          </w:tcPr>
          <w:p w14:paraId="0C668B56"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Project</w:t>
            </w:r>
          </w:p>
        </w:tc>
        <w:tc>
          <w:tcPr>
            <w:tcW w:w="4134" w:type="pct"/>
            <w:shd w:val="clear" w:color="auto" w:fill="92D050"/>
          </w:tcPr>
          <w:p w14:paraId="54FC1950"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designs to reduce unwanted interactions with Species of Special Interest (SSIs; sharks, turtles)</w:t>
            </w:r>
          </w:p>
        </w:tc>
      </w:tr>
      <w:tr w:rsidR="009A53E1" w:rsidRPr="00137482" w14:paraId="000773A2" w14:textId="77777777" w:rsidTr="00137482">
        <w:tc>
          <w:tcPr>
            <w:tcW w:w="866" w:type="pct"/>
          </w:tcPr>
          <w:p w14:paraId="25464D19"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Objectives</w:t>
            </w:r>
          </w:p>
        </w:tc>
        <w:tc>
          <w:tcPr>
            <w:tcW w:w="4134" w:type="pct"/>
          </w:tcPr>
          <w:p w14:paraId="150871EE"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Identify FAD design features that lead to lower interaction rates with key SSIs, while minimising the impact on catches of target tuna species.</w:t>
            </w:r>
          </w:p>
        </w:tc>
      </w:tr>
      <w:tr w:rsidR="009A53E1" w:rsidRPr="00137482" w14:paraId="45FF7B55" w14:textId="77777777" w:rsidTr="00137482">
        <w:tc>
          <w:tcPr>
            <w:tcW w:w="866" w:type="pct"/>
          </w:tcPr>
          <w:p w14:paraId="38EBBBDC"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Rationale</w:t>
            </w:r>
          </w:p>
        </w:tc>
        <w:tc>
          <w:tcPr>
            <w:tcW w:w="4134" w:type="pct"/>
          </w:tcPr>
          <w:p w14:paraId="4692AEA1" w14:textId="77777777" w:rsidR="009A53E1" w:rsidRPr="00137482" w:rsidRDefault="009A53E1" w:rsidP="0074425A">
            <w:pPr>
              <w:pStyle w:val="TableParagraph"/>
              <w:widowControl/>
              <w:numPr>
                <w:ilvl w:val="0"/>
                <w:numId w:val="162"/>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Builds upon work in all other Oceans on the design of lower- and non- entangling FADs (e.g. WCPFC-2016-FADMgmtOptionsIWG02-OP02; SC13-EB-WP-02).</w:t>
            </w:r>
          </w:p>
          <w:p w14:paraId="04423773" w14:textId="77777777" w:rsidR="009A53E1" w:rsidRPr="00137482" w:rsidRDefault="009A53E1" w:rsidP="0074425A">
            <w:pPr>
              <w:pStyle w:val="TableParagraph"/>
              <w:widowControl/>
              <w:numPr>
                <w:ilvl w:val="0"/>
                <w:numId w:val="162"/>
              </w:numPr>
              <w:tabs>
                <w:tab w:val="left" w:pos="420"/>
              </w:tabs>
              <w:adjustRightInd w:val="0"/>
              <w:snapToGrid w:val="0"/>
              <w:ind w:right="106"/>
              <w:rPr>
                <w:rFonts w:ascii="Times New Roman" w:hAnsi="Times New Roman" w:cs="Times New Roman"/>
                <w:sz w:val="20"/>
                <w:szCs w:val="20"/>
              </w:rPr>
            </w:pPr>
            <w:r w:rsidRPr="00137482">
              <w:rPr>
                <w:rFonts w:ascii="Times New Roman" w:hAnsi="Times New Roman" w:cs="Times New Roman"/>
                <w:sz w:val="20"/>
                <w:szCs w:val="20"/>
              </w:rPr>
              <w:t>Builds upon work by organisations such as ISSF in the development of SSI-friendly</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designs.</w:t>
            </w:r>
          </w:p>
          <w:p w14:paraId="7B55EBE6" w14:textId="77777777" w:rsidR="009A53E1" w:rsidRPr="00137482" w:rsidRDefault="009A53E1" w:rsidP="0074425A">
            <w:pPr>
              <w:pStyle w:val="TableParagraph"/>
              <w:widowControl/>
              <w:numPr>
                <w:ilvl w:val="0"/>
                <w:numId w:val="162"/>
              </w:numPr>
              <w:tabs>
                <w:tab w:val="left" w:pos="420"/>
              </w:tabs>
              <w:adjustRightInd w:val="0"/>
              <w:snapToGrid w:val="0"/>
              <w:ind w:right="105"/>
              <w:rPr>
                <w:rFonts w:ascii="Times New Roman" w:hAnsi="Times New Roman" w:cs="Times New Roman"/>
                <w:sz w:val="20"/>
                <w:szCs w:val="20"/>
              </w:rPr>
            </w:pPr>
            <w:r w:rsidRPr="00137482">
              <w:rPr>
                <w:rFonts w:ascii="Times New Roman" w:hAnsi="Times New Roman" w:cs="Times New Roman"/>
                <w:sz w:val="20"/>
                <w:szCs w:val="20"/>
              </w:rPr>
              <w:t>Provides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region-specific</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on</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efficacy</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SSI</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reduction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and impacts on tuna catch levels in 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WCPO.</w:t>
            </w:r>
          </w:p>
          <w:p w14:paraId="2A47CE71" w14:textId="77777777" w:rsidR="009A53E1" w:rsidRPr="00137482" w:rsidRDefault="009A53E1" w:rsidP="0074425A">
            <w:pPr>
              <w:pStyle w:val="TableParagraph"/>
              <w:widowControl/>
              <w:numPr>
                <w:ilvl w:val="0"/>
                <w:numId w:val="162"/>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Provides a scientific basis for potential CMMs in this</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area.</w:t>
            </w:r>
          </w:p>
          <w:p w14:paraId="1FC79082" w14:textId="77777777" w:rsidR="009A53E1" w:rsidRPr="00137482" w:rsidRDefault="009A53E1" w:rsidP="0074425A">
            <w:pPr>
              <w:pStyle w:val="TableParagraph"/>
              <w:widowControl/>
              <w:numPr>
                <w:ilvl w:val="0"/>
                <w:numId w:val="162"/>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Given concerns of FAD beaching on reefs and shorelines, could also contribute to studies of appropriate biodegradable FAD</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materials.</w:t>
            </w:r>
          </w:p>
        </w:tc>
      </w:tr>
      <w:tr w:rsidR="009A53E1" w:rsidRPr="00137482" w14:paraId="517F7173" w14:textId="77777777" w:rsidTr="00137482">
        <w:tc>
          <w:tcPr>
            <w:tcW w:w="866" w:type="pct"/>
          </w:tcPr>
          <w:p w14:paraId="752B36E1"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Assumptions</w:t>
            </w:r>
          </w:p>
        </w:tc>
        <w:tc>
          <w:tcPr>
            <w:tcW w:w="4134" w:type="pct"/>
          </w:tcPr>
          <w:p w14:paraId="15E54F20" w14:textId="77777777" w:rsidR="009A53E1" w:rsidRPr="00137482" w:rsidRDefault="009A53E1" w:rsidP="0074425A">
            <w:pPr>
              <w:pStyle w:val="TableParagraph"/>
              <w:widowControl/>
              <w:numPr>
                <w:ilvl w:val="0"/>
                <w:numId w:val="161"/>
              </w:numPr>
              <w:tabs>
                <w:tab w:val="left" w:pos="420"/>
              </w:tabs>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The information provided in SC13-EB-WP-02 is considered by SC13 to provide insufficient evidence of the potential effectiveness of non- entangling</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designs</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WCPO,</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hence</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local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trials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are</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needed.</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Note that if SC13-EB-WP-02 is considered by SC13 to provide sufficient evidence,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this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project</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should</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revised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focus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on</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extension,</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ensure rapid uptake and deployment of non-entangling FAD designs, and to ensure the cost effectiveness of those designs for all WCPO fleets, in particular those domestic fleets of</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PICTs.</w:t>
            </w:r>
          </w:p>
          <w:p w14:paraId="19193BFE" w14:textId="77777777" w:rsidR="009A53E1" w:rsidRPr="00137482" w:rsidRDefault="009A53E1" w:rsidP="0074425A">
            <w:pPr>
              <w:pStyle w:val="TableParagraph"/>
              <w:widowControl/>
              <w:numPr>
                <w:ilvl w:val="0"/>
                <w:numId w:val="161"/>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 xml:space="preserve">The relationship between design and SSI interactions can be gained through tracking FADs from construction, through deployment, </w:t>
            </w:r>
            <w:r w:rsidRPr="00137482">
              <w:rPr>
                <w:rFonts w:ascii="Times New Roman" w:hAnsi="Times New Roman" w:cs="Times New Roman"/>
                <w:spacing w:val="-3"/>
                <w:sz w:val="20"/>
                <w:szCs w:val="20"/>
              </w:rPr>
              <w:t xml:space="preserve">to </w:t>
            </w:r>
            <w:r w:rsidRPr="00137482">
              <w:rPr>
                <w:rFonts w:ascii="Times New Roman" w:hAnsi="Times New Roman" w:cs="Times New Roman"/>
                <w:sz w:val="20"/>
                <w:szCs w:val="20"/>
              </w:rPr>
              <w:t>setting activity by any fleet, and SSI</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interactions.</w:t>
            </w:r>
          </w:p>
          <w:p w14:paraId="781F500B" w14:textId="77777777" w:rsidR="009A53E1" w:rsidRPr="00137482" w:rsidRDefault="009A53E1" w:rsidP="0074425A">
            <w:pPr>
              <w:pStyle w:val="TableParagraph"/>
              <w:widowControl/>
              <w:numPr>
                <w:ilvl w:val="0"/>
                <w:numId w:val="161"/>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If tracking is not possible, the regular removal of a set-upon FAD from the water can be undertaken so observations of its sub-surface structures and the occurrence of captured SSIs can be</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made.</w:t>
            </w:r>
          </w:p>
          <w:p w14:paraId="644EAEDB" w14:textId="77777777" w:rsidR="009A53E1" w:rsidRPr="00137482" w:rsidRDefault="009A53E1" w:rsidP="0074425A">
            <w:pPr>
              <w:pStyle w:val="TableParagraph"/>
              <w:widowControl/>
              <w:numPr>
                <w:ilvl w:val="0"/>
                <w:numId w:val="161"/>
              </w:numPr>
              <w:tabs>
                <w:tab w:val="left" w:pos="420"/>
              </w:tabs>
              <w:adjustRightInd w:val="0"/>
              <w:snapToGrid w:val="0"/>
              <w:ind w:right="104"/>
              <w:rPr>
                <w:rFonts w:ascii="Times New Roman" w:hAnsi="Times New Roman" w:cs="Times New Roman"/>
                <w:sz w:val="20"/>
                <w:szCs w:val="20"/>
              </w:rPr>
            </w:pPr>
            <w:r w:rsidRPr="00137482">
              <w:rPr>
                <w:rFonts w:ascii="Times New Roman" w:hAnsi="Times New Roman" w:cs="Times New Roman"/>
                <w:sz w:val="20"/>
                <w:szCs w:val="20"/>
              </w:rPr>
              <w:t>Periodic removal of tracked designs may also be necessary to identify changes over time (e.g. unravelling of bound netting, degradation of components).</w:t>
            </w:r>
          </w:p>
          <w:p w14:paraId="3996E0F3" w14:textId="77777777" w:rsidR="009A53E1" w:rsidRPr="00137482" w:rsidRDefault="009A53E1" w:rsidP="0074425A">
            <w:pPr>
              <w:pStyle w:val="TableParagraph"/>
              <w:widowControl/>
              <w:numPr>
                <w:ilvl w:val="0"/>
                <w:numId w:val="161"/>
              </w:numPr>
              <w:tabs>
                <w:tab w:val="left" w:pos="420"/>
              </w:tabs>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A coordinated trial of designs, in collaboration with industry, is suggested as the most efficient approach. Cost, material availability and environmental impact would be key factors in assessing the merit of various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designs.</w:t>
            </w:r>
          </w:p>
          <w:p w14:paraId="6C409880" w14:textId="77777777" w:rsidR="009A53E1" w:rsidRPr="00137482" w:rsidRDefault="009A53E1" w:rsidP="0074425A">
            <w:pPr>
              <w:pStyle w:val="TableParagraph"/>
              <w:widowControl/>
              <w:numPr>
                <w:ilvl w:val="0"/>
                <w:numId w:val="161"/>
              </w:numPr>
              <w:tabs>
                <w:tab w:val="left" w:pos="420"/>
              </w:tabs>
              <w:adjustRightInd w:val="0"/>
              <w:snapToGrid w:val="0"/>
              <w:ind w:right="106"/>
              <w:rPr>
                <w:rFonts w:ascii="Times New Roman" w:hAnsi="Times New Roman" w:cs="Times New Roman"/>
                <w:sz w:val="20"/>
                <w:szCs w:val="20"/>
              </w:rPr>
            </w:pPr>
            <w:r w:rsidRPr="00137482">
              <w:rPr>
                <w:rFonts w:ascii="Times New Roman" w:hAnsi="Times New Roman" w:cs="Times New Roman"/>
                <w:sz w:val="20"/>
                <w:szCs w:val="20"/>
              </w:rPr>
              <w:t xml:space="preserve">Sufficient data are available across different designs and locations </w:t>
            </w:r>
            <w:proofErr w:type="gramStart"/>
            <w:r w:rsidRPr="00137482">
              <w:rPr>
                <w:rFonts w:ascii="Times New Roman" w:hAnsi="Times New Roman" w:cs="Times New Roman"/>
                <w:spacing w:val="-3"/>
                <w:sz w:val="20"/>
                <w:szCs w:val="20"/>
              </w:rPr>
              <w:t xml:space="preserve">to  </w:t>
            </w:r>
            <w:r w:rsidRPr="00137482">
              <w:rPr>
                <w:rFonts w:ascii="Times New Roman" w:hAnsi="Times New Roman" w:cs="Times New Roman"/>
                <w:sz w:val="20"/>
                <w:szCs w:val="20"/>
              </w:rPr>
              <w:t>allow</w:t>
            </w:r>
            <w:proofErr w:type="gramEnd"/>
            <w:r w:rsidRPr="00137482">
              <w:rPr>
                <w:rFonts w:ascii="Times New Roman" w:hAnsi="Times New Roman" w:cs="Times New Roman"/>
                <w:sz w:val="20"/>
                <w:szCs w:val="20"/>
              </w:rPr>
              <w:t xml:space="preserve"> statistical analyses to be</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effective.</w:t>
            </w:r>
          </w:p>
          <w:p w14:paraId="0527589F" w14:textId="77777777" w:rsidR="009A53E1" w:rsidRPr="00137482" w:rsidRDefault="009A53E1" w:rsidP="0074425A">
            <w:pPr>
              <w:pStyle w:val="TableParagraph"/>
              <w:widowControl/>
              <w:numPr>
                <w:ilvl w:val="0"/>
                <w:numId w:val="161"/>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Where specific field trials are undertaken, they might be able to be performed at the same time as trials required under FAD project #2 to create cost</w:t>
            </w:r>
            <w:r w:rsidRPr="00137482">
              <w:rPr>
                <w:rFonts w:ascii="Times New Roman" w:hAnsi="Times New Roman" w:cs="Times New Roman"/>
                <w:spacing w:val="-2"/>
                <w:sz w:val="20"/>
                <w:szCs w:val="20"/>
              </w:rPr>
              <w:t xml:space="preserve"> </w:t>
            </w:r>
            <w:r w:rsidRPr="00137482">
              <w:rPr>
                <w:rFonts w:ascii="Times New Roman" w:hAnsi="Times New Roman" w:cs="Times New Roman"/>
                <w:sz w:val="20"/>
                <w:szCs w:val="20"/>
              </w:rPr>
              <w:t>efficiencies.</w:t>
            </w:r>
          </w:p>
        </w:tc>
      </w:tr>
      <w:tr w:rsidR="009A53E1" w:rsidRPr="00137482" w14:paraId="60CB75B1" w14:textId="77777777" w:rsidTr="00137482">
        <w:tc>
          <w:tcPr>
            <w:tcW w:w="866" w:type="pct"/>
          </w:tcPr>
          <w:p w14:paraId="213030A1"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Scope</w:t>
            </w:r>
          </w:p>
        </w:tc>
        <w:tc>
          <w:tcPr>
            <w:tcW w:w="4134" w:type="pct"/>
          </w:tcPr>
          <w:p w14:paraId="50C660E3"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Through review of existing studies and best practices in other oceans (see SC13-EB-WP-02) identify plausible non-entangling FAD designs, in collaboration with industry. This should include sub-FAD structure depth and mesh size, removal of netting on the surface of FADs and alternative platform widths.</w:t>
            </w:r>
          </w:p>
          <w:p w14:paraId="657FBA7B"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7021EE9A" w14:textId="7777777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Implement at-sea FAD trials across the WCPO [deployment and fishing activity] to be completed within 18 months. This will most effectively be</w:t>
            </w:r>
          </w:p>
        </w:tc>
      </w:tr>
      <w:tr w:rsidR="009A53E1" w:rsidRPr="00137482" w14:paraId="42E4F54A" w14:textId="77777777" w:rsidTr="00137482">
        <w:tc>
          <w:tcPr>
            <w:tcW w:w="866" w:type="pct"/>
          </w:tcPr>
          <w:p w14:paraId="786EE8C8" w14:textId="77777777" w:rsidR="009A53E1" w:rsidRPr="00137482" w:rsidRDefault="009A53E1" w:rsidP="00C06F80">
            <w:pPr>
              <w:widowControl/>
              <w:adjustRightInd w:val="0"/>
              <w:snapToGrid w:val="0"/>
              <w:spacing w:after="0"/>
              <w:rPr>
                <w:rFonts w:ascii="Times New Roman" w:hAnsi="Times New Roman" w:cs="Times New Roman"/>
                <w:sz w:val="20"/>
                <w:szCs w:val="20"/>
              </w:rPr>
            </w:pPr>
          </w:p>
        </w:tc>
        <w:tc>
          <w:tcPr>
            <w:tcW w:w="4134" w:type="pct"/>
          </w:tcPr>
          <w:p w14:paraId="51E5268F"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proofErr w:type="gramStart"/>
            <w:r w:rsidRPr="00137482">
              <w:rPr>
                <w:rFonts w:ascii="Times New Roman" w:hAnsi="Times New Roman" w:cs="Times New Roman"/>
                <w:sz w:val="20"/>
                <w:szCs w:val="20"/>
              </w:rPr>
              <w:t>performed</w:t>
            </w:r>
            <w:proofErr w:type="gramEnd"/>
            <w:r w:rsidRPr="00137482">
              <w:rPr>
                <w:rFonts w:ascii="Times New Roman" w:hAnsi="Times New Roman" w:cs="Times New Roman"/>
                <w:sz w:val="20"/>
                <w:szCs w:val="20"/>
              </w:rPr>
              <w:t xml:space="preserve"> in partnership with observers and industry to ensure marking, deployment and monitoring of FADs in a coordinated way. Two levels of industry participation are anticipated: (1) the fleets that deploy the FADs and are actively engaged in the research. (2) All other fleets that find the FADs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(1)</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set</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upon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them.</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(2)</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will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critical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 success of the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research.</w:t>
            </w:r>
          </w:p>
          <w:p w14:paraId="5F0516FC"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614FB5FC"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Using ISSF Technical Report 2016-18A as a guide:</w:t>
            </w:r>
          </w:p>
          <w:p w14:paraId="4A0568BA" w14:textId="77777777" w:rsidR="009A53E1" w:rsidRPr="00137482" w:rsidRDefault="009A53E1" w:rsidP="0074425A">
            <w:pPr>
              <w:pStyle w:val="TableParagraph"/>
              <w:widowControl/>
              <w:numPr>
                <w:ilvl w:val="0"/>
                <w:numId w:val="160"/>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Fleets deploy a given number of FADs per vessel (e.g. 10-20 FADs per vessel to reach a significant large number of</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FADs).</w:t>
            </w:r>
          </w:p>
          <w:p w14:paraId="4C8F7BCA" w14:textId="77777777" w:rsidR="009A53E1" w:rsidRPr="00137482" w:rsidRDefault="009A53E1" w:rsidP="0074425A">
            <w:pPr>
              <w:pStyle w:val="TableParagraph"/>
              <w:widowControl/>
              <w:numPr>
                <w:ilvl w:val="0"/>
                <w:numId w:val="160"/>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Maximum 4 standardized designs tested, constructed in port and deployed in the same area as traditional FADs, so their effectiveness could</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compared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with</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that</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traditional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FADs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for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same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spatial and temporal</w:t>
            </w:r>
            <w:r w:rsidRPr="00137482">
              <w:rPr>
                <w:rFonts w:ascii="Times New Roman" w:hAnsi="Times New Roman" w:cs="Times New Roman"/>
                <w:spacing w:val="-1"/>
                <w:sz w:val="20"/>
                <w:szCs w:val="20"/>
              </w:rPr>
              <w:t xml:space="preserve"> </w:t>
            </w:r>
            <w:r w:rsidRPr="00137482">
              <w:rPr>
                <w:rFonts w:ascii="Times New Roman" w:hAnsi="Times New Roman" w:cs="Times New Roman"/>
                <w:sz w:val="20"/>
                <w:szCs w:val="20"/>
              </w:rPr>
              <w:t>strata.</w:t>
            </w:r>
          </w:p>
          <w:p w14:paraId="378CD484" w14:textId="77777777" w:rsidR="009A53E1" w:rsidRPr="00137482" w:rsidRDefault="009A53E1" w:rsidP="0074425A">
            <w:pPr>
              <w:pStyle w:val="TableParagraph"/>
              <w:widowControl/>
              <w:numPr>
                <w:ilvl w:val="0"/>
                <w:numId w:val="160"/>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Deployment site, design and the code of the geo-locating buoy should be registered. Every FAD should be well identified so that data can be retrieved and followed if ownership</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changes.</w:t>
            </w:r>
          </w:p>
          <w:p w14:paraId="30C1A784" w14:textId="77777777" w:rsidR="009A53E1" w:rsidRPr="00137482" w:rsidRDefault="009A53E1" w:rsidP="0074425A">
            <w:pPr>
              <w:pStyle w:val="TableParagraph"/>
              <w:widowControl/>
              <w:numPr>
                <w:ilvl w:val="0"/>
                <w:numId w:val="160"/>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If a trial FAD is encountered at sea register: the catch (if any), interactions with SSI, the condition of the FAD and the new code for</w:t>
            </w:r>
            <w:r w:rsidRPr="00137482">
              <w:rPr>
                <w:rFonts w:ascii="Times New Roman" w:hAnsi="Times New Roman" w:cs="Times New Roman"/>
                <w:spacing w:val="-28"/>
                <w:sz w:val="20"/>
                <w:szCs w:val="20"/>
              </w:rPr>
              <w:t xml:space="preserve"> </w:t>
            </w:r>
            <w:r w:rsidRPr="00137482">
              <w:rPr>
                <w:rFonts w:ascii="Times New Roman" w:hAnsi="Times New Roman" w:cs="Times New Roman"/>
                <w:sz w:val="20"/>
                <w:szCs w:val="20"/>
              </w:rPr>
              <w:t>the buoy if the original has been</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replaced.</w:t>
            </w:r>
          </w:p>
          <w:p w14:paraId="10444B72" w14:textId="77777777" w:rsidR="009A53E1" w:rsidRPr="00137482" w:rsidRDefault="009A53E1" w:rsidP="0074425A">
            <w:pPr>
              <w:pStyle w:val="TableParagraph"/>
              <w:widowControl/>
              <w:numPr>
                <w:ilvl w:val="0"/>
                <w:numId w:val="160"/>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Where possible, use trajectories and sounder of attached buoys to assess ability of alternative designs to aggregate tuna even if they are not visited or fished by purse seiners, as well as following their lifetime if they are not</w:t>
            </w:r>
            <w:r w:rsidRPr="00137482">
              <w:rPr>
                <w:rFonts w:ascii="Times New Roman" w:hAnsi="Times New Roman" w:cs="Times New Roman"/>
                <w:spacing w:val="-2"/>
                <w:sz w:val="20"/>
                <w:szCs w:val="20"/>
              </w:rPr>
              <w:t xml:space="preserve"> </w:t>
            </w:r>
            <w:r w:rsidRPr="00137482">
              <w:rPr>
                <w:rFonts w:ascii="Times New Roman" w:hAnsi="Times New Roman" w:cs="Times New Roman"/>
                <w:sz w:val="20"/>
                <w:szCs w:val="20"/>
              </w:rPr>
              <w:t>retrieved.</w:t>
            </w:r>
          </w:p>
          <w:p w14:paraId="270F1BBF" w14:textId="77777777" w:rsidR="009A53E1" w:rsidRPr="00137482" w:rsidRDefault="009A53E1" w:rsidP="0074425A">
            <w:pPr>
              <w:pStyle w:val="TableParagraph"/>
              <w:widowControl/>
              <w:numPr>
                <w:ilvl w:val="0"/>
                <w:numId w:val="160"/>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Collaboration</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between</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industry,</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related</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parties,</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science</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services provider to collect and analyse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data.</w:t>
            </w:r>
          </w:p>
          <w:p w14:paraId="09A8453B" w14:textId="77777777" w:rsidR="009A53E1" w:rsidRPr="00137482" w:rsidRDefault="009A53E1" w:rsidP="0074425A">
            <w:pPr>
              <w:pStyle w:val="TableParagraph"/>
              <w:widowControl/>
              <w:numPr>
                <w:ilvl w:val="0"/>
                <w:numId w:val="160"/>
              </w:numPr>
              <w:tabs>
                <w:tab w:val="left" w:pos="420"/>
              </w:tabs>
              <w:adjustRightInd w:val="0"/>
              <w:snapToGrid w:val="0"/>
              <w:rPr>
                <w:rFonts w:ascii="Times New Roman" w:hAnsi="Times New Roman" w:cs="Times New Roman"/>
                <w:sz w:val="20"/>
                <w:szCs w:val="20"/>
              </w:rPr>
            </w:pPr>
            <w:r w:rsidRPr="00137482">
              <w:rPr>
                <w:rFonts w:ascii="Times New Roman" w:hAnsi="Times New Roman" w:cs="Times New Roman"/>
                <w:sz w:val="20"/>
                <w:szCs w:val="20"/>
              </w:rPr>
              <w:t>Collaborate with industry to identify the cost of alternative FAD</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designs</w:t>
            </w:r>
          </w:p>
          <w:p w14:paraId="1774AFEB" w14:textId="77777777" w:rsidR="009A53E1" w:rsidRPr="00137482" w:rsidRDefault="009A53E1" w:rsidP="00C06F80">
            <w:pPr>
              <w:pStyle w:val="TableParagraph"/>
              <w:widowControl/>
              <w:adjustRightInd w:val="0"/>
              <w:snapToGrid w:val="0"/>
              <w:ind w:left="420"/>
              <w:jc w:val="left"/>
              <w:rPr>
                <w:rFonts w:ascii="Times New Roman" w:hAnsi="Times New Roman" w:cs="Times New Roman"/>
                <w:sz w:val="20"/>
                <w:szCs w:val="20"/>
              </w:rPr>
            </w:pPr>
            <w:proofErr w:type="gramStart"/>
            <w:r w:rsidRPr="00137482">
              <w:rPr>
                <w:rFonts w:ascii="Times New Roman" w:hAnsi="Times New Roman" w:cs="Times New Roman"/>
                <w:sz w:val="20"/>
                <w:szCs w:val="20"/>
              </w:rPr>
              <w:t>relative</w:t>
            </w:r>
            <w:proofErr w:type="gramEnd"/>
            <w:r w:rsidRPr="00137482">
              <w:rPr>
                <w:rFonts w:ascii="Times New Roman" w:hAnsi="Times New Roman" w:cs="Times New Roman"/>
                <w:sz w:val="20"/>
                <w:szCs w:val="20"/>
              </w:rPr>
              <w:t xml:space="preserve"> to ‘standard’ designs.</w:t>
            </w:r>
          </w:p>
          <w:p w14:paraId="728D88C9"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AC56C9F" w14:textId="7777777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Analysis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results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should</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presented</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WCPFC</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SC</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(approximately</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2</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years after the trial begins). SC and TCC of that year to provide</w:t>
            </w:r>
            <w:r w:rsidRPr="00137482">
              <w:rPr>
                <w:rFonts w:ascii="Times New Roman" w:hAnsi="Times New Roman" w:cs="Times New Roman"/>
                <w:spacing w:val="-23"/>
                <w:sz w:val="20"/>
                <w:szCs w:val="20"/>
              </w:rPr>
              <w:t xml:space="preserve"> </w:t>
            </w:r>
            <w:r w:rsidRPr="00137482">
              <w:rPr>
                <w:rFonts w:ascii="Times New Roman" w:hAnsi="Times New Roman" w:cs="Times New Roman"/>
                <w:sz w:val="20"/>
                <w:szCs w:val="20"/>
              </w:rPr>
              <w:t>recommendations for a draft CMM on appropriate FAD</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designs.</w:t>
            </w:r>
          </w:p>
        </w:tc>
      </w:tr>
      <w:tr w:rsidR="009A53E1" w:rsidRPr="00137482" w14:paraId="3F94FB3D" w14:textId="77777777" w:rsidTr="00137482">
        <w:tc>
          <w:tcPr>
            <w:tcW w:w="866" w:type="pct"/>
          </w:tcPr>
          <w:p w14:paraId="64A2F671"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Links to other work</w:t>
            </w:r>
          </w:p>
        </w:tc>
        <w:tc>
          <w:tcPr>
            <w:tcW w:w="4134" w:type="pct"/>
          </w:tcPr>
          <w:p w14:paraId="5AD52FBB"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The IATTC and ISSF have done considerable work on the design of non- entangling FADs (see SC13-EB-WP-02).</w:t>
            </w:r>
          </w:p>
        </w:tc>
      </w:tr>
      <w:tr w:rsidR="009A53E1" w:rsidRPr="00137482" w14:paraId="47A21061" w14:textId="77777777" w:rsidTr="00137482">
        <w:tc>
          <w:tcPr>
            <w:tcW w:w="866" w:type="pct"/>
          </w:tcPr>
          <w:p w14:paraId="517738FD"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Timeframe</w:t>
            </w:r>
          </w:p>
        </w:tc>
        <w:tc>
          <w:tcPr>
            <w:tcW w:w="4134" w:type="pct"/>
          </w:tcPr>
          <w:p w14:paraId="65D215FA"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24 months</w:t>
            </w:r>
          </w:p>
        </w:tc>
      </w:tr>
      <w:tr w:rsidR="009A53E1" w:rsidRPr="00137482" w14:paraId="6421EF0D" w14:textId="77777777" w:rsidTr="00137482">
        <w:tc>
          <w:tcPr>
            <w:tcW w:w="866" w:type="pct"/>
          </w:tcPr>
          <w:p w14:paraId="2F5B3D0B"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Budget</w:t>
            </w:r>
          </w:p>
          <w:p w14:paraId="5A41A6BC"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23A66F0A" w14:textId="77777777" w:rsidR="009A53E1" w:rsidRPr="00137482" w:rsidRDefault="009A53E1" w:rsidP="00C06F80">
            <w:pPr>
              <w:pStyle w:val="TableParagraph"/>
              <w:widowControl/>
              <w:tabs>
                <w:tab w:val="left" w:pos="434"/>
                <w:tab w:val="left" w:pos="1077"/>
                <w:tab w:val="left" w:pos="1278"/>
              </w:tabs>
              <w:adjustRightInd w:val="0"/>
              <w:snapToGrid w:val="0"/>
              <w:ind w:right="97"/>
              <w:jc w:val="left"/>
              <w:rPr>
                <w:rFonts w:ascii="Times New Roman" w:hAnsi="Times New Roman" w:cs="Times New Roman"/>
                <w:sz w:val="20"/>
                <w:szCs w:val="20"/>
              </w:rPr>
            </w:pPr>
            <w:r w:rsidRPr="00137482">
              <w:rPr>
                <w:rFonts w:ascii="Times New Roman" w:hAnsi="Times New Roman" w:cs="Times New Roman"/>
                <w:sz w:val="20"/>
                <w:szCs w:val="20"/>
              </w:rPr>
              <w:t>Note: Costed on a fieldwork required</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basis. If</w:t>
            </w:r>
            <w:r w:rsidRPr="00137482">
              <w:rPr>
                <w:rFonts w:ascii="Times New Roman" w:hAnsi="Times New Roman" w:cs="Times New Roman"/>
                <w:sz w:val="20"/>
                <w:szCs w:val="20"/>
              </w:rPr>
              <w:tab/>
            </w:r>
            <w:r w:rsidRPr="00137482">
              <w:rPr>
                <w:rFonts w:ascii="Times New Roman" w:hAnsi="Times New Roman" w:cs="Times New Roman"/>
                <w:spacing w:val="-1"/>
                <w:sz w:val="20"/>
                <w:szCs w:val="20"/>
              </w:rPr>
              <w:t>project</w:t>
            </w:r>
            <w:r w:rsidRPr="00137482">
              <w:rPr>
                <w:rFonts w:ascii="Times New Roman" w:hAnsi="Times New Roman" w:cs="Times New Roman"/>
                <w:spacing w:val="-1"/>
                <w:sz w:val="20"/>
                <w:szCs w:val="20"/>
              </w:rPr>
              <w:tab/>
            </w:r>
            <w:r w:rsidRPr="00137482">
              <w:rPr>
                <w:rFonts w:ascii="Times New Roman" w:hAnsi="Times New Roman" w:cs="Times New Roman"/>
                <w:spacing w:val="-1"/>
                <w:sz w:val="20"/>
                <w:szCs w:val="20"/>
              </w:rPr>
              <w:tab/>
            </w:r>
            <w:r w:rsidRPr="00137482">
              <w:rPr>
                <w:rFonts w:ascii="Times New Roman" w:hAnsi="Times New Roman" w:cs="Times New Roman"/>
                <w:sz w:val="20"/>
                <w:szCs w:val="20"/>
              </w:rPr>
              <w:t>is extension related</w:t>
            </w:r>
            <w:r w:rsidRPr="00137482">
              <w:rPr>
                <w:rFonts w:ascii="Times New Roman" w:hAnsi="Times New Roman" w:cs="Times New Roman"/>
                <w:sz w:val="20"/>
                <w:szCs w:val="20"/>
              </w:rPr>
              <w:tab/>
              <w:t>(i.e.</w:t>
            </w:r>
          </w:p>
          <w:p w14:paraId="42FE85F5" w14:textId="77777777" w:rsidR="009A53E1" w:rsidRPr="00137482" w:rsidRDefault="009A53E1" w:rsidP="00C06F80">
            <w:pPr>
              <w:pStyle w:val="TableParagraph"/>
              <w:widowControl/>
              <w:tabs>
                <w:tab w:val="left" w:pos="123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trials</w:t>
            </w:r>
            <w:r w:rsidRPr="00137482">
              <w:rPr>
                <w:rFonts w:ascii="Times New Roman" w:hAnsi="Times New Roman" w:cs="Times New Roman"/>
                <w:sz w:val="20"/>
                <w:szCs w:val="20"/>
              </w:rPr>
              <w:tab/>
              <w:t>of</w:t>
            </w:r>
          </w:p>
          <w:p w14:paraId="3965F21A" w14:textId="77777777" w:rsidR="009A53E1" w:rsidRPr="00137482" w:rsidRDefault="009A53E1" w:rsidP="00C06F80">
            <w:pPr>
              <w:pStyle w:val="TableParagraph"/>
              <w:widowControl/>
              <w:tabs>
                <w:tab w:val="left" w:pos="1111"/>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designs</w:t>
            </w:r>
            <w:r w:rsidRPr="00137482">
              <w:rPr>
                <w:rFonts w:ascii="Times New Roman" w:hAnsi="Times New Roman" w:cs="Times New Roman"/>
                <w:sz w:val="20"/>
                <w:szCs w:val="20"/>
              </w:rPr>
              <w:tab/>
              <w:t>not</w:t>
            </w:r>
          </w:p>
          <w:p w14:paraId="1705B114"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required on the basis of SC13-EB-WP-</w:t>
            </w:r>
          </w:p>
          <w:p w14:paraId="506719BE" w14:textId="77777777" w:rsidR="009A53E1" w:rsidRPr="00137482" w:rsidRDefault="009A53E1" w:rsidP="00C06F80">
            <w:pPr>
              <w:pStyle w:val="TableParagraph"/>
              <w:widowControl/>
              <w:tabs>
                <w:tab w:val="left" w:pos="590"/>
              </w:tabs>
              <w:adjustRightInd w:val="0"/>
              <w:snapToGrid w:val="0"/>
              <w:ind w:right="98"/>
              <w:jc w:val="left"/>
              <w:rPr>
                <w:rFonts w:ascii="Times New Roman" w:hAnsi="Times New Roman" w:cs="Times New Roman"/>
                <w:sz w:val="20"/>
                <w:szCs w:val="20"/>
              </w:rPr>
            </w:pPr>
            <w:r w:rsidRPr="00137482">
              <w:rPr>
                <w:rFonts w:ascii="Times New Roman" w:hAnsi="Times New Roman" w:cs="Times New Roman"/>
                <w:sz w:val="20"/>
                <w:szCs w:val="20"/>
              </w:rPr>
              <w:t>02</w:t>
            </w:r>
            <w:r w:rsidRPr="00137482">
              <w:rPr>
                <w:rFonts w:ascii="Times New Roman" w:hAnsi="Times New Roman" w:cs="Times New Roman"/>
                <w:sz w:val="20"/>
                <w:szCs w:val="20"/>
              </w:rPr>
              <w:tab/>
            </w:r>
            <w:r w:rsidRPr="00137482">
              <w:rPr>
                <w:rFonts w:ascii="Times New Roman" w:hAnsi="Times New Roman" w:cs="Times New Roman"/>
                <w:spacing w:val="-1"/>
                <w:sz w:val="20"/>
                <w:szCs w:val="20"/>
              </w:rPr>
              <w:t xml:space="preserve">findings), </w:t>
            </w:r>
            <w:r w:rsidRPr="00137482">
              <w:rPr>
                <w:rFonts w:ascii="Times New Roman" w:hAnsi="Times New Roman" w:cs="Times New Roman"/>
                <w:sz w:val="20"/>
                <w:szCs w:val="20"/>
              </w:rPr>
              <w:t>project</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budget</w:t>
            </w:r>
          </w:p>
        </w:tc>
        <w:tc>
          <w:tcPr>
            <w:tcW w:w="4134" w:type="pct"/>
          </w:tcPr>
          <w:p w14:paraId="1E5360D2"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1 year FTE at SPC (data analysis)</w:t>
            </w:r>
          </w:p>
          <w:p w14:paraId="7FB6271C" w14:textId="77777777" w:rsidR="009A53E1" w:rsidRPr="00137482" w:rsidRDefault="009A53E1" w:rsidP="00C06F80">
            <w:pPr>
              <w:pStyle w:val="TableParagraph"/>
              <w:widowControl/>
              <w:adjustRightInd w:val="0"/>
              <w:snapToGrid w:val="0"/>
              <w:ind w:right="2232"/>
              <w:jc w:val="left"/>
              <w:rPr>
                <w:rFonts w:ascii="Times New Roman" w:hAnsi="Times New Roman" w:cs="Times New Roman"/>
                <w:sz w:val="20"/>
                <w:szCs w:val="20"/>
              </w:rPr>
            </w:pPr>
            <w:r w:rsidRPr="00137482">
              <w:rPr>
                <w:rFonts w:ascii="Times New Roman" w:hAnsi="Times New Roman" w:cs="Times New Roman"/>
                <w:sz w:val="20"/>
                <w:szCs w:val="20"/>
              </w:rPr>
              <w:t>1.5 year FTE at SPC (technical and fieldwork, travel) Project management</w:t>
            </w:r>
          </w:p>
          <w:p w14:paraId="0A0760AD"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Observer training</w:t>
            </w:r>
          </w:p>
          <w:p w14:paraId="581477EE"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Approximate total budget: US$446,000*</w:t>
            </w:r>
          </w:p>
          <w:p w14:paraId="2449D050"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EC9414A"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Note overlap with Project #2 – if both are undertaken concurrently then some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personnel</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costs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can</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‘shared’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across</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two</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projects.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(Approximate total budget if Projects 1 and 2 undertaken</w:t>
            </w:r>
            <w:r w:rsidRPr="00137482">
              <w:rPr>
                <w:rFonts w:ascii="Times New Roman" w:hAnsi="Times New Roman" w:cs="Times New Roman"/>
                <w:spacing w:val="-18"/>
                <w:sz w:val="20"/>
                <w:szCs w:val="20"/>
              </w:rPr>
              <w:t xml:space="preserve"> </w:t>
            </w:r>
            <w:r w:rsidRPr="00137482">
              <w:rPr>
                <w:rFonts w:ascii="Times New Roman" w:hAnsi="Times New Roman" w:cs="Times New Roman"/>
                <w:sz w:val="20"/>
                <w:szCs w:val="20"/>
              </w:rPr>
              <w:t>simultaneously:</w:t>
            </w:r>
          </w:p>
          <w:p w14:paraId="49DA7E83"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$871,000)</w:t>
            </w:r>
          </w:p>
          <w:p w14:paraId="5E343E21"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15407053"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*Final</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costings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will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depend</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on</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approach</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undertaken</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within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at-sea</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trials, including the level of practical and financial contribution by industry. Note this will need to include the purchase of necessary FAD materials, including marking and tracking components, facilitation of liaison with industry representatives, and any related</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travel.</w:t>
            </w:r>
          </w:p>
        </w:tc>
      </w:tr>
      <w:tr w:rsidR="009A53E1" w:rsidRPr="00137482" w14:paraId="68F9CFF4" w14:textId="77777777" w:rsidTr="00137482">
        <w:tc>
          <w:tcPr>
            <w:tcW w:w="866" w:type="pct"/>
          </w:tcPr>
          <w:p w14:paraId="04DCA9D5"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will need to be revised</w:t>
            </w:r>
          </w:p>
        </w:tc>
        <w:tc>
          <w:tcPr>
            <w:tcW w:w="4134" w:type="pct"/>
          </w:tcPr>
          <w:p w14:paraId="206BF745"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p>
        </w:tc>
      </w:tr>
      <w:tr w:rsidR="009A53E1" w:rsidRPr="00137482" w14:paraId="513BA7D5" w14:textId="77777777" w:rsidTr="00137482">
        <w:tc>
          <w:tcPr>
            <w:tcW w:w="866" w:type="pct"/>
          </w:tcPr>
          <w:p w14:paraId="52ABC531" w14:textId="77777777" w:rsidR="009A53E1" w:rsidRPr="00137482" w:rsidRDefault="009A53E1" w:rsidP="00C06F80">
            <w:pPr>
              <w:pStyle w:val="TableParagraph"/>
              <w:widowControl/>
              <w:adjustRightInd w:val="0"/>
              <w:snapToGrid w:val="0"/>
              <w:ind w:right="83"/>
              <w:jc w:val="left"/>
              <w:rPr>
                <w:rFonts w:ascii="Times New Roman" w:hAnsi="Times New Roman" w:cs="Times New Roman"/>
                <w:sz w:val="20"/>
                <w:szCs w:val="20"/>
              </w:rPr>
            </w:pPr>
            <w:r w:rsidRPr="00137482">
              <w:rPr>
                <w:rFonts w:ascii="Times New Roman" w:hAnsi="Times New Roman" w:cs="Times New Roman"/>
                <w:sz w:val="20"/>
                <w:szCs w:val="20"/>
              </w:rPr>
              <w:t>Additional considerations</w:t>
            </w:r>
          </w:p>
        </w:tc>
        <w:tc>
          <w:tcPr>
            <w:tcW w:w="4134" w:type="pct"/>
          </w:tcPr>
          <w:p w14:paraId="22B8C4D1"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This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project</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will</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necessitate</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additional</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data</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collection</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by</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fisheries</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observers, irrespective of whether it relates to additional trials, or, extension. This has consequence for forms, data management and observer</w:t>
            </w:r>
            <w:r w:rsidRPr="00137482">
              <w:rPr>
                <w:rFonts w:ascii="Times New Roman" w:hAnsi="Times New Roman" w:cs="Times New Roman"/>
                <w:spacing w:val="-19"/>
                <w:sz w:val="20"/>
                <w:szCs w:val="20"/>
              </w:rPr>
              <w:t xml:space="preserve"> </w:t>
            </w:r>
            <w:r w:rsidRPr="00137482">
              <w:rPr>
                <w:rFonts w:ascii="Times New Roman" w:hAnsi="Times New Roman" w:cs="Times New Roman"/>
                <w:sz w:val="20"/>
                <w:szCs w:val="20"/>
              </w:rPr>
              <w:t>training.</w:t>
            </w:r>
          </w:p>
          <w:p w14:paraId="25633B80"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6AEE7277" w14:textId="77777777" w:rsidR="009A53E1" w:rsidRPr="00137482" w:rsidRDefault="009A53E1" w:rsidP="00C06F80">
            <w:pPr>
              <w:pStyle w:val="TableParagraph"/>
              <w:widowControl/>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If</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FADs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are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not</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able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tracked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markings</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or</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similar,</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this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research</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will require fishers to lift all FADs for descriptions to be made (there are other technical solutions such as camera ROVs and/or research divers however they are likely overly</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costly).</w:t>
            </w:r>
          </w:p>
          <w:p w14:paraId="58AA3EAF"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1633985E"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Understanding the vertical behaviour of silky sharks at FADs within the WCPO would help inform how deep the FAD underwater structure should be checked.</w:t>
            </w:r>
          </w:p>
          <w:p w14:paraId="54690AFD"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5CD778A1"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This</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project</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if</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it</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proceeds</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extension/implementation</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will</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have</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direct</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costs for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fishers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with</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lifting</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existing</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FADs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require</w:t>
            </w:r>
            <w:r w:rsidRPr="00137482">
              <w:rPr>
                <w:rFonts w:ascii="Times New Roman" w:hAnsi="Times New Roman" w:cs="Times New Roman"/>
                <w:spacing w:val="-8"/>
                <w:sz w:val="20"/>
                <w:szCs w:val="20"/>
              </w:rPr>
              <w:t xml:space="preserve"> </w:t>
            </w:r>
            <w:proofErr w:type="gramStart"/>
            <w:r w:rsidRPr="00137482">
              <w:rPr>
                <w:rFonts w:ascii="Times New Roman" w:hAnsi="Times New Roman" w:cs="Times New Roman"/>
                <w:sz w:val="20"/>
                <w:szCs w:val="20"/>
              </w:rPr>
              <w:t>to</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update</w:t>
            </w:r>
            <w:proofErr w:type="gramEnd"/>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them</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with</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non- tangling designs. Obviously the period of implementation will determine if this occurs faster or slower than the normal frequency of lifting, and hence the incurred</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cost.</w:t>
            </w:r>
          </w:p>
        </w:tc>
      </w:tr>
    </w:tbl>
    <w:p w14:paraId="0A3F2B73" w14:textId="7672A014" w:rsidR="009A53E1" w:rsidRDefault="00137482" w:rsidP="009A53E1">
      <w:pPr>
        <w:adjustRightInd w:val="0"/>
        <w:snapToGrid w:val="0"/>
        <w:spacing w:after="0"/>
        <w:rPr>
          <w:rFonts w:ascii="Times New Roman" w:hAnsi="Times New Roman"/>
          <w:sz w:val="20"/>
          <w:szCs w:val="20"/>
          <w:lang w:eastAsia="ko-KR"/>
        </w:rPr>
      </w:pPr>
      <w:r>
        <w:rPr>
          <w:rFonts w:ascii="Times New Roman" w:hAnsi="Times New Roman" w:hint="eastAsia"/>
          <w:sz w:val="20"/>
          <w:szCs w:val="20"/>
          <w:lang w:eastAsia="ko-KR"/>
        </w:rPr>
        <w:t xml:space="preserve">  </w:t>
      </w:r>
    </w:p>
    <w:p w14:paraId="07DE4E68" w14:textId="77777777" w:rsidR="00137482" w:rsidRDefault="00137482" w:rsidP="009A53E1">
      <w:pPr>
        <w:adjustRightInd w:val="0"/>
        <w:snapToGrid w:val="0"/>
        <w:spacing w:after="0"/>
        <w:rPr>
          <w:rFonts w:ascii="Times New Roman" w:hAnsi="Times New Roman"/>
          <w:sz w:val="20"/>
          <w:szCs w:val="20"/>
          <w:lang w:eastAsia="ko-KR"/>
        </w:rPr>
      </w:pPr>
    </w:p>
    <w:p w14:paraId="2CA8042E" w14:textId="77777777" w:rsidR="009A53E1" w:rsidRPr="00137482" w:rsidRDefault="009A53E1" w:rsidP="009A53E1">
      <w:pPr>
        <w:pStyle w:val="BodyText"/>
        <w:widowControl/>
        <w:adjustRightInd w:val="0"/>
        <w:snapToGrid w:val="0"/>
        <w:rPr>
          <w:rFonts w:ascii="Times New Roman" w:hAnsi="Times New Roman" w:cs="Times New Roman"/>
          <w:sz w:val="20"/>
          <w:szCs w:val="20"/>
        </w:rPr>
      </w:pPr>
    </w:p>
    <w:tbl>
      <w:tblPr>
        <w:tblStyle w:val="TableGrid"/>
        <w:tblW w:w="4888"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61"/>
      </w:tblGrid>
      <w:tr w:rsidR="009A53E1" w:rsidRPr="00137482" w14:paraId="2A8DF73B" w14:textId="77777777" w:rsidTr="00C06F80">
        <w:tc>
          <w:tcPr>
            <w:tcW w:w="5000" w:type="pct"/>
          </w:tcPr>
          <w:p w14:paraId="44B51EEB" w14:textId="70A0144A"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87.</w:t>
            </w:r>
          </w:p>
          <w:p w14:paraId="736FFEC6"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FAD designs to reduce unwanted catches of juvenile bigeye and yellowfin tuna</w:t>
            </w:r>
          </w:p>
        </w:tc>
      </w:tr>
    </w:tbl>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5"/>
        <w:gridCol w:w="7785"/>
      </w:tblGrid>
      <w:tr w:rsidR="009A53E1" w:rsidRPr="00137482" w14:paraId="271FC402" w14:textId="77777777" w:rsidTr="00137482">
        <w:tc>
          <w:tcPr>
            <w:tcW w:w="5000" w:type="pct"/>
            <w:gridSpan w:val="2"/>
            <w:shd w:val="clear" w:color="auto" w:fill="4AACC5"/>
          </w:tcPr>
          <w:p w14:paraId="23524B4E"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Project #2</w:t>
            </w:r>
          </w:p>
        </w:tc>
      </w:tr>
      <w:tr w:rsidR="009A53E1" w:rsidRPr="00137482" w14:paraId="777CB37C" w14:textId="77777777" w:rsidTr="00137482">
        <w:tc>
          <w:tcPr>
            <w:tcW w:w="846" w:type="pct"/>
            <w:shd w:val="clear" w:color="auto" w:fill="92D050"/>
          </w:tcPr>
          <w:p w14:paraId="08AF3DF2"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Project</w:t>
            </w:r>
          </w:p>
        </w:tc>
        <w:tc>
          <w:tcPr>
            <w:tcW w:w="4154" w:type="pct"/>
            <w:shd w:val="clear" w:color="auto" w:fill="92D050"/>
          </w:tcPr>
          <w:p w14:paraId="45E82FC0"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designs to reduce unwanted catches of juvenile bigeye and yellowfin tuna</w:t>
            </w:r>
          </w:p>
        </w:tc>
      </w:tr>
      <w:tr w:rsidR="009A53E1" w:rsidRPr="00137482" w14:paraId="052B72FD" w14:textId="77777777" w:rsidTr="00137482">
        <w:tc>
          <w:tcPr>
            <w:tcW w:w="846" w:type="pct"/>
          </w:tcPr>
          <w:p w14:paraId="05FE9AFB"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Objectives</w:t>
            </w:r>
          </w:p>
        </w:tc>
        <w:tc>
          <w:tcPr>
            <w:tcW w:w="4154" w:type="pct"/>
          </w:tcPr>
          <w:p w14:paraId="138C3720" w14:textId="77777777" w:rsidR="009A53E1" w:rsidRPr="00137482" w:rsidRDefault="009A53E1" w:rsidP="00C06F80">
            <w:pPr>
              <w:pStyle w:val="TableParagraph"/>
              <w:widowControl/>
              <w:adjustRightInd w:val="0"/>
              <w:snapToGrid w:val="0"/>
              <w:ind w:right="104"/>
              <w:rPr>
                <w:rFonts w:ascii="Times New Roman" w:hAnsi="Times New Roman" w:cs="Times New Roman"/>
                <w:sz w:val="20"/>
                <w:szCs w:val="20"/>
              </w:rPr>
            </w:pPr>
            <w:r w:rsidRPr="00137482">
              <w:rPr>
                <w:rFonts w:ascii="Times New Roman" w:hAnsi="Times New Roman" w:cs="Times New Roman"/>
                <w:sz w:val="20"/>
                <w:szCs w:val="20"/>
              </w:rPr>
              <w:t>Identify any FAD design features that lead to lower catch rates of undersized/juvenile bigeye and yellowfin tuna, while minimising the impact on catches of larger target tuna species.</w:t>
            </w:r>
          </w:p>
        </w:tc>
      </w:tr>
      <w:tr w:rsidR="009A53E1" w:rsidRPr="00137482" w14:paraId="0D5E0BD9" w14:textId="77777777" w:rsidTr="00137482">
        <w:tc>
          <w:tcPr>
            <w:tcW w:w="846" w:type="pct"/>
          </w:tcPr>
          <w:p w14:paraId="6EE6F567"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Rationale</w:t>
            </w:r>
          </w:p>
        </w:tc>
        <w:tc>
          <w:tcPr>
            <w:tcW w:w="4154" w:type="pct"/>
          </w:tcPr>
          <w:p w14:paraId="2D6151AD" w14:textId="77777777" w:rsidR="009A53E1" w:rsidRPr="00137482" w:rsidRDefault="009A53E1" w:rsidP="0074425A">
            <w:pPr>
              <w:pStyle w:val="TableParagraph"/>
              <w:widowControl/>
              <w:numPr>
                <w:ilvl w:val="0"/>
                <w:numId w:val="159"/>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Builds upon trials underway in the IATTC area in collaboration with ISSF, but given oceanographic differences between regions WCPO trials may be required if designs in IATTC area focus on depths shallower than the WCPO thermocline</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depth.</w:t>
            </w:r>
          </w:p>
          <w:p w14:paraId="09872AD9" w14:textId="77777777" w:rsidR="009A53E1" w:rsidRPr="00137482" w:rsidRDefault="009A53E1" w:rsidP="0074425A">
            <w:pPr>
              <w:pStyle w:val="TableParagraph"/>
              <w:widowControl/>
              <w:numPr>
                <w:ilvl w:val="0"/>
                <w:numId w:val="159"/>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Represents an area of work not yet pursued in the WCPO that could provide a simple management intervention to reduce FAD</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impacts.</w:t>
            </w:r>
          </w:p>
          <w:p w14:paraId="218387DF" w14:textId="1FEA459D" w:rsidR="009A53E1" w:rsidRPr="00137482" w:rsidRDefault="009A53E1" w:rsidP="0074425A">
            <w:pPr>
              <w:pStyle w:val="TableParagraph"/>
              <w:widowControl/>
              <w:numPr>
                <w:ilvl w:val="0"/>
                <w:numId w:val="159"/>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 xml:space="preserve">Builds upon EU-funded work identifying factors influencing </w:t>
            </w:r>
            <w:r w:rsidR="00977B42">
              <w:rPr>
                <w:rFonts w:ascii="Times New Roman" w:hAnsi="Times New Roman" w:cs="Times New Roman"/>
                <w:sz w:val="20"/>
                <w:szCs w:val="20"/>
              </w:rPr>
              <w:t>bigeye tuna</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hotspots.</w:t>
            </w:r>
          </w:p>
          <w:p w14:paraId="4E0042F6" w14:textId="77777777" w:rsidR="009A53E1" w:rsidRPr="00137482" w:rsidRDefault="009A53E1" w:rsidP="0074425A">
            <w:pPr>
              <w:pStyle w:val="TableParagraph"/>
              <w:widowControl/>
              <w:numPr>
                <w:ilvl w:val="0"/>
                <w:numId w:val="159"/>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Provides a scientific basis for potential CMMs in this</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area.</w:t>
            </w:r>
          </w:p>
          <w:p w14:paraId="7B15C61C" w14:textId="77777777" w:rsidR="009A53E1" w:rsidRPr="00137482" w:rsidRDefault="009A53E1" w:rsidP="0074425A">
            <w:pPr>
              <w:pStyle w:val="TableParagraph"/>
              <w:widowControl/>
              <w:numPr>
                <w:ilvl w:val="0"/>
                <w:numId w:val="159"/>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Two key and related FAD design features may influence undersized/juvenile bigeye and yellowfin mortality: depth of the FAD, and its speed of</w:t>
            </w:r>
            <w:r w:rsidRPr="00137482">
              <w:rPr>
                <w:rFonts w:ascii="Times New Roman" w:hAnsi="Times New Roman" w:cs="Times New Roman"/>
                <w:spacing w:val="-27"/>
                <w:sz w:val="20"/>
                <w:szCs w:val="20"/>
              </w:rPr>
              <w:t xml:space="preserve"> </w:t>
            </w:r>
            <w:r w:rsidRPr="00137482">
              <w:rPr>
                <w:rFonts w:ascii="Times New Roman" w:hAnsi="Times New Roman" w:cs="Times New Roman"/>
                <w:sz w:val="20"/>
                <w:szCs w:val="20"/>
              </w:rPr>
              <w:t>drift.</w:t>
            </w:r>
          </w:p>
        </w:tc>
      </w:tr>
      <w:tr w:rsidR="009A53E1" w:rsidRPr="00137482" w14:paraId="5A8FD91E" w14:textId="77777777" w:rsidTr="00137482">
        <w:tc>
          <w:tcPr>
            <w:tcW w:w="846" w:type="pct"/>
          </w:tcPr>
          <w:p w14:paraId="6BF9380E"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Assumptions</w:t>
            </w:r>
          </w:p>
        </w:tc>
        <w:tc>
          <w:tcPr>
            <w:tcW w:w="4154" w:type="pct"/>
          </w:tcPr>
          <w:p w14:paraId="52E86214" w14:textId="20DDC327" w:rsidR="009A53E1" w:rsidRPr="00137482" w:rsidRDefault="00977B42" w:rsidP="0074425A">
            <w:pPr>
              <w:pStyle w:val="TableParagraph"/>
              <w:widowControl/>
              <w:numPr>
                <w:ilvl w:val="0"/>
                <w:numId w:val="158"/>
              </w:numPr>
              <w:tabs>
                <w:tab w:val="left" w:pos="420"/>
              </w:tabs>
              <w:adjustRightInd w:val="0"/>
              <w:snapToGrid w:val="0"/>
              <w:ind w:right="101"/>
              <w:rPr>
                <w:rFonts w:ascii="Times New Roman" w:hAnsi="Times New Roman" w:cs="Times New Roman"/>
                <w:sz w:val="20"/>
                <w:szCs w:val="20"/>
              </w:rPr>
            </w:pPr>
            <w:r>
              <w:rPr>
                <w:rFonts w:ascii="Times New Roman" w:hAnsi="Times New Roman" w:cs="Times New Roman"/>
                <w:sz w:val="20"/>
                <w:szCs w:val="20"/>
              </w:rPr>
              <w:t>Bigeye tuna</w:t>
            </w:r>
            <w:r w:rsidR="009A53E1" w:rsidRPr="00137482">
              <w:rPr>
                <w:rFonts w:ascii="Times New Roman" w:hAnsi="Times New Roman" w:cs="Times New Roman"/>
                <w:sz w:val="20"/>
                <w:szCs w:val="20"/>
              </w:rPr>
              <w:t xml:space="preserve"> hotspot analyses provide some indication of potential FAD characteristics that can be examined within this</w:t>
            </w:r>
            <w:r w:rsidR="009A53E1" w:rsidRPr="00137482">
              <w:rPr>
                <w:rFonts w:ascii="Times New Roman" w:hAnsi="Times New Roman" w:cs="Times New Roman"/>
                <w:spacing w:val="-8"/>
                <w:sz w:val="20"/>
                <w:szCs w:val="20"/>
              </w:rPr>
              <w:t xml:space="preserve"> </w:t>
            </w:r>
            <w:r w:rsidR="009A53E1" w:rsidRPr="00137482">
              <w:rPr>
                <w:rFonts w:ascii="Times New Roman" w:hAnsi="Times New Roman" w:cs="Times New Roman"/>
                <w:sz w:val="20"/>
                <w:szCs w:val="20"/>
              </w:rPr>
              <w:t>project.</w:t>
            </w:r>
          </w:p>
          <w:p w14:paraId="38076FCF" w14:textId="77777777" w:rsidR="009A53E1" w:rsidRPr="00137482" w:rsidRDefault="009A53E1" w:rsidP="0074425A">
            <w:pPr>
              <w:pStyle w:val="TableParagraph"/>
              <w:widowControl/>
              <w:numPr>
                <w:ilvl w:val="0"/>
                <w:numId w:val="158"/>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 xml:space="preserve">Can relate the design of FADs noted by observers and/or others directly </w:t>
            </w:r>
            <w:r w:rsidRPr="00137482">
              <w:rPr>
                <w:rFonts w:ascii="Times New Roman" w:hAnsi="Times New Roman" w:cs="Times New Roman"/>
                <w:spacing w:val="-3"/>
                <w:sz w:val="20"/>
                <w:szCs w:val="20"/>
              </w:rPr>
              <w:t xml:space="preserve">to </w:t>
            </w:r>
            <w:r w:rsidRPr="00137482">
              <w:rPr>
                <w:rFonts w:ascii="Times New Roman" w:hAnsi="Times New Roman" w:cs="Times New Roman"/>
                <w:sz w:val="20"/>
                <w:szCs w:val="20"/>
              </w:rPr>
              <w:t>subsequent fishing sets that have reliable catch composition</w:t>
            </w:r>
            <w:r w:rsidRPr="00137482">
              <w:rPr>
                <w:rFonts w:ascii="Times New Roman" w:hAnsi="Times New Roman" w:cs="Times New Roman"/>
                <w:spacing w:val="-23"/>
                <w:sz w:val="20"/>
                <w:szCs w:val="20"/>
              </w:rPr>
              <w:t xml:space="preserve"> </w:t>
            </w:r>
            <w:r w:rsidRPr="00137482">
              <w:rPr>
                <w:rFonts w:ascii="Times New Roman" w:hAnsi="Times New Roman" w:cs="Times New Roman"/>
                <w:sz w:val="20"/>
                <w:szCs w:val="20"/>
              </w:rPr>
              <w:t>estimates.</w:t>
            </w:r>
          </w:p>
          <w:p w14:paraId="10592A2D" w14:textId="77777777" w:rsidR="009A53E1" w:rsidRPr="00137482" w:rsidRDefault="009A53E1" w:rsidP="0074425A">
            <w:pPr>
              <w:pStyle w:val="TableParagraph"/>
              <w:widowControl/>
              <w:numPr>
                <w:ilvl w:val="0"/>
                <w:numId w:val="158"/>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A coordinated trial of designs, in collaboration with industry, is suggested as the most efficient approach. Cost and environmental impact would be key factors in assessing the merit of various</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designs.</w:t>
            </w:r>
          </w:p>
          <w:p w14:paraId="47B3A8E2" w14:textId="77777777" w:rsidR="009A53E1" w:rsidRPr="00137482" w:rsidRDefault="009A53E1" w:rsidP="0074425A">
            <w:pPr>
              <w:pStyle w:val="TableParagraph"/>
              <w:widowControl/>
              <w:numPr>
                <w:ilvl w:val="0"/>
                <w:numId w:val="158"/>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Periodic</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removal</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tracked</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designs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may</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also</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necessary</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identify</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changes over time (e.g. change in the depth of the structure or unravelling of bound netting, degradation of components that might modify drift</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speed).</w:t>
            </w:r>
          </w:p>
          <w:p w14:paraId="5262CA34" w14:textId="77777777" w:rsidR="009A53E1" w:rsidRPr="00137482" w:rsidRDefault="009A53E1" w:rsidP="0074425A">
            <w:pPr>
              <w:pStyle w:val="TableParagraph"/>
              <w:widowControl/>
              <w:numPr>
                <w:ilvl w:val="0"/>
                <w:numId w:val="158"/>
              </w:numPr>
              <w:tabs>
                <w:tab w:val="left" w:pos="420"/>
              </w:tabs>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Sufficient data are available across different designs and locations to allow a statistical analysis to be</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performed.</w:t>
            </w:r>
          </w:p>
          <w:p w14:paraId="32F42082" w14:textId="77777777" w:rsidR="009A53E1" w:rsidRPr="00137482" w:rsidRDefault="009A53E1" w:rsidP="0074425A">
            <w:pPr>
              <w:pStyle w:val="TableParagraph"/>
              <w:widowControl/>
              <w:numPr>
                <w:ilvl w:val="0"/>
                <w:numId w:val="158"/>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 xml:space="preserve">Where field trials are required, they could possibly be performed at the same time as trials required under FAD project #1 </w:t>
            </w:r>
            <w:proofErr w:type="gramStart"/>
            <w:r w:rsidRPr="00137482">
              <w:rPr>
                <w:rFonts w:ascii="Times New Roman" w:hAnsi="Times New Roman" w:cs="Times New Roman"/>
                <w:sz w:val="20"/>
                <w:szCs w:val="20"/>
              </w:rPr>
              <w:t>to create</w:t>
            </w:r>
            <w:proofErr w:type="gramEnd"/>
            <w:r w:rsidRPr="00137482">
              <w:rPr>
                <w:rFonts w:ascii="Times New Roman" w:hAnsi="Times New Roman" w:cs="Times New Roman"/>
                <w:sz w:val="20"/>
                <w:szCs w:val="20"/>
              </w:rPr>
              <w:t xml:space="preserve"> cost</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efficiencies.</w:t>
            </w:r>
          </w:p>
        </w:tc>
      </w:tr>
      <w:tr w:rsidR="009A53E1" w:rsidRPr="00137482" w14:paraId="65F15535" w14:textId="77777777" w:rsidTr="00137482">
        <w:tc>
          <w:tcPr>
            <w:tcW w:w="846" w:type="pct"/>
          </w:tcPr>
          <w:p w14:paraId="5B892F16"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Scope</w:t>
            </w:r>
          </w:p>
        </w:tc>
        <w:tc>
          <w:tcPr>
            <w:tcW w:w="4154" w:type="pct"/>
          </w:tcPr>
          <w:p w14:paraId="38E03B01" w14:textId="7777777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While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Project</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#1</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benefits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existing</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activities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research</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other</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oceans,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the background</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on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FAD</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designs</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reduce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juvenile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tuna</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catch</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is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less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mature.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However, the proposed scope is comparable to that proposed for Project</w:t>
            </w:r>
            <w:r w:rsidRPr="00137482">
              <w:rPr>
                <w:rFonts w:ascii="Times New Roman" w:hAnsi="Times New Roman" w:cs="Times New Roman"/>
                <w:spacing w:val="-25"/>
                <w:sz w:val="20"/>
                <w:szCs w:val="20"/>
              </w:rPr>
              <w:t xml:space="preserve"> </w:t>
            </w:r>
            <w:r w:rsidRPr="00137482">
              <w:rPr>
                <w:rFonts w:ascii="Times New Roman" w:hAnsi="Times New Roman" w:cs="Times New Roman"/>
                <w:sz w:val="20"/>
                <w:szCs w:val="20"/>
              </w:rPr>
              <w:t>#1.</w:t>
            </w:r>
          </w:p>
          <w:p w14:paraId="0D44714E"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15BB6BF2" w14:textId="3A870CD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Use</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relevant</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results</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11"/>
                <w:sz w:val="20"/>
                <w:szCs w:val="20"/>
              </w:rPr>
              <w:t xml:space="preserve"> </w:t>
            </w:r>
            <w:r w:rsidR="00977B42">
              <w:rPr>
                <w:rFonts w:ascii="Times New Roman" w:hAnsi="Times New Roman" w:cs="Times New Roman"/>
                <w:sz w:val="20"/>
                <w:szCs w:val="20"/>
              </w:rPr>
              <w:t>bigeye tuna</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hotspot</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analyses</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available from ISSF studies in the IATTC area, and in collaboration with industry, identify plausible FAD designs to</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trial.</w:t>
            </w:r>
          </w:p>
          <w:p w14:paraId="5228D5A4"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0398CD4C"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Implement</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at-sea</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FAD</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trials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across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WCPO</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[deployment</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fishing</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activity]</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to be completed within 18 months. This will most effectively be performed in partnership with industry and observers to ensure marking, deployment and monitoring of FADs in a coordinated way. Two levels of industry participation are anticipated: (1) the fleets that deploy the FADs and are actively engaged in the research. (2) All other fleets that find the FADs from (1) and set upon them. Information from (2) will be critical to the success of the</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research.</w:t>
            </w:r>
          </w:p>
          <w:p w14:paraId="1808927C"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1BE86987"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Understanding</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how</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real</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working</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depth</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sub-surface</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FAD</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structures</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 xml:space="preserve">interacts with oceanographic features during the period of the drift, and the resulting influence on species biomass and catch will be important. Equipping FAD sub- </w:t>
            </w:r>
            <w:proofErr w:type="gramStart"/>
            <w:r w:rsidRPr="00137482">
              <w:rPr>
                <w:rFonts w:ascii="Times New Roman" w:hAnsi="Times New Roman" w:cs="Times New Roman"/>
                <w:sz w:val="20"/>
                <w:szCs w:val="20"/>
              </w:rPr>
              <w:t>surface  structures</w:t>
            </w:r>
            <w:proofErr w:type="gramEnd"/>
            <w:r w:rsidRPr="00137482">
              <w:rPr>
                <w:rFonts w:ascii="Times New Roman" w:hAnsi="Times New Roman" w:cs="Times New Roman"/>
                <w:sz w:val="20"/>
                <w:szCs w:val="20"/>
              </w:rPr>
              <w:t xml:space="preserve"> with depth/temperature  sensors, which are tracked for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the</w:t>
            </w:r>
            <w:r w:rsidRPr="00137482">
              <w:rPr>
                <w:rFonts w:ascii="Times New Roman" w:eastAsia="맑은 고딕" w:hAnsi="Times New Roman" w:cs="Times New Roman" w:hint="eastAsia"/>
                <w:sz w:val="20"/>
                <w:szCs w:val="20"/>
                <w:lang w:eastAsia="ko-KR"/>
              </w:rPr>
              <w:t xml:space="preserve"> </w:t>
            </w:r>
            <w:r w:rsidRPr="00137482">
              <w:rPr>
                <w:rFonts w:ascii="Times New Roman" w:hAnsi="Times New Roman" w:cs="Times New Roman"/>
                <w:sz w:val="20"/>
                <w:szCs w:val="20"/>
              </w:rPr>
              <w:t>duration of a scientific trip and retrieved, regularly feed-back information, or pop off the FAD after a given period, should be used.</w:t>
            </w:r>
          </w:p>
          <w:p w14:paraId="3E2528A6"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2954285"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Using ISSF Technical Report 2016-18A as a guide:</w:t>
            </w:r>
          </w:p>
          <w:p w14:paraId="2325B678" w14:textId="77777777" w:rsidR="009A53E1" w:rsidRPr="00137482" w:rsidRDefault="009A53E1" w:rsidP="0074425A">
            <w:pPr>
              <w:pStyle w:val="TableParagraph"/>
              <w:widowControl/>
              <w:numPr>
                <w:ilvl w:val="0"/>
                <w:numId w:val="157"/>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Fleets</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deploy</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given</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number</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FADs</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per</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vessel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(e.g.</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10-20</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FADs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per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vessel</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to reach a significant large number of</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FADs).</w:t>
            </w:r>
          </w:p>
          <w:p w14:paraId="78D5DE60" w14:textId="77777777" w:rsidR="009A53E1" w:rsidRPr="00137482" w:rsidRDefault="009A53E1" w:rsidP="0074425A">
            <w:pPr>
              <w:pStyle w:val="TableParagraph"/>
              <w:widowControl/>
              <w:numPr>
                <w:ilvl w:val="0"/>
                <w:numId w:val="157"/>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Maximum 4 standardized designs tested, constructed in port and deployed in the same area as traditional FADs, so their effectiveness could be compared with that of traditional FADs for the same spatial and temporal</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strata.</w:t>
            </w:r>
          </w:p>
          <w:p w14:paraId="3FC0FF56" w14:textId="77777777" w:rsidR="009A53E1" w:rsidRPr="00137482" w:rsidRDefault="009A53E1" w:rsidP="0074425A">
            <w:pPr>
              <w:pStyle w:val="TableParagraph"/>
              <w:widowControl/>
              <w:numPr>
                <w:ilvl w:val="0"/>
                <w:numId w:val="157"/>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Deployment site, design and code of the geo-locating buoy should be registered. Every FAD should be well identified so that data can be retrieved and followed id ownership</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changes.</w:t>
            </w:r>
          </w:p>
          <w:p w14:paraId="6A1066D3" w14:textId="77777777" w:rsidR="009A53E1" w:rsidRPr="00137482" w:rsidRDefault="009A53E1" w:rsidP="0074425A">
            <w:pPr>
              <w:pStyle w:val="TableParagraph"/>
              <w:widowControl/>
              <w:numPr>
                <w:ilvl w:val="0"/>
                <w:numId w:val="157"/>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If</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trial</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FAD</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is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encountered</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at</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sea,</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register:</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catch</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(if</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any),</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condition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of the FAD and the new code for the buoy if the original has been</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replaced.</w:t>
            </w:r>
          </w:p>
          <w:p w14:paraId="12458BAA" w14:textId="77777777" w:rsidR="009A53E1" w:rsidRPr="00137482" w:rsidRDefault="009A53E1" w:rsidP="0074425A">
            <w:pPr>
              <w:pStyle w:val="TableParagraph"/>
              <w:widowControl/>
              <w:numPr>
                <w:ilvl w:val="0"/>
                <w:numId w:val="157"/>
              </w:numPr>
              <w:tabs>
                <w:tab w:val="left" w:pos="420"/>
              </w:tabs>
              <w:adjustRightInd w:val="0"/>
              <w:snapToGrid w:val="0"/>
              <w:ind w:right="106"/>
              <w:rPr>
                <w:rFonts w:ascii="Times New Roman" w:hAnsi="Times New Roman" w:cs="Times New Roman"/>
                <w:sz w:val="20"/>
                <w:szCs w:val="20"/>
              </w:rPr>
            </w:pPr>
            <w:r w:rsidRPr="00137482">
              <w:rPr>
                <w:rFonts w:ascii="Times New Roman" w:hAnsi="Times New Roman" w:cs="Times New Roman"/>
                <w:sz w:val="20"/>
                <w:szCs w:val="20"/>
              </w:rPr>
              <w:t xml:space="preserve">Where possible, use trajectories and sounder of attached buoys to assess ability of alternative designs to aggregate tuna even if they are not visited or fished by purse seiners, as well as following their lifetime if they are </w:t>
            </w:r>
            <w:r w:rsidRPr="00137482">
              <w:rPr>
                <w:rFonts w:ascii="Times New Roman" w:hAnsi="Times New Roman" w:cs="Times New Roman"/>
                <w:spacing w:val="-2"/>
                <w:sz w:val="20"/>
                <w:szCs w:val="20"/>
              </w:rPr>
              <w:t xml:space="preserve">not </w:t>
            </w:r>
            <w:r w:rsidRPr="00137482">
              <w:rPr>
                <w:rFonts w:ascii="Times New Roman" w:hAnsi="Times New Roman" w:cs="Times New Roman"/>
                <w:sz w:val="20"/>
                <w:szCs w:val="20"/>
              </w:rPr>
              <w:t>retrieved.</w:t>
            </w:r>
          </w:p>
          <w:p w14:paraId="110BB886" w14:textId="77777777" w:rsidR="009A53E1" w:rsidRPr="00137482" w:rsidRDefault="009A53E1" w:rsidP="0074425A">
            <w:pPr>
              <w:pStyle w:val="TableParagraph"/>
              <w:widowControl/>
              <w:numPr>
                <w:ilvl w:val="0"/>
                <w:numId w:val="157"/>
              </w:numPr>
              <w:tabs>
                <w:tab w:val="left" w:pos="420"/>
              </w:tabs>
              <w:adjustRightInd w:val="0"/>
              <w:snapToGrid w:val="0"/>
              <w:ind w:right="106"/>
              <w:rPr>
                <w:rFonts w:ascii="Times New Roman" w:hAnsi="Times New Roman" w:cs="Times New Roman"/>
                <w:sz w:val="20"/>
                <w:szCs w:val="20"/>
              </w:rPr>
            </w:pPr>
            <w:r w:rsidRPr="00137482">
              <w:rPr>
                <w:rFonts w:ascii="Times New Roman" w:hAnsi="Times New Roman" w:cs="Times New Roman"/>
                <w:sz w:val="20"/>
                <w:szCs w:val="20"/>
              </w:rPr>
              <w:t xml:space="preserve">Collaboration between industry, e.g. ISSF and the science services provider </w:t>
            </w:r>
            <w:r w:rsidRPr="00137482">
              <w:rPr>
                <w:rFonts w:ascii="Times New Roman" w:hAnsi="Times New Roman" w:cs="Times New Roman"/>
                <w:spacing w:val="-3"/>
                <w:sz w:val="20"/>
                <w:szCs w:val="20"/>
              </w:rPr>
              <w:t xml:space="preserve">to </w:t>
            </w:r>
            <w:r w:rsidRPr="00137482">
              <w:rPr>
                <w:rFonts w:ascii="Times New Roman" w:hAnsi="Times New Roman" w:cs="Times New Roman"/>
                <w:sz w:val="20"/>
                <w:szCs w:val="20"/>
              </w:rPr>
              <w:t>collect and analyse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data.</w:t>
            </w:r>
          </w:p>
          <w:p w14:paraId="09B2B643" w14:textId="77777777" w:rsidR="009A53E1" w:rsidRPr="00137482" w:rsidRDefault="009A53E1" w:rsidP="0074425A">
            <w:pPr>
              <w:pStyle w:val="TableParagraph"/>
              <w:widowControl/>
              <w:numPr>
                <w:ilvl w:val="0"/>
                <w:numId w:val="157"/>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Collaborate  with  industry  to  identify  the  cost  of  alternative  FAD   designs</w:t>
            </w:r>
          </w:p>
          <w:p w14:paraId="2806EA0E" w14:textId="77777777" w:rsidR="009A53E1" w:rsidRPr="00137482" w:rsidRDefault="009A53E1" w:rsidP="00C06F80">
            <w:pPr>
              <w:pStyle w:val="TableParagraph"/>
              <w:widowControl/>
              <w:adjustRightInd w:val="0"/>
              <w:snapToGrid w:val="0"/>
              <w:ind w:left="419"/>
              <w:jc w:val="left"/>
              <w:rPr>
                <w:rFonts w:ascii="Times New Roman" w:hAnsi="Times New Roman" w:cs="Times New Roman"/>
                <w:sz w:val="20"/>
                <w:szCs w:val="20"/>
              </w:rPr>
            </w:pPr>
            <w:proofErr w:type="gramStart"/>
            <w:r w:rsidRPr="00137482">
              <w:rPr>
                <w:rFonts w:ascii="Times New Roman" w:hAnsi="Times New Roman" w:cs="Times New Roman"/>
                <w:sz w:val="20"/>
                <w:szCs w:val="20"/>
              </w:rPr>
              <w:t>relative</w:t>
            </w:r>
            <w:proofErr w:type="gramEnd"/>
            <w:r w:rsidRPr="00137482">
              <w:rPr>
                <w:rFonts w:ascii="Times New Roman" w:hAnsi="Times New Roman" w:cs="Times New Roman"/>
                <w:sz w:val="20"/>
                <w:szCs w:val="20"/>
              </w:rPr>
              <w:t xml:space="preserve"> to ‘standard’ designs.</w:t>
            </w:r>
          </w:p>
          <w:p w14:paraId="2C4DDA07"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41B20833" w14:textId="77777777" w:rsidR="009A53E1" w:rsidRPr="00137482" w:rsidRDefault="009A53E1" w:rsidP="00C06F80">
            <w:pPr>
              <w:pStyle w:val="TableParagraph"/>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Analysis of results should be presented to WCPFC SC (approximately 2 years after the trial begins). SC and TCC of that year to provide recommendations for a draft CMM on appropriate FAD designs.</w:t>
            </w:r>
          </w:p>
        </w:tc>
      </w:tr>
      <w:tr w:rsidR="009A53E1" w:rsidRPr="00137482" w14:paraId="4013ED01" w14:textId="77777777" w:rsidTr="00137482">
        <w:tc>
          <w:tcPr>
            <w:tcW w:w="846" w:type="pct"/>
          </w:tcPr>
          <w:p w14:paraId="765EB36F"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Links to other work</w:t>
            </w:r>
          </w:p>
        </w:tc>
        <w:tc>
          <w:tcPr>
            <w:tcW w:w="4154" w:type="pct"/>
          </w:tcPr>
          <w:p w14:paraId="2A1699B8" w14:textId="7777777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Note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that</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due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nature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thermocline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WCPO</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impact</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the thermocline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on</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tuna</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behaviour,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particular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for</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bigeye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tuna,</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results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EPO may not be of specific use in the western or central</w:t>
            </w:r>
            <w:r w:rsidRPr="00137482">
              <w:rPr>
                <w:rFonts w:ascii="Times New Roman" w:hAnsi="Times New Roman" w:cs="Times New Roman"/>
                <w:spacing w:val="-18"/>
                <w:sz w:val="20"/>
                <w:szCs w:val="20"/>
              </w:rPr>
              <w:t xml:space="preserve"> </w:t>
            </w:r>
            <w:r w:rsidRPr="00137482">
              <w:rPr>
                <w:rFonts w:ascii="Times New Roman" w:hAnsi="Times New Roman" w:cs="Times New Roman"/>
                <w:sz w:val="20"/>
                <w:szCs w:val="20"/>
              </w:rPr>
              <w:t>WCPO.</w:t>
            </w:r>
          </w:p>
        </w:tc>
      </w:tr>
      <w:tr w:rsidR="009A53E1" w:rsidRPr="00137482" w14:paraId="40D8840E" w14:textId="77777777" w:rsidTr="00137482">
        <w:tc>
          <w:tcPr>
            <w:tcW w:w="846" w:type="pct"/>
          </w:tcPr>
          <w:p w14:paraId="57780BF0"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Timeframe</w:t>
            </w:r>
          </w:p>
        </w:tc>
        <w:tc>
          <w:tcPr>
            <w:tcW w:w="4154" w:type="pct"/>
          </w:tcPr>
          <w:p w14:paraId="336EE874"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24 months</w:t>
            </w:r>
          </w:p>
        </w:tc>
      </w:tr>
      <w:tr w:rsidR="009A53E1" w:rsidRPr="00137482" w14:paraId="53750D19" w14:textId="77777777" w:rsidTr="00137482">
        <w:tc>
          <w:tcPr>
            <w:tcW w:w="846" w:type="pct"/>
          </w:tcPr>
          <w:p w14:paraId="4D4EE5BA"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Budget</w:t>
            </w:r>
          </w:p>
        </w:tc>
        <w:tc>
          <w:tcPr>
            <w:tcW w:w="4154" w:type="pct"/>
          </w:tcPr>
          <w:p w14:paraId="66CFE5D6"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1 year FTE at SPC (data analysis)</w:t>
            </w:r>
          </w:p>
          <w:p w14:paraId="50B137B4"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1.5 year FTE at SPC (technical and fieldwork)</w:t>
            </w:r>
          </w:p>
          <w:p w14:paraId="39B2E2FC" w14:textId="77777777" w:rsidR="009A53E1" w:rsidRPr="00137482" w:rsidRDefault="009A53E1" w:rsidP="00C06F80">
            <w:pPr>
              <w:pStyle w:val="TableParagraph"/>
              <w:widowControl/>
              <w:adjustRightInd w:val="0"/>
              <w:snapToGrid w:val="0"/>
              <w:ind w:right="1756"/>
              <w:jc w:val="left"/>
              <w:rPr>
                <w:rFonts w:ascii="Times New Roman" w:hAnsi="Times New Roman" w:cs="Times New Roman"/>
                <w:sz w:val="20"/>
                <w:szCs w:val="20"/>
              </w:rPr>
            </w:pPr>
            <w:r w:rsidRPr="00137482">
              <w:rPr>
                <w:rFonts w:ascii="Times New Roman" w:hAnsi="Times New Roman" w:cs="Times New Roman"/>
                <w:sz w:val="20"/>
                <w:szCs w:val="20"/>
              </w:rPr>
              <w:t>Associated travel and subsistence to relevant WCPFC meetings Project management</w:t>
            </w:r>
          </w:p>
          <w:p w14:paraId="1EBABB49"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Observer training</w:t>
            </w:r>
          </w:p>
          <w:p w14:paraId="7CAF9BE9"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Approximate total budget: US$526,000*</w:t>
            </w:r>
          </w:p>
          <w:p w14:paraId="77FD22EA"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45317327" w14:textId="77777777" w:rsidR="009A53E1" w:rsidRPr="00137482" w:rsidRDefault="009A53E1" w:rsidP="00C06F80">
            <w:pPr>
              <w:pStyle w:val="TableParagraph"/>
              <w:widowControl/>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Note overlap with Project #1 – if both are undertaken then some personnel costs can be ‘shared’ across the two projects. (Approximate total budget if Projects 1 and 2 undertaken simultaneously:</w:t>
            </w:r>
          </w:p>
          <w:p w14:paraId="151B7AA9"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$871,000)</w:t>
            </w:r>
          </w:p>
          <w:p w14:paraId="5A3D508D"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7D482309"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 Final costings will depend on the approach undertaken within at-sea trials, including</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the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level</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practical</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financial</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contribution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by</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industry.</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Note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this</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will need to include the purchase of necessary FAD materials, including marking and tracking components, temperature/depth sensors, facilitation of liaison with industry representatives, and any related</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travel.</w:t>
            </w:r>
          </w:p>
        </w:tc>
      </w:tr>
      <w:tr w:rsidR="009A53E1" w:rsidRPr="00137482" w14:paraId="17A5FCD7" w14:textId="77777777" w:rsidTr="00137482">
        <w:tc>
          <w:tcPr>
            <w:tcW w:w="846" w:type="pct"/>
          </w:tcPr>
          <w:p w14:paraId="4C846973" w14:textId="77777777" w:rsidR="009A53E1" w:rsidRPr="00137482" w:rsidRDefault="009A53E1" w:rsidP="00C06F80">
            <w:pPr>
              <w:pStyle w:val="TableParagraph"/>
              <w:widowControl/>
              <w:adjustRightInd w:val="0"/>
              <w:snapToGrid w:val="0"/>
              <w:ind w:right="83"/>
              <w:jc w:val="left"/>
              <w:rPr>
                <w:rFonts w:ascii="Times New Roman" w:hAnsi="Times New Roman" w:cs="Times New Roman"/>
                <w:sz w:val="20"/>
                <w:szCs w:val="20"/>
              </w:rPr>
            </w:pPr>
            <w:r w:rsidRPr="00137482">
              <w:rPr>
                <w:rFonts w:ascii="Times New Roman" w:hAnsi="Times New Roman" w:cs="Times New Roman"/>
                <w:sz w:val="20"/>
                <w:szCs w:val="20"/>
              </w:rPr>
              <w:t>Additional considerations</w:t>
            </w:r>
          </w:p>
        </w:tc>
        <w:tc>
          <w:tcPr>
            <w:tcW w:w="4154" w:type="pct"/>
          </w:tcPr>
          <w:p w14:paraId="0ECE33CD"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This project will necessitate additional data collection by fisheries observers, irrespective of whether it relates to additional trials, or, extension. This has consequence for forms, data management and observer training.</w:t>
            </w:r>
          </w:p>
        </w:tc>
      </w:tr>
      <w:tr w:rsidR="009A53E1" w:rsidRPr="00137482" w14:paraId="494CD39F" w14:textId="77777777" w:rsidTr="00137482">
        <w:tc>
          <w:tcPr>
            <w:tcW w:w="846" w:type="pct"/>
          </w:tcPr>
          <w:p w14:paraId="55E194E1" w14:textId="77777777" w:rsidR="009A53E1" w:rsidRPr="00137482" w:rsidRDefault="009A53E1" w:rsidP="00C06F80">
            <w:pPr>
              <w:pStyle w:val="TableParagraph"/>
              <w:widowControl/>
              <w:adjustRightInd w:val="0"/>
              <w:snapToGrid w:val="0"/>
              <w:ind w:right="83"/>
              <w:jc w:val="left"/>
              <w:rPr>
                <w:rFonts w:ascii="Times New Roman" w:hAnsi="Times New Roman" w:cs="Times New Roman"/>
                <w:sz w:val="20"/>
                <w:szCs w:val="20"/>
              </w:rPr>
            </w:pPr>
          </w:p>
        </w:tc>
        <w:tc>
          <w:tcPr>
            <w:tcW w:w="4154" w:type="pct"/>
          </w:tcPr>
          <w:p w14:paraId="4A194E3C"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The field work component of this research may require additional data collection on catch composition for specific sets from a trip (with the catch kept separated and subject to a census in port).</w:t>
            </w:r>
          </w:p>
          <w:p w14:paraId="47DB2D1C"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E5E78CB" w14:textId="77777777" w:rsidR="009A53E1" w:rsidRPr="00137482" w:rsidRDefault="009A53E1" w:rsidP="00C06F80">
            <w:pPr>
              <w:pStyle w:val="TableParagraph"/>
              <w:widowControl/>
              <w:adjustRightInd w:val="0"/>
              <w:snapToGrid w:val="0"/>
              <w:ind w:right="100"/>
              <w:rPr>
                <w:rFonts w:ascii="Times New Roman" w:eastAsia="맑은 고딕" w:hAnsi="Times New Roman" w:cs="Times New Roman"/>
                <w:sz w:val="20"/>
                <w:szCs w:val="20"/>
                <w:lang w:eastAsia="ko-KR"/>
              </w:rPr>
            </w:pPr>
            <w:r w:rsidRPr="00137482">
              <w:rPr>
                <w:rFonts w:ascii="Times New Roman" w:hAnsi="Times New Roman" w:cs="Times New Roman"/>
                <w:sz w:val="20"/>
                <w:szCs w:val="20"/>
              </w:rPr>
              <w:t>There may be the potential to geo-fence FADs used in these trials with special requirements around reporting and access to enhance the data collected.</w:t>
            </w:r>
          </w:p>
        </w:tc>
      </w:tr>
    </w:tbl>
    <w:p w14:paraId="235F465E" w14:textId="77777777" w:rsidR="009A53E1" w:rsidRDefault="009A53E1" w:rsidP="009A53E1">
      <w:pPr>
        <w:adjustRightInd w:val="0"/>
        <w:snapToGrid w:val="0"/>
        <w:spacing w:after="0"/>
        <w:rPr>
          <w:rFonts w:ascii="Times New Roman" w:hAnsi="Times New Roman"/>
          <w:sz w:val="20"/>
          <w:szCs w:val="20"/>
          <w:lang w:eastAsia="ko-KR"/>
        </w:rPr>
      </w:pPr>
    </w:p>
    <w:p w14:paraId="0E48A77B" w14:textId="77777777" w:rsidR="00137482" w:rsidRDefault="00137482" w:rsidP="009A53E1">
      <w:pPr>
        <w:adjustRightInd w:val="0"/>
        <w:snapToGrid w:val="0"/>
        <w:spacing w:after="0"/>
        <w:rPr>
          <w:rFonts w:ascii="Times New Roman" w:hAnsi="Times New Roman"/>
          <w:sz w:val="20"/>
          <w:szCs w:val="20"/>
          <w:lang w:eastAsia="ko-KR"/>
        </w:rPr>
      </w:pPr>
    </w:p>
    <w:p w14:paraId="45C71490" w14:textId="77777777" w:rsidR="009A53E1" w:rsidRPr="00137482" w:rsidRDefault="009A53E1" w:rsidP="009A53E1">
      <w:pPr>
        <w:pStyle w:val="BodyText"/>
        <w:widowControl/>
        <w:adjustRightInd w:val="0"/>
        <w:snapToGrid w:val="0"/>
        <w:rPr>
          <w:rFonts w:ascii="Times New Roman" w:hAnsi="Times New Roman" w:cs="Times New Roman"/>
          <w:sz w:val="20"/>
          <w:szCs w:val="20"/>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60"/>
      </w:tblGrid>
      <w:tr w:rsidR="009A53E1" w:rsidRPr="00137482" w14:paraId="7D84B759" w14:textId="77777777" w:rsidTr="00C06F80">
        <w:tc>
          <w:tcPr>
            <w:tcW w:w="9360" w:type="dxa"/>
          </w:tcPr>
          <w:p w14:paraId="016CAC16" w14:textId="0EDF0A78"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88.</w:t>
            </w:r>
          </w:p>
          <w:p w14:paraId="41127E51"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Acoustic FAD analyses</w:t>
            </w:r>
          </w:p>
        </w:tc>
      </w:tr>
    </w:tbl>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9"/>
        <w:gridCol w:w="7781"/>
      </w:tblGrid>
      <w:tr w:rsidR="009A53E1" w:rsidRPr="00137482" w14:paraId="6EF318DC" w14:textId="77777777" w:rsidTr="00137482">
        <w:tc>
          <w:tcPr>
            <w:tcW w:w="5000" w:type="pct"/>
            <w:gridSpan w:val="2"/>
            <w:shd w:val="clear" w:color="auto" w:fill="4AACC5"/>
          </w:tcPr>
          <w:p w14:paraId="677AD966"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Project #3</w:t>
            </w:r>
          </w:p>
        </w:tc>
      </w:tr>
      <w:tr w:rsidR="009A53E1" w:rsidRPr="00137482" w14:paraId="0B7FD45E" w14:textId="77777777" w:rsidTr="00137482">
        <w:tc>
          <w:tcPr>
            <w:tcW w:w="848" w:type="pct"/>
            <w:shd w:val="clear" w:color="auto" w:fill="92D050"/>
          </w:tcPr>
          <w:p w14:paraId="7F0DA4F5"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Project</w:t>
            </w:r>
          </w:p>
        </w:tc>
        <w:tc>
          <w:tcPr>
            <w:tcW w:w="4152" w:type="pct"/>
            <w:shd w:val="clear" w:color="auto" w:fill="92D050"/>
          </w:tcPr>
          <w:p w14:paraId="497E4091"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Acoustic FAD analyses</w:t>
            </w:r>
          </w:p>
        </w:tc>
      </w:tr>
      <w:tr w:rsidR="009A53E1" w:rsidRPr="00137482" w14:paraId="3FE6E1C6" w14:textId="77777777" w:rsidTr="00137482">
        <w:tc>
          <w:tcPr>
            <w:tcW w:w="848" w:type="pct"/>
          </w:tcPr>
          <w:p w14:paraId="4202DDE2"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Objectives</w:t>
            </w:r>
          </w:p>
        </w:tc>
        <w:tc>
          <w:tcPr>
            <w:tcW w:w="4152" w:type="pct"/>
          </w:tcPr>
          <w:p w14:paraId="030708BD"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Identify whether limiting sets to only those FADs that have a large biomass beneath them can reduce the proportion of ‘non-target’ species caught.</w:t>
            </w:r>
          </w:p>
        </w:tc>
      </w:tr>
      <w:tr w:rsidR="009A53E1" w:rsidRPr="00137482" w14:paraId="238045FC" w14:textId="77777777" w:rsidTr="00137482">
        <w:tc>
          <w:tcPr>
            <w:tcW w:w="848" w:type="pct"/>
          </w:tcPr>
          <w:p w14:paraId="17703BBB"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Rationale</w:t>
            </w:r>
          </w:p>
        </w:tc>
        <w:tc>
          <w:tcPr>
            <w:tcW w:w="4152" w:type="pct"/>
          </w:tcPr>
          <w:p w14:paraId="47B03466" w14:textId="519E867A" w:rsidR="009A53E1" w:rsidRPr="00137482" w:rsidRDefault="009A53E1" w:rsidP="0074425A">
            <w:pPr>
              <w:pStyle w:val="TableParagraph"/>
              <w:widowControl/>
              <w:numPr>
                <w:ilvl w:val="0"/>
                <w:numId w:val="156"/>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Larger purse seine sets on FADs tend to have higher proportions of skipjack</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commensurately</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lower</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proportions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yellowfin</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bigeye (Lawson 2008,</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SC</w:t>
            </w:r>
            <w:r w:rsidR="00D35815">
              <w:rPr>
                <w:rFonts w:ascii="Times New Roman" w:eastAsiaTheme="minorEastAsia" w:hAnsi="Times New Roman" w:cs="Times New Roman" w:hint="eastAsia"/>
                <w:sz w:val="20"/>
                <w:szCs w:val="20"/>
                <w:lang w:eastAsia="ko-KR"/>
              </w:rPr>
              <w:t>0</w:t>
            </w:r>
            <w:r w:rsidRPr="00137482">
              <w:rPr>
                <w:rFonts w:ascii="Times New Roman" w:hAnsi="Times New Roman" w:cs="Times New Roman"/>
                <w:sz w:val="20"/>
                <w:szCs w:val="20"/>
              </w:rPr>
              <w:t>4-ST-WP</w:t>
            </w:r>
            <w:r w:rsidR="00D35815">
              <w:rPr>
                <w:rFonts w:ascii="Times New Roman" w:eastAsiaTheme="minorEastAsia" w:hAnsi="Times New Roman" w:cs="Times New Roman" w:hint="eastAsia"/>
                <w:sz w:val="20"/>
                <w:szCs w:val="20"/>
                <w:lang w:eastAsia="ko-KR"/>
              </w:rPr>
              <w:t>-0</w:t>
            </w:r>
            <w:r w:rsidRPr="00137482">
              <w:rPr>
                <w:rFonts w:ascii="Times New Roman" w:hAnsi="Times New Roman" w:cs="Times New Roman"/>
                <w:sz w:val="20"/>
                <w:szCs w:val="20"/>
              </w:rPr>
              <w:t>3).</w:t>
            </w:r>
          </w:p>
          <w:p w14:paraId="4DD70120" w14:textId="77777777" w:rsidR="009A53E1" w:rsidRPr="00137482" w:rsidRDefault="009A53E1" w:rsidP="0074425A">
            <w:pPr>
              <w:pStyle w:val="TableParagraph"/>
              <w:widowControl/>
              <w:numPr>
                <w:ilvl w:val="0"/>
                <w:numId w:val="156"/>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Acoustic data from echo-sounder buoys can provide, given sufficient equipment,</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environmental</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conditions</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interpretation</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skills,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sufficient information on the biomass of tuna under a</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FAD.</w:t>
            </w:r>
          </w:p>
          <w:p w14:paraId="4C52FAD2" w14:textId="77777777" w:rsidR="009A53E1" w:rsidRPr="00137482" w:rsidRDefault="009A53E1" w:rsidP="0074425A">
            <w:pPr>
              <w:pStyle w:val="TableParagraph"/>
              <w:widowControl/>
              <w:numPr>
                <w:ilvl w:val="0"/>
                <w:numId w:val="156"/>
              </w:numPr>
              <w:tabs>
                <w:tab w:val="left" w:pos="420"/>
              </w:tabs>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Acoustic</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has</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shown</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promise</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for</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discriminating</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skipjack</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from other species, if not yet routinely using commercial fishing equipment. However, there is a need to identify signals that discriminate other species within the WCPO, building on existing work by ISSF in this</w:t>
            </w:r>
            <w:r w:rsidRPr="00137482">
              <w:rPr>
                <w:rFonts w:ascii="Times New Roman" w:hAnsi="Times New Roman" w:cs="Times New Roman"/>
                <w:spacing w:val="-27"/>
                <w:sz w:val="20"/>
                <w:szCs w:val="20"/>
              </w:rPr>
              <w:t xml:space="preserve"> </w:t>
            </w:r>
            <w:r w:rsidRPr="00137482">
              <w:rPr>
                <w:rFonts w:ascii="Times New Roman" w:hAnsi="Times New Roman" w:cs="Times New Roman"/>
                <w:sz w:val="20"/>
                <w:szCs w:val="20"/>
              </w:rPr>
              <w:t>area.</w:t>
            </w:r>
          </w:p>
          <w:p w14:paraId="266D2E18" w14:textId="77777777" w:rsidR="009A53E1" w:rsidRPr="00137482" w:rsidRDefault="009A53E1" w:rsidP="0074425A">
            <w:pPr>
              <w:pStyle w:val="TableParagraph"/>
              <w:widowControl/>
              <w:numPr>
                <w:ilvl w:val="0"/>
                <w:numId w:val="156"/>
              </w:numPr>
              <w:tabs>
                <w:tab w:val="left" w:pos="420"/>
              </w:tabs>
              <w:adjustRightInd w:val="0"/>
              <w:snapToGrid w:val="0"/>
              <w:ind w:right="104"/>
              <w:rPr>
                <w:rFonts w:ascii="Times New Roman" w:hAnsi="Times New Roman" w:cs="Times New Roman"/>
                <w:sz w:val="20"/>
                <w:szCs w:val="20"/>
              </w:rPr>
            </w:pPr>
            <w:r w:rsidRPr="00137482">
              <w:rPr>
                <w:rFonts w:ascii="Times New Roman" w:hAnsi="Times New Roman" w:cs="Times New Roman"/>
                <w:sz w:val="20"/>
                <w:szCs w:val="20"/>
              </w:rPr>
              <w:t>Acoustic</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has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also</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suggested</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some</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ability</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differentiate</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fish sizes.</w:t>
            </w:r>
          </w:p>
          <w:p w14:paraId="458E2676" w14:textId="77777777" w:rsidR="009A53E1" w:rsidRPr="00137482" w:rsidRDefault="009A53E1" w:rsidP="0074425A">
            <w:pPr>
              <w:pStyle w:val="TableParagraph"/>
              <w:widowControl/>
              <w:numPr>
                <w:ilvl w:val="0"/>
                <w:numId w:val="156"/>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The acquisition of acoustic FAD data has the potential to provide</w:t>
            </w:r>
            <w:r w:rsidRPr="00137482">
              <w:rPr>
                <w:rFonts w:ascii="Times New Roman" w:hAnsi="Times New Roman" w:cs="Times New Roman"/>
                <w:spacing w:val="-27"/>
                <w:sz w:val="20"/>
                <w:szCs w:val="20"/>
              </w:rPr>
              <w:t xml:space="preserve"> </w:t>
            </w:r>
            <w:r w:rsidRPr="00137482">
              <w:rPr>
                <w:rFonts w:ascii="Times New Roman" w:hAnsi="Times New Roman" w:cs="Times New Roman"/>
                <w:sz w:val="20"/>
                <w:szCs w:val="20"/>
              </w:rPr>
              <w:t>insight into dynamics of the interaction between tuna and</w:t>
            </w:r>
            <w:r w:rsidRPr="00137482">
              <w:rPr>
                <w:rFonts w:ascii="Times New Roman" w:hAnsi="Times New Roman" w:cs="Times New Roman"/>
                <w:spacing w:val="-17"/>
                <w:sz w:val="20"/>
                <w:szCs w:val="20"/>
              </w:rPr>
              <w:t xml:space="preserve"> </w:t>
            </w:r>
            <w:r w:rsidRPr="00137482">
              <w:rPr>
                <w:rFonts w:ascii="Times New Roman" w:hAnsi="Times New Roman" w:cs="Times New Roman"/>
                <w:sz w:val="20"/>
                <w:szCs w:val="20"/>
              </w:rPr>
              <w:t>FADs.</w:t>
            </w:r>
          </w:p>
          <w:p w14:paraId="79664B3D" w14:textId="77777777" w:rsidR="009A53E1" w:rsidRPr="00137482" w:rsidRDefault="009A53E1" w:rsidP="0074425A">
            <w:pPr>
              <w:pStyle w:val="TableParagraph"/>
              <w:widowControl/>
              <w:numPr>
                <w:ilvl w:val="0"/>
                <w:numId w:val="156"/>
              </w:numPr>
              <w:tabs>
                <w:tab w:val="left" w:pos="420"/>
              </w:tabs>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Information could inform FAD design options, FAD deployment, remote identification of size and abundance of tuna under echo-sounder- equipped FADs, and spatial management</w:t>
            </w:r>
            <w:r w:rsidRPr="00137482">
              <w:rPr>
                <w:rFonts w:ascii="Times New Roman" w:hAnsi="Times New Roman" w:cs="Times New Roman"/>
                <w:spacing w:val="-21"/>
                <w:sz w:val="20"/>
                <w:szCs w:val="20"/>
              </w:rPr>
              <w:t xml:space="preserve"> </w:t>
            </w:r>
            <w:r w:rsidRPr="00137482">
              <w:rPr>
                <w:rFonts w:ascii="Times New Roman" w:hAnsi="Times New Roman" w:cs="Times New Roman"/>
                <w:sz w:val="20"/>
                <w:szCs w:val="20"/>
              </w:rPr>
              <w:t>considerations.</w:t>
            </w:r>
          </w:p>
          <w:p w14:paraId="64616336" w14:textId="77777777" w:rsidR="009A53E1" w:rsidRPr="00137482" w:rsidRDefault="009A53E1" w:rsidP="0074425A">
            <w:pPr>
              <w:pStyle w:val="TableParagraph"/>
              <w:widowControl/>
              <w:numPr>
                <w:ilvl w:val="0"/>
                <w:numId w:val="156"/>
              </w:numPr>
              <w:tabs>
                <w:tab w:val="left" w:pos="420"/>
              </w:tabs>
              <w:adjustRightInd w:val="0"/>
              <w:snapToGrid w:val="0"/>
              <w:ind w:right="106"/>
              <w:rPr>
                <w:rFonts w:ascii="Times New Roman" w:hAnsi="Times New Roman" w:cs="Times New Roman"/>
                <w:sz w:val="20"/>
                <w:szCs w:val="20"/>
              </w:rPr>
            </w:pPr>
            <w:r w:rsidRPr="00137482">
              <w:rPr>
                <w:rFonts w:ascii="Times New Roman" w:hAnsi="Times New Roman" w:cs="Times New Roman"/>
                <w:sz w:val="20"/>
                <w:szCs w:val="20"/>
              </w:rPr>
              <w:t>Incentivising limiting setting activity to only FADs with large biomass could reduce the proportion of non-target species</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caught.</w:t>
            </w:r>
          </w:p>
          <w:p w14:paraId="0727F8CB" w14:textId="2D3DE1C8" w:rsidR="009A53E1" w:rsidRPr="00137482" w:rsidRDefault="009A53E1" w:rsidP="00D35815">
            <w:pPr>
              <w:pStyle w:val="TableParagraph"/>
              <w:widowControl/>
              <w:numPr>
                <w:ilvl w:val="0"/>
                <w:numId w:val="156"/>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In addition, acoustic FAD data could provide ‘ground truthing’ for the effective soak time of FADs, stock assessment biomass estimates (see SC12-SA-IP-14), FAD density effects on movement and catch rates of target</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spp.</w:t>
            </w:r>
          </w:p>
        </w:tc>
      </w:tr>
      <w:tr w:rsidR="009A53E1" w:rsidRPr="00137482" w14:paraId="550F5DEF" w14:textId="77777777" w:rsidTr="00137482">
        <w:tc>
          <w:tcPr>
            <w:tcW w:w="848" w:type="pct"/>
          </w:tcPr>
          <w:p w14:paraId="0B099DE8"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Assumptions</w:t>
            </w:r>
          </w:p>
        </w:tc>
        <w:tc>
          <w:tcPr>
            <w:tcW w:w="4152" w:type="pct"/>
          </w:tcPr>
          <w:p w14:paraId="0AFB7A18" w14:textId="0428B0F5" w:rsidR="009A53E1" w:rsidRPr="00137482" w:rsidRDefault="009A53E1" w:rsidP="0074425A">
            <w:pPr>
              <w:pStyle w:val="TableParagraph"/>
              <w:widowControl/>
              <w:numPr>
                <w:ilvl w:val="0"/>
                <w:numId w:val="155"/>
              </w:numPr>
              <w:tabs>
                <w:tab w:val="left" w:pos="420"/>
              </w:tabs>
              <w:adjustRightInd w:val="0"/>
              <w:snapToGrid w:val="0"/>
              <w:ind w:right="104"/>
              <w:rPr>
                <w:rFonts w:ascii="Times New Roman" w:hAnsi="Times New Roman" w:cs="Times New Roman"/>
                <w:sz w:val="20"/>
                <w:szCs w:val="20"/>
              </w:rPr>
            </w:pPr>
            <w:r w:rsidRPr="00137482">
              <w:rPr>
                <w:rFonts w:ascii="Times New Roman" w:hAnsi="Times New Roman" w:cs="Times New Roman"/>
                <w:sz w:val="20"/>
                <w:szCs w:val="20"/>
              </w:rPr>
              <w:t>There is a consistent relationship between biomass levels on FADs and</w:t>
            </w:r>
            <w:r w:rsidR="00444E27">
              <w:rPr>
                <w:rFonts w:ascii="Times New Roman" w:hAnsi="Times New Roman" w:cs="Times New Roman"/>
                <w:sz w:val="20"/>
                <w:szCs w:val="20"/>
              </w:rPr>
              <w:t xml:space="preserve"> </w:t>
            </w:r>
            <w:r w:rsidRPr="00137482">
              <w:rPr>
                <w:rFonts w:ascii="Times New Roman" w:hAnsi="Times New Roman" w:cs="Times New Roman"/>
                <w:sz w:val="20"/>
                <w:szCs w:val="20"/>
              </w:rPr>
              <w:t>tuna species composition across the WCPO, as indicated in Lawson (2008),</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SC</w:t>
            </w:r>
            <w:r w:rsidR="00D35815">
              <w:rPr>
                <w:rFonts w:ascii="Times New Roman" w:eastAsiaTheme="minorEastAsia" w:hAnsi="Times New Roman" w:cs="Times New Roman" w:hint="eastAsia"/>
                <w:sz w:val="20"/>
                <w:szCs w:val="20"/>
                <w:lang w:eastAsia="ko-KR"/>
              </w:rPr>
              <w:t>0</w:t>
            </w:r>
            <w:r w:rsidRPr="00137482">
              <w:rPr>
                <w:rFonts w:ascii="Times New Roman" w:hAnsi="Times New Roman" w:cs="Times New Roman"/>
                <w:sz w:val="20"/>
                <w:szCs w:val="20"/>
              </w:rPr>
              <w:t>4-ST-WP</w:t>
            </w:r>
            <w:r w:rsidR="00D35815">
              <w:rPr>
                <w:rFonts w:ascii="Times New Roman" w:eastAsiaTheme="minorEastAsia" w:hAnsi="Times New Roman" w:cs="Times New Roman" w:hint="eastAsia"/>
                <w:sz w:val="20"/>
                <w:szCs w:val="20"/>
                <w:lang w:eastAsia="ko-KR"/>
              </w:rPr>
              <w:t>-0</w:t>
            </w:r>
            <w:r w:rsidRPr="00137482">
              <w:rPr>
                <w:rFonts w:ascii="Times New Roman" w:hAnsi="Times New Roman" w:cs="Times New Roman"/>
                <w:sz w:val="20"/>
                <w:szCs w:val="20"/>
              </w:rPr>
              <w:t>3.</w:t>
            </w:r>
          </w:p>
          <w:p w14:paraId="6C878FA8" w14:textId="77777777" w:rsidR="009A53E1" w:rsidRPr="00137482" w:rsidRDefault="009A53E1" w:rsidP="0074425A">
            <w:pPr>
              <w:pStyle w:val="TableParagraph"/>
              <w:widowControl/>
              <w:numPr>
                <w:ilvl w:val="0"/>
                <w:numId w:val="155"/>
              </w:numPr>
              <w:tabs>
                <w:tab w:val="left" w:pos="420"/>
              </w:tabs>
              <w:adjustRightInd w:val="0"/>
              <w:snapToGrid w:val="0"/>
              <w:ind w:right="102"/>
              <w:rPr>
                <w:rFonts w:ascii="Times New Roman" w:hAnsi="Times New Roman" w:cs="Times New Roman"/>
                <w:sz w:val="20"/>
                <w:szCs w:val="20"/>
              </w:rPr>
            </w:pPr>
            <w:r w:rsidRPr="00137482">
              <w:rPr>
                <w:rFonts w:ascii="Times New Roman" w:hAnsi="Times New Roman" w:cs="Times New Roman"/>
                <w:sz w:val="20"/>
                <w:szCs w:val="20"/>
              </w:rPr>
              <w:t>Biomass can be accurately assessed through acoustic buoys, noting that it depends on the equipment used, environmental conditions and the interpretational skills of 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user.</w:t>
            </w:r>
          </w:p>
          <w:p w14:paraId="279F0EED" w14:textId="77777777" w:rsidR="009A53E1" w:rsidRPr="00137482" w:rsidRDefault="009A53E1" w:rsidP="0074425A">
            <w:pPr>
              <w:pStyle w:val="TableParagraph"/>
              <w:widowControl/>
              <w:numPr>
                <w:ilvl w:val="0"/>
                <w:numId w:val="155"/>
              </w:numPr>
              <w:tabs>
                <w:tab w:val="left" w:pos="420"/>
              </w:tabs>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Existing acoustic information can be made available for analysis, combined with sufficient information to relate that information to a setting</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event.</w:t>
            </w:r>
          </w:p>
          <w:p w14:paraId="1C0C6D58" w14:textId="77777777" w:rsidR="009A53E1" w:rsidRPr="00137482" w:rsidRDefault="009A53E1" w:rsidP="0074425A">
            <w:pPr>
              <w:pStyle w:val="TableParagraph"/>
              <w:widowControl/>
              <w:numPr>
                <w:ilvl w:val="0"/>
                <w:numId w:val="155"/>
              </w:numPr>
              <w:tabs>
                <w:tab w:val="left" w:pos="420"/>
              </w:tabs>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Target</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strength</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information</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other</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studies</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is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sufficiently</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robust</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and comparable to that in the WCPO that it can be used</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directly.</w:t>
            </w:r>
          </w:p>
          <w:p w14:paraId="23CB9B3E" w14:textId="77777777" w:rsidR="009A53E1" w:rsidRPr="00137482" w:rsidRDefault="009A53E1" w:rsidP="0074425A">
            <w:pPr>
              <w:pStyle w:val="TableParagraph"/>
              <w:widowControl/>
              <w:numPr>
                <w:ilvl w:val="0"/>
                <w:numId w:val="155"/>
              </w:numPr>
              <w:tabs>
                <w:tab w:val="left" w:pos="420"/>
              </w:tabs>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The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analysis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can</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undertaken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over</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sufficient</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space/time</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ensure</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any influences of those factors can be examined</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statistically.</w:t>
            </w:r>
          </w:p>
        </w:tc>
      </w:tr>
      <w:tr w:rsidR="009A53E1" w:rsidRPr="00137482" w14:paraId="19594EDD" w14:textId="77777777" w:rsidTr="00137482">
        <w:tc>
          <w:tcPr>
            <w:tcW w:w="848" w:type="pct"/>
          </w:tcPr>
          <w:p w14:paraId="49936D72"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Scope</w:t>
            </w:r>
          </w:p>
        </w:tc>
        <w:tc>
          <w:tcPr>
            <w:tcW w:w="4152" w:type="pct"/>
          </w:tcPr>
          <w:p w14:paraId="37DA7D2A"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The scope of work is divided into three stages. The ability to undertake the second stage will depend on access to existing data, in particular acoustic biomass estimates, and the ability to relate set-level events to FAD-specific acoustic data.</w:t>
            </w:r>
          </w:p>
          <w:p w14:paraId="54008A6D"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3CB4D18"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i/>
                <w:sz w:val="20"/>
                <w:szCs w:val="20"/>
              </w:rPr>
              <w:t xml:space="preserve">Stage 1. Examination of existing data to investigate the relationship between total biomass/catch and the proportion of small bigeye/yellowfin </w:t>
            </w:r>
            <w:r w:rsidRPr="00137482">
              <w:rPr>
                <w:rFonts w:ascii="Times New Roman" w:hAnsi="Times New Roman" w:cs="Times New Roman"/>
                <w:sz w:val="20"/>
                <w:szCs w:val="20"/>
              </w:rPr>
              <w:t>Based upon existing combined logsheet/observer data from FAD sets, investigate  the  relationship  between  total  biomass/catch  size  and   the</w:t>
            </w:r>
          </w:p>
        </w:tc>
      </w:tr>
      <w:tr w:rsidR="009A53E1" w:rsidRPr="00137482" w14:paraId="160425CD" w14:textId="77777777" w:rsidTr="00137482">
        <w:tc>
          <w:tcPr>
            <w:tcW w:w="848" w:type="pct"/>
          </w:tcPr>
          <w:p w14:paraId="12333028" w14:textId="77777777" w:rsidR="009A53E1" w:rsidRPr="00137482" w:rsidRDefault="009A53E1" w:rsidP="00C06F80">
            <w:pPr>
              <w:widowControl/>
              <w:adjustRightInd w:val="0"/>
              <w:snapToGrid w:val="0"/>
              <w:spacing w:after="0"/>
              <w:rPr>
                <w:rFonts w:ascii="Times New Roman" w:hAnsi="Times New Roman" w:cs="Times New Roman"/>
                <w:sz w:val="20"/>
                <w:szCs w:val="20"/>
              </w:rPr>
            </w:pPr>
          </w:p>
        </w:tc>
        <w:tc>
          <w:tcPr>
            <w:tcW w:w="4152" w:type="pct"/>
          </w:tcPr>
          <w:p w14:paraId="50CB2707"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proofErr w:type="gramStart"/>
            <w:r w:rsidRPr="00137482">
              <w:rPr>
                <w:rFonts w:ascii="Times New Roman" w:hAnsi="Times New Roman" w:cs="Times New Roman"/>
                <w:sz w:val="20"/>
                <w:szCs w:val="20"/>
              </w:rPr>
              <w:t>degree</w:t>
            </w:r>
            <w:proofErr w:type="gramEnd"/>
            <w:r w:rsidRPr="00137482">
              <w:rPr>
                <w:rFonts w:ascii="Times New Roman" w:hAnsi="Times New Roman" w:cs="Times New Roman"/>
                <w:sz w:val="20"/>
                <w:szCs w:val="20"/>
              </w:rPr>
              <w:t xml:space="preserve"> of small bigeye/yellowfin, both spatially and temporally within the WCPO. Based upon these analyses, identify the level of definition required by echo-sounder buoys to render this strategy effective.</w:t>
            </w:r>
          </w:p>
          <w:p w14:paraId="1CA50FBC"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0359711F"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In addition, review available information on the vertical behaviour of individuals of different sizes relative to e.g. thermoclines, to examine whether a depth layer can be used to discriminate between species/sizes.</w:t>
            </w:r>
          </w:p>
          <w:p w14:paraId="1955733A"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7E323E0D" w14:textId="77777777" w:rsidR="009A53E1" w:rsidRPr="00137482" w:rsidRDefault="009A53E1" w:rsidP="00C06F80">
            <w:pPr>
              <w:pStyle w:val="TableParagraph"/>
              <w:widowControl/>
              <w:adjustRightInd w:val="0"/>
              <w:snapToGrid w:val="0"/>
              <w:ind w:right="100"/>
              <w:rPr>
                <w:rFonts w:ascii="Times New Roman" w:hAnsi="Times New Roman" w:cs="Times New Roman"/>
                <w:i/>
                <w:sz w:val="20"/>
                <w:szCs w:val="20"/>
              </w:rPr>
            </w:pPr>
            <w:r w:rsidRPr="00137482">
              <w:rPr>
                <w:rFonts w:ascii="Times New Roman" w:hAnsi="Times New Roman" w:cs="Times New Roman"/>
                <w:i/>
                <w:sz w:val="20"/>
                <w:szCs w:val="20"/>
              </w:rPr>
              <w:t>Stage</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2.</w:t>
            </w:r>
            <w:r w:rsidRPr="00137482">
              <w:rPr>
                <w:rFonts w:ascii="Times New Roman" w:hAnsi="Times New Roman" w:cs="Times New Roman"/>
                <w:i/>
                <w:spacing w:val="-15"/>
                <w:sz w:val="20"/>
                <w:szCs w:val="20"/>
              </w:rPr>
              <w:t xml:space="preserve"> </w:t>
            </w:r>
            <w:r w:rsidRPr="00137482">
              <w:rPr>
                <w:rFonts w:ascii="Times New Roman" w:hAnsi="Times New Roman" w:cs="Times New Roman"/>
                <w:i/>
                <w:sz w:val="20"/>
                <w:szCs w:val="20"/>
              </w:rPr>
              <w:t>Examination</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of</w:t>
            </w:r>
            <w:r w:rsidRPr="00137482">
              <w:rPr>
                <w:rFonts w:ascii="Times New Roman" w:hAnsi="Times New Roman" w:cs="Times New Roman"/>
                <w:i/>
                <w:spacing w:val="-15"/>
                <w:sz w:val="20"/>
                <w:szCs w:val="20"/>
              </w:rPr>
              <w:t xml:space="preserve"> </w:t>
            </w:r>
            <w:r w:rsidRPr="00137482">
              <w:rPr>
                <w:rFonts w:ascii="Times New Roman" w:hAnsi="Times New Roman" w:cs="Times New Roman"/>
                <w:i/>
                <w:sz w:val="20"/>
                <w:szCs w:val="20"/>
              </w:rPr>
              <w:t>existing</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(historical)</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observer-based</w:t>
            </w:r>
            <w:r w:rsidRPr="00137482">
              <w:rPr>
                <w:rFonts w:ascii="Times New Roman" w:hAnsi="Times New Roman" w:cs="Times New Roman"/>
                <w:i/>
                <w:spacing w:val="-15"/>
                <w:sz w:val="20"/>
                <w:szCs w:val="20"/>
              </w:rPr>
              <w:t xml:space="preserve"> </w:t>
            </w:r>
            <w:r w:rsidRPr="00137482">
              <w:rPr>
                <w:rFonts w:ascii="Times New Roman" w:hAnsi="Times New Roman" w:cs="Times New Roman"/>
                <w:i/>
                <w:sz w:val="20"/>
                <w:szCs w:val="20"/>
              </w:rPr>
              <w:t>FAD</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set</w:t>
            </w:r>
            <w:r w:rsidRPr="00137482">
              <w:rPr>
                <w:rFonts w:ascii="Times New Roman" w:hAnsi="Times New Roman" w:cs="Times New Roman"/>
                <w:i/>
                <w:spacing w:val="-16"/>
                <w:sz w:val="20"/>
                <w:szCs w:val="20"/>
              </w:rPr>
              <w:t xml:space="preserve"> </w:t>
            </w:r>
            <w:r w:rsidRPr="00137482">
              <w:rPr>
                <w:rFonts w:ascii="Times New Roman" w:hAnsi="Times New Roman" w:cs="Times New Roman"/>
                <w:i/>
                <w:sz w:val="20"/>
                <w:szCs w:val="20"/>
              </w:rPr>
              <w:t>data</w:t>
            </w:r>
            <w:r w:rsidRPr="00137482">
              <w:rPr>
                <w:rFonts w:ascii="Times New Roman" w:hAnsi="Times New Roman" w:cs="Times New Roman"/>
                <w:i/>
                <w:spacing w:val="-15"/>
                <w:sz w:val="20"/>
                <w:szCs w:val="20"/>
              </w:rPr>
              <w:t xml:space="preserve"> </w:t>
            </w:r>
            <w:r w:rsidRPr="00137482">
              <w:rPr>
                <w:rFonts w:ascii="Times New Roman" w:hAnsi="Times New Roman" w:cs="Times New Roman"/>
                <w:i/>
                <w:sz w:val="20"/>
                <w:szCs w:val="20"/>
              </w:rPr>
              <w:t>and echo-sounder buoy</w:t>
            </w:r>
            <w:r w:rsidRPr="00137482">
              <w:rPr>
                <w:rFonts w:ascii="Times New Roman" w:hAnsi="Times New Roman" w:cs="Times New Roman"/>
                <w:i/>
                <w:spacing w:val="-8"/>
                <w:sz w:val="20"/>
                <w:szCs w:val="20"/>
              </w:rPr>
              <w:t xml:space="preserve"> </w:t>
            </w:r>
            <w:r w:rsidRPr="00137482">
              <w:rPr>
                <w:rFonts w:ascii="Times New Roman" w:hAnsi="Times New Roman" w:cs="Times New Roman"/>
                <w:i/>
                <w:sz w:val="20"/>
                <w:szCs w:val="20"/>
              </w:rPr>
              <w:t>data</w:t>
            </w:r>
          </w:p>
          <w:p w14:paraId="68836B96" w14:textId="77777777" w:rsidR="009A53E1" w:rsidRPr="00137482" w:rsidRDefault="009A53E1" w:rsidP="00C06F80">
            <w:pPr>
              <w:pStyle w:val="TableParagraph"/>
              <w:widowControl/>
              <w:adjustRightInd w:val="0"/>
              <w:snapToGrid w:val="0"/>
              <w:ind w:right="100"/>
              <w:rPr>
                <w:rFonts w:ascii="Times New Roman" w:hAnsi="Times New Roman" w:cs="Times New Roman"/>
                <w:sz w:val="20"/>
                <w:szCs w:val="20"/>
              </w:rPr>
            </w:pPr>
            <w:r w:rsidRPr="00137482">
              <w:rPr>
                <w:rFonts w:ascii="Times New Roman" w:hAnsi="Times New Roman" w:cs="Times New Roman"/>
                <w:sz w:val="20"/>
                <w:szCs w:val="20"/>
              </w:rPr>
              <w:t>Where data are available to link an observed FAD set event to acoustic information, compare the most appropriate set-level overall catch and corresponding species composition to available acoustic information. Where data allow, further compare to relevant operational factors (e.g. location, FAD and vessel information, regional FAD density, etc.) to identify potential relationships.</w:t>
            </w:r>
          </w:p>
          <w:p w14:paraId="14C344DE"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2235B74A" w14:textId="77777777" w:rsidR="009A53E1" w:rsidRPr="00137482" w:rsidRDefault="009A53E1" w:rsidP="00C06F80">
            <w:pPr>
              <w:pStyle w:val="TableParagraph"/>
              <w:widowControl/>
              <w:adjustRightInd w:val="0"/>
              <w:snapToGrid w:val="0"/>
              <w:ind w:right="102"/>
              <w:rPr>
                <w:rFonts w:ascii="Times New Roman" w:hAnsi="Times New Roman" w:cs="Times New Roman"/>
                <w:i/>
                <w:sz w:val="20"/>
                <w:szCs w:val="20"/>
              </w:rPr>
            </w:pPr>
            <w:r w:rsidRPr="00137482">
              <w:rPr>
                <w:rFonts w:ascii="Times New Roman" w:hAnsi="Times New Roman" w:cs="Times New Roman"/>
                <w:i/>
                <w:sz w:val="20"/>
                <w:szCs w:val="20"/>
              </w:rPr>
              <w:t>Stage 2. Undertake at-sea experimental fishing trials to identify effective acoustic equipment and operational approaches</w:t>
            </w:r>
          </w:p>
          <w:p w14:paraId="01C56608"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In collaboration with industry, and building on outputs from Stages 1 and</w:t>
            </w:r>
            <w:r w:rsidRPr="00137482">
              <w:rPr>
                <w:rFonts w:ascii="Times New Roman" w:hAnsi="Times New Roman" w:cs="Times New Roman"/>
                <w:spacing w:val="-34"/>
                <w:sz w:val="20"/>
                <w:szCs w:val="20"/>
              </w:rPr>
              <w:t xml:space="preserve"> </w:t>
            </w:r>
            <w:r w:rsidRPr="00137482">
              <w:rPr>
                <w:rFonts w:ascii="Times New Roman" w:hAnsi="Times New Roman" w:cs="Times New Roman"/>
                <w:sz w:val="20"/>
                <w:szCs w:val="20"/>
              </w:rPr>
              <w:t>2, design and implement a limited fishing trial of current and alternative cutting-edge</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acoustic</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gear/settings</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(e.g.</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multi-frequency)</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obtain</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acoustic information on FAD-associated tuna biomass and species/size composition, and related fishing trials to ‘ground-truth’ that information based upon resulting catches. Gaining target strength measurements for single schools (in particular of yellowfin) will be particularly important. Trials should be sufficiently extensive to examine the influence of spatial and potentially oceanographic</w:t>
            </w:r>
            <w:r w:rsidRPr="00137482">
              <w:rPr>
                <w:rFonts w:ascii="Times New Roman" w:hAnsi="Times New Roman" w:cs="Times New Roman"/>
                <w:spacing w:val="-2"/>
                <w:sz w:val="20"/>
                <w:szCs w:val="20"/>
              </w:rPr>
              <w:t xml:space="preserve"> </w:t>
            </w:r>
            <w:r w:rsidRPr="00137482">
              <w:rPr>
                <w:rFonts w:ascii="Times New Roman" w:hAnsi="Times New Roman" w:cs="Times New Roman"/>
                <w:sz w:val="20"/>
                <w:szCs w:val="20"/>
              </w:rPr>
              <w:t>factors.</w:t>
            </w:r>
          </w:p>
          <w:p w14:paraId="0CE7F3B6"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97D4671"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Analyses of results from each stage should be presented to WCPFC SC for scientific review and where relevant for the consideration of advice to TCC and the Commission.</w:t>
            </w:r>
          </w:p>
        </w:tc>
      </w:tr>
      <w:tr w:rsidR="009A53E1" w:rsidRPr="00137482" w14:paraId="13550E17" w14:textId="77777777" w:rsidTr="00137482">
        <w:tc>
          <w:tcPr>
            <w:tcW w:w="848" w:type="pct"/>
          </w:tcPr>
          <w:p w14:paraId="382ADBFA"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Timeframe</w:t>
            </w:r>
          </w:p>
        </w:tc>
        <w:tc>
          <w:tcPr>
            <w:tcW w:w="4152" w:type="pct"/>
          </w:tcPr>
          <w:p w14:paraId="5F45C9A1"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Approximately 36 months (see below)</w:t>
            </w:r>
          </w:p>
        </w:tc>
      </w:tr>
      <w:tr w:rsidR="009A53E1" w:rsidRPr="00137482" w14:paraId="7D9F0E7F" w14:textId="77777777" w:rsidTr="00137482">
        <w:tc>
          <w:tcPr>
            <w:tcW w:w="848" w:type="pct"/>
          </w:tcPr>
          <w:p w14:paraId="410A51B6"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Budget</w:t>
            </w:r>
          </w:p>
        </w:tc>
        <w:tc>
          <w:tcPr>
            <w:tcW w:w="4152" w:type="pct"/>
          </w:tcPr>
          <w:p w14:paraId="43ED864A"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Stage 1</w:t>
            </w:r>
          </w:p>
          <w:p w14:paraId="0A459030" w14:textId="77777777" w:rsidR="009A53E1" w:rsidRPr="00137482" w:rsidRDefault="009A53E1" w:rsidP="00C06F80">
            <w:pPr>
              <w:pStyle w:val="TableParagraph"/>
              <w:widowControl/>
              <w:adjustRightInd w:val="0"/>
              <w:snapToGrid w:val="0"/>
              <w:ind w:right="5121"/>
              <w:jc w:val="left"/>
              <w:rPr>
                <w:rFonts w:ascii="Times New Roman" w:hAnsi="Times New Roman" w:cs="Times New Roman"/>
                <w:sz w:val="20"/>
                <w:szCs w:val="20"/>
              </w:rPr>
            </w:pPr>
            <w:r w:rsidRPr="00137482">
              <w:rPr>
                <w:rFonts w:ascii="Times New Roman" w:hAnsi="Times New Roman" w:cs="Times New Roman"/>
                <w:sz w:val="20"/>
                <w:szCs w:val="20"/>
              </w:rPr>
              <w:t>1.5 year FTE at SPC USD$182,000</w:t>
            </w:r>
          </w:p>
          <w:p w14:paraId="29B949F8" w14:textId="77777777" w:rsidR="009A53E1" w:rsidRPr="00137482" w:rsidRDefault="009A53E1" w:rsidP="00C06F80">
            <w:pPr>
              <w:pStyle w:val="TableParagraph"/>
              <w:widowControl/>
              <w:adjustRightInd w:val="0"/>
              <w:snapToGrid w:val="0"/>
              <w:ind w:right="1214"/>
              <w:jc w:val="left"/>
              <w:rPr>
                <w:rFonts w:ascii="Times New Roman" w:hAnsi="Times New Roman" w:cs="Times New Roman"/>
                <w:sz w:val="20"/>
                <w:szCs w:val="20"/>
              </w:rPr>
            </w:pPr>
            <w:r w:rsidRPr="00137482">
              <w:rPr>
                <w:rFonts w:ascii="Times New Roman" w:hAnsi="Times New Roman" w:cs="Times New Roman"/>
                <w:sz w:val="20"/>
                <w:szCs w:val="20"/>
              </w:rPr>
              <w:t>Associated travel and subsistence to relevant WCPFC meetings USD$10,000</w:t>
            </w:r>
          </w:p>
          <w:p w14:paraId="44578257"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6C3015E0"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Stage 2</w:t>
            </w:r>
          </w:p>
          <w:p w14:paraId="0BC41D27" w14:textId="77777777" w:rsidR="009A53E1" w:rsidRPr="00137482" w:rsidRDefault="009A53E1" w:rsidP="00C06F80">
            <w:pPr>
              <w:pStyle w:val="TableParagraph"/>
              <w:widowControl/>
              <w:adjustRightInd w:val="0"/>
              <w:snapToGrid w:val="0"/>
              <w:ind w:right="104"/>
              <w:rPr>
                <w:rFonts w:ascii="Times New Roman" w:hAnsi="Times New Roman" w:cs="Times New Roman"/>
                <w:sz w:val="20"/>
                <w:szCs w:val="20"/>
              </w:rPr>
            </w:pPr>
            <w:r w:rsidRPr="00137482">
              <w:rPr>
                <w:rFonts w:ascii="Times New Roman" w:hAnsi="Times New Roman" w:cs="Times New Roman"/>
                <w:sz w:val="20"/>
                <w:szCs w:val="20"/>
              </w:rPr>
              <w:t>Not costed at this time. It is likely to be on the scale of project one or two, but</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there</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may</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some</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other</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cost</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savings</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be</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made</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by</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incorporating</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some fieldwork into the 2018 or 2020 tag research</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voyages.</w:t>
            </w:r>
          </w:p>
        </w:tc>
      </w:tr>
      <w:tr w:rsidR="009A53E1" w:rsidRPr="00137482" w14:paraId="43F6DA32" w14:textId="77777777" w:rsidTr="00137482">
        <w:tc>
          <w:tcPr>
            <w:tcW w:w="848" w:type="pct"/>
          </w:tcPr>
          <w:p w14:paraId="59FC1A37" w14:textId="77777777" w:rsidR="009A53E1" w:rsidRPr="00137482" w:rsidRDefault="009A53E1" w:rsidP="00C06F80">
            <w:pPr>
              <w:pStyle w:val="TableParagraph"/>
              <w:widowControl/>
              <w:adjustRightInd w:val="0"/>
              <w:snapToGrid w:val="0"/>
              <w:ind w:right="83"/>
              <w:jc w:val="left"/>
              <w:rPr>
                <w:rFonts w:ascii="Times New Roman" w:hAnsi="Times New Roman" w:cs="Times New Roman"/>
                <w:sz w:val="20"/>
                <w:szCs w:val="20"/>
              </w:rPr>
            </w:pPr>
            <w:r w:rsidRPr="00137482">
              <w:rPr>
                <w:rFonts w:ascii="Times New Roman" w:hAnsi="Times New Roman" w:cs="Times New Roman"/>
                <w:sz w:val="20"/>
                <w:szCs w:val="20"/>
              </w:rPr>
              <w:t>Additional considerations</w:t>
            </w:r>
          </w:p>
        </w:tc>
        <w:tc>
          <w:tcPr>
            <w:tcW w:w="4152" w:type="pct"/>
          </w:tcPr>
          <w:p w14:paraId="3786A864" w14:textId="77777777" w:rsidR="009A53E1" w:rsidRPr="00137482" w:rsidRDefault="009A53E1" w:rsidP="00C06F80">
            <w:pPr>
              <w:pStyle w:val="TableParagraph"/>
              <w:widowControl/>
              <w:adjustRightInd w:val="0"/>
              <w:snapToGrid w:val="0"/>
              <w:ind w:right="103"/>
              <w:rPr>
                <w:rFonts w:ascii="Times New Roman" w:hAnsi="Times New Roman" w:cs="Times New Roman"/>
                <w:sz w:val="20"/>
                <w:szCs w:val="20"/>
              </w:rPr>
            </w:pPr>
            <w:r w:rsidRPr="00137482">
              <w:rPr>
                <w:rFonts w:ascii="Times New Roman" w:hAnsi="Times New Roman" w:cs="Times New Roman"/>
                <w:sz w:val="20"/>
                <w:szCs w:val="20"/>
              </w:rPr>
              <w:t>If this proceeds to a fieldwork stage, additional input on the design of the at-sea component should include consideration of concurrent data collection in the context of tuna foraging and links to ecosystem modelling (e.g. SEAPODYM).</w:t>
            </w:r>
          </w:p>
        </w:tc>
      </w:tr>
    </w:tbl>
    <w:p w14:paraId="701D9025" w14:textId="77777777" w:rsidR="009A53E1" w:rsidRDefault="009A53E1" w:rsidP="009A53E1">
      <w:pPr>
        <w:adjustRightInd w:val="0"/>
        <w:snapToGrid w:val="0"/>
        <w:spacing w:after="0"/>
        <w:rPr>
          <w:rFonts w:ascii="Times New Roman" w:hAnsi="Times New Roman"/>
          <w:sz w:val="20"/>
          <w:szCs w:val="20"/>
          <w:lang w:eastAsia="ko-KR"/>
        </w:rPr>
      </w:pPr>
    </w:p>
    <w:p w14:paraId="38AC3099" w14:textId="77777777" w:rsidR="00137482" w:rsidRDefault="00137482" w:rsidP="009A53E1">
      <w:pPr>
        <w:adjustRightInd w:val="0"/>
        <w:snapToGrid w:val="0"/>
        <w:spacing w:after="0"/>
        <w:rPr>
          <w:rFonts w:ascii="Times New Roman" w:hAnsi="Times New Roman"/>
          <w:sz w:val="20"/>
          <w:szCs w:val="20"/>
          <w:lang w:eastAsia="ko-KR"/>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60"/>
      </w:tblGrid>
      <w:tr w:rsidR="009A53E1" w:rsidRPr="00137482" w14:paraId="187CE256" w14:textId="77777777" w:rsidTr="00C06F80">
        <w:tc>
          <w:tcPr>
            <w:tcW w:w="9360" w:type="dxa"/>
          </w:tcPr>
          <w:p w14:paraId="73D6663E" w14:textId="51457280"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89.</w:t>
            </w:r>
          </w:p>
          <w:p w14:paraId="031D5CC7"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Fleet behaviour</w:t>
            </w:r>
          </w:p>
        </w:tc>
      </w:tr>
    </w:tbl>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3"/>
        <w:gridCol w:w="7927"/>
      </w:tblGrid>
      <w:tr w:rsidR="009A53E1" w:rsidRPr="00137482" w14:paraId="4CBEB313" w14:textId="77777777" w:rsidTr="00137482">
        <w:tc>
          <w:tcPr>
            <w:tcW w:w="5000" w:type="pct"/>
            <w:gridSpan w:val="2"/>
            <w:shd w:val="clear" w:color="auto" w:fill="4AACC5"/>
          </w:tcPr>
          <w:p w14:paraId="0A03BEE3"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FAD Project #4</w:t>
            </w:r>
          </w:p>
        </w:tc>
      </w:tr>
      <w:tr w:rsidR="009A53E1" w:rsidRPr="00137482" w14:paraId="55B4CBE8" w14:textId="77777777" w:rsidTr="00137482">
        <w:tc>
          <w:tcPr>
            <w:tcW w:w="770" w:type="pct"/>
            <w:shd w:val="clear" w:color="auto" w:fill="92D050"/>
          </w:tcPr>
          <w:p w14:paraId="4AE8CAF9"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Project</w:t>
            </w:r>
          </w:p>
        </w:tc>
        <w:tc>
          <w:tcPr>
            <w:tcW w:w="4230" w:type="pct"/>
            <w:shd w:val="clear" w:color="auto" w:fill="92D050"/>
          </w:tcPr>
          <w:p w14:paraId="5FBFA1F3" w14:textId="77777777" w:rsidR="009A53E1" w:rsidRPr="00137482" w:rsidRDefault="009A53E1" w:rsidP="00C06F80">
            <w:pPr>
              <w:pStyle w:val="TableParagraph"/>
              <w:widowControl/>
              <w:adjustRightInd w:val="0"/>
              <w:snapToGrid w:val="0"/>
              <w:jc w:val="left"/>
              <w:rPr>
                <w:rFonts w:ascii="Times New Roman" w:hAnsi="Times New Roman" w:cs="Times New Roman"/>
                <w:b/>
                <w:sz w:val="20"/>
                <w:szCs w:val="20"/>
              </w:rPr>
            </w:pPr>
            <w:r w:rsidRPr="00137482">
              <w:rPr>
                <w:rFonts w:ascii="Times New Roman" w:hAnsi="Times New Roman" w:cs="Times New Roman"/>
                <w:b/>
                <w:sz w:val="20"/>
                <w:szCs w:val="20"/>
              </w:rPr>
              <w:t>Fleet behaviour</w:t>
            </w:r>
          </w:p>
        </w:tc>
      </w:tr>
      <w:tr w:rsidR="009A53E1" w:rsidRPr="00137482" w14:paraId="283B8E63" w14:textId="77777777" w:rsidTr="00137482">
        <w:tc>
          <w:tcPr>
            <w:tcW w:w="770" w:type="pct"/>
          </w:tcPr>
          <w:p w14:paraId="13FF5AF3"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Objectives</w:t>
            </w:r>
          </w:p>
        </w:tc>
        <w:tc>
          <w:tcPr>
            <w:tcW w:w="4230" w:type="pct"/>
          </w:tcPr>
          <w:p w14:paraId="4650E3AF"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Characterisation of effort creep due to FAD use and fleet specific factors resulting in large catches of ‘non-target’ species.</w:t>
            </w:r>
          </w:p>
        </w:tc>
      </w:tr>
      <w:tr w:rsidR="009A53E1" w:rsidRPr="00137482" w14:paraId="3F2D8BCB" w14:textId="77777777" w:rsidTr="00137482">
        <w:tc>
          <w:tcPr>
            <w:tcW w:w="770" w:type="pct"/>
          </w:tcPr>
          <w:p w14:paraId="0FD22F54"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Rationale</w:t>
            </w:r>
          </w:p>
        </w:tc>
        <w:tc>
          <w:tcPr>
            <w:tcW w:w="4230" w:type="pct"/>
          </w:tcPr>
          <w:p w14:paraId="0D6E684F" w14:textId="77777777" w:rsidR="009A53E1" w:rsidRPr="00137482" w:rsidRDefault="009A53E1" w:rsidP="0074425A">
            <w:pPr>
              <w:pStyle w:val="TableParagraph"/>
              <w:widowControl/>
              <w:numPr>
                <w:ilvl w:val="0"/>
                <w:numId w:val="154"/>
              </w:numPr>
              <w:tabs>
                <w:tab w:val="left" w:pos="420"/>
              </w:tabs>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Understanding</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how</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rapid</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developments</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FAD</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technology</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their</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use within the WCPO can influence FAD-related catch rates will provide additional information for key stock assessments and the harvest strategy approach, and scientific advice that can inform discussions under future tropical tuna</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CMMs.</w:t>
            </w:r>
          </w:p>
          <w:p w14:paraId="5FA45A6A" w14:textId="460379B5" w:rsidR="009A53E1" w:rsidRPr="00137482" w:rsidRDefault="009A53E1" w:rsidP="0074425A">
            <w:pPr>
              <w:pStyle w:val="TableParagraph"/>
              <w:widowControl/>
              <w:numPr>
                <w:ilvl w:val="0"/>
                <w:numId w:val="154"/>
              </w:numPr>
              <w:tabs>
                <w:tab w:val="left" w:pos="420"/>
              </w:tabs>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Analyses will complement activities currently underway on PNA FAD tracking and those undertaken through the EU-funded ‘</w:t>
            </w:r>
            <w:r w:rsidR="00977B42">
              <w:rPr>
                <w:rFonts w:ascii="Times New Roman" w:hAnsi="Times New Roman" w:cs="Times New Roman"/>
                <w:sz w:val="20"/>
                <w:szCs w:val="20"/>
              </w:rPr>
              <w:t>bigeye tuna</w:t>
            </w:r>
            <w:r w:rsidRPr="00137482">
              <w:rPr>
                <w:rFonts w:ascii="Times New Roman" w:hAnsi="Times New Roman" w:cs="Times New Roman"/>
                <w:sz w:val="20"/>
                <w:szCs w:val="20"/>
              </w:rPr>
              <w:t xml:space="preserve"> hotspot’ analysis presented to</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SC13.</w:t>
            </w:r>
          </w:p>
        </w:tc>
      </w:tr>
      <w:tr w:rsidR="009A53E1" w:rsidRPr="00137482" w14:paraId="778F52C7" w14:textId="77777777" w:rsidTr="00137482">
        <w:tc>
          <w:tcPr>
            <w:tcW w:w="770" w:type="pct"/>
          </w:tcPr>
          <w:p w14:paraId="5158CB2E"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Assumptions</w:t>
            </w:r>
          </w:p>
        </w:tc>
        <w:tc>
          <w:tcPr>
            <w:tcW w:w="4230" w:type="pct"/>
          </w:tcPr>
          <w:p w14:paraId="567774C8" w14:textId="77777777" w:rsidR="009A53E1" w:rsidRPr="00137482" w:rsidRDefault="009A53E1" w:rsidP="0074425A">
            <w:pPr>
              <w:pStyle w:val="TableParagraph"/>
              <w:widowControl/>
              <w:numPr>
                <w:ilvl w:val="0"/>
                <w:numId w:val="153"/>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Sufficient data on FAD design and technology are available for</w:t>
            </w:r>
            <w:r w:rsidRPr="00137482">
              <w:rPr>
                <w:rFonts w:ascii="Times New Roman" w:hAnsi="Times New Roman" w:cs="Times New Roman"/>
                <w:spacing w:val="-22"/>
                <w:sz w:val="20"/>
                <w:szCs w:val="20"/>
              </w:rPr>
              <w:t xml:space="preserve"> </w:t>
            </w:r>
            <w:r w:rsidRPr="00137482">
              <w:rPr>
                <w:rFonts w:ascii="Times New Roman" w:hAnsi="Times New Roman" w:cs="Times New Roman"/>
                <w:sz w:val="20"/>
                <w:szCs w:val="20"/>
              </w:rPr>
              <w:t>analysis.</w:t>
            </w:r>
          </w:p>
          <w:p w14:paraId="3FC80B07" w14:textId="77777777" w:rsidR="009A53E1" w:rsidRPr="00137482" w:rsidRDefault="009A53E1" w:rsidP="0074425A">
            <w:pPr>
              <w:pStyle w:val="TableParagraph"/>
              <w:widowControl/>
              <w:numPr>
                <w:ilvl w:val="0"/>
                <w:numId w:val="153"/>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Sufficient time series of data are available to support</w:t>
            </w:r>
            <w:r w:rsidRPr="00137482">
              <w:rPr>
                <w:rFonts w:ascii="Times New Roman" w:hAnsi="Times New Roman" w:cs="Times New Roman"/>
                <w:spacing w:val="-20"/>
                <w:sz w:val="20"/>
                <w:szCs w:val="20"/>
              </w:rPr>
              <w:t xml:space="preserve"> </w:t>
            </w:r>
            <w:r w:rsidRPr="00137482">
              <w:rPr>
                <w:rFonts w:ascii="Times New Roman" w:hAnsi="Times New Roman" w:cs="Times New Roman"/>
                <w:sz w:val="20"/>
                <w:szCs w:val="20"/>
              </w:rPr>
              <w:t>analyses.</w:t>
            </w:r>
          </w:p>
          <w:p w14:paraId="785BD45F" w14:textId="77777777" w:rsidR="009A53E1" w:rsidRPr="00137482" w:rsidRDefault="009A53E1" w:rsidP="0074425A">
            <w:pPr>
              <w:pStyle w:val="TableParagraph"/>
              <w:widowControl/>
              <w:numPr>
                <w:ilvl w:val="0"/>
                <w:numId w:val="153"/>
              </w:numPr>
              <w:tabs>
                <w:tab w:val="left" w:pos="419"/>
                <w:tab w:val="left" w:pos="420"/>
              </w:tabs>
              <w:adjustRightInd w:val="0"/>
              <w:snapToGrid w:val="0"/>
              <w:ind w:right="104"/>
              <w:jc w:val="left"/>
              <w:rPr>
                <w:rFonts w:ascii="Times New Roman" w:hAnsi="Times New Roman" w:cs="Times New Roman"/>
                <w:sz w:val="20"/>
                <w:szCs w:val="20"/>
              </w:rPr>
            </w:pPr>
            <w:r w:rsidRPr="00137482">
              <w:rPr>
                <w:rFonts w:ascii="Times New Roman" w:hAnsi="Times New Roman" w:cs="Times New Roman"/>
                <w:sz w:val="20"/>
                <w:szCs w:val="20"/>
              </w:rPr>
              <w:t>Information is sufficiently detailed and accurate to allow analyses to be performed.</w:t>
            </w:r>
          </w:p>
          <w:p w14:paraId="75EF2FA1" w14:textId="77777777" w:rsidR="009A53E1" w:rsidRPr="00137482" w:rsidRDefault="009A53E1" w:rsidP="0074425A">
            <w:pPr>
              <w:pStyle w:val="TableParagraph"/>
              <w:widowControl/>
              <w:numPr>
                <w:ilvl w:val="0"/>
                <w:numId w:val="153"/>
              </w:numPr>
              <w:tabs>
                <w:tab w:val="left" w:pos="419"/>
                <w:tab w:val="left" w:pos="420"/>
              </w:tabs>
              <w:adjustRightInd w:val="0"/>
              <w:snapToGrid w:val="0"/>
              <w:ind w:right="99"/>
              <w:jc w:val="left"/>
              <w:rPr>
                <w:rFonts w:ascii="Times New Roman" w:hAnsi="Times New Roman" w:cs="Times New Roman"/>
                <w:sz w:val="20"/>
                <w:szCs w:val="20"/>
              </w:rPr>
            </w:pPr>
            <w:r w:rsidRPr="00137482">
              <w:rPr>
                <w:rFonts w:ascii="Times New Roman" w:hAnsi="Times New Roman" w:cs="Times New Roman"/>
                <w:sz w:val="20"/>
                <w:szCs w:val="20"/>
              </w:rPr>
              <w:t>Fishing sets can be related to specific FADs and associated FAD/vessel technological</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information.</w:t>
            </w:r>
          </w:p>
          <w:p w14:paraId="74031BB6" w14:textId="77777777" w:rsidR="009A53E1" w:rsidRPr="00137482" w:rsidRDefault="009A53E1" w:rsidP="0074425A">
            <w:pPr>
              <w:pStyle w:val="TableParagraph"/>
              <w:widowControl/>
              <w:numPr>
                <w:ilvl w:val="0"/>
                <w:numId w:val="153"/>
              </w:numPr>
              <w:tabs>
                <w:tab w:val="left" w:pos="419"/>
                <w:tab w:val="left" w:pos="420"/>
              </w:tabs>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Fleet behaviours that influence fishing performance can be</w:t>
            </w:r>
            <w:r w:rsidRPr="00137482">
              <w:rPr>
                <w:rFonts w:ascii="Times New Roman" w:hAnsi="Times New Roman" w:cs="Times New Roman"/>
                <w:spacing w:val="-19"/>
                <w:sz w:val="20"/>
                <w:szCs w:val="20"/>
              </w:rPr>
              <w:t xml:space="preserve"> </w:t>
            </w:r>
            <w:r w:rsidRPr="00137482">
              <w:rPr>
                <w:rFonts w:ascii="Times New Roman" w:hAnsi="Times New Roman" w:cs="Times New Roman"/>
                <w:sz w:val="20"/>
                <w:szCs w:val="20"/>
              </w:rPr>
              <w:t>understood.</w:t>
            </w:r>
          </w:p>
          <w:p w14:paraId="364B086F" w14:textId="77777777" w:rsidR="009A53E1" w:rsidRPr="00137482" w:rsidRDefault="009A53E1" w:rsidP="0074425A">
            <w:pPr>
              <w:pStyle w:val="TableParagraph"/>
              <w:widowControl/>
              <w:numPr>
                <w:ilvl w:val="0"/>
                <w:numId w:val="153"/>
              </w:numPr>
              <w:tabs>
                <w:tab w:val="left" w:pos="420"/>
              </w:tabs>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The effort creep component of improved FAD technologies can be separated</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from</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other</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elements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(schooling</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behaviour</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of</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fish,</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overall</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fleet behaviour,</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stock</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size,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oceanography,</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other</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technological</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advances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etc.).</w:t>
            </w:r>
          </w:p>
        </w:tc>
      </w:tr>
      <w:tr w:rsidR="009A53E1" w:rsidRPr="00137482" w14:paraId="4D9CDD14" w14:textId="77777777" w:rsidTr="00137482">
        <w:tc>
          <w:tcPr>
            <w:tcW w:w="770" w:type="pct"/>
          </w:tcPr>
          <w:p w14:paraId="50678EEF"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Scope</w:t>
            </w:r>
          </w:p>
        </w:tc>
        <w:tc>
          <w:tcPr>
            <w:tcW w:w="4230" w:type="pct"/>
          </w:tcPr>
          <w:p w14:paraId="2FE33D38" w14:textId="77777777" w:rsidR="009A53E1" w:rsidRPr="00137482" w:rsidRDefault="009A53E1" w:rsidP="00C06F80">
            <w:pPr>
              <w:pStyle w:val="TableParagraph"/>
              <w:widowControl/>
              <w:adjustRightInd w:val="0"/>
              <w:snapToGrid w:val="0"/>
              <w:ind w:right="99"/>
              <w:rPr>
                <w:rFonts w:ascii="Times New Roman" w:hAnsi="Times New Roman" w:cs="Times New Roman"/>
                <w:sz w:val="20"/>
                <w:szCs w:val="20"/>
              </w:rPr>
            </w:pPr>
            <w:r w:rsidRPr="00137482">
              <w:rPr>
                <w:rFonts w:ascii="Times New Roman" w:hAnsi="Times New Roman" w:cs="Times New Roman"/>
                <w:sz w:val="20"/>
                <w:szCs w:val="20"/>
              </w:rPr>
              <w:t>The proposed work programme comprises a data compilation activity, subsequent</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statistical</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analysis</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activities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6"/>
                <w:sz w:val="20"/>
                <w:szCs w:val="20"/>
              </w:rPr>
              <w:t xml:space="preserve"> </w:t>
            </w:r>
            <w:r w:rsidRPr="00137482">
              <w:rPr>
                <w:rFonts w:ascii="Times New Roman" w:hAnsi="Times New Roman" w:cs="Times New Roman"/>
                <w:sz w:val="20"/>
                <w:szCs w:val="20"/>
              </w:rPr>
              <w:t>a</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data</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review</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activity.</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These</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are briefly outlined</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below:</w:t>
            </w:r>
          </w:p>
          <w:p w14:paraId="3BB05161"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762ECD60"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Evaluate</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combine</w:t>
            </w:r>
            <w:r w:rsidRPr="00137482">
              <w:rPr>
                <w:rFonts w:ascii="Times New Roman" w:hAnsi="Times New Roman" w:cs="Times New Roman"/>
                <w:spacing w:val="-12"/>
                <w:sz w:val="20"/>
                <w:szCs w:val="20"/>
              </w:rPr>
              <w:t xml:space="preserve"> </w:t>
            </w:r>
            <w:r w:rsidRPr="00137482">
              <w:rPr>
                <w:rFonts w:ascii="Times New Roman" w:hAnsi="Times New Roman" w:cs="Times New Roman"/>
                <w:sz w:val="20"/>
                <w:szCs w:val="20"/>
              </w:rPr>
              <w:t>available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logsheet,</w:t>
            </w:r>
            <w:r w:rsidRPr="00137482">
              <w:rPr>
                <w:rFonts w:ascii="Times New Roman" w:hAnsi="Times New Roman" w:cs="Times New Roman"/>
                <w:spacing w:val="-15"/>
                <w:sz w:val="20"/>
                <w:szCs w:val="20"/>
              </w:rPr>
              <w:t xml:space="preserve"> </w:t>
            </w:r>
            <w:r w:rsidRPr="00137482">
              <w:rPr>
                <w:rFonts w:ascii="Times New Roman" w:hAnsi="Times New Roman" w:cs="Times New Roman"/>
                <w:sz w:val="20"/>
                <w:szCs w:val="20"/>
              </w:rPr>
              <w:t>observer</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and</w:t>
            </w:r>
            <w:r w:rsidRPr="00137482">
              <w:rPr>
                <w:rFonts w:ascii="Times New Roman" w:hAnsi="Times New Roman" w:cs="Times New Roman"/>
                <w:spacing w:val="-14"/>
                <w:sz w:val="20"/>
                <w:szCs w:val="20"/>
              </w:rPr>
              <w:t xml:space="preserve"> </w:t>
            </w:r>
            <w:r w:rsidRPr="00137482">
              <w:rPr>
                <w:rFonts w:ascii="Times New Roman" w:hAnsi="Times New Roman" w:cs="Times New Roman"/>
                <w:sz w:val="20"/>
                <w:szCs w:val="20"/>
              </w:rPr>
              <w:t>VMS</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data</w:t>
            </w:r>
            <w:r w:rsidRPr="00137482">
              <w:rPr>
                <w:rFonts w:ascii="Times New Roman" w:hAnsi="Times New Roman" w:cs="Times New Roman"/>
                <w:spacing w:val="-13"/>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develop a comprehensive purse seine associated fishing data set. This data set should also include available (time series of) vessel and technical FAD characteristics, where</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possible.</w:t>
            </w:r>
          </w:p>
          <w:p w14:paraId="7C89E597"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5139CC83"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Analyse patterns of fleet activity relative to FAD setting based upon VMS/logsheet</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data,</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to</w:t>
            </w:r>
            <w:r w:rsidRPr="00137482">
              <w:rPr>
                <w:rFonts w:ascii="Times New Roman" w:hAnsi="Times New Roman" w:cs="Times New Roman"/>
                <w:spacing w:val="-3"/>
                <w:sz w:val="20"/>
                <w:szCs w:val="20"/>
              </w:rPr>
              <w:t xml:space="preserve"> </w:t>
            </w:r>
            <w:r w:rsidRPr="00137482">
              <w:rPr>
                <w:rFonts w:ascii="Times New Roman" w:hAnsi="Times New Roman" w:cs="Times New Roman"/>
                <w:sz w:val="20"/>
                <w:szCs w:val="20"/>
              </w:rPr>
              <w:t>assess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changes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vessel</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searching</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activity,</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as</w:t>
            </w:r>
            <w:r w:rsidRPr="00137482">
              <w:rPr>
                <w:rFonts w:ascii="Times New Roman" w:hAnsi="Times New Roman" w:cs="Times New Roman"/>
                <w:spacing w:val="-4"/>
                <w:sz w:val="20"/>
                <w:szCs w:val="20"/>
              </w:rPr>
              <w:t xml:space="preserve"> </w:t>
            </w:r>
            <w:r w:rsidRPr="00137482">
              <w:rPr>
                <w:rFonts w:ascii="Times New Roman" w:hAnsi="Times New Roman" w:cs="Times New Roman"/>
                <w:sz w:val="20"/>
                <w:szCs w:val="20"/>
              </w:rPr>
              <w:t>well</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as trip length. This may also be compared within and outside the FAD closure period, and be related to location (e.g. distance from port), time of the year/day, the period of the trip,</w:t>
            </w:r>
            <w:r w:rsidRPr="00137482">
              <w:rPr>
                <w:rFonts w:ascii="Times New Roman" w:hAnsi="Times New Roman" w:cs="Times New Roman"/>
                <w:spacing w:val="-11"/>
                <w:sz w:val="20"/>
                <w:szCs w:val="20"/>
              </w:rPr>
              <w:t xml:space="preserve"> </w:t>
            </w:r>
            <w:r w:rsidRPr="00137482">
              <w:rPr>
                <w:rFonts w:ascii="Times New Roman" w:hAnsi="Times New Roman" w:cs="Times New Roman"/>
                <w:sz w:val="20"/>
                <w:szCs w:val="20"/>
              </w:rPr>
              <w:t>etc.</w:t>
            </w:r>
          </w:p>
          <w:p w14:paraId="3167A4C4"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7028D19C"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r w:rsidRPr="00137482">
              <w:rPr>
                <w:rFonts w:ascii="Times New Roman" w:hAnsi="Times New Roman" w:cs="Times New Roman"/>
                <w:sz w:val="20"/>
                <w:szCs w:val="20"/>
              </w:rPr>
              <w:t>Examine changes in the ‘reliance’ on FAD    fishing over time, at the fleet or</w:t>
            </w:r>
          </w:p>
          <w:p w14:paraId="68FE48C7" w14:textId="77777777" w:rsidR="009A53E1" w:rsidRPr="00137482" w:rsidRDefault="009A53E1" w:rsidP="00C06F80">
            <w:pPr>
              <w:pStyle w:val="TableParagraph"/>
              <w:widowControl/>
              <w:adjustRightInd w:val="0"/>
              <w:snapToGrid w:val="0"/>
              <w:rPr>
                <w:rFonts w:ascii="Times New Roman" w:hAnsi="Times New Roman" w:cs="Times New Roman"/>
                <w:sz w:val="20"/>
                <w:szCs w:val="20"/>
              </w:rPr>
            </w:pPr>
            <w:proofErr w:type="gramStart"/>
            <w:r w:rsidRPr="00137482">
              <w:rPr>
                <w:rFonts w:ascii="Times New Roman" w:hAnsi="Times New Roman" w:cs="Times New Roman"/>
                <w:sz w:val="20"/>
                <w:szCs w:val="20"/>
              </w:rPr>
              <w:t>vessel</w:t>
            </w:r>
            <w:proofErr w:type="gramEnd"/>
            <w:r w:rsidRPr="00137482">
              <w:rPr>
                <w:rFonts w:ascii="Times New Roman" w:hAnsi="Times New Roman" w:cs="Times New Roman"/>
                <w:sz w:val="20"/>
                <w:szCs w:val="20"/>
              </w:rPr>
              <w:t xml:space="preserve"> level. Relate the reliance on FADs to geographic location.</w:t>
            </w:r>
          </w:p>
          <w:p w14:paraId="7E3AE4EA"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346CD10E" w14:textId="77777777" w:rsidR="009A53E1" w:rsidRPr="00137482" w:rsidRDefault="009A53E1" w:rsidP="00C06F80">
            <w:pPr>
              <w:pStyle w:val="TableParagraph"/>
              <w:widowControl/>
              <w:adjustRightInd w:val="0"/>
              <w:snapToGrid w:val="0"/>
              <w:ind w:right="98"/>
              <w:rPr>
                <w:rFonts w:ascii="Times New Roman" w:hAnsi="Times New Roman" w:cs="Times New Roman"/>
                <w:sz w:val="20"/>
                <w:szCs w:val="20"/>
              </w:rPr>
            </w:pPr>
            <w:r w:rsidRPr="00137482">
              <w:rPr>
                <w:rFonts w:ascii="Times New Roman" w:hAnsi="Times New Roman" w:cs="Times New Roman"/>
                <w:sz w:val="20"/>
                <w:szCs w:val="20"/>
              </w:rPr>
              <w:t>Analyse</w:t>
            </w:r>
            <w:r w:rsidRPr="00137482">
              <w:rPr>
                <w:rFonts w:ascii="Times New Roman" w:hAnsi="Times New Roman" w:cs="Times New Roman"/>
                <w:spacing w:val="-5"/>
                <w:sz w:val="20"/>
                <w:szCs w:val="20"/>
              </w:rPr>
              <w:t xml:space="preserve"> </w:t>
            </w:r>
            <w:r w:rsidRPr="00137482">
              <w:rPr>
                <w:rFonts w:ascii="Times New Roman" w:hAnsi="Times New Roman" w:cs="Times New Roman"/>
                <w:sz w:val="20"/>
                <w:szCs w:val="20"/>
              </w:rPr>
              <w:t>using</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appropriate</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statistical</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techniques</w:t>
            </w:r>
            <w:r w:rsidRPr="00137482">
              <w:rPr>
                <w:rFonts w:ascii="Times New Roman" w:hAnsi="Times New Roman" w:cs="Times New Roman"/>
                <w:spacing w:val="-6"/>
                <w:sz w:val="20"/>
                <w:szCs w:val="20"/>
              </w:rPr>
              <w:t xml:space="preserve"> </w:t>
            </w:r>
            <w:r w:rsidRPr="00137482">
              <w:rPr>
                <w:rFonts w:ascii="Times New Roman" w:hAnsi="Times New Roman" w:cs="Times New Roman"/>
                <w:sz w:val="20"/>
                <w:szCs w:val="20"/>
              </w:rPr>
              <w:t>factors</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that</w:t>
            </w:r>
            <w:r w:rsidRPr="00137482">
              <w:rPr>
                <w:rFonts w:ascii="Times New Roman" w:hAnsi="Times New Roman" w:cs="Times New Roman"/>
                <w:spacing w:val="-7"/>
                <w:sz w:val="20"/>
                <w:szCs w:val="20"/>
              </w:rPr>
              <w:t xml:space="preserve"> </w:t>
            </w:r>
            <w:r w:rsidRPr="00137482">
              <w:rPr>
                <w:rFonts w:ascii="Times New Roman" w:hAnsi="Times New Roman" w:cs="Times New Roman"/>
                <w:sz w:val="20"/>
                <w:szCs w:val="20"/>
              </w:rPr>
              <w:t>could</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influence time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series</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or</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relative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patterns</w:t>
            </w:r>
            <w:r w:rsidRPr="00137482">
              <w:rPr>
                <w:rFonts w:ascii="Times New Roman" w:hAnsi="Times New Roman" w:cs="Times New Roman"/>
                <w:spacing w:val="-8"/>
                <w:sz w:val="20"/>
                <w:szCs w:val="20"/>
              </w:rPr>
              <w:t xml:space="preserve"> </w:t>
            </w:r>
            <w:r w:rsidRPr="00137482">
              <w:rPr>
                <w:rFonts w:ascii="Times New Roman" w:hAnsi="Times New Roman" w:cs="Times New Roman"/>
                <w:sz w:val="20"/>
                <w:szCs w:val="20"/>
              </w:rPr>
              <w:t>in</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purse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seine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associated</w:t>
            </w:r>
            <w:r w:rsidRPr="00137482">
              <w:rPr>
                <w:rFonts w:ascii="Times New Roman" w:hAnsi="Times New Roman" w:cs="Times New Roman"/>
                <w:spacing w:val="-9"/>
                <w:sz w:val="20"/>
                <w:szCs w:val="20"/>
              </w:rPr>
              <w:t xml:space="preserve"> </w:t>
            </w:r>
            <w:r w:rsidRPr="00137482">
              <w:rPr>
                <w:rFonts w:ascii="Times New Roman" w:hAnsi="Times New Roman" w:cs="Times New Roman"/>
                <w:sz w:val="20"/>
                <w:szCs w:val="20"/>
              </w:rPr>
              <w:t>set</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CPUE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(catch</w:t>
            </w:r>
            <w:r w:rsidRPr="00137482">
              <w:rPr>
                <w:rFonts w:ascii="Times New Roman" w:hAnsi="Times New Roman" w:cs="Times New Roman"/>
                <w:spacing w:val="-8"/>
                <w:sz w:val="20"/>
                <w:szCs w:val="20"/>
              </w:rPr>
              <w:t xml:space="preserve"> </w:t>
            </w:r>
            <w:r w:rsidRPr="00137482">
              <w:rPr>
                <w:rFonts w:ascii="Times New Roman" w:hAnsi="Times New Roman" w:cs="Times New Roman"/>
                <w:spacing w:val="-2"/>
                <w:sz w:val="20"/>
                <w:szCs w:val="20"/>
              </w:rPr>
              <w:t xml:space="preserve">per </w:t>
            </w:r>
            <w:r w:rsidRPr="00137482">
              <w:rPr>
                <w:rFonts w:ascii="Times New Roman" w:hAnsi="Times New Roman" w:cs="Times New Roman"/>
                <w:sz w:val="20"/>
                <w:szCs w:val="20"/>
              </w:rPr>
              <w:t>set, but catch per day or trip may also be examined), including fleet, location, oceanography, FAD set density (as a proxy for FAD density), observed FAD design, vessel characteristics, stock abundance, etc.</w:t>
            </w:r>
            <w:r w:rsidRPr="00137482">
              <w:rPr>
                <w:rFonts w:ascii="Times New Roman" w:hAnsi="Times New Roman" w:cs="Times New Roman"/>
                <w:spacing w:val="-36"/>
                <w:sz w:val="20"/>
                <w:szCs w:val="20"/>
              </w:rPr>
              <w:t xml:space="preserve"> </w:t>
            </w:r>
            <w:r w:rsidRPr="00137482">
              <w:rPr>
                <w:rFonts w:ascii="Times New Roman" w:hAnsi="Times New Roman" w:cs="Times New Roman"/>
                <w:sz w:val="20"/>
                <w:szCs w:val="20"/>
              </w:rPr>
              <w:t>This may evaluate the probability of a successful set, as well as the level of catch if a set were</w:t>
            </w:r>
            <w:r w:rsidRPr="00137482">
              <w:rPr>
                <w:rFonts w:ascii="Times New Roman" w:hAnsi="Times New Roman" w:cs="Times New Roman"/>
                <w:spacing w:val="-10"/>
                <w:sz w:val="20"/>
                <w:szCs w:val="20"/>
              </w:rPr>
              <w:t xml:space="preserve"> </w:t>
            </w:r>
            <w:r w:rsidRPr="00137482">
              <w:rPr>
                <w:rFonts w:ascii="Times New Roman" w:hAnsi="Times New Roman" w:cs="Times New Roman"/>
                <w:sz w:val="20"/>
                <w:szCs w:val="20"/>
              </w:rPr>
              <w:t>successful.</w:t>
            </w:r>
          </w:p>
        </w:tc>
      </w:tr>
      <w:tr w:rsidR="009A53E1" w:rsidRPr="00137482" w14:paraId="0CF160F9" w14:textId="77777777" w:rsidTr="00137482">
        <w:tc>
          <w:tcPr>
            <w:tcW w:w="770" w:type="pct"/>
          </w:tcPr>
          <w:p w14:paraId="15DA1DB0" w14:textId="77777777" w:rsidR="009A53E1" w:rsidRPr="00137482" w:rsidRDefault="009A53E1" w:rsidP="00C06F80">
            <w:pPr>
              <w:widowControl/>
              <w:adjustRightInd w:val="0"/>
              <w:snapToGrid w:val="0"/>
              <w:spacing w:after="0"/>
              <w:rPr>
                <w:rFonts w:ascii="Times New Roman" w:hAnsi="Times New Roman" w:cs="Times New Roman"/>
                <w:sz w:val="20"/>
                <w:szCs w:val="20"/>
              </w:rPr>
            </w:pPr>
          </w:p>
        </w:tc>
        <w:tc>
          <w:tcPr>
            <w:tcW w:w="4230" w:type="pct"/>
          </w:tcPr>
          <w:p w14:paraId="6BB19F1C"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Identify data gaps and provide advice on potential areas of additional data collection to improve future analyses.</w:t>
            </w:r>
          </w:p>
          <w:p w14:paraId="1831DB87" w14:textId="77777777" w:rsidR="009A53E1" w:rsidRPr="00137482" w:rsidRDefault="009A53E1" w:rsidP="00C06F80">
            <w:pPr>
              <w:pStyle w:val="TableParagraph"/>
              <w:widowControl/>
              <w:adjustRightInd w:val="0"/>
              <w:snapToGrid w:val="0"/>
              <w:ind w:left="0"/>
              <w:jc w:val="left"/>
              <w:rPr>
                <w:rFonts w:ascii="Times New Roman" w:hAnsi="Times New Roman" w:cs="Times New Roman"/>
                <w:sz w:val="20"/>
                <w:szCs w:val="20"/>
              </w:rPr>
            </w:pPr>
          </w:p>
          <w:p w14:paraId="4BBF822A" w14:textId="77777777" w:rsidR="009A53E1" w:rsidRPr="00137482" w:rsidRDefault="009A53E1" w:rsidP="00C06F80">
            <w:pPr>
              <w:pStyle w:val="TableParagraph"/>
              <w:widowControl/>
              <w:adjustRightInd w:val="0"/>
              <w:snapToGrid w:val="0"/>
              <w:ind w:right="101"/>
              <w:rPr>
                <w:rFonts w:ascii="Times New Roman" w:hAnsi="Times New Roman" w:cs="Times New Roman"/>
                <w:sz w:val="20"/>
                <w:szCs w:val="20"/>
              </w:rPr>
            </w:pPr>
            <w:r w:rsidRPr="00137482">
              <w:rPr>
                <w:rFonts w:ascii="Times New Roman" w:hAnsi="Times New Roman" w:cs="Times New Roman"/>
                <w:sz w:val="20"/>
                <w:szCs w:val="20"/>
              </w:rPr>
              <w:t>Where observer information is sufficient, work will also examine the number and activities of supply vessels, including identifying which particular purse seine vessels each support, and the number of FADs being deployed and serviced by such vessels.</w:t>
            </w:r>
          </w:p>
        </w:tc>
      </w:tr>
      <w:tr w:rsidR="009A53E1" w:rsidRPr="00137482" w14:paraId="093E7429" w14:textId="77777777" w:rsidTr="00137482">
        <w:tc>
          <w:tcPr>
            <w:tcW w:w="770" w:type="pct"/>
          </w:tcPr>
          <w:p w14:paraId="2321F086"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Timeframe</w:t>
            </w:r>
          </w:p>
        </w:tc>
        <w:tc>
          <w:tcPr>
            <w:tcW w:w="4230" w:type="pct"/>
          </w:tcPr>
          <w:p w14:paraId="681503C4"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18 months</w:t>
            </w:r>
          </w:p>
        </w:tc>
      </w:tr>
      <w:tr w:rsidR="009A53E1" w:rsidRPr="00137482" w14:paraId="481D9489" w14:textId="77777777" w:rsidTr="00137482">
        <w:tc>
          <w:tcPr>
            <w:tcW w:w="770" w:type="pct"/>
          </w:tcPr>
          <w:p w14:paraId="3BFB0955" w14:textId="77777777" w:rsidR="009A53E1" w:rsidRPr="00137482" w:rsidRDefault="009A53E1" w:rsidP="00C06F80">
            <w:pPr>
              <w:pStyle w:val="TableParagraph"/>
              <w:widowControl/>
              <w:adjustRightInd w:val="0"/>
              <w:snapToGrid w:val="0"/>
              <w:jc w:val="left"/>
              <w:rPr>
                <w:rFonts w:ascii="Times New Roman" w:hAnsi="Times New Roman" w:cs="Times New Roman"/>
                <w:sz w:val="20"/>
                <w:szCs w:val="20"/>
              </w:rPr>
            </w:pPr>
            <w:r w:rsidRPr="00137482">
              <w:rPr>
                <w:rFonts w:ascii="Times New Roman" w:hAnsi="Times New Roman" w:cs="Times New Roman"/>
                <w:sz w:val="20"/>
                <w:szCs w:val="20"/>
              </w:rPr>
              <w:t>Budget</w:t>
            </w:r>
          </w:p>
        </w:tc>
        <w:tc>
          <w:tcPr>
            <w:tcW w:w="4230" w:type="pct"/>
          </w:tcPr>
          <w:p w14:paraId="28A1E3D0" w14:textId="77777777" w:rsidR="009A53E1" w:rsidRPr="00137482" w:rsidRDefault="009A53E1" w:rsidP="00C06F80">
            <w:pPr>
              <w:pStyle w:val="TableParagraph"/>
              <w:widowControl/>
              <w:adjustRightInd w:val="0"/>
              <w:snapToGrid w:val="0"/>
              <w:ind w:right="5119"/>
              <w:jc w:val="left"/>
              <w:rPr>
                <w:rFonts w:ascii="Times New Roman" w:hAnsi="Times New Roman" w:cs="Times New Roman"/>
                <w:sz w:val="20"/>
                <w:szCs w:val="20"/>
              </w:rPr>
            </w:pPr>
            <w:r w:rsidRPr="00137482">
              <w:rPr>
                <w:rFonts w:ascii="Times New Roman" w:hAnsi="Times New Roman" w:cs="Times New Roman"/>
                <w:sz w:val="20"/>
                <w:szCs w:val="20"/>
              </w:rPr>
              <w:t>1.5 year FTE at SPC USD$182,000</w:t>
            </w:r>
          </w:p>
          <w:p w14:paraId="65AD658C" w14:textId="77777777" w:rsidR="009A53E1" w:rsidRPr="00137482" w:rsidRDefault="009A53E1" w:rsidP="00C06F80">
            <w:pPr>
              <w:pStyle w:val="TableParagraph"/>
              <w:widowControl/>
              <w:adjustRightInd w:val="0"/>
              <w:snapToGrid w:val="0"/>
              <w:ind w:right="1211"/>
              <w:jc w:val="left"/>
              <w:rPr>
                <w:rFonts w:ascii="Times New Roman" w:hAnsi="Times New Roman" w:cs="Times New Roman"/>
                <w:sz w:val="20"/>
                <w:szCs w:val="20"/>
              </w:rPr>
            </w:pPr>
            <w:r w:rsidRPr="00137482">
              <w:rPr>
                <w:rFonts w:ascii="Times New Roman" w:hAnsi="Times New Roman" w:cs="Times New Roman"/>
                <w:sz w:val="20"/>
                <w:szCs w:val="20"/>
              </w:rPr>
              <w:t>Associated travel and subsistence to relevant WCPFC meetings USD$20,000</w:t>
            </w:r>
          </w:p>
        </w:tc>
      </w:tr>
    </w:tbl>
    <w:p w14:paraId="4ABA93C5" w14:textId="77777777" w:rsidR="009A53E1" w:rsidRPr="00137482" w:rsidRDefault="009A53E1" w:rsidP="009A53E1">
      <w:pPr>
        <w:rPr>
          <w:sz w:val="20"/>
          <w:szCs w:val="20"/>
          <w:lang w:eastAsia="ko-KR"/>
        </w:rPr>
      </w:pPr>
    </w:p>
    <w:p w14:paraId="72C3B83E" w14:textId="77777777" w:rsidR="009A53E1" w:rsidRPr="00137482" w:rsidRDefault="009A53E1" w:rsidP="009A53E1">
      <w:pPr>
        <w:adjustRightInd w:val="0"/>
        <w:snapToGrid w:val="0"/>
        <w:spacing w:after="0"/>
        <w:jc w:val="center"/>
        <w:rPr>
          <w:rFonts w:ascii="Times New Roman" w:hAnsi="Times New Roman"/>
          <w:sz w:val="20"/>
          <w:szCs w:val="20"/>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98"/>
        <w:gridCol w:w="8178"/>
      </w:tblGrid>
      <w:tr w:rsidR="009A53E1" w:rsidRPr="00137482" w14:paraId="7F65052D" w14:textId="77777777" w:rsidTr="00C06F80">
        <w:tc>
          <w:tcPr>
            <w:tcW w:w="9576" w:type="dxa"/>
            <w:gridSpan w:val="2"/>
          </w:tcPr>
          <w:p w14:paraId="59800DE5" w14:textId="598EF163"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eastAsia="맑은 고딕" w:hAnsi="Times New Roman"/>
                <w:b/>
                <w:sz w:val="20"/>
                <w:szCs w:val="20"/>
                <w:lang w:eastAsia="ko-KR"/>
              </w:rPr>
              <w:t>PROJECT 90.</w:t>
            </w:r>
          </w:p>
          <w:p w14:paraId="20A1EF46" w14:textId="77777777" w:rsidR="009A53E1" w:rsidRPr="00137482" w:rsidRDefault="009A53E1" w:rsidP="00C06F80">
            <w:pPr>
              <w:adjustRightInd w:val="0"/>
              <w:snapToGrid w:val="0"/>
              <w:spacing w:after="0"/>
              <w:rPr>
                <w:rFonts w:ascii="Times New Roman" w:eastAsia="맑은 고딕" w:hAnsi="Times New Roman"/>
                <w:b/>
                <w:sz w:val="20"/>
                <w:szCs w:val="20"/>
                <w:lang w:eastAsia="ko-KR"/>
              </w:rPr>
            </w:pPr>
            <w:r w:rsidRPr="00137482">
              <w:rPr>
                <w:rFonts w:ascii="Times New Roman" w:hAnsi="Times New Roman"/>
                <w:b/>
                <w:sz w:val="20"/>
                <w:szCs w:val="20"/>
              </w:rPr>
              <w:t>Better data on fish weights and lengths for scientific analyses</w:t>
            </w:r>
          </w:p>
        </w:tc>
      </w:tr>
      <w:tr w:rsidR="009A53E1" w:rsidRPr="00137482" w14:paraId="34CBEE3F"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2"/>
            <w:shd w:val="clear" w:color="auto" w:fill="4BACC6" w:themeFill="accent5"/>
          </w:tcPr>
          <w:p w14:paraId="61848AC1"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#XX</w:t>
            </w:r>
          </w:p>
        </w:tc>
      </w:tr>
      <w:tr w:rsidR="009A53E1" w:rsidRPr="00137482" w14:paraId="5E85B466"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shd w:val="clear" w:color="auto" w:fill="92D050"/>
          </w:tcPr>
          <w:p w14:paraId="0E7FC274"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Project</w:t>
            </w:r>
          </w:p>
        </w:tc>
        <w:tc>
          <w:tcPr>
            <w:tcW w:w="8178" w:type="dxa"/>
            <w:shd w:val="clear" w:color="auto" w:fill="92D050"/>
          </w:tcPr>
          <w:p w14:paraId="56538E44" w14:textId="77777777" w:rsidR="009A53E1" w:rsidRPr="00137482" w:rsidRDefault="009A53E1" w:rsidP="00C06F80">
            <w:pPr>
              <w:adjustRightInd w:val="0"/>
              <w:snapToGrid w:val="0"/>
              <w:spacing w:after="0"/>
              <w:rPr>
                <w:rFonts w:ascii="Times New Roman" w:hAnsi="Times New Roman"/>
                <w:b/>
                <w:sz w:val="20"/>
                <w:szCs w:val="20"/>
              </w:rPr>
            </w:pPr>
            <w:r w:rsidRPr="00137482">
              <w:rPr>
                <w:rFonts w:ascii="Times New Roman" w:hAnsi="Times New Roman"/>
                <w:b/>
                <w:sz w:val="20"/>
                <w:szCs w:val="20"/>
              </w:rPr>
              <w:t>Better data on fish weights and lengths for scientific analyses</w:t>
            </w:r>
          </w:p>
        </w:tc>
      </w:tr>
      <w:tr w:rsidR="009A53E1" w:rsidRPr="00137482" w14:paraId="5C4CEBE5"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4A6683E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Objectives</w:t>
            </w:r>
          </w:p>
        </w:tc>
        <w:tc>
          <w:tcPr>
            <w:tcW w:w="8178" w:type="dxa"/>
          </w:tcPr>
          <w:p w14:paraId="59DED60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This project has two objectives:</w:t>
            </w:r>
          </w:p>
          <w:p w14:paraId="54C5FC0C"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to systematically collect representative samples of length measurements of bycatch species to support future estimation of fish bycatch in the WCPO; and</w:t>
            </w:r>
          </w:p>
          <w:p w14:paraId="4A633DF6"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proofErr w:type="gramStart"/>
            <w:r w:rsidRPr="00137482">
              <w:rPr>
                <w:rFonts w:ascii="Times New Roman" w:hAnsi="Times New Roman"/>
                <w:sz w:val="20"/>
                <w:szCs w:val="20"/>
              </w:rPr>
              <w:t>to</w:t>
            </w:r>
            <w:proofErr w:type="gramEnd"/>
            <w:r w:rsidRPr="00137482">
              <w:rPr>
                <w:rFonts w:ascii="Times New Roman" w:hAnsi="Times New Roman"/>
                <w:sz w:val="20"/>
                <w:szCs w:val="20"/>
              </w:rPr>
              <w:t xml:space="preserve"> systematically collect length:length, length:weight and weight:weight data on all species to better inform future estimation of fish bycatch in the WCPO.</w:t>
            </w:r>
          </w:p>
        </w:tc>
      </w:tr>
      <w:tr w:rsidR="009A53E1" w:rsidRPr="00137482" w14:paraId="7D06E443"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0E028EC1"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Note</w:t>
            </w:r>
          </w:p>
        </w:tc>
        <w:tc>
          <w:tcPr>
            <w:tcW w:w="8178" w:type="dxa"/>
          </w:tcPr>
          <w:p w14:paraId="132B3E6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Although these two objectives are distinct, they have been combined into a single project to avoid any possible duplication of effort, and, as there will likely be combined tasking of observers and port-samplers in future data collection arising from the project.</w:t>
            </w:r>
          </w:p>
        </w:tc>
      </w:tr>
      <w:tr w:rsidR="009A53E1" w:rsidRPr="00137482" w14:paraId="5C9D4E6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0C6FEA8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Rationale</w:t>
            </w:r>
          </w:p>
          <w:p w14:paraId="3C85378D" w14:textId="77777777" w:rsidR="009A53E1" w:rsidRPr="00137482" w:rsidRDefault="009A53E1" w:rsidP="00C06F80">
            <w:pPr>
              <w:adjustRightInd w:val="0"/>
              <w:snapToGrid w:val="0"/>
              <w:spacing w:after="0"/>
              <w:rPr>
                <w:rFonts w:ascii="Times New Roman" w:hAnsi="Times New Roman"/>
                <w:sz w:val="20"/>
                <w:szCs w:val="20"/>
              </w:rPr>
            </w:pPr>
          </w:p>
          <w:p w14:paraId="5DB0F563" w14:textId="77777777" w:rsidR="009A53E1" w:rsidRPr="00137482" w:rsidRDefault="009A53E1" w:rsidP="00C06F80">
            <w:pPr>
              <w:adjustRightInd w:val="0"/>
              <w:snapToGrid w:val="0"/>
              <w:spacing w:after="0"/>
              <w:rPr>
                <w:rFonts w:ascii="Times New Roman" w:hAnsi="Times New Roman"/>
                <w:sz w:val="20"/>
                <w:szCs w:val="20"/>
              </w:rPr>
            </w:pPr>
          </w:p>
        </w:tc>
        <w:tc>
          <w:tcPr>
            <w:tcW w:w="8178" w:type="dxa"/>
          </w:tcPr>
          <w:p w14:paraId="68C2B6A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Estimates of bycatch are currently collected through the ROP in units of number, weight or both. In order to convert from numbers to weight, and vice versa, it is necessary to have information on both the size of caught individuals, and appropriate length</w:t>
            </w:r>
            <w:proofErr w:type="gramStart"/>
            <w:r w:rsidRPr="00137482">
              <w:rPr>
                <w:rFonts w:ascii="Times New Roman" w:hAnsi="Times New Roman"/>
                <w:sz w:val="20"/>
                <w:szCs w:val="20"/>
              </w:rPr>
              <w:t>:weight</w:t>
            </w:r>
            <w:proofErr w:type="gramEnd"/>
            <w:r w:rsidRPr="00137482">
              <w:rPr>
                <w:rFonts w:ascii="Times New Roman" w:hAnsi="Times New Roman"/>
                <w:sz w:val="20"/>
                <w:szCs w:val="20"/>
              </w:rPr>
              <w:t xml:space="preserve">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bycatch length data allows for consideration of the life-stages of individuals. This information could be of particular interest when considering bycatches of species of special interest. There are currently insufficient, or unrepresentative, length samples for species caught in purse seine fisheries, with the exception of bigeye, yellowfin and bigeye which are sampled through observer grab samples. This project would fill this data gap.</w:t>
            </w:r>
          </w:p>
          <w:p w14:paraId="10E5D66C" w14:textId="77777777" w:rsidR="009A53E1" w:rsidRPr="00137482" w:rsidRDefault="009A53E1" w:rsidP="00C06F80">
            <w:pPr>
              <w:adjustRightInd w:val="0"/>
              <w:snapToGrid w:val="0"/>
              <w:spacing w:after="0"/>
              <w:rPr>
                <w:rFonts w:ascii="Times New Roman" w:hAnsi="Times New Roman"/>
                <w:sz w:val="20"/>
                <w:szCs w:val="20"/>
              </w:rPr>
            </w:pPr>
          </w:p>
          <w:p w14:paraId="5C5FB816"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Accordingly, this project addresses two objectives arising from discussion at SC13 about the results of regional estimates of purse seine bycatch (Peatman et al., 2017). As a result of those discussions SC13 recommended that the Scientific Service Provider be tasked with:</w:t>
            </w:r>
          </w:p>
          <w:p w14:paraId="5F260F70"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designing and co-ordinating the systematic collection of representative samples of length measurements of bycatch species; and</w:t>
            </w:r>
          </w:p>
          <w:p w14:paraId="522B27A9"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proofErr w:type="gramStart"/>
            <w:r w:rsidRPr="00137482">
              <w:rPr>
                <w:rFonts w:ascii="Times New Roman" w:hAnsi="Times New Roman"/>
                <w:sz w:val="20"/>
                <w:szCs w:val="20"/>
              </w:rPr>
              <w:t>a</w:t>
            </w:r>
            <w:proofErr w:type="gramEnd"/>
            <w:r w:rsidRPr="00137482">
              <w:rPr>
                <w:rFonts w:ascii="Times New Roman" w:hAnsi="Times New Roman"/>
                <w:sz w:val="20"/>
                <w:szCs w:val="20"/>
              </w:rPr>
              <w:t xml:space="preserve"> project to design and co-ordinate the systematic collection of length:length, length:weight and weight:weight data on all species to better inform bycatch estimation.</w:t>
            </w:r>
          </w:p>
        </w:tc>
      </w:tr>
      <w:tr w:rsidR="009A53E1" w:rsidRPr="00137482" w14:paraId="570AB488"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19D6386A"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Assumptions</w:t>
            </w:r>
          </w:p>
        </w:tc>
        <w:tc>
          <w:tcPr>
            <w:tcW w:w="8178" w:type="dxa"/>
          </w:tcPr>
          <w:p w14:paraId="4A3EF04E"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Achievement of the objectives is subject to the following assumptions:</w:t>
            </w:r>
          </w:p>
          <w:p w14:paraId="6B95CA35"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sufficient data are available to support the sampling design analyses;</w:t>
            </w:r>
          </w:p>
          <w:p w14:paraId="6C7B4657"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sampling designs can be developed which are statistically robust and would support future estimation of fish bycatch in the WCPO;</w:t>
            </w:r>
          </w:p>
          <w:p w14:paraId="504677CF"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current observer equipment (e.g. callipers) is suitable for the length sampling protocols;</w:t>
            </w:r>
          </w:p>
          <w:p w14:paraId="3A6F11F2"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suitable and cost-effective equipment can be sourced for robust weight data collection</w:t>
            </w:r>
          </w:p>
          <w:p w14:paraId="52105145"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proofErr w:type="gramStart"/>
            <w:r w:rsidRPr="00137482">
              <w:rPr>
                <w:rFonts w:ascii="Times New Roman" w:hAnsi="Times New Roman"/>
                <w:sz w:val="20"/>
                <w:szCs w:val="20"/>
              </w:rPr>
              <w:t>data</w:t>
            </w:r>
            <w:proofErr w:type="gramEnd"/>
            <w:r w:rsidRPr="00137482">
              <w:rPr>
                <w:rFonts w:ascii="Times New Roman" w:hAnsi="Times New Roman"/>
                <w:sz w:val="20"/>
                <w:szCs w:val="20"/>
              </w:rPr>
              <w:t xml:space="preserve"> collection can be integrated into existing sampling events in-port and at-sea.</w:t>
            </w:r>
          </w:p>
        </w:tc>
      </w:tr>
      <w:tr w:rsidR="009A53E1" w:rsidRPr="00137482" w14:paraId="227114FE"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50BCB7E5"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Scope</w:t>
            </w:r>
          </w:p>
        </w:tc>
        <w:tc>
          <w:tcPr>
            <w:tcW w:w="8178" w:type="dxa"/>
          </w:tcPr>
          <w:p w14:paraId="72E7BB0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The proposed work programme comprises:</w:t>
            </w:r>
          </w:p>
          <w:p w14:paraId="3EFE2E5E"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data compilation activities;</w:t>
            </w:r>
          </w:p>
          <w:p w14:paraId="3845A28B"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subsequent</w:t>
            </w:r>
            <w:r w:rsidRPr="00137482">
              <w:rPr>
                <w:rFonts w:ascii="Times New Roman" w:hAnsi="Times New Roman"/>
                <w:color w:val="FF0000"/>
                <w:sz w:val="20"/>
                <w:szCs w:val="20"/>
              </w:rPr>
              <w:t xml:space="preserve"> </w:t>
            </w:r>
            <w:r w:rsidRPr="00137482">
              <w:rPr>
                <w:rFonts w:ascii="Times New Roman" w:hAnsi="Times New Roman"/>
                <w:sz w:val="20"/>
                <w:szCs w:val="20"/>
              </w:rPr>
              <w:t>statistical analysis activities to design future sampling approaches;</w:t>
            </w:r>
          </w:p>
          <w:p w14:paraId="62797287"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evaluation of designs for practical field application;</w:t>
            </w:r>
          </w:p>
          <w:p w14:paraId="682BA28C"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 xml:space="preserve">trials of selected sampling approaches in the field along with trials of equipment required to complete the sampling designs; </w:t>
            </w:r>
          </w:p>
          <w:p w14:paraId="6D07B836"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finalisation of future sampling protocols;</w:t>
            </w:r>
          </w:p>
          <w:p w14:paraId="5C32EA46"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development of associated training standards;</w:t>
            </w:r>
          </w:p>
          <w:p w14:paraId="2852669C"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incorporation of training into trainer trainings and biological sampling trainings as required;</w:t>
            </w:r>
          </w:p>
          <w:p w14:paraId="7C3726B7"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r w:rsidRPr="00137482">
              <w:rPr>
                <w:rFonts w:ascii="Times New Roman" w:hAnsi="Times New Roman"/>
                <w:sz w:val="20"/>
                <w:szCs w:val="20"/>
              </w:rPr>
              <w:t>ongoing co-ordination of sample collection and data submission; and</w:t>
            </w:r>
          </w:p>
          <w:p w14:paraId="6AD53596" w14:textId="77777777" w:rsidR="009A53E1" w:rsidRPr="00137482" w:rsidRDefault="009A53E1" w:rsidP="0074425A">
            <w:pPr>
              <w:pStyle w:val="ListParagraph"/>
              <w:numPr>
                <w:ilvl w:val="0"/>
                <w:numId w:val="175"/>
              </w:numPr>
              <w:adjustRightInd w:val="0"/>
              <w:snapToGrid w:val="0"/>
              <w:ind w:left="317" w:hanging="142"/>
              <w:contextualSpacing w:val="0"/>
              <w:rPr>
                <w:rFonts w:ascii="Times New Roman" w:hAnsi="Times New Roman"/>
                <w:sz w:val="20"/>
                <w:szCs w:val="20"/>
              </w:rPr>
            </w:pPr>
            <w:proofErr w:type="gramStart"/>
            <w:r w:rsidRPr="00137482">
              <w:rPr>
                <w:rFonts w:ascii="Times New Roman" w:hAnsi="Times New Roman"/>
                <w:sz w:val="20"/>
                <w:szCs w:val="20"/>
              </w:rPr>
              <w:t>reporting</w:t>
            </w:r>
            <w:proofErr w:type="gramEnd"/>
            <w:r w:rsidRPr="00137482">
              <w:rPr>
                <w:rFonts w:ascii="Times New Roman" w:hAnsi="Times New Roman"/>
                <w:sz w:val="20"/>
                <w:szCs w:val="20"/>
              </w:rPr>
              <w:t xml:space="preserve"> on designs and progress with implementation and data collection.</w:t>
            </w:r>
          </w:p>
          <w:p w14:paraId="1075A61E" w14:textId="77777777" w:rsidR="009A53E1" w:rsidRPr="00137482" w:rsidRDefault="009A53E1" w:rsidP="00C06F80">
            <w:pPr>
              <w:adjustRightInd w:val="0"/>
              <w:snapToGrid w:val="0"/>
              <w:spacing w:after="0"/>
              <w:rPr>
                <w:rFonts w:ascii="Times New Roman" w:hAnsi="Times New Roman"/>
                <w:sz w:val="20"/>
                <w:szCs w:val="20"/>
              </w:rPr>
            </w:pPr>
          </w:p>
          <w:p w14:paraId="0C7292A9" w14:textId="2281863C" w:rsidR="009A53E1" w:rsidRPr="00137482" w:rsidRDefault="009A53E1" w:rsidP="00444E27">
            <w:pPr>
              <w:adjustRightInd w:val="0"/>
              <w:snapToGrid w:val="0"/>
              <w:spacing w:after="0"/>
              <w:rPr>
                <w:rFonts w:ascii="Times New Roman" w:hAnsi="Times New Roman"/>
                <w:sz w:val="20"/>
                <w:szCs w:val="20"/>
              </w:rPr>
            </w:pPr>
            <w:r w:rsidRPr="00137482">
              <w:rPr>
                <w:rFonts w:ascii="Times New Roman" w:hAnsi="Times New Roman"/>
                <w:sz w:val="20"/>
                <w:szCs w:val="20"/>
              </w:rPr>
              <w:t xml:space="preserve">It is intended that a preliminary report would be prepared for SC14 and a more comprehensive report </w:t>
            </w:r>
            <w:r w:rsidR="00444E27">
              <w:rPr>
                <w:rFonts w:ascii="Times New Roman" w:hAnsi="Times New Roman"/>
                <w:sz w:val="20"/>
                <w:szCs w:val="20"/>
              </w:rPr>
              <w:t>for</w:t>
            </w:r>
            <w:r w:rsidRPr="00137482">
              <w:rPr>
                <w:rFonts w:ascii="Times New Roman" w:hAnsi="Times New Roman"/>
                <w:sz w:val="20"/>
                <w:szCs w:val="20"/>
              </w:rPr>
              <w:t xml:space="preserve"> SC15.</w:t>
            </w:r>
          </w:p>
        </w:tc>
      </w:tr>
      <w:tr w:rsidR="009A53E1" w:rsidRPr="00137482" w14:paraId="68C3031B"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673F259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Timeframe</w:t>
            </w:r>
          </w:p>
        </w:tc>
        <w:tc>
          <w:tcPr>
            <w:tcW w:w="8178" w:type="dxa"/>
          </w:tcPr>
          <w:p w14:paraId="7C912EF2"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33 months (from January 2018 through September 2020)</w:t>
            </w:r>
          </w:p>
        </w:tc>
      </w:tr>
      <w:tr w:rsidR="009A53E1" w:rsidRPr="00137482" w14:paraId="27D81300"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1C5B1321"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Budget</w:t>
            </w:r>
          </w:p>
        </w:tc>
        <w:tc>
          <w:tcPr>
            <w:tcW w:w="8178" w:type="dxa"/>
          </w:tcPr>
          <w:p w14:paraId="6CF9972D"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2018 USD$40,000</w:t>
            </w:r>
          </w:p>
          <w:p w14:paraId="3E299069"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2019 USD$20,000</w:t>
            </w:r>
          </w:p>
          <w:p w14:paraId="5B95D7BF"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2020 USD$15,000</w:t>
            </w:r>
          </w:p>
          <w:p w14:paraId="1E829ECB" w14:textId="77777777" w:rsidR="009A53E1" w:rsidRPr="00137482" w:rsidRDefault="009A53E1" w:rsidP="00C06F80">
            <w:pPr>
              <w:adjustRightInd w:val="0"/>
              <w:snapToGrid w:val="0"/>
              <w:spacing w:after="0"/>
              <w:rPr>
                <w:rFonts w:ascii="Times New Roman" w:hAnsi="Times New Roman"/>
                <w:sz w:val="20"/>
                <w:szCs w:val="20"/>
              </w:rPr>
            </w:pPr>
          </w:p>
          <w:p w14:paraId="1412948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It does not cover the costs of CCMs in implementing the protocols of the purchase of related equipment. This will require co-funding or additional funding depending on the designs selected in the design and testing phase any may require additional requests for funding from SC14. </w:t>
            </w:r>
          </w:p>
        </w:tc>
      </w:tr>
      <w:tr w:rsidR="009A53E1" w:rsidRPr="00137482" w14:paraId="5AD8A082" w14:textId="77777777" w:rsidTr="00C06F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275D9D53" w14:textId="77777777" w:rsidR="009A53E1" w:rsidRPr="00137482" w:rsidRDefault="009A53E1" w:rsidP="00C06F80">
            <w:pPr>
              <w:adjustRightInd w:val="0"/>
              <w:snapToGrid w:val="0"/>
              <w:spacing w:after="0"/>
              <w:rPr>
                <w:rFonts w:ascii="Times New Roman" w:hAnsi="Times New Roman"/>
                <w:sz w:val="20"/>
                <w:szCs w:val="20"/>
              </w:rPr>
            </w:pPr>
            <w:r w:rsidRPr="00137482">
              <w:rPr>
                <w:rFonts w:ascii="Times New Roman" w:hAnsi="Times New Roman"/>
                <w:sz w:val="20"/>
                <w:szCs w:val="20"/>
              </w:rPr>
              <w:t>References</w:t>
            </w:r>
          </w:p>
        </w:tc>
        <w:tc>
          <w:tcPr>
            <w:tcW w:w="8178" w:type="dxa"/>
          </w:tcPr>
          <w:p w14:paraId="4D694714" w14:textId="3A2E278F" w:rsidR="009A53E1" w:rsidRPr="00137482" w:rsidRDefault="009A53E1" w:rsidP="00D35815">
            <w:pPr>
              <w:adjustRightInd w:val="0"/>
              <w:snapToGrid w:val="0"/>
              <w:spacing w:after="0"/>
              <w:rPr>
                <w:rFonts w:ascii="Times New Roman" w:hAnsi="Times New Roman"/>
                <w:sz w:val="20"/>
                <w:szCs w:val="20"/>
              </w:rPr>
            </w:pPr>
            <w:r w:rsidRPr="00137482">
              <w:rPr>
                <w:rFonts w:ascii="Times New Roman" w:hAnsi="Times New Roman"/>
                <w:sz w:val="20"/>
                <w:szCs w:val="20"/>
              </w:rPr>
              <w:t>Peatman, T., Allain, V., Caillot, S., Williams, P., and Smith, N. 2017. Summary of purse seine fishery bycatch at a regional scale, 2003-2016. SC13-ST-WP-05. Thirteenth regular session of the Scientific Committee of the Western and Central Pacific Fisheries Commission. Rarotonga, Cook Islands, 9-17 August 2017.</w:t>
            </w:r>
          </w:p>
        </w:tc>
      </w:tr>
    </w:tbl>
    <w:p w14:paraId="439277B0" w14:textId="77777777" w:rsidR="009A53E1" w:rsidRPr="00137482" w:rsidRDefault="009A53E1" w:rsidP="009A53E1">
      <w:pPr>
        <w:adjustRightInd w:val="0"/>
        <w:snapToGrid w:val="0"/>
        <w:spacing w:after="0"/>
        <w:rPr>
          <w:rFonts w:ascii="Times New Roman" w:hAnsi="Times New Roman"/>
          <w:sz w:val="20"/>
          <w:szCs w:val="20"/>
        </w:rPr>
      </w:pPr>
    </w:p>
    <w:p w14:paraId="65067A52" w14:textId="77777777" w:rsidR="009A53E1" w:rsidRPr="00137482" w:rsidRDefault="009A53E1" w:rsidP="009A53E1">
      <w:pPr>
        <w:adjustRightInd w:val="0"/>
        <w:snapToGrid w:val="0"/>
        <w:spacing w:after="0"/>
        <w:rPr>
          <w:rFonts w:ascii="Times New Roman" w:eastAsia="맑은 고딕" w:hAnsi="Times New Roman"/>
          <w:b/>
          <w:sz w:val="20"/>
          <w:szCs w:val="20"/>
          <w:lang w:eastAsia="ko-KR"/>
        </w:rPr>
      </w:pPr>
    </w:p>
    <w:p w14:paraId="320C2699" w14:textId="77777777" w:rsidR="00C416B4" w:rsidRPr="00137482" w:rsidRDefault="00C416B4" w:rsidP="00DF02F5">
      <w:pPr>
        <w:adjustRightInd w:val="0"/>
        <w:snapToGrid w:val="0"/>
        <w:spacing w:after="0"/>
        <w:rPr>
          <w:rFonts w:ascii="Times New Roman" w:hAnsi="Times New Roman"/>
          <w:sz w:val="20"/>
          <w:szCs w:val="20"/>
          <w:lang w:val="en-US"/>
        </w:rPr>
      </w:pPr>
    </w:p>
    <w:sectPr w:rsidR="00C416B4" w:rsidRPr="00137482" w:rsidSect="00C06F80">
      <w:headerReference w:type="even" r:id="rId99"/>
      <w:headerReference w:type="default" r:id="rId100"/>
      <w:headerReference w:type="first" r:id="rId101"/>
      <w:pgSz w:w="12240" w:h="15840" w:code="1"/>
      <w:pgMar w:top="1440" w:right="1440" w:bottom="1440" w:left="1440"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6E2A42" w15:done="0"/>
  <w15:commentEx w15:paraId="0557EC43" w15:done="0"/>
  <w15:commentEx w15:paraId="6689E841" w15:done="0"/>
  <w15:commentEx w15:paraId="4FA30C3B" w15:done="0"/>
  <w15:commentEx w15:paraId="0BF7E2C6" w15:done="0"/>
  <w15:commentEx w15:paraId="3DA9917B" w15:done="0"/>
  <w15:commentEx w15:paraId="67970944" w15:done="0"/>
  <w15:commentEx w15:paraId="2D7F637D" w15:done="0"/>
  <w15:commentEx w15:paraId="5E4C8D66" w15:done="0"/>
  <w15:commentEx w15:paraId="7E798761" w15:done="0"/>
  <w15:commentEx w15:paraId="4BC53317" w15:done="0"/>
  <w15:commentEx w15:paraId="7D499C7C" w15:done="0"/>
  <w15:commentEx w15:paraId="7606E2E5" w15:done="0"/>
  <w15:commentEx w15:paraId="6589A1B0" w15:done="0"/>
  <w15:commentEx w15:paraId="5718D621" w15:done="0"/>
  <w15:commentEx w15:paraId="305A7D93" w15:done="0"/>
  <w15:commentEx w15:paraId="190EAA34" w15:done="0"/>
  <w15:commentEx w15:paraId="7A5E906C" w15:done="0"/>
  <w15:commentEx w15:paraId="5AB2BA01" w15:done="0"/>
  <w15:commentEx w15:paraId="013C52CC" w15:paraIdParent="5AB2BA01" w15:done="0"/>
  <w15:commentEx w15:paraId="754E1C17" w15:done="0"/>
  <w15:commentEx w15:paraId="704F05F3" w15:done="0"/>
  <w15:commentEx w15:paraId="1909DDA8" w15:done="0"/>
  <w15:commentEx w15:paraId="1A770D5D" w15:done="0"/>
  <w15:commentEx w15:paraId="03FCDF64" w15:done="0"/>
  <w15:commentEx w15:paraId="63DD1BA4" w15:done="0"/>
  <w15:commentEx w15:paraId="358727E3" w15:done="0"/>
  <w15:commentEx w15:paraId="19E199A2" w15:done="0"/>
  <w15:commentEx w15:paraId="385DA2DF" w15:done="0"/>
  <w15:commentEx w15:paraId="3C5C9AD3" w15:done="0"/>
  <w15:commentEx w15:paraId="37C5FC8E" w15:done="0"/>
  <w15:commentEx w15:paraId="69ED0008" w15:done="0"/>
  <w15:commentEx w15:paraId="61AB2E8A" w15:done="0"/>
  <w15:commentEx w15:paraId="727ABDC1" w15:done="0"/>
  <w15:commentEx w15:paraId="1863F334" w15:done="0"/>
  <w15:commentEx w15:paraId="34F4BCAA" w15:done="0"/>
  <w15:commentEx w15:paraId="228FB412" w15:done="0"/>
  <w15:commentEx w15:paraId="534E13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36A24" w14:textId="77777777" w:rsidR="00294FB1" w:rsidRDefault="00294FB1" w:rsidP="00D40B2A">
      <w:pPr>
        <w:spacing w:after="0"/>
      </w:pPr>
      <w:r>
        <w:separator/>
      </w:r>
    </w:p>
  </w:endnote>
  <w:endnote w:type="continuationSeparator" w:id="0">
    <w:p w14:paraId="38BAC4D9" w14:textId="77777777" w:rsidR="00294FB1" w:rsidRDefault="00294FB1" w:rsidP="00D40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80000000" w:usb2="00000008"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MS PMincho">
    <w:altName w:val="MS Gothic"/>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961D7" w14:textId="3BAD2080" w:rsidR="005D0F04" w:rsidRPr="002F5BDA" w:rsidRDefault="005D0F04" w:rsidP="002114F4">
    <w:pPr>
      <w:pStyle w:val="Footer"/>
      <w:tabs>
        <w:tab w:val="left" w:pos="4399"/>
        <w:tab w:val="center" w:pos="4680"/>
      </w:tabs>
      <w:jc w:val="left"/>
      <w:rPr>
        <w:rFonts w:ascii="Times New Roman" w:hAnsi="Times New Roman"/>
      </w:rPr>
    </w:pPr>
    <w:r>
      <w:tab/>
    </w:r>
    <w:r>
      <w:tab/>
    </w:r>
    <w:r>
      <w:tab/>
    </w:r>
    <w:r w:rsidRPr="002F5BDA">
      <w:rPr>
        <w:rFonts w:ascii="Times New Roman" w:hAnsi="Times New Roman"/>
      </w:rPr>
      <w:fldChar w:fldCharType="begin"/>
    </w:r>
    <w:r w:rsidRPr="002F5BDA">
      <w:rPr>
        <w:rFonts w:ascii="Times New Roman" w:hAnsi="Times New Roman"/>
      </w:rPr>
      <w:instrText xml:space="preserve"> PAGE   \* MERGEFORMAT </w:instrText>
    </w:r>
    <w:r w:rsidRPr="002F5BDA">
      <w:rPr>
        <w:rFonts w:ascii="Times New Roman" w:hAnsi="Times New Roman"/>
      </w:rPr>
      <w:fldChar w:fldCharType="separate"/>
    </w:r>
    <w:r w:rsidR="00430AF7">
      <w:rPr>
        <w:rFonts w:ascii="Times New Roman" w:hAnsi="Times New Roman"/>
        <w:noProof/>
      </w:rPr>
      <w:t>228</w:t>
    </w:r>
    <w:r w:rsidRPr="002F5BDA">
      <w:rPr>
        <w:rFonts w:ascii="Times New Roman" w:hAnsi="Times New Roman"/>
        <w:noProof/>
      </w:rPr>
      <w:fldChar w:fldCharType="end"/>
    </w:r>
  </w:p>
  <w:p w14:paraId="3ACB7801" w14:textId="77777777" w:rsidR="005D0F04" w:rsidRDefault="005D0F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721992"/>
      <w:docPartObj>
        <w:docPartGallery w:val="Page Numbers (Bottom of Page)"/>
        <w:docPartUnique/>
      </w:docPartObj>
    </w:sdtPr>
    <w:sdtEndPr>
      <w:rPr>
        <w:noProof/>
      </w:rPr>
    </w:sdtEndPr>
    <w:sdtContent>
      <w:p w14:paraId="00C57254" w14:textId="23577E37" w:rsidR="005D0F04" w:rsidRDefault="005D0F04">
        <w:pPr>
          <w:pStyle w:val="Footer"/>
          <w:jc w:val="center"/>
        </w:pPr>
        <w:r>
          <w:fldChar w:fldCharType="begin"/>
        </w:r>
        <w:r>
          <w:instrText xml:space="preserve"> PAGE   \* MERGEFORMAT </w:instrText>
        </w:r>
        <w:r>
          <w:fldChar w:fldCharType="separate"/>
        </w:r>
        <w:r w:rsidR="00430AF7">
          <w:rPr>
            <w:noProof/>
          </w:rPr>
          <w:t>1</w:t>
        </w:r>
        <w:r>
          <w:rPr>
            <w:noProof/>
          </w:rPr>
          <w:fldChar w:fldCharType="end"/>
        </w:r>
      </w:p>
    </w:sdtContent>
  </w:sdt>
  <w:p w14:paraId="5AA9CD34" w14:textId="77777777" w:rsidR="005D0F04" w:rsidRDefault="005D0F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CDEEF" w14:textId="77777777" w:rsidR="00294FB1" w:rsidRDefault="00294FB1" w:rsidP="00D40B2A">
      <w:pPr>
        <w:spacing w:after="0"/>
      </w:pPr>
      <w:r>
        <w:separator/>
      </w:r>
    </w:p>
  </w:footnote>
  <w:footnote w:type="continuationSeparator" w:id="0">
    <w:p w14:paraId="41E41D6E" w14:textId="77777777" w:rsidR="00294FB1" w:rsidRDefault="00294FB1" w:rsidP="00D40B2A">
      <w:pPr>
        <w:spacing w:after="0"/>
      </w:pPr>
      <w:r>
        <w:continuationSeparator/>
      </w:r>
    </w:p>
  </w:footnote>
  <w:footnote w:id="1">
    <w:p w14:paraId="158B79EA" w14:textId="77777777" w:rsidR="005D0F04" w:rsidRPr="000D22E3" w:rsidRDefault="005D0F04" w:rsidP="00047EC8">
      <w:pPr>
        <w:pStyle w:val="FootnoteText"/>
        <w:rPr>
          <w:rFonts w:ascii="Times New Roman" w:eastAsia="맑은 고딕" w:hAnsi="Times New Roman"/>
          <w:lang w:eastAsia="ko-KR"/>
        </w:rPr>
      </w:pPr>
      <w:r w:rsidRPr="000D22E3">
        <w:rPr>
          <w:rStyle w:val="FootnoteReference"/>
          <w:rFonts w:ascii="Times New Roman" w:hAnsi="Times New Roman"/>
        </w:rPr>
        <w:footnoteRef/>
      </w:r>
      <w:r w:rsidRPr="000D22E3">
        <w:rPr>
          <w:rFonts w:ascii="Times New Roman" w:hAnsi="Times New Roman"/>
        </w:rPr>
        <w:t xml:space="preserve"> It should be noted that the constant catch scenario is inconsistent with current management approaches for NPALB adopted by the IATTC and the WCPFC.  </w:t>
      </w:r>
    </w:p>
  </w:footnote>
  <w:footnote w:id="2">
    <w:p w14:paraId="22D0D4C2" w14:textId="77777777" w:rsidR="005D0F04" w:rsidRPr="00BB6F2F" w:rsidRDefault="005D0F04" w:rsidP="00047EC8">
      <w:pPr>
        <w:pStyle w:val="FootnoteText"/>
        <w:rPr>
          <w:rFonts w:eastAsia="맑은 고딕"/>
          <w:lang w:eastAsia="ko-KR"/>
        </w:rPr>
      </w:pPr>
      <w:r w:rsidRPr="000D22E3">
        <w:rPr>
          <w:rStyle w:val="FootnoteReference"/>
          <w:rFonts w:ascii="Times New Roman" w:hAnsi="Times New Roman"/>
        </w:rPr>
        <w:footnoteRef/>
      </w:r>
      <w:r w:rsidRPr="000D22E3">
        <w:rPr>
          <w:rFonts w:ascii="Times New Roman" w:hAnsi="Times New Roman"/>
        </w:rPr>
        <w:t xml:space="preserve"> Median future catch for the constant F scenario is expected to be below the average catch level for 2010-2014 (82,432 t – red line in Figure 7-6). This result is likely due to low estimated recruitment in 2011, which is expected to reduce female SSB beginning in 2015, the first year of the projection period.</w:t>
      </w:r>
      <w:r>
        <w:t xml:space="preserve">  </w:t>
      </w:r>
    </w:p>
  </w:footnote>
  <w:footnote w:id="3">
    <w:p w14:paraId="4B3CBF2B" w14:textId="77777777" w:rsidR="005D0F04" w:rsidRPr="00930521" w:rsidRDefault="005D0F04" w:rsidP="0014588F">
      <w:pPr>
        <w:pStyle w:val="FootnoteText"/>
        <w:rPr>
          <w:rFonts w:ascii="Times New Roman" w:hAnsi="Times New Roman"/>
          <w:sz w:val="18"/>
          <w:szCs w:val="18"/>
          <w:lang w:eastAsia="ko-KR"/>
        </w:rPr>
      </w:pPr>
      <w:r w:rsidRPr="00930521">
        <w:rPr>
          <w:rStyle w:val="FootnoteReference"/>
          <w:rFonts w:ascii="Times New Roman" w:hAnsi="Times New Roman"/>
        </w:rPr>
        <w:footnoteRef/>
      </w:r>
      <w:r w:rsidRPr="00930521">
        <w:rPr>
          <w:rFonts w:ascii="Times New Roman" w:hAnsi="Times New Roman"/>
        </w:rPr>
        <w:t xml:space="preserve"> </w:t>
      </w:r>
      <w:r w:rsidRPr="00930521">
        <w:rPr>
          <w:rFonts w:ascii="Times New Roman" w:hAnsi="Times New Roman"/>
          <w:sz w:val="18"/>
          <w:szCs w:val="18"/>
          <w:lang w:eastAsia="ko-KR"/>
        </w:rPr>
        <w:t>Revised terms of reference for this resourcing includes:</w:t>
      </w:r>
    </w:p>
    <w:p w14:paraId="747EBEF1" w14:textId="77777777" w:rsidR="005D0F04" w:rsidRPr="00930521" w:rsidRDefault="005D0F04" w:rsidP="0014588F">
      <w:pPr>
        <w:pStyle w:val="ListParagraph"/>
        <w:numPr>
          <w:ilvl w:val="0"/>
          <w:numId w:val="147"/>
        </w:numPr>
        <w:contextualSpacing w:val="0"/>
        <w:jc w:val="left"/>
        <w:rPr>
          <w:rFonts w:ascii="Times New Roman" w:hAnsi="Times New Roman"/>
          <w:sz w:val="18"/>
          <w:szCs w:val="18"/>
        </w:rPr>
      </w:pPr>
      <w:r w:rsidRPr="00930521">
        <w:rPr>
          <w:rFonts w:ascii="Times New Roman" w:hAnsi="Times New Roman"/>
          <w:sz w:val="18"/>
          <w:szCs w:val="18"/>
        </w:rPr>
        <w:t>Further development of MULTIFAN-CL to support Management Strategy Evaluation and the Harvest Strategy development process</w:t>
      </w:r>
    </w:p>
    <w:p w14:paraId="3D701A16" w14:textId="77777777" w:rsidR="005D0F04" w:rsidRPr="00930521" w:rsidRDefault="005D0F04" w:rsidP="0014588F">
      <w:pPr>
        <w:pStyle w:val="ListParagraph"/>
        <w:numPr>
          <w:ilvl w:val="0"/>
          <w:numId w:val="147"/>
        </w:numPr>
        <w:contextualSpacing w:val="0"/>
        <w:jc w:val="left"/>
        <w:rPr>
          <w:rFonts w:ascii="Times New Roman" w:hAnsi="Times New Roman"/>
          <w:sz w:val="18"/>
          <w:szCs w:val="18"/>
        </w:rPr>
      </w:pPr>
      <w:r w:rsidRPr="00930521">
        <w:rPr>
          <w:rFonts w:ascii="Times New Roman" w:hAnsi="Times New Roman"/>
          <w:sz w:val="18"/>
          <w:szCs w:val="18"/>
        </w:rPr>
        <w:t xml:space="preserve">Further enhancement of MULTIFAN-CL and its use in stock assessment to implement SC recommendations </w:t>
      </w:r>
    </w:p>
    <w:p w14:paraId="10A5A579" w14:textId="77777777" w:rsidR="005D0F04" w:rsidRPr="00930521" w:rsidRDefault="005D0F04" w:rsidP="0014588F">
      <w:pPr>
        <w:pStyle w:val="ListParagraph"/>
        <w:numPr>
          <w:ilvl w:val="0"/>
          <w:numId w:val="147"/>
        </w:numPr>
        <w:contextualSpacing w:val="0"/>
        <w:jc w:val="left"/>
        <w:rPr>
          <w:rFonts w:ascii="Times New Roman" w:hAnsi="Times New Roman"/>
          <w:sz w:val="18"/>
          <w:szCs w:val="18"/>
        </w:rPr>
      </w:pPr>
      <w:r w:rsidRPr="00930521">
        <w:rPr>
          <w:rFonts w:ascii="Times New Roman" w:hAnsi="Times New Roman"/>
          <w:sz w:val="18"/>
          <w:szCs w:val="18"/>
        </w:rPr>
        <w:t>Maintain and further develop the MULTIFAN-CL website to facilitate access to software and support</w:t>
      </w:r>
    </w:p>
    <w:p w14:paraId="3DC9C084" w14:textId="77777777" w:rsidR="005D0F04" w:rsidRPr="00930521" w:rsidRDefault="005D0F04" w:rsidP="0014588F">
      <w:pPr>
        <w:pStyle w:val="ListParagraph"/>
        <w:numPr>
          <w:ilvl w:val="0"/>
          <w:numId w:val="147"/>
        </w:numPr>
        <w:contextualSpacing w:val="0"/>
        <w:jc w:val="left"/>
        <w:rPr>
          <w:rFonts w:ascii="Times New Roman" w:hAnsi="Times New Roman"/>
          <w:sz w:val="18"/>
          <w:szCs w:val="18"/>
        </w:rPr>
      </w:pPr>
      <w:r w:rsidRPr="00930521">
        <w:rPr>
          <w:rFonts w:ascii="Times New Roman" w:hAnsi="Times New Roman"/>
          <w:sz w:val="18"/>
          <w:szCs w:val="18"/>
        </w:rPr>
        <w:t>Implement a formal framework for management of MULTIFAN-CL code updates, testing new developments, updating the users’ guide</w:t>
      </w:r>
    </w:p>
    <w:p w14:paraId="7FEB4C36" w14:textId="77777777" w:rsidR="005D0F04" w:rsidRPr="00930521" w:rsidRDefault="005D0F04" w:rsidP="0014588F">
      <w:pPr>
        <w:pStyle w:val="FootnoteText"/>
        <w:rPr>
          <w:rFonts w:ascii="Times New Roman" w:hAnsi="Times New Roman"/>
          <w:sz w:val="18"/>
          <w:szCs w:val="18"/>
          <w:lang w:val="en-AU" w:eastAsia="ko-KR"/>
        </w:rPr>
      </w:pPr>
    </w:p>
  </w:footnote>
  <w:footnote w:id="4">
    <w:p w14:paraId="65D0CAC1" w14:textId="77777777" w:rsidR="005D0F04" w:rsidRPr="000D22E3" w:rsidRDefault="005D0F04" w:rsidP="009927B2">
      <w:pPr>
        <w:pStyle w:val="FootnoteText"/>
        <w:rPr>
          <w:rFonts w:ascii="Times New Roman" w:eastAsia="맑은 고딕" w:hAnsi="Times New Roman"/>
          <w:lang w:eastAsia="ko-KR"/>
        </w:rPr>
      </w:pPr>
      <w:r w:rsidRPr="000D22E3">
        <w:rPr>
          <w:rStyle w:val="FootnoteReference"/>
          <w:rFonts w:ascii="Times New Roman" w:hAnsi="Times New Roman"/>
        </w:rPr>
        <w:footnoteRef/>
      </w:r>
      <w:r w:rsidRPr="000D22E3">
        <w:rPr>
          <w:rFonts w:ascii="Times New Roman" w:hAnsi="Times New Roman"/>
        </w:rPr>
        <w:t xml:space="preserve"> It should be noted that the constant catch scenario is inconsistent with current management approaches for NPALB adopted by the IATTC and the WCPFC.  </w:t>
      </w:r>
    </w:p>
  </w:footnote>
  <w:footnote w:id="5">
    <w:p w14:paraId="15FF4BEC" w14:textId="77777777" w:rsidR="005D0F04" w:rsidRPr="00BB6F2F" w:rsidRDefault="005D0F04" w:rsidP="009927B2">
      <w:pPr>
        <w:pStyle w:val="FootnoteText"/>
        <w:rPr>
          <w:rFonts w:eastAsia="맑은 고딕"/>
          <w:lang w:eastAsia="ko-KR"/>
        </w:rPr>
      </w:pPr>
      <w:r w:rsidRPr="000D22E3">
        <w:rPr>
          <w:rStyle w:val="FootnoteReference"/>
          <w:rFonts w:ascii="Times New Roman" w:hAnsi="Times New Roman"/>
        </w:rPr>
        <w:footnoteRef/>
      </w:r>
      <w:r w:rsidRPr="000D22E3">
        <w:rPr>
          <w:rFonts w:ascii="Times New Roman" w:hAnsi="Times New Roman"/>
        </w:rPr>
        <w:t xml:space="preserve"> Median future catch for the constant F scenario is expected to be below the average catch level for 2010-2014 (82,432 t – red line in Figure 7-6). This result is likely due to low estimated recruitment in 2011, which is expected to reduce female SSB beginning in 2015, the first year of the projection period.</w:t>
      </w:r>
      <w:r>
        <w:t xml:space="preserve">  </w:t>
      </w:r>
    </w:p>
  </w:footnote>
  <w:footnote w:id="6">
    <w:p w14:paraId="661E6FE6" w14:textId="6120FCC2" w:rsidR="005D0F04" w:rsidRPr="00ED0741" w:rsidRDefault="005D0F04">
      <w:pPr>
        <w:pStyle w:val="FootnoteText"/>
        <w:rPr>
          <w:rFonts w:ascii="Times New Roman" w:hAnsi="Times New Roman"/>
          <w:lang w:val="en-US"/>
        </w:rPr>
      </w:pPr>
      <w:r w:rsidRPr="00ED0741">
        <w:rPr>
          <w:rStyle w:val="FootnoteReference"/>
          <w:rFonts w:ascii="Times New Roman" w:hAnsi="Times New Roman"/>
        </w:rPr>
        <w:footnoteRef/>
      </w:r>
      <w:r w:rsidRPr="00ED0741">
        <w:rPr>
          <w:rFonts w:ascii="Times New Roman" w:hAnsi="Times New Roman"/>
        </w:rPr>
        <w:t xml:space="preserve"> The </w:t>
      </w:r>
      <w:r w:rsidRPr="00ED0741">
        <w:rPr>
          <w:rFonts w:ascii="Times New Roman" w:hAnsi="Times New Roman"/>
          <w:lang w:val="en-US"/>
        </w:rPr>
        <w:t>final report SC13-MI-WP-07 Rev.02 was posted on SC13 website on 31 October 2017.</w:t>
      </w:r>
    </w:p>
  </w:footnote>
  <w:footnote w:id="7">
    <w:p w14:paraId="0FE4C686" w14:textId="77777777" w:rsidR="005D0F04" w:rsidRPr="00D2779F" w:rsidRDefault="005D0F04" w:rsidP="00590FBF">
      <w:pPr>
        <w:pStyle w:val="FootnoteText"/>
        <w:rPr>
          <w:rFonts w:ascii="Times New Roman" w:hAnsi="Times New Roman"/>
          <w:lang w:eastAsia="ko-KR"/>
        </w:rPr>
      </w:pPr>
      <w:r w:rsidRPr="00D2779F">
        <w:rPr>
          <w:rStyle w:val="FootnoteReference"/>
          <w:rFonts w:ascii="Times New Roman" w:hAnsi="Times New Roman"/>
        </w:rPr>
        <w:footnoteRef/>
      </w:r>
      <w:r w:rsidRPr="00D2779F">
        <w:rPr>
          <w:rFonts w:ascii="Times New Roman" w:hAnsi="Times New Roman"/>
        </w:rPr>
        <w:t xml:space="preserve"> </w:t>
      </w:r>
      <w:r w:rsidRPr="00D2779F">
        <w:rPr>
          <w:rFonts w:ascii="Times New Roman" w:hAnsi="Times New Roman"/>
          <w:lang w:eastAsia="ko-KR"/>
        </w:rPr>
        <w:t>Revised terms of reference for this resourcing includes:</w:t>
      </w:r>
    </w:p>
    <w:p w14:paraId="56A0C045" w14:textId="77777777" w:rsidR="005D0F04" w:rsidRPr="00D2779F" w:rsidRDefault="005D0F04" w:rsidP="0074425A">
      <w:pPr>
        <w:pStyle w:val="ListParagraph"/>
        <w:numPr>
          <w:ilvl w:val="0"/>
          <w:numId w:val="147"/>
        </w:numPr>
        <w:contextualSpacing w:val="0"/>
        <w:jc w:val="left"/>
        <w:rPr>
          <w:rFonts w:ascii="Times New Roman" w:hAnsi="Times New Roman"/>
          <w:sz w:val="20"/>
          <w:szCs w:val="20"/>
        </w:rPr>
      </w:pPr>
      <w:r w:rsidRPr="00D2779F">
        <w:rPr>
          <w:rFonts w:ascii="Times New Roman" w:hAnsi="Times New Roman"/>
          <w:sz w:val="20"/>
          <w:szCs w:val="20"/>
        </w:rPr>
        <w:t>Further development of MULTIFAN-CL to support Management Strategy Evaluation and the Harvest Strategy development process</w:t>
      </w:r>
    </w:p>
    <w:p w14:paraId="6FFCFCBE" w14:textId="77777777" w:rsidR="005D0F04" w:rsidRPr="00D2779F" w:rsidRDefault="005D0F04" w:rsidP="0074425A">
      <w:pPr>
        <w:pStyle w:val="ListParagraph"/>
        <w:numPr>
          <w:ilvl w:val="0"/>
          <w:numId w:val="147"/>
        </w:numPr>
        <w:contextualSpacing w:val="0"/>
        <w:jc w:val="left"/>
        <w:rPr>
          <w:rFonts w:ascii="Times New Roman" w:hAnsi="Times New Roman"/>
          <w:sz w:val="20"/>
          <w:szCs w:val="20"/>
        </w:rPr>
      </w:pPr>
      <w:r w:rsidRPr="00D2779F">
        <w:rPr>
          <w:rFonts w:ascii="Times New Roman" w:hAnsi="Times New Roman"/>
          <w:sz w:val="20"/>
          <w:szCs w:val="20"/>
        </w:rPr>
        <w:t xml:space="preserve">Further enhancement of MULTIFAN-CL and its use in stock assessment to implement SC recommendations </w:t>
      </w:r>
    </w:p>
    <w:p w14:paraId="5778F185" w14:textId="77777777" w:rsidR="005D0F04" w:rsidRPr="00D2779F" w:rsidRDefault="005D0F04" w:rsidP="0074425A">
      <w:pPr>
        <w:pStyle w:val="ListParagraph"/>
        <w:numPr>
          <w:ilvl w:val="0"/>
          <w:numId w:val="147"/>
        </w:numPr>
        <w:contextualSpacing w:val="0"/>
        <w:jc w:val="left"/>
        <w:rPr>
          <w:rFonts w:ascii="Times New Roman" w:hAnsi="Times New Roman"/>
          <w:sz w:val="20"/>
          <w:szCs w:val="20"/>
        </w:rPr>
      </w:pPr>
      <w:r w:rsidRPr="00D2779F">
        <w:rPr>
          <w:rFonts w:ascii="Times New Roman" w:hAnsi="Times New Roman"/>
          <w:sz w:val="20"/>
          <w:szCs w:val="20"/>
        </w:rPr>
        <w:t>Maintain and further develop the MULTIFAN-CL website to facilitate access to software and support</w:t>
      </w:r>
    </w:p>
    <w:p w14:paraId="55D655C1" w14:textId="77777777" w:rsidR="005D0F04" w:rsidRPr="00D2779F" w:rsidRDefault="005D0F04" w:rsidP="0074425A">
      <w:pPr>
        <w:pStyle w:val="ListParagraph"/>
        <w:numPr>
          <w:ilvl w:val="0"/>
          <w:numId w:val="147"/>
        </w:numPr>
        <w:contextualSpacing w:val="0"/>
        <w:jc w:val="left"/>
        <w:rPr>
          <w:rFonts w:ascii="Times New Roman" w:hAnsi="Times New Roman"/>
          <w:sz w:val="20"/>
          <w:szCs w:val="20"/>
        </w:rPr>
      </w:pPr>
      <w:r w:rsidRPr="00D2779F">
        <w:rPr>
          <w:rFonts w:ascii="Times New Roman" w:hAnsi="Times New Roman"/>
          <w:sz w:val="20"/>
          <w:szCs w:val="20"/>
        </w:rPr>
        <w:t>Implement a formal framework for management of MULTIFAN-CL code updates, testing new developments, updating the users’ guide</w:t>
      </w:r>
    </w:p>
    <w:p w14:paraId="1AA4B02C" w14:textId="77777777" w:rsidR="005D0F04" w:rsidRPr="00590FBF" w:rsidRDefault="005D0F04" w:rsidP="00590FBF">
      <w:pPr>
        <w:pStyle w:val="FootnoteText"/>
        <w:rPr>
          <w:sz w:val="18"/>
          <w:szCs w:val="18"/>
          <w:lang w:val="en-AU" w:eastAsia="ko-KR"/>
        </w:rPr>
      </w:pPr>
    </w:p>
  </w:footnote>
  <w:footnote w:id="8">
    <w:p w14:paraId="75E98C4F" w14:textId="77777777" w:rsidR="005D0F04" w:rsidRPr="00137482" w:rsidRDefault="005D0F04" w:rsidP="009A53E1">
      <w:pPr>
        <w:pStyle w:val="FootnoteText"/>
        <w:rPr>
          <w:rFonts w:ascii="Times New Roman" w:hAnsi="Times New Roman"/>
          <w:sz w:val="18"/>
          <w:szCs w:val="18"/>
          <w:lang w:eastAsia="ko-KR"/>
        </w:rPr>
      </w:pPr>
      <w:r w:rsidRPr="00137482">
        <w:rPr>
          <w:rStyle w:val="FootnoteReference"/>
          <w:rFonts w:ascii="Times New Roman" w:hAnsi="Times New Roman"/>
          <w:sz w:val="18"/>
          <w:szCs w:val="18"/>
        </w:rPr>
        <w:footnoteRef/>
      </w:r>
      <w:r w:rsidRPr="00137482">
        <w:rPr>
          <w:rFonts w:ascii="Times New Roman" w:hAnsi="Times New Roman"/>
          <w:sz w:val="18"/>
          <w:szCs w:val="18"/>
        </w:rPr>
        <w:t xml:space="preserve"> </w:t>
      </w:r>
      <w:r w:rsidRPr="00137482">
        <w:rPr>
          <w:rFonts w:ascii="Times New Roman" w:hAnsi="Times New Roman"/>
          <w:sz w:val="18"/>
          <w:szCs w:val="18"/>
          <w:lang w:eastAsia="ko-KR"/>
        </w:rPr>
        <w:t>Revised terms of reference for this resourcing includes:</w:t>
      </w:r>
    </w:p>
    <w:p w14:paraId="1BB8AB1D" w14:textId="77777777" w:rsidR="005D0F04" w:rsidRPr="00137482" w:rsidRDefault="005D0F04" w:rsidP="0074425A">
      <w:pPr>
        <w:pStyle w:val="ListParagraph"/>
        <w:numPr>
          <w:ilvl w:val="0"/>
          <w:numId w:val="147"/>
        </w:numPr>
        <w:contextualSpacing w:val="0"/>
        <w:jc w:val="left"/>
        <w:rPr>
          <w:rFonts w:ascii="Times New Roman" w:hAnsi="Times New Roman"/>
          <w:sz w:val="18"/>
          <w:szCs w:val="18"/>
        </w:rPr>
      </w:pPr>
      <w:r w:rsidRPr="00137482">
        <w:rPr>
          <w:rFonts w:ascii="Times New Roman" w:hAnsi="Times New Roman"/>
          <w:sz w:val="18"/>
          <w:szCs w:val="18"/>
        </w:rPr>
        <w:t>Further development of MULTIFAN-CL to support Management Strategy Evaluation and the Harvest Strategy development process</w:t>
      </w:r>
    </w:p>
    <w:p w14:paraId="1689271E" w14:textId="77777777" w:rsidR="005D0F04" w:rsidRPr="00137482" w:rsidRDefault="005D0F04" w:rsidP="0074425A">
      <w:pPr>
        <w:pStyle w:val="ListParagraph"/>
        <w:numPr>
          <w:ilvl w:val="0"/>
          <w:numId w:val="147"/>
        </w:numPr>
        <w:contextualSpacing w:val="0"/>
        <w:jc w:val="left"/>
        <w:rPr>
          <w:rFonts w:ascii="Times New Roman" w:hAnsi="Times New Roman"/>
          <w:sz w:val="18"/>
          <w:szCs w:val="18"/>
        </w:rPr>
      </w:pPr>
      <w:r w:rsidRPr="00137482">
        <w:rPr>
          <w:rFonts w:ascii="Times New Roman" w:hAnsi="Times New Roman"/>
          <w:sz w:val="18"/>
          <w:szCs w:val="18"/>
        </w:rPr>
        <w:t xml:space="preserve">Further enhancement of MULTIFAN-CL and its use in stock assessment to implement SC recommendations </w:t>
      </w:r>
    </w:p>
    <w:p w14:paraId="26AE6A7D" w14:textId="77777777" w:rsidR="005D0F04" w:rsidRPr="00137482" w:rsidRDefault="005D0F04" w:rsidP="0074425A">
      <w:pPr>
        <w:pStyle w:val="ListParagraph"/>
        <w:numPr>
          <w:ilvl w:val="0"/>
          <w:numId w:val="147"/>
        </w:numPr>
        <w:contextualSpacing w:val="0"/>
        <w:jc w:val="left"/>
        <w:rPr>
          <w:rFonts w:ascii="Times New Roman" w:hAnsi="Times New Roman"/>
          <w:sz w:val="18"/>
          <w:szCs w:val="18"/>
        </w:rPr>
      </w:pPr>
      <w:r w:rsidRPr="00137482">
        <w:rPr>
          <w:rFonts w:ascii="Times New Roman" w:hAnsi="Times New Roman"/>
          <w:sz w:val="18"/>
          <w:szCs w:val="18"/>
        </w:rPr>
        <w:t>Maintain and further develop the MULTIFAN-CL website to facilitate access to software and support</w:t>
      </w:r>
    </w:p>
    <w:p w14:paraId="0C3806EB" w14:textId="77777777" w:rsidR="005D0F04" w:rsidRPr="00137482" w:rsidRDefault="005D0F04" w:rsidP="0074425A">
      <w:pPr>
        <w:pStyle w:val="ListParagraph"/>
        <w:numPr>
          <w:ilvl w:val="0"/>
          <w:numId w:val="147"/>
        </w:numPr>
        <w:contextualSpacing w:val="0"/>
        <w:jc w:val="left"/>
        <w:rPr>
          <w:rFonts w:ascii="Times New Roman" w:hAnsi="Times New Roman"/>
          <w:sz w:val="18"/>
          <w:szCs w:val="18"/>
        </w:rPr>
      </w:pPr>
      <w:r w:rsidRPr="00137482">
        <w:rPr>
          <w:rFonts w:ascii="Times New Roman" w:hAnsi="Times New Roman"/>
          <w:sz w:val="18"/>
          <w:szCs w:val="18"/>
        </w:rPr>
        <w:t>Implement a formal framework for management of MULTIFAN-CL code updates, testing new developments, updating the users’ guide</w:t>
      </w:r>
    </w:p>
    <w:p w14:paraId="5C6E201D" w14:textId="77777777" w:rsidR="005D0F04" w:rsidRPr="00137482" w:rsidRDefault="005D0F04" w:rsidP="009A53E1">
      <w:pPr>
        <w:pStyle w:val="FootnoteText"/>
        <w:rPr>
          <w:rFonts w:ascii="Times New Roman" w:hAnsi="Times New Roman"/>
          <w:sz w:val="18"/>
          <w:szCs w:val="18"/>
          <w:lang w:eastAsia="ko-K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854DC" w14:textId="77777777" w:rsidR="005D0F04" w:rsidRDefault="005D0F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C7DBB" w14:textId="77777777" w:rsidR="005D0F04" w:rsidRDefault="005D0F04" w:rsidP="00DF02F5">
    <w:pPr>
      <w:pStyle w:val="Header"/>
      <w:tabs>
        <w:tab w:val="left" w:pos="1845"/>
        <w:tab w:val="left" w:pos="3300"/>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B2831" w14:textId="77777777" w:rsidR="005D0F04" w:rsidRDefault="005D0F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E9C"/>
    <w:multiLevelType w:val="hybridMultilevel"/>
    <w:tmpl w:val="EBA0E2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33ED3"/>
    <w:multiLevelType w:val="hybridMultilevel"/>
    <w:tmpl w:val="E04C4C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20A59FB"/>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01FED"/>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065E7698"/>
    <w:multiLevelType w:val="hybridMultilevel"/>
    <w:tmpl w:val="DB7CB6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072E1132"/>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C23B4F"/>
    <w:multiLevelType w:val="hybridMultilevel"/>
    <w:tmpl w:val="0CC681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85C68C8"/>
    <w:multiLevelType w:val="hybridMultilevel"/>
    <w:tmpl w:val="FDB2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8D800A4"/>
    <w:multiLevelType w:val="hybridMultilevel"/>
    <w:tmpl w:val="81A049D6"/>
    <w:lvl w:ilvl="0" w:tplc="61E4FEBC">
      <w:start w:val="1"/>
      <w:numFmt w:val="low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08FD7E0A"/>
    <w:multiLevelType w:val="hybridMultilevel"/>
    <w:tmpl w:val="AB427F20"/>
    <w:lvl w:ilvl="0" w:tplc="14090001">
      <w:start w:val="1"/>
      <w:numFmt w:val="bullet"/>
      <w:lvlText w:val=""/>
      <w:lvlJc w:val="left"/>
      <w:pPr>
        <w:ind w:left="-1767" w:hanging="360"/>
      </w:pPr>
      <w:rPr>
        <w:rFonts w:ascii="Symbol" w:hAnsi="Symbol" w:hint="default"/>
      </w:rPr>
    </w:lvl>
    <w:lvl w:ilvl="1" w:tplc="14090003" w:tentative="1">
      <w:start w:val="1"/>
      <w:numFmt w:val="bullet"/>
      <w:lvlText w:val="o"/>
      <w:lvlJc w:val="left"/>
      <w:pPr>
        <w:ind w:left="-1047" w:hanging="360"/>
      </w:pPr>
      <w:rPr>
        <w:rFonts w:ascii="Courier New" w:hAnsi="Courier New" w:cs="Courier New" w:hint="default"/>
      </w:rPr>
    </w:lvl>
    <w:lvl w:ilvl="2" w:tplc="14090005" w:tentative="1">
      <w:start w:val="1"/>
      <w:numFmt w:val="bullet"/>
      <w:lvlText w:val=""/>
      <w:lvlJc w:val="left"/>
      <w:pPr>
        <w:ind w:left="-327" w:hanging="360"/>
      </w:pPr>
      <w:rPr>
        <w:rFonts w:ascii="Wingdings" w:hAnsi="Wingdings" w:hint="default"/>
      </w:rPr>
    </w:lvl>
    <w:lvl w:ilvl="3" w:tplc="14090001" w:tentative="1">
      <w:start w:val="1"/>
      <w:numFmt w:val="bullet"/>
      <w:lvlText w:val=""/>
      <w:lvlJc w:val="left"/>
      <w:pPr>
        <w:ind w:left="393" w:hanging="360"/>
      </w:pPr>
      <w:rPr>
        <w:rFonts w:ascii="Symbol" w:hAnsi="Symbol" w:hint="default"/>
      </w:rPr>
    </w:lvl>
    <w:lvl w:ilvl="4" w:tplc="14090003" w:tentative="1">
      <w:start w:val="1"/>
      <w:numFmt w:val="bullet"/>
      <w:lvlText w:val="o"/>
      <w:lvlJc w:val="left"/>
      <w:pPr>
        <w:ind w:left="1113" w:hanging="360"/>
      </w:pPr>
      <w:rPr>
        <w:rFonts w:ascii="Courier New" w:hAnsi="Courier New" w:cs="Courier New" w:hint="default"/>
      </w:rPr>
    </w:lvl>
    <w:lvl w:ilvl="5" w:tplc="14090005" w:tentative="1">
      <w:start w:val="1"/>
      <w:numFmt w:val="bullet"/>
      <w:lvlText w:val=""/>
      <w:lvlJc w:val="left"/>
      <w:pPr>
        <w:ind w:left="1833" w:hanging="360"/>
      </w:pPr>
      <w:rPr>
        <w:rFonts w:ascii="Wingdings" w:hAnsi="Wingdings" w:hint="default"/>
      </w:rPr>
    </w:lvl>
    <w:lvl w:ilvl="6" w:tplc="14090001" w:tentative="1">
      <w:start w:val="1"/>
      <w:numFmt w:val="bullet"/>
      <w:lvlText w:val=""/>
      <w:lvlJc w:val="left"/>
      <w:pPr>
        <w:ind w:left="2553" w:hanging="360"/>
      </w:pPr>
      <w:rPr>
        <w:rFonts w:ascii="Symbol" w:hAnsi="Symbol" w:hint="default"/>
      </w:rPr>
    </w:lvl>
    <w:lvl w:ilvl="7" w:tplc="14090003" w:tentative="1">
      <w:start w:val="1"/>
      <w:numFmt w:val="bullet"/>
      <w:lvlText w:val="o"/>
      <w:lvlJc w:val="left"/>
      <w:pPr>
        <w:ind w:left="3273" w:hanging="360"/>
      </w:pPr>
      <w:rPr>
        <w:rFonts w:ascii="Courier New" w:hAnsi="Courier New" w:cs="Courier New" w:hint="default"/>
      </w:rPr>
    </w:lvl>
    <w:lvl w:ilvl="8" w:tplc="14090005" w:tentative="1">
      <w:start w:val="1"/>
      <w:numFmt w:val="bullet"/>
      <w:lvlText w:val=""/>
      <w:lvlJc w:val="left"/>
      <w:pPr>
        <w:ind w:left="3993" w:hanging="360"/>
      </w:pPr>
      <w:rPr>
        <w:rFonts w:ascii="Wingdings" w:hAnsi="Wingdings" w:hint="default"/>
      </w:rPr>
    </w:lvl>
  </w:abstractNum>
  <w:abstractNum w:abstractNumId="15">
    <w:nsid w:val="09007F87"/>
    <w:multiLevelType w:val="hybridMultilevel"/>
    <w:tmpl w:val="590A5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82CDBA2">
      <w:numFmt w:val="bullet"/>
      <w:lvlText w:val="•"/>
      <w:lvlJc w:val="left"/>
      <w:pPr>
        <w:ind w:left="2160" w:hanging="360"/>
      </w:pPr>
      <w:rPr>
        <w:rFonts w:ascii="Calibri" w:eastAsiaTheme="minorHAnsi" w:hAnsi="Calibri"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9ED7100"/>
    <w:multiLevelType w:val="hybridMultilevel"/>
    <w:tmpl w:val="D3C4B912"/>
    <w:lvl w:ilvl="0" w:tplc="55D8D1E0">
      <w:numFmt w:val="bullet"/>
      <w:lvlText w:val=""/>
      <w:lvlJc w:val="left"/>
      <w:pPr>
        <w:ind w:left="420" w:hanging="360"/>
      </w:pPr>
      <w:rPr>
        <w:rFonts w:ascii="Symbol" w:eastAsia="Symbol" w:hAnsi="Symbol" w:cs="Symbol" w:hint="default"/>
        <w:w w:val="100"/>
        <w:sz w:val="22"/>
        <w:szCs w:val="22"/>
      </w:rPr>
    </w:lvl>
    <w:lvl w:ilvl="1" w:tplc="1C204C26">
      <w:numFmt w:val="bullet"/>
      <w:lvlText w:val="•"/>
      <w:lvlJc w:val="left"/>
      <w:pPr>
        <w:ind w:left="1072" w:hanging="360"/>
      </w:pPr>
      <w:rPr>
        <w:rFonts w:hint="default"/>
      </w:rPr>
    </w:lvl>
    <w:lvl w:ilvl="2" w:tplc="AC12BF6E">
      <w:numFmt w:val="bullet"/>
      <w:lvlText w:val="•"/>
      <w:lvlJc w:val="left"/>
      <w:pPr>
        <w:ind w:left="1724" w:hanging="360"/>
      </w:pPr>
      <w:rPr>
        <w:rFonts w:hint="default"/>
      </w:rPr>
    </w:lvl>
    <w:lvl w:ilvl="3" w:tplc="7CE6F212">
      <w:numFmt w:val="bullet"/>
      <w:lvlText w:val="•"/>
      <w:lvlJc w:val="left"/>
      <w:pPr>
        <w:ind w:left="2376" w:hanging="360"/>
      </w:pPr>
      <w:rPr>
        <w:rFonts w:hint="default"/>
      </w:rPr>
    </w:lvl>
    <w:lvl w:ilvl="4" w:tplc="208273C6">
      <w:numFmt w:val="bullet"/>
      <w:lvlText w:val="•"/>
      <w:lvlJc w:val="left"/>
      <w:pPr>
        <w:ind w:left="3028" w:hanging="360"/>
      </w:pPr>
      <w:rPr>
        <w:rFonts w:hint="default"/>
      </w:rPr>
    </w:lvl>
    <w:lvl w:ilvl="5" w:tplc="CCF200C4">
      <w:numFmt w:val="bullet"/>
      <w:lvlText w:val="•"/>
      <w:lvlJc w:val="left"/>
      <w:pPr>
        <w:ind w:left="3680" w:hanging="360"/>
      </w:pPr>
      <w:rPr>
        <w:rFonts w:hint="default"/>
      </w:rPr>
    </w:lvl>
    <w:lvl w:ilvl="6" w:tplc="DD1AC442">
      <w:numFmt w:val="bullet"/>
      <w:lvlText w:val="•"/>
      <w:lvlJc w:val="left"/>
      <w:pPr>
        <w:ind w:left="4332" w:hanging="360"/>
      </w:pPr>
      <w:rPr>
        <w:rFonts w:hint="default"/>
      </w:rPr>
    </w:lvl>
    <w:lvl w:ilvl="7" w:tplc="BC603330">
      <w:numFmt w:val="bullet"/>
      <w:lvlText w:val="•"/>
      <w:lvlJc w:val="left"/>
      <w:pPr>
        <w:ind w:left="4984" w:hanging="360"/>
      </w:pPr>
      <w:rPr>
        <w:rFonts w:hint="default"/>
      </w:rPr>
    </w:lvl>
    <w:lvl w:ilvl="8" w:tplc="283262C0">
      <w:numFmt w:val="bullet"/>
      <w:lvlText w:val="•"/>
      <w:lvlJc w:val="left"/>
      <w:pPr>
        <w:ind w:left="5636" w:hanging="360"/>
      </w:pPr>
      <w:rPr>
        <w:rFonts w:hint="default"/>
      </w:rPr>
    </w:lvl>
  </w:abstractNum>
  <w:abstractNum w:abstractNumId="17">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0A8367C7"/>
    <w:multiLevelType w:val="hybridMultilevel"/>
    <w:tmpl w:val="2378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0D195E"/>
    <w:multiLevelType w:val="hybridMultilevel"/>
    <w:tmpl w:val="6E52A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C9573E6"/>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D385E4A"/>
    <w:multiLevelType w:val="hybridMultilevel"/>
    <w:tmpl w:val="27FA1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DA47B30"/>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E434C6A"/>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E4477F9"/>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0F450CBC"/>
    <w:multiLevelType w:val="hybridMultilevel"/>
    <w:tmpl w:val="2154E6F4"/>
    <w:lvl w:ilvl="0" w:tplc="CC2C2970">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119B0CC3"/>
    <w:multiLevelType w:val="hybridMultilevel"/>
    <w:tmpl w:val="FA925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14023CCA"/>
    <w:multiLevelType w:val="hybridMultilevel"/>
    <w:tmpl w:val="A44690F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36">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nsid w:val="16FF6783"/>
    <w:multiLevelType w:val="hybridMultilevel"/>
    <w:tmpl w:val="CD6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17874E57"/>
    <w:multiLevelType w:val="hybridMultilevel"/>
    <w:tmpl w:val="67F228B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41">
    <w:nsid w:val="17C35AAB"/>
    <w:multiLevelType w:val="hybridMultilevel"/>
    <w:tmpl w:val="53205B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17C47846"/>
    <w:multiLevelType w:val="hybridMultilevel"/>
    <w:tmpl w:val="5E622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7F01485"/>
    <w:multiLevelType w:val="hybridMultilevel"/>
    <w:tmpl w:val="D7BAB772"/>
    <w:lvl w:ilvl="0" w:tplc="1220BCF4">
      <w:numFmt w:val="bullet"/>
      <w:lvlText w:val=""/>
      <w:lvlJc w:val="left"/>
      <w:pPr>
        <w:ind w:left="420" w:hanging="360"/>
      </w:pPr>
      <w:rPr>
        <w:rFonts w:ascii="Symbol" w:eastAsia="Symbol" w:hAnsi="Symbol" w:cs="Symbol" w:hint="default"/>
        <w:w w:val="100"/>
        <w:sz w:val="22"/>
        <w:szCs w:val="22"/>
      </w:rPr>
    </w:lvl>
    <w:lvl w:ilvl="1" w:tplc="783655A0">
      <w:numFmt w:val="bullet"/>
      <w:lvlText w:val="•"/>
      <w:lvlJc w:val="left"/>
      <w:pPr>
        <w:ind w:left="1126" w:hanging="360"/>
      </w:pPr>
      <w:rPr>
        <w:rFonts w:hint="default"/>
      </w:rPr>
    </w:lvl>
    <w:lvl w:ilvl="2" w:tplc="40A8DDBC">
      <w:numFmt w:val="bullet"/>
      <w:lvlText w:val="•"/>
      <w:lvlJc w:val="left"/>
      <w:pPr>
        <w:ind w:left="1832" w:hanging="360"/>
      </w:pPr>
      <w:rPr>
        <w:rFonts w:hint="default"/>
      </w:rPr>
    </w:lvl>
    <w:lvl w:ilvl="3" w:tplc="0D5CF936">
      <w:numFmt w:val="bullet"/>
      <w:lvlText w:val="•"/>
      <w:lvlJc w:val="left"/>
      <w:pPr>
        <w:ind w:left="2538" w:hanging="360"/>
      </w:pPr>
      <w:rPr>
        <w:rFonts w:hint="default"/>
      </w:rPr>
    </w:lvl>
    <w:lvl w:ilvl="4" w:tplc="1B26C10E">
      <w:numFmt w:val="bullet"/>
      <w:lvlText w:val="•"/>
      <w:lvlJc w:val="left"/>
      <w:pPr>
        <w:ind w:left="3244" w:hanging="360"/>
      </w:pPr>
      <w:rPr>
        <w:rFonts w:hint="default"/>
      </w:rPr>
    </w:lvl>
    <w:lvl w:ilvl="5" w:tplc="C9AAFD20">
      <w:numFmt w:val="bullet"/>
      <w:lvlText w:val="•"/>
      <w:lvlJc w:val="left"/>
      <w:pPr>
        <w:ind w:left="3951" w:hanging="360"/>
      </w:pPr>
      <w:rPr>
        <w:rFonts w:hint="default"/>
      </w:rPr>
    </w:lvl>
    <w:lvl w:ilvl="6" w:tplc="63CCF392">
      <w:numFmt w:val="bullet"/>
      <w:lvlText w:val="•"/>
      <w:lvlJc w:val="left"/>
      <w:pPr>
        <w:ind w:left="4657" w:hanging="360"/>
      </w:pPr>
      <w:rPr>
        <w:rFonts w:hint="default"/>
      </w:rPr>
    </w:lvl>
    <w:lvl w:ilvl="7" w:tplc="D5DAA5F6">
      <w:numFmt w:val="bullet"/>
      <w:lvlText w:val="•"/>
      <w:lvlJc w:val="left"/>
      <w:pPr>
        <w:ind w:left="5363" w:hanging="360"/>
      </w:pPr>
      <w:rPr>
        <w:rFonts w:hint="default"/>
      </w:rPr>
    </w:lvl>
    <w:lvl w:ilvl="8" w:tplc="7CECE36E">
      <w:numFmt w:val="bullet"/>
      <w:lvlText w:val="•"/>
      <w:lvlJc w:val="left"/>
      <w:pPr>
        <w:ind w:left="6069" w:hanging="360"/>
      </w:pPr>
      <w:rPr>
        <w:rFonts w:hint="default"/>
      </w:rPr>
    </w:lvl>
  </w:abstractNum>
  <w:abstractNum w:abstractNumId="44">
    <w:nsid w:val="183316B3"/>
    <w:multiLevelType w:val="hybridMultilevel"/>
    <w:tmpl w:val="0862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85C28BE"/>
    <w:multiLevelType w:val="hybridMultilevel"/>
    <w:tmpl w:val="6B0E7866"/>
    <w:lvl w:ilvl="0" w:tplc="14090001">
      <w:start w:val="1"/>
      <w:numFmt w:val="bullet"/>
      <w:lvlText w:val=""/>
      <w:lvlJc w:val="left"/>
      <w:pPr>
        <w:ind w:left="720" w:hanging="360"/>
      </w:pPr>
      <w:rPr>
        <w:rFonts w:ascii="Symbol" w:hAnsi="Symbol" w:hint="default"/>
      </w:rPr>
    </w:lvl>
    <w:lvl w:ilvl="1" w:tplc="6BE6EAC8">
      <w:numFmt w:val="bullet"/>
      <w:lvlText w:val="•"/>
      <w:lvlJc w:val="left"/>
      <w:pPr>
        <w:ind w:left="1440" w:hanging="360"/>
      </w:pPr>
      <w:rPr>
        <w:rFonts w:ascii="Times New Roman" w:eastAsiaTheme="minorEastAsia"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nsid w:val="18E4121D"/>
    <w:multiLevelType w:val="hybridMultilevel"/>
    <w:tmpl w:val="678A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49">
    <w:nsid w:val="1A741D3D"/>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5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nsid w:val="1DFF06BA"/>
    <w:multiLevelType w:val="hybridMultilevel"/>
    <w:tmpl w:val="77D82F5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4">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5">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nsid w:val="219808DA"/>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nsid w:val="21E57EDF"/>
    <w:multiLevelType w:val="multilevel"/>
    <w:tmpl w:val="C44C3C10"/>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nsid w:val="22EB4C58"/>
    <w:multiLevelType w:val="multilevel"/>
    <w:tmpl w:val="32DC75A4"/>
    <w:lvl w:ilvl="0">
      <w:start w:val="4"/>
      <w:numFmt w:val="decimal"/>
      <w:lvlText w:val="%1"/>
      <w:lvlJc w:val="left"/>
      <w:pPr>
        <w:ind w:left="360" w:hanging="360"/>
      </w:pPr>
      <w:rPr>
        <w:rFonts w:asciiTheme="majorHAnsi" w:eastAsiaTheme="majorEastAsia" w:hAnsiTheme="majorHAnsi" w:cstheme="majorBidi" w:hint="default"/>
        <w:color w:val="auto"/>
      </w:rPr>
    </w:lvl>
    <w:lvl w:ilvl="1">
      <w:start w:val="3"/>
      <w:numFmt w:val="decimal"/>
      <w:lvlText w:val="%1.%2"/>
      <w:lvlJc w:val="left"/>
      <w:pPr>
        <w:ind w:left="360" w:hanging="360"/>
      </w:pPr>
      <w:rPr>
        <w:rFonts w:asciiTheme="majorHAnsi" w:eastAsiaTheme="majorEastAsia" w:hAnsiTheme="majorHAnsi" w:cstheme="majorBidi" w:hint="default"/>
        <w:color w:val="auto"/>
      </w:rPr>
    </w:lvl>
    <w:lvl w:ilvl="2">
      <w:start w:val="1"/>
      <w:numFmt w:val="decimal"/>
      <w:lvlText w:val="%1.%2.%3"/>
      <w:lvlJc w:val="left"/>
      <w:pPr>
        <w:ind w:left="720" w:hanging="720"/>
      </w:pPr>
      <w:rPr>
        <w:rFonts w:asciiTheme="majorHAnsi" w:eastAsiaTheme="majorEastAsia" w:hAnsiTheme="majorHAnsi" w:cstheme="majorBidi" w:hint="default"/>
        <w:color w:val="auto"/>
      </w:rPr>
    </w:lvl>
    <w:lvl w:ilvl="3">
      <w:start w:val="1"/>
      <w:numFmt w:val="decimal"/>
      <w:lvlText w:val="%1.%2.%3.%4"/>
      <w:lvlJc w:val="left"/>
      <w:pPr>
        <w:ind w:left="720" w:hanging="720"/>
      </w:pPr>
      <w:rPr>
        <w:rFonts w:asciiTheme="majorHAnsi" w:eastAsiaTheme="majorEastAsia" w:hAnsiTheme="majorHAnsi" w:cstheme="majorBidi" w:hint="default"/>
        <w:color w:val="auto"/>
      </w:rPr>
    </w:lvl>
    <w:lvl w:ilvl="4">
      <w:start w:val="1"/>
      <w:numFmt w:val="decimal"/>
      <w:lvlText w:val="%1.%2.%3.%4.%5"/>
      <w:lvlJc w:val="left"/>
      <w:pPr>
        <w:ind w:left="1080" w:hanging="1080"/>
      </w:pPr>
      <w:rPr>
        <w:rFonts w:asciiTheme="majorHAnsi" w:eastAsiaTheme="majorEastAsia" w:hAnsiTheme="majorHAnsi" w:cstheme="majorBidi" w:hint="default"/>
        <w:color w:val="auto"/>
      </w:rPr>
    </w:lvl>
    <w:lvl w:ilvl="5">
      <w:start w:val="1"/>
      <w:numFmt w:val="decimal"/>
      <w:lvlText w:val="%1.%2.%3.%4.%5.%6"/>
      <w:lvlJc w:val="left"/>
      <w:pPr>
        <w:ind w:left="1080" w:hanging="1080"/>
      </w:pPr>
      <w:rPr>
        <w:rFonts w:asciiTheme="majorHAnsi" w:eastAsiaTheme="majorEastAsia" w:hAnsiTheme="majorHAnsi" w:cstheme="majorBidi" w:hint="default"/>
        <w:color w:val="auto"/>
      </w:rPr>
    </w:lvl>
    <w:lvl w:ilvl="6">
      <w:start w:val="1"/>
      <w:numFmt w:val="decimal"/>
      <w:lvlText w:val="%1.%2.%3.%4.%5.%6.%7"/>
      <w:lvlJc w:val="left"/>
      <w:pPr>
        <w:ind w:left="1440" w:hanging="1440"/>
      </w:pPr>
      <w:rPr>
        <w:rFonts w:asciiTheme="majorHAnsi" w:eastAsiaTheme="majorEastAsia" w:hAnsiTheme="majorHAnsi" w:cstheme="majorBidi" w:hint="default"/>
        <w:color w:val="auto"/>
      </w:rPr>
    </w:lvl>
    <w:lvl w:ilvl="7">
      <w:start w:val="1"/>
      <w:numFmt w:val="decimal"/>
      <w:lvlText w:val="%1.%2.%3.%4.%5.%6.%7.%8"/>
      <w:lvlJc w:val="left"/>
      <w:pPr>
        <w:ind w:left="1800" w:hanging="1800"/>
      </w:pPr>
      <w:rPr>
        <w:rFonts w:asciiTheme="majorHAnsi" w:eastAsiaTheme="majorEastAsia" w:hAnsiTheme="majorHAnsi" w:cstheme="majorBidi" w:hint="default"/>
        <w:color w:val="auto"/>
      </w:rPr>
    </w:lvl>
    <w:lvl w:ilvl="8">
      <w:start w:val="1"/>
      <w:numFmt w:val="decimal"/>
      <w:lvlText w:val="%1.%2.%3.%4.%5.%6.%7.%8.%9"/>
      <w:lvlJc w:val="left"/>
      <w:pPr>
        <w:ind w:left="1800" w:hanging="1800"/>
      </w:pPr>
      <w:rPr>
        <w:rFonts w:asciiTheme="majorHAnsi" w:eastAsiaTheme="majorEastAsia" w:hAnsiTheme="majorHAnsi" w:cstheme="majorBidi" w:hint="default"/>
        <w:color w:val="auto"/>
      </w:rPr>
    </w:lvl>
  </w:abstractNum>
  <w:abstractNum w:abstractNumId="64">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5">
    <w:nsid w:val="23E00FC1"/>
    <w:multiLevelType w:val="hybridMultilevel"/>
    <w:tmpl w:val="434E598A"/>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66">
    <w:nsid w:val="249C2683"/>
    <w:multiLevelType w:val="hybridMultilevel"/>
    <w:tmpl w:val="639CD2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9">
    <w:nsid w:val="25706379"/>
    <w:multiLevelType w:val="hybridMultilevel"/>
    <w:tmpl w:val="562EBA86"/>
    <w:lvl w:ilvl="0" w:tplc="E4924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71">
    <w:nsid w:val="284345B2"/>
    <w:multiLevelType w:val="hybridMultilevel"/>
    <w:tmpl w:val="07FC8FFE"/>
    <w:lvl w:ilvl="0" w:tplc="543A8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93C1FCF"/>
    <w:multiLevelType w:val="hybridMultilevel"/>
    <w:tmpl w:val="6756B0C6"/>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CA16B26"/>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F476950"/>
    <w:multiLevelType w:val="hybridMultilevel"/>
    <w:tmpl w:val="BF44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096204C"/>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31B355C2"/>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33D76CE"/>
    <w:multiLevelType w:val="hybridMultilevel"/>
    <w:tmpl w:val="4E849618"/>
    <w:lvl w:ilvl="0" w:tplc="04090019">
      <w:start w:val="1"/>
      <w:numFmt w:val="lowerLetter"/>
      <w:lvlText w:val="%1."/>
      <w:lvlJc w:val="left"/>
      <w:pPr>
        <w:ind w:left="720" w:hanging="360"/>
      </w:pPr>
      <w:rPr>
        <w:rFonts w:hint="default"/>
      </w:rPr>
    </w:lvl>
    <w:lvl w:ilvl="1" w:tplc="9A3208C0">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359F4D5D"/>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5DE3681"/>
    <w:multiLevelType w:val="hybridMultilevel"/>
    <w:tmpl w:val="4B3EE91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709250E"/>
    <w:multiLevelType w:val="hybridMultilevel"/>
    <w:tmpl w:val="8DEAF378"/>
    <w:lvl w:ilvl="0" w:tplc="FC06076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8">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
    <w:nsid w:val="379D3411"/>
    <w:multiLevelType w:val="hybridMultilevel"/>
    <w:tmpl w:val="7E6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37FD2EE0"/>
    <w:multiLevelType w:val="hybridMultilevel"/>
    <w:tmpl w:val="1FDA666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1">
    <w:nsid w:val="38537D87"/>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8F67270"/>
    <w:multiLevelType w:val="hybridMultilevel"/>
    <w:tmpl w:val="F03A64E4"/>
    <w:lvl w:ilvl="0" w:tplc="F96C4382">
      <w:numFmt w:val="bullet"/>
      <w:lvlText w:val=""/>
      <w:lvlJc w:val="left"/>
      <w:pPr>
        <w:ind w:left="420" w:hanging="360"/>
      </w:pPr>
      <w:rPr>
        <w:rFonts w:ascii="Symbol" w:eastAsia="Symbol" w:hAnsi="Symbol" w:cs="Symbol" w:hint="default"/>
        <w:w w:val="100"/>
        <w:sz w:val="22"/>
        <w:szCs w:val="22"/>
      </w:rPr>
    </w:lvl>
    <w:lvl w:ilvl="1" w:tplc="2A8A7C24">
      <w:numFmt w:val="bullet"/>
      <w:lvlText w:val="•"/>
      <w:lvlJc w:val="left"/>
      <w:pPr>
        <w:ind w:left="1126" w:hanging="360"/>
      </w:pPr>
      <w:rPr>
        <w:rFonts w:hint="default"/>
      </w:rPr>
    </w:lvl>
    <w:lvl w:ilvl="2" w:tplc="F77ACA2E">
      <w:numFmt w:val="bullet"/>
      <w:lvlText w:val="•"/>
      <w:lvlJc w:val="left"/>
      <w:pPr>
        <w:ind w:left="1832" w:hanging="360"/>
      </w:pPr>
      <w:rPr>
        <w:rFonts w:hint="default"/>
      </w:rPr>
    </w:lvl>
    <w:lvl w:ilvl="3" w:tplc="BC383A64">
      <w:numFmt w:val="bullet"/>
      <w:lvlText w:val="•"/>
      <w:lvlJc w:val="left"/>
      <w:pPr>
        <w:ind w:left="2538" w:hanging="360"/>
      </w:pPr>
      <w:rPr>
        <w:rFonts w:hint="default"/>
      </w:rPr>
    </w:lvl>
    <w:lvl w:ilvl="4" w:tplc="6E5ACD3E">
      <w:numFmt w:val="bullet"/>
      <w:lvlText w:val="•"/>
      <w:lvlJc w:val="left"/>
      <w:pPr>
        <w:ind w:left="3244" w:hanging="360"/>
      </w:pPr>
      <w:rPr>
        <w:rFonts w:hint="default"/>
      </w:rPr>
    </w:lvl>
    <w:lvl w:ilvl="5" w:tplc="3AFE91D8">
      <w:numFmt w:val="bullet"/>
      <w:lvlText w:val="•"/>
      <w:lvlJc w:val="left"/>
      <w:pPr>
        <w:ind w:left="3951" w:hanging="360"/>
      </w:pPr>
      <w:rPr>
        <w:rFonts w:hint="default"/>
      </w:rPr>
    </w:lvl>
    <w:lvl w:ilvl="6" w:tplc="AE4AC5C4">
      <w:numFmt w:val="bullet"/>
      <w:lvlText w:val="•"/>
      <w:lvlJc w:val="left"/>
      <w:pPr>
        <w:ind w:left="4657" w:hanging="360"/>
      </w:pPr>
      <w:rPr>
        <w:rFonts w:hint="default"/>
      </w:rPr>
    </w:lvl>
    <w:lvl w:ilvl="7" w:tplc="9272B530">
      <w:numFmt w:val="bullet"/>
      <w:lvlText w:val="•"/>
      <w:lvlJc w:val="left"/>
      <w:pPr>
        <w:ind w:left="5363" w:hanging="360"/>
      </w:pPr>
      <w:rPr>
        <w:rFonts w:hint="default"/>
      </w:rPr>
    </w:lvl>
    <w:lvl w:ilvl="8" w:tplc="872AB820">
      <w:numFmt w:val="bullet"/>
      <w:lvlText w:val="•"/>
      <w:lvlJc w:val="left"/>
      <w:pPr>
        <w:ind w:left="6069" w:hanging="360"/>
      </w:pPr>
      <w:rPr>
        <w:rFonts w:hint="default"/>
      </w:rPr>
    </w:lvl>
  </w:abstractNum>
  <w:abstractNum w:abstractNumId="93">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B9515E6"/>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C235C89"/>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nsid w:val="3C7761E0"/>
    <w:multiLevelType w:val="hybridMultilevel"/>
    <w:tmpl w:val="3940A548"/>
    <w:lvl w:ilvl="0" w:tplc="60FC2A28">
      <w:numFmt w:val="bullet"/>
      <w:lvlText w:val=""/>
      <w:lvlJc w:val="left"/>
      <w:pPr>
        <w:ind w:left="420" w:hanging="360"/>
      </w:pPr>
      <w:rPr>
        <w:rFonts w:ascii="Symbol" w:eastAsia="Symbol" w:hAnsi="Symbol" w:cs="Symbol" w:hint="default"/>
        <w:w w:val="100"/>
        <w:sz w:val="22"/>
        <w:szCs w:val="22"/>
      </w:rPr>
    </w:lvl>
    <w:lvl w:ilvl="1" w:tplc="90EC44DA">
      <w:numFmt w:val="bullet"/>
      <w:lvlText w:val="•"/>
      <w:lvlJc w:val="left"/>
      <w:pPr>
        <w:ind w:left="1071" w:hanging="360"/>
      </w:pPr>
      <w:rPr>
        <w:rFonts w:hint="default"/>
      </w:rPr>
    </w:lvl>
    <w:lvl w:ilvl="2" w:tplc="F1D2AE32">
      <w:numFmt w:val="bullet"/>
      <w:lvlText w:val="•"/>
      <w:lvlJc w:val="left"/>
      <w:pPr>
        <w:ind w:left="1723" w:hanging="360"/>
      </w:pPr>
      <w:rPr>
        <w:rFonts w:hint="default"/>
      </w:rPr>
    </w:lvl>
    <w:lvl w:ilvl="3" w:tplc="62885A4E">
      <w:numFmt w:val="bullet"/>
      <w:lvlText w:val="•"/>
      <w:lvlJc w:val="left"/>
      <w:pPr>
        <w:ind w:left="2375" w:hanging="360"/>
      </w:pPr>
      <w:rPr>
        <w:rFonts w:hint="default"/>
      </w:rPr>
    </w:lvl>
    <w:lvl w:ilvl="4" w:tplc="CFEABAB8">
      <w:numFmt w:val="bullet"/>
      <w:lvlText w:val="•"/>
      <w:lvlJc w:val="left"/>
      <w:pPr>
        <w:ind w:left="3027" w:hanging="360"/>
      </w:pPr>
      <w:rPr>
        <w:rFonts w:hint="default"/>
      </w:rPr>
    </w:lvl>
    <w:lvl w:ilvl="5" w:tplc="D6F62ED0">
      <w:numFmt w:val="bullet"/>
      <w:lvlText w:val="•"/>
      <w:lvlJc w:val="left"/>
      <w:pPr>
        <w:ind w:left="3678" w:hanging="360"/>
      </w:pPr>
      <w:rPr>
        <w:rFonts w:hint="default"/>
      </w:rPr>
    </w:lvl>
    <w:lvl w:ilvl="6" w:tplc="42E23A40">
      <w:numFmt w:val="bullet"/>
      <w:lvlText w:val="•"/>
      <w:lvlJc w:val="left"/>
      <w:pPr>
        <w:ind w:left="4330" w:hanging="360"/>
      </w:pPr>
      <w:rPr>
        <w:rFonts w:hint="default"/>
      </w:rPr>
    </w:lvl>
    <w:lvl w:ilvl="7" w:tplc="FF40D892">
      <w:numFmt w:val="bullet"/>
      <w:lvlText w:val="•"/>
      <w:lvlJc w:val="left"/>
      <w:pPr>
        <w:ind w:left="4982" w:hanging="360"/>
      </w:pPr>
      <w:rPr>
        <w:rFonts w:hint="default"/>
      </w:rPr>
    </w:lvl>
    <w:lvl w:ilvl="8" w:tplc="17A8C8D2">
      <w:numFmt w:val="bullet"/>
      <w:lvlText w:val="•"/>
      <w:lvlJc w:val="left"/>
      <w:pPr>
        <w:ind w:left="5634" w:hanging="360"/>
      </w:pPr>
      <w:rPr>
        <w:rFonts w:hint="default"/>
      </w:rPr>
    </w:lvl>
  </w:abstractNum>
  <w:abstractNum w:abstractNumId="98">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1">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nsid w:val="3FFF621E"/>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14669D9"/>
    <w:multiLevelType w:val="hybridMultilevel"/>
    <w:tmpl w:val="D7B870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nsid w:val="437D48C2"/>
    <w:multiLevelType w:val="hybridMultilevel"/>
    <w:tmpl w:val="1B5AD3DE"/>
    <w:lvl w:ilvl="0" w:tplc="B94C0F66">
      <w:start w:val="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nsid w:val="43944A6B"/>
    <w:multiLevelType w:val="hybridMultilevel"/>
    <w:tmpl w:val="A09058DE"/>
    <w:lvl w:ilvl="0" w:tplc="27A2BB22">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445D58C0"/>
    <w:multiLevelType w:val="hybridMultilevel"/>
    <w:tmpl w:val="C1405ADA"/>
    <w:lvl w:ilvl="0" w:tplc="DF1E1408">
      <w:start w:val="1"/>
      <w:numFmt w:val="decimal"/>
      <w:pStyle w:val="Best2"/>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8">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9">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0">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464A3CEF"/>
    <w:multiLevelType w:val="hybridMultilevel"/>
    <w:tmpl w:val="97E46F6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7">
      <w:start w:val="1"/>
      <w:numFmt w:val="lowerLetter"/>
      <w:lvlText w:val="%3)"/>
      <w:lvlJc w:val="lef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2">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48E25C31"/>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93671BF"/>
    <w:multiLevelType w:val="hybridMultilevel"/>
    <w:tmpl w:val="B128CDA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16">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4A403BE8"/>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024364"/>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B025946"/>
    <w:multiLevelType w:val="hybridMultilevel"/>
    <w:tmpl w:val="FB02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B0D73D2"/>
    <w:multiLevelType w:val="hybridMultilevel"/>
    <w:tmpl w:val="009245AA"/>
    <w:lvl w:ilvl="0" w:tplc="F0A0E56A">
      <w:numFmt w:val="bullet"/>
      <w:lvlText w:val=""/>
      <w:lvlJc w:val="left"/>
      <w:pPr>
        <w:ind w:left="420" w:hanging="360"/>
      </w:pPr>
      <w:rPr>
        <w:rFonts w:ascii="Symbol" w:eastAsia="Symbol" w:hAnsi="Symbol" w:cs="Symbol" w:hint="default"/>
        <w:w w:val="100"/>
        <w:sz w:val="22"/>
        <w:szCs w:val="22"/>
      </w:rPr>
    </w:lvl>
    <w:lvl w:ilvl="1" w:tplc="9B1E64C4">
      <w:numFmt w:val="bullet"/>
      <w:lvlText w:val="•"/>
      <w:lvlJc w:val="left"/>
      <w:pPr>
        <w:ind w:left="1071" w:hanging="360"/>
      </w:pPr>
      <w:rPr>
        <w:rFonts w:hint="default"/>
      </w:rPr>
    </w:lvl>
    <w:lvl w:ilvl="2" w:tplc="2C98532A">
      <w:numFmt w:val="bullet"/>
      <w:lvlText w:val="•"/>
      <w:lvlJc w:val="left"/>
      <w:pPr>
        <w:ind w:left="1723" w:hanging="360"/>
      </w:pPr>
      <w:rPr>
        <w:rFonts w:hint="default"/>
      </w:rPr>
    </w:lvl>
    <w:lvl w:ilvl="3" w:tplc="CC58C3D4">
      <w:numFmt w:val="bullet"/>
      <w:lvlText w:val="•"/>
      <w:lvlJc w:val="left"/>
      <w:pPr>
        <w:ind w:left="2375" w:hanging="360"/>
      </w:pPr>
      <w:rPr>
        <w:rFonts w:hint="default"/>
      </w:rPr>
    </w:lvl>
    <w:lvl w:ilvl="4" w:tplc="1158A552">
      <w:numFmt w:val="bullet"/>
      <w:lvlText w:val="•"/>
      <w:lvlJc w:val="left"/>
      <w:pPr>
        <w:ind w:left="3027" w:hanging="360"/>
      </w:pPr>
      <w:rPr>
        <w:rFonts w:hint="default"/>
      </w:rPr>
    </w:lvl>
    <w:lvl w:ilvl="5" w:tplc="C50E437E">
      <w:numFmt w:val="bullet"/>
      <w:lvlText w:val="•"/>
      <w:lvlJc w:val="left"/>
      <w:pPr>
        <w:ind w:left="3678" w:hanging="360"/>
      </w:pPr>
      <w:rPr>
        <w:rFonts w:hint="default"/>
      </w:rPr>
    </w:lvl>
    <w:lvl w:ilvl="6" w:tplc="8A36C5BE">
      <w:numFmt w:val="bullet"/>
      <w:lvlText w:val="•"/>
      <w:lvlJc w:val="left"/>
      <w:pPr>
        <w:ind w:left="4330" w:hanging="360"/>
      </w:pPr>
      <w:rPr>
        <w:rFonts w:hint="default"/>
      </w:rPr>
    </w:lvl>
    <w:lvl w:ilvl="7" w:tplc="A378D770">
      <w:numFmt w:val="bullet"/>
      <w:lvlText w:val="•"/>
      <w:lvlJc w:val="left"/>
      <w:pPr>
        <w:ind w:left="4982" w:hanging="360"/>
      </w:pPr>
      <w:rPr>
        <w:rFonts w:hint="default"/>
      </w:rPr>
    </w:lvl>
    <w:lvl w:ilvl="8" w:tplc="65C0E048">
      <w:numFmt w:val="bullet"/>
      <w:lvlText w:val="•"/>
      <w:lvlJc w:val="left"/>
      <w:pPr>
        <w:ind w:left="5634" w:hanging="360"/>
      </w:pPr>
      <w:rPr>
        <w:rFonts w:hint="default"/>
      </w:rPr>
    </w:lvl>
  </w:abstractNum>
  <w:abstractNum w:abstractNumId="122">
    <w:nsid w:val="4CEE0405"/>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D5630C6"/>
    <w:multiLevelType w:val="hybridMultilevel"/>
    <w:tmpl w:val="982AF438"/>
    <w:lvl w:ilvl="0" w:tplc="C1C88F9E">
      <w:numFmt w:val="bullet"/>
      <w:lvlText w:val=""/>
      <w:lvlJc w:val="left"/>
      <w:pPr>
        <w:ind w:left="420" w:hanging="360"/>
      </w:pPr>
      <w:rPr>
        <w:rFonts w:ascii="Symbol" w:eastAsia="Symbol" w:hAnsi="Symbol" w:cs="Symbol" w:hint="default"/>
        <w:w w:val="100"/>
        <w:sz w:val="22"/>
        <w:szCs w:val="22"/>
      </w:rPr>
    </w:lvl>
    <w:lvl w:ilvl="1" w:tplc="4050ABB6">
      <w:numFmt w:val="bullet"/>
      <w:lvlText w:val="•"/>
      <w:lvlJc w:val="left"/>
      <w:pPr>
        <w:ind w:left="1072" w:hanging="360"/>
      </w:pPr>
      <w:rPr>
        <w:rFonts w:hint="default"/>
      </w:rPr>
    </w:lvl>
    <w:lvl w:ilvl="2" w:tplc="14D45BBC">
      <w:numFmt w:val="bullet"/>
      <w:lvlText w:val="•"/>
      <w:lvlJc w:val="left"/>
      <w:pPr>
        <w:ind w:left="1724" w:hanging="360"/>
      </w:pPr>
      <w:rPr>
        <w:rFonts w:hint="default"/>
      </w:rPr>
    </w:lvl>
    <w:lvl w:ilvl="3" w:tplc="BE2E98D8">
      <w:numFmt w:val="bullet"/>
      <w:lvlText w:val="•"/>
      <w:lvlJc w:val="left"/>
      <w:pPr>
        <w:ind w:left="2376" w:hanging="360"/>
      </w:pPr>
      <w:rPr>
        <w:rFonts w:hint="default"/>
      </w:rPr>
    </w:lvl>
    <w:lvl w:ilvl="4" w:tplc="3C3E7F26">
      <w:numFmt w:val="bullet"/>
      <w:lvlText w:val="•"/>
      <w:lvlJc w:val="left"/>
      <w:pPr>
        <w:ind w:left="3028" w:hanging="360"/>
      </w:pPr>
      <w:rPr>
        <w:rFonts w:hint="default"/>
      </w:rPr>
    </w:lvl>
    <w:lvl w:ilvl="5" w:tplc="7C006CD4">
      <w:numFmt w:val="bullet"/>
      <w:lvlText w:val="•"/>
      <w:lvlJc w:val="left"/>
      <w:pPr>
        <w:ind w:left="3680" w:hanging="360"/>
      </w:pPr>
      <w:rPr>
        <w:rFonts w:hint="default"/>
      </w:rPr>
    </w:lvl>
    <w:lvl w:ilvl="6" w:tplc="986CF9D0">
      <w:numFmt w:val="bullet"/>
      <w:lvlText w:val="•"/>
      <w:lvlJc w:val="left"/>
      <w:pPr>
        <w:ind w:left="4332" w:hanging="360"/>
      </w:pPr>
      <w:rPr>
        <w:rFonts w:hint="default"/>
      </w:rPr>
    </w:lvl>
    <w:lvl w:ilvl="7" w:tplc="2DCC7176">
      <w:numFmt w:val="bullet"/>
      <w:lvlText w:val="•"/>
      <w:lvlJc w:val="left"/>
      <w:pPr>
        <w:ind w:left="4984" w:hanging="360"/>
      </w:pPr>
      <w:rPr>
        <w:rFonts w:hint="default"/>
      </w:rPr>
    </w:lvl>
    <w:lvl w:ilvl="8" w:tplc="5DEE0A3E">
      <w:numFmt w:val="bullet"/>
      <w:lvlText w:val="•"/>
      <w:lvlJc w:val="left"/>
      <w:pPr>
        <w:ind w:left="5636" w:hanging="360"/>
      </w:pPr>
      <w:rPr>
        <w:rFonts w:hint="default"/>
      </w:rPr>
    </w:lvl>
  </w:abstractNum>
  <w:abstractNum w:abstractNumId="125">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126">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DEC232F"/>
    <w:multiLevelType w:val="hybridMultilevel"/>
    <w:tmpl w:val="0E8A3FA8"/>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28">
    <w:nsid w:val="4E7231B7"/>
    <w:multiLevelType w:val="hybridMultilevel"/>
    <w:tmpl w:val="3168D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nsid w:val="4EA425D2"/>
    <w:multiLevelType w:val="hybridMultilevel"/>
    <w:tmpl w:val="B4A80436"/>
    <w:lvl w:ilvl="0" w:tplc="0A98AA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ECD4CB3"/>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04D5D95"/>
    <w:multiLevelType w:val="hybridMultilevel"/>
    <w:tmpl w:val="CC00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5084220F"/>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4">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136">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nsid w:val="53EE263E"/>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9">
    <w:nsid w:val="558100D5"/>
    <w:multiLevelType w:val="hybridMultilevel"/>
    <w:tmpl w:val="27A0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41">
    <w:nsid w:val="559A364E"/>
    <w:multiLevelType w:val="hybridMultilevel"/>
    <w:tmpl w:val="203A9CFC"/>
    <w:lvl w:ilvl="0" w:tplc="172695CE">
      <w:numFmt w:val="bullet"/>
      <w:lvlText w:val=""/>
      <w:lvlJc w:val="left"/>
      <w:pPr>
        <w:ind w:left="420" w:hanging="360"/>
      </w:pPr>
      <w:rPr>
        <w:rFonts w:ascii="Symbol" w:eastAsia="Symbol" w:hAnsi="Symbol" w:cs="Symbol" w:hint="default"/>
        <w:w w:val="100"/>
        <w:sz w:val="22"/>
        <w:szCs w:val="22"/>
      </w:rPr>
    </w:lvl>
    <w:lvl w:ilvl="1" w:tplc="8B524460">
      <w:numFmt w:val="bullet"/>
      <w:lvlText w:val="•"/>
      <w:lvlJc w:val="left"/>
      <w:pPr>
        <w:ind w:left="1126" w:hanging="360"/>
      </w:pPr>
      <w:rPr>
        <w:rFonts w:hint="default"/>
      </w:rPr>
    </w:lvl>
    <w:lvl w:ilvl="2" w:tplc="9B5E0296">
      <w:numFmt w:val="bullet"/>
      <w:lvlText w:val="•"/>
      <w:lvlJc w:val="left"/>
      <w:pPr>
        <w:ind w:left="1832" w:hanging="360"/>
      </w:pPr>
      <w:rPr>
        <w:rFonts w:hint="default"/>
      </w:rPr>
    </w:lvl>
    <w:lvl w:ilvl="3" w:tplc="A6242544">
      <w:numFmt w:val="bullet"/>
      <w:lvlText w:val="•"/>
      <w:lvlJc w:val="left"/>
      <w:pPr>
        <w:ind w:left="2538" w:hanging="360"/>
      </w:pPr>
      <w:rPr>
        <w:rFonts w:hint="default"/>
      </w:rPr>
    </w:lvl>
    <w:lvl w:ilvl="4" w:tplc="05D2CB86">
      <w:numFmt w:val="bullet"/>
      <w:lvlText w:val="•"/>
      <w:lvlJc w:val="left"/>
      <w:pPr>
        <w:ind w:left="3244" w:hanging="360"/>
      </w:pPr>
      <w:rPr>
        <w:rFonts w:hint="default"/>
      </w:rPr>
    </w:lvl>
    <w:lvl w:ilvl="5" w:tplc="6C92882A">
      <w:numFmt w:val="bullet"/>
      <w:lvlText w:val="•"/>
      <w:lvlJc w:val="left"/>
      <w:pPr>
        <w:ind w:left="3951" w:hanging="360"/>
      </w:pPr>
      <w:rPr>
        <w:rFonts w:hint="default"/>
      </w:rPr>
    </w:lvl>
    <w:lvl w:ilvl="6" w:tplc="137CF232">
      <w:numFmt w:val="bullet"/>
      <w:lvlText w:val="•"/>
      <w:lvlJc w:val="left"/>
      <w:pPr>
        <w:ind w:left="4657" w:hanging="360"/>
      </w:pPr>
      <w:rPr>
        <w:rFonts w:hint="default"/>
      </w:rPr>
    </w:lvl>
    <w:lvl w:ilvl="7" w:tplc="230246A6">
      <w:numFmt w:val="bullet"/>
      <w:lvlText w:val="•"/>
      <w:lvlJc w:val="left"/>
      <w:pPr>
        <w:ind w:left="5363" w:hanging="360"/>
      </w:pPr>
      <w:rPr>
        <w:rFonts w:hint="default"/>
      </w:rPr>
    </w:lvl>
    <w:lvl w:ilvl="8" w:tplc="C2C69D5A">
      <w:numFmt w:val="bullet"/>
      <w:lvlText w:val="•"/>
      <w:lvlJc w:val="left"/>
      <w:pPr>
        <w:ind w:left="6069" w:hanging="360"/>
      </w:pPr>
      <w:rPr>
        <w:rFonts w:hint="default"/>
      </w:rPr>
    </w:lvl>
  </w:abstractNum>
  <w:abstractNum w:abstractNumId="142">
    <w:nsid w:val="55A85701"/>
    <w:multiLevelType w:val="hybridMultilevel"/>
    <w:tmpl w:val="08400400"/>
    <w:lvl w:ilvl="0" w:tplc="F6D4A90C">
      <w:numFmt w:val="bullet"/>
      <w:lvlText w:val=""/>
      <w:lvlJc w:val="left"/>
      <w:pPr>
        <w:ind w:left="420" w:hanging="360"/>
      </w:pPr>
      <w:rPr>
        <w:rFonts w:ascii="Symbol" w:eastAsia="Symbol" w:hAnsi="Symbol" w:cs="Symbol" w:hint="default"/>
        <w:w w:val="100"/>
        <w:sz w:val="22"/>
        <w:szCs w:val="22"/>
      </w:rPr>
    </w:lvl>
    <w:lvl w:ilvl="1" w:tplc="C2BA0218">
      <w:numFmt w:val="bullet"/>
      <w:lvlText w:val="•"/>
      <w:lvlJc w:val="left"/>
      <w:pPr>
        <w:ind w:left="1072" w:hanging="360"/>
      </w:pPr>
      <w:rPr>
        <w:rFonts w:hint="default"/>
      </w:rPr>
    </w:lvl>
    <w:lvl w:ilvl="2" w:tplc="BF686EBE">
      <w:numFmt w:val="bullet"/>
      <w:lvlText w:val="•"/>
      <w:lvlJc w:val="left"/>
      <w:pPr>
        <w:ind w:left="1724" w:hanging="360"/>
      </w:pPr>
      <w:rPr>
        <w:rFonts w:hint="default"/>
      </w:rPr>
    </w:lvl>
    <w:lvl w:ilvl="3" w:tplc="FD1CC5B2">
      <w:numFmt w:val="bullet"/>
      <w:lvlText w:val="•"/>
      <w:lvlJc w:val="left"/>
      <w:pPr>
        <w:ind w:left="2376" w:hanging="360"/>
      </w:pPr>
      <w:rPr>
        <w:rFonts w:hint="default"/>
      </w:rPr>
    </w:lvl>
    <w:lvl w:ilvl="4" w:tplc="BD60AF4A">
      <w:numFmt w:val="bullet"/>
      <w:lvlText w:val="•"/>
      <w:lvlJc w:val="left"/>
      <w:pPr>
        <w:ind w:left="3028" w:hanging="360"/>
      </w:pPr>
      <w:rPr>
        <w:rFonts w:hint="default"/>
      </w:rPr>
    </w:lvl>
    <w:lvl w:ilvl="5" w:tplc="58E01714">
      <w:numFmt w:val="bullet"/>
      <w:lvlText w:val="•"/>
      <w:lvlJc w:val="left"/>
      <w:pPr>
        <w:ind w:left="3680" w:hanging="360"/>
      </w:pPr>
      <w:rPr>
        <w:rFonts w:hint="default"/>
      </w:rPr>
    </w:lvl>
    <w:lvl w:ilvl="6" w:tplc="9752A74A">
      <w:numFmt w:val="bullet"/>
      <w:lvlText w:val="•"/>
      <w:lvlJc w:val="left"/>
      <w:pPr>
        <w:ind w:left="4332" w:hanging="360"/>
      </w:pPr>
      <w:rPr>
        <w:rFonts w:hint="default"/>
      </w:rPr>
    </w:lvl>
    <w:lvl w:ilvl="7" w:tplc="4556896E">
      <w:numFmt w:val="bullet"/>
      <w:lvlText w:val="•"/>
      <w:lvlJc w:val="left"/>
      <w:pPr>
        <w:ind w:left="4984" w:hanging="360"/>
      </w:pPr>
      <w:rPr>
        <w:rFonts w:hint="default"/>
      </w:rPr>
    </w:lvl>
    <w:lvl w:ilvl="8" w:tplc="E202228C">
      <w:numFmt w:val="bullet"/>
      <w:lvlText w:val="•"/>
      <w:lvlJc w:val="left"/>
      <w:pPr>
        <w:ind w:left="5636" w:hanging="360"/>
      </w:pPr>
      <w:rPr>
        <w:rFonts w:hint="default"/>
      </w:rPr>
    </w:lvl>
  </w:abstractNum>
  <w:abstractNum w:abstractNumId="143">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144">
    <w:nsid w:val="58656295"/>
    <w:multiLevelType w:val="hybridMultilevel"/>
    <w:tmpl w:val="89F06342"/>
    <w:lvl w:ilvl="0" w:tplc="0C090001">
      <w:start w:val="1"/>
      <w:numFmt w:val="bullet"/>
      <w:lvlText w:val=""/>
      <w:lvlJc w:val="left"/>
      <w:pPr>
        <w:ind w:left="1665" w:hanging="360"/>
      </w:pPr>
      <w:rPr>
        <w:rFonts w:ascii="Symbol" w:hAnsi="Symbol" w:hint="default"/>
      </w:rPr>
    </w:lvl>
    <w:lvl w:ilvl="1" w:tplc="0C090003">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45">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6">
    <w:nsid w:val="59560410"/>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A194756"/>
    <w:multiLevelType w:val="hybridMultilevel"/>
    <w:tmpl w:val="DB7233CC"/>
    <w:lvl w:ilvl="0" w:tplc="736C8C2C">
      <w:numFmt w:val="bullet"/>
      <w:lvlText w:val=""/>
      <w:lvlJc w:val="left"/>
      <w:pPr>
        <w:ind w:left="420" w:hanging="360"/>
      </w:pPr>
      <w:rPr>
        <w:rFonts w:ascii="Symbol" w:eastAsia="Symbol" w:hAnsi="Symbol" w:cs="Symbol" w:hint="default"/>
        <w:w w:val="100"/>
        <w:sz w:val="22"/>
        <w:szCs w:val="22"/>
      </w:rPr>
    </w:lvl>
    <w:lvl w:ilvl="1" w:tplc="1AC0B456">
      <w:numFmt w:val="bullet"/>
      <w:lvlText w:val="•"/>
      <w:lvlJc w:val="left"/>
      <w:pPr>
        <w:ind w:left="1072" w:hanging="360"/>
      </w:pPr>
      <w:rPr>
        <w:rFonts w:hint="default"/>
      </w:rPr>
    </w:lvl>
    <w:lvl w:ilvl="2" w:tplc="D94E0756">
      <w:numFmt w:val="bullet"/>
      <w:lvlText w:val="•"/>
      <w:lvlJc w:val="left"/>
      <w:pPr>
        <w:ind w:left="1724" w:hanging="360"/>
      </w:pPr>
      <w:rPr>
        <w:rFonts w:hint="default"/>
      </w:rPr>
    </w:lvl>
    <w:lvl w:ilvl="3" w:tplc="DB2833B4">
      <w:numFmt w:val="bullet"/>
      <w:lvlText w:val="•"/>
      <w:lvlJc w:val="left"/>
      <w:pPr>
        <w:ind w:left="2376" w:hanging="360"/>
      </w:pPr>
      <w:rPr>
        <w:rFonts w:hint="default"/>
      </w:rPr>
    </w:lvl>
    <w:lvl w:ilvl="4" w:tplc="DD8243D0">
      <w:numFmt w:val="bullet"/>
      <w:lvlText w:val="•"/>
      <w:lvlJc w:val="left"/>
      <w:pPr>
        <w:ind w:left="3028" w:hanging="360"/>
      </w:pPr>
      <w:rPr>
        <w:rFonts w:hint="default"/>
      </w:rPr>
    </w:lvl>
    <w:lvl w:ilvl="5" w:tplc="F908571A">
      <w:numFmt w:val="bullet"/>
      <w:lvlText w:val="•"/>
      <w:lvlJc w:val="left"/>
      <w:pPr>
        <w:ind w:left="3680" w:hanging="360"/>
      </w:pPr>
      <w:rPr>
        <w:rFonts w:hint="default"/>
      </w:rPr>
    </w:lvl>
    <w:lvl w:ilvl="6" w:tplc="D64005EE">
      <w:numFmt w:val="bullet"/>
      <w:lvlText w:val="•"/>
      <w:lvlJc w:val="left"/>
      <w:pPr>
        <w:ind w:left="4332" w:hanging="360"/>
      </w:pPr>
      <w:rPr>
        <w:rFonts w:hint="default"/>
      </w:rPr>
    </w:lvl>
    <w:lvl w:ilvl="7" w:tplc="C5FE43B8">
      <w:numFmt w:val="bullet"/>
      <w:lvlText w:val="•"/>
      <w:lvlJc w:val="left"/>
      <w:pPr>
        <w:ind w:left="4984" w:hanging="360"/>
      </w:pPr>
      <w:rPr>
        <w:rFonts w:hint="default"/>
      </w:rPr>
    </w:lvl>
    <w:lvl w:ilvl="8" w:tplc="557AADB4">
      <w:numFmt w:val="bullet"/>
      <w:lvlText w:val="•"/>
      <w:lvlJc w:val="left"/>
      <w:pPr>
        <w:ind w:left="5636" w:hanging="360"/>
      </w:pPr>
      <w:rPr>
        <w:rFonts w:hint="default"/>
      </w:rPr>
    </w:lvl>
  </w:abstractNum>
  <w:abstractNum w:abstractNumId="148">
    <w:nsid w:val="5A8E4B7E"/>
    <w:multiLevelType w:val="hybridMultilevel"/>
    <w:tmpl w:val="A8D20B1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49">
    <w:nsid w:val="5AC572FB"/>
    <w:multiLevelType w:val="hybridMultilevel"/>
    <w:tmpl w:val="9A8ECA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nsid w:val="5C5042EB"/>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52">
    <w:nsid w:val="5C8A6236"/>
    <w:multiLevelType w:val="hybridMultilevel"/>
    <w:tmpl w:val="907EB63A"/>
    <w:lvl w:ilvl="0" w:tplc="EFB4540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D4E3651"/>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DFC4A61"/>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E466D20"/>
    <w:multiLevelType w:val="hybridMultilevel"/>
    <w:tmpl w:val="6488499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7">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0EF6997"/>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163">
    <w:nsid w:val="66B3247C"/>
    <w:multiLevelType w:val="hybridMultilevel"/>
    <w:tmpl w:val="DBD4FF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940EAE"/>
    <w:multiLevelType w:val="hybridMultilevel"/>
    <w:tmpl w:val="A628DA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8">
    <w:nsid w:val="6DC60753"/>
    <w:multiLevelType w:val="hybridMultilevel"/>
    <w:tmpl w:val="5162AD5C"/>
    <w:lvl w:ilvl="0" w:tplc="0C090001">
      <w:start w:val="1"/>
      <w:numFmt w:val="bullet"/>
      <w:lvlText w:val=""/>
      <w:lvlJc w:val="left"/>
      <w:pPr>
        <w:ind w:left="1665" w:hanging="360"/>
      </w:pPr>
      <w:rPr>
        <w:rFonts w:ascii="Symbol" w:hAnsi="Symbol" w:hint="default"/>
      </w:rPr>
    </w:lvl>
    <w:lvl w:ilvl="1" w:tplc="0C090003" w:tentative="1">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69">
    <w:nsid w:val="6DDE2008"/>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DE54686"/>
    <w:multiLevelType w:val="hybridMultilevel"/>
    <w:tmpl w:val="8A22D11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nsid w:val="70540ED4"/>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071664A"/>
    <w:multiLevelType w:val="hybridMultilevel"/>
    <w:tmpl w:val="7434525A"/>
    <w:lvl w:ilvl="0" w:tplc="04090017">
      <w:start w:val="1"/>
      <w:numFmt w:val="lowerLetter"/>
      <w:lvlText w:val="%1)"/>
      <w:lvlJc w:val="left"/>
      <w:pPr>
        <w:ind w:left="1324" w:hanging="360"/>
      </w:pPr>
      <w:rPr>
        <w:rFonts w:hint="default"/>
      </w:rPr>
    </w:lvl>
    <w:lvl w:ilvl="1" w:tplc="C7B4DE86">
      <w:start w:val="1"/>
      <w:numFmt w:val="decimal"/>
      <w:lvlText w:val="%2."/>
      <w:lvlJc w:val="left"/>
      <w:pPr>
        <w:ind w:left="2044" w:hanging="360"/>
      </w:pPr>
      <w:rPr>
        <w:rFonts w:hint="default"/>
      </w:rPr>
    </w:lvl>
    <w:lvl w:ilvl="2" w:tplc="D4FA10D8">
      <w:start w:val="1"/>
      <w:numFmt w:val="lowerLetter"/>
      <w:lvlText w:val="%3."/>
      <w:lvlJc w:val="left"/>
      <w:pPr>
        <w:ind w:left="3064" w:hanging="480"/>
      </w:pPr>
      <w:rPr>
        <w:rFonts w:hint="default"/>
      </w:r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73">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6">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8">
    <w:nsid w:val="72FA26A6"/>
    <w:multiLevelType w:val="hybridMultilevel"/>
    <w:tmpl w:val="F11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80">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nsid w:val="74DE470A"/>
    <w:multiLevelType w:val="hybridMultilevel"/>
    <w:tmpl w:val="AEF0B08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82">
    <w:nsid w:val="76683D26"/>
    <w:multiLevelType w:val="hybridMultilevel"/>
    <w:tmpl w:val="42BA5E00"/>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3">
    <w:nsid w:val="768A5ECF"/>
    <w:multiLevelType w:val="hybridMultilevel"/>
    <w:tmpl w:val="EF4CB6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nsid w:val="771944FC"/>
    <w:multiLevelType w:val="hybridMultilevel"/>
    <w:tmpl w:val="6A9C7776"/>
    <w:lvl w:ilvl="0" w:tplc="476EB96C">
      <w:numFmt w:val="bullet"/>
      <w:lvlText w:val=""/>
      <w:lvlJc w:val="left"/>
      <w:pPr>
        <w:ind w:left="420" w:hanging="360"/>
      </w:pPr>
      <w:rPr>
        <w:rFonts w:ascii="Symbol" w:eastAsia="Symbol" w:hAnsi="Symbol" w:cs="Symbol" w:hint="default"/>
        <w:w w:val="100"/>
        <w:sz w:val="22"/>
        <w:szCs w:val="22"/>
      </w:rPr>
    </w:lvl>
    <w:lvl w:ilvl="1" w:tplc="0D9C915A">
      <w:numFmt w:val="bullet"/>
      <w:lvlText w:val="•"/>
      <w:lvlJc w:val="left"/>
      <w:pPr>
        <w:ind w:left="1072" w:hanging="360"/>
      </w:pPr>
      <w:rPr>
        <w:rFonts w:hint="default"/>
      </w:rPr>
    </w:lvl>
    <w:lvl w:ilvl="2" w:tplc="B26445EC">
      <w:numFmt w:val="bullet"/>
      <w:lvlText w:val="•"/>
      <w:lvlJc w:val="left"/>
      <w:pPr>
        <w:ind w:left="1724" w:hanging="360"/>
      </w:pPr>
      <w:rPr>
        <w:rFonts w:hint="default"/>
      </w:rPr>
    </w:lvl>
    <w:lvl w:ilvl="3" w:tplc="DFB00FE2">
      <w:numFmt w:val="bullet"/>
      <w:lvlText w:val="•"/>
      <w:lvlJc w:val="left"/>
      <w:pPr>
        <w:ind w:left="2376" w:hanging="360"/>
      </w:pPr>
      <w:rPr>
        <w:rFonts w:hint="default"/>
      </w:rPr>
    </w:lvl>
    <w:lvl w:ilvl="4" w:tplc="AED6CB06">
      <w:numFmt w:val="bullet"/>
      <w:lvlText w:val="•"/>
      <w:lvlJc w:val="left"/>
      <w:pPr>
        <w:ind w:left="3028" w:hanging="360"/>
      </w:pPr>
      <w:rPr>
        <w:rFonts w:hint="default"/>
      </w:rPr>
    </w:lvl>
    <w:lvl w:ilvl="5" w:tplc="20827D44">
      <w:numFmt w:val="bullet"/>
      <w:lvlText w:val="•"/>
      <w:lvlJc w:val="left"/>
      <w:pPr>
        <w:ind w:left="3680" w:hanging="360"/>
      </w:pPr>
      <w:rPr>
        <w:rFonts w:hint="default"/>
      </w:rPr>
    </w:lvl>
    <w:lvl w:ilvl="6" w:tplc="35D47170">
      <w:numFmt w:val="bullet"/>
      <w:lvlText w:val="•"/>
      <w:lvlJc w:val="left"/>
      <w:pPr>
        <w:ind w:left="4332" w:hanging="360"/>
      </w:pPr>
      <w:rPr>
        <w:rFonts w:hint="default"/>
      </w:rPr>
    </w:lvl>
    <w:lvl w:ilvl="7" w:tplc="63483896">
      <w:numFmt w:val="bullet"/>
      <w:lvlText w:val="•"/>
      <w:lvlJc w:val="left"/>
      <w:pPr>
        <w:ind w:left="4984" w:hanging="360"/>
      </w:pPr>
      <w:rPr>
        <w:rFonts w:hint="default"/>
      </w:rPr>
    </w:lvl>
    <w:lvl w:ilvl="8" w:tplc="5322C518">
      <w:numFmt w:val="bullet"/>
      <w:lvlText w:val="•"/>
      <w:lvlJc w:val="left"/>
      <w:pPr>
        <w:ind w:left="5636" w:hanging="360"/>
      </w:pPr>
      <w:rPr>
        <w:rFonts w:hint="default"/>
      </w:rPr>
    </w:lvl>
  </w:abstractNum>
  <w:abstractNum w:abstractNumId="185">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8117D81"/>
    <w:multiLevelType w:val="hybridMultilevel"/>
    <w:tmpl w:val="06FE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0D4CB2"/>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910221E"/>
    <w:multiLevelType w:val="hybridMultilevel"/>
    <w:tmpl w:val="C636B058"/>
    <w:lvl w:ilvl="0" w:tplc="3FA88E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nsid w:val="79336CB3"/>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2">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3">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194">
    <w:nsid w:val="7D087E05"/>
    <w:multiLevelType w:val="hybridMultilevel"/>
    <w:tmpl w:val="BDB0B5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abstractNum w:abstractNumId="196">
    <w:nsid w:val="7D2A0CA7"/>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7F7209F3"/>
    <w:multiLevelType w:val="hybridMultilevel"/>
    <w:tmpl w:val="9E140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7"/>
  </w:num>
  <w:num w:numId="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6"/>
  </w:num>
  <w:num w:numId="5">
    <w:abstractNumId w:val="10"/>
  </w:num>
  <w:num w:numId="6">
    <w:abstractNumId w:val="174"/>
  </w:num>
  <w:num w:numId="7">
    <w:abstractNumId w:val="102"/>
  </w:num>
  <w:num w:numId="8">
    <w:abstractNumId w:val="108"/>
  </w:num>
  <w:num w:numId="9">
    <w:abstractNumId w:val="45"/>
  </w:num>
  <w:num w:numId="10">
    <w:abstractNumId w:val="163"/>
  </w:num>
  <w:num w:numId="11">
    <w:abstractNumId w:val="167"/>
  </w:num>
  <w:num w:numId="12">
    <w:abstractNumId w:val="59"/>
  </w:num>
  <w:num w:numId="13">
    <w:abstractNumId w:val="144"/>
  </w:num>
  <w:num w:numId="14">
    <w:abstractNumId w:val="168"/>
  </w:num>
  <w:num w:numId="15">
    <w:abstractNumId w:val="181"/>
  </w:num>
  <w:num w:numId="16">
    <w:abstractNumId w:val="115"/>
  </w:num>
  <w:num w:numId="17">
    <w:abstractNumId w:val="148"/>
  </w:num>
  <w:num w:numId="18">
    <w:abstractNumId w:val="90"/>
  </w:num>
  <w:num w:numId="19">
    <w:abstractNumId w:val="53"/>
  </w:num>
  <w:num w:numId="20">
    <w:abstractNumId w:val="61"/>
  </w:num>
  <w:num w:numId="21">
    <w:abstractNumId w:val="20"/>
  </w:num>
  <w:num w:numId="22">
    <w:abstractNumId w:val="196"/>
  </w:num>
  <w:num w:numId="23">
    <w:abstractNumId w:val="189"/>
  </w:num>
  <w:num w:numId="24">
    <w:abstractNumId w:val="81"/>
  </w:num>
  <w:num w:numId="25">
    <w:abstractNumId w:val="19"/>
  </w:num>
  <w:num w:numId="26">
    <w:abstractNumId w:val="118"/>
  </w:num>
  <w:num w:numId="27">
    <w:abstractNumId w:val="13"/>
  </w:num>
  <w:num w:numId="28">
    <w:abstractNumId w:val="126"/>
  </w:num>
  <w:num w:numId="29">
    <w:abstractNumId w:val="3"/>
  </w:num>
  <w:num w:numId="30">
    <w:abstractNumId w:val="9"/>
  </w:num>
  <w:num w:numId="31">
    <w:abstractNumId w:val="63"/>
  </w:num>
  <w:num w:numId="32">
    <w:abstractNumId w:val="158"/>
  </w:num>
  <w:num w:numId="33">
    <w:abstractNumId w:val="42"/>
  </w:num>
  <w:num w:numId="34">
    <w:abstractNumId w:val="26"/>
  </w:num>
  <w:num w:numId="35">
    <w:abstractNumId w:val="153"/>
  </w:num>
  <w:num w:numId="36">
    <w:abstractNumId w:val="91"/>
  </w:num>
  <w:num w:numId="37">
    <w:abstractNumId w:val="49"/>
  </w:num>
  <w:num w:numId="38">
    <w:abstractNumId w:val="29"/>
  </w:num>
  <w:num w:numId="39">
    <w:abstractNumId w:val="185"/>
  </w:num>
  <w:num w:numId="40">
    <w:abstractNumId w:val="86"/>
  </w:num>
  <w:num w:numId="41">
    <w:abstractNumId w:val="36"/>
  </w:num>
  <w:num w:numId="42">
    <w:abstractNumId w:val="171"/>
  </w:num>
  <w:num w:numId="43">
    <w:abstractNumId w:val="82"/>
  </w:num>
  <w:num w:numId="44">
    <w:abstractNumId w:val="6"/>
  </w:num>
  <w:num w:numId="45">
    <w:abstractNumId w:val="172"/>
  </w:num>
  <w:num w:numId="46">
    <w:abstractNumId w:val="85"/>
  </w:num>
  <w:num w:numId="47">
    <w:abstractNumId w:val="65"/>
  </w:num>
  <w:num w:numId="48">
    <w:abstractNumId w:val="111"/>
  </w:num>
  <w:num w:numId="49">
    <w:abstractNumId w:val="127"/>
  </w:num>
  <w:num w:numId="50">
    <w:abstractNumId w:val="23"/>
  </w:num>
  <w:num w:numId="51">
    <w:abstractNumId w:val="25"/>
  </w:num>
  <w:num w:numId="52">
    <w:abstractNumId w:val="40"/>
  </w:num>
  <w:num w:numId="53">
    <w:abstractNumId w:val="41"/>
  </w:num>
  <w:num w:numId="54">
    <w:abstractNumId w:val="1"/>
  </w:num>
  <w:num w:numId="55">
    <w:abstractNumId w:val="66"/>
  </w:num>
  <w:num w:numId="56">
    <w:abstractNumId w:val="138"/>
  </w:num>
  <w:num w:numId="57">
    <w:abstractNumId w:val="35"/>
  </w:num>
  <w:num w:numId="58">
    <w:abstractNumId w:val="27"/>
  </w:num>
  <w:num w:numId="59">
    <w:abstractNumId w:val="17"/>
  </w:num>
  <w:num w:numId="60">
    <w:abstractNumId w:val="145"/>
  </w:num>
  <w:num w:numId="61">
    <w:abstractNumId w:val="32"/>
  </w:num>
  <w:num w:numId="62">
    <w:abstractNumId w:val="101"/>
  </w:num>
  <w:num w:numId="63">
    <w:abstractNumId w:val="8"/>
  </w:num>
  <w:num w:numId="64">
    <w:abstractNumId w:val="192"/>
  </w:num>
  <w:num w:numId="65">
    <w:abstractNumId w:val="55"/>
  </w:num>
  <w:num w:numId="66">
    <w:abstractNumId w:val="109"/>
  </w:num>
  <w:num w:numId="67">
    <w:abstractNumId w:val="197"/>
  </w:num>
  <w:num w:numId="68">
    <w:abstractNumId w:val="70"/>
  </w:num>
  <w:num w:numId="69">
    <w:abstractNumId w:val="62"/>
  </w:num>
  <w:num w:numId="70">
    <w:abstractNumId w:val="51"/>
  </w:num>
  <w:num w:numId="71">
    <w:abstractNumId w:val="157"/>
  </w:num>
  <w:num w:numId="72">
    <w:abstractNumId w:val="137"/>
  </w:num>
  <w:num w:numId="73">
    <w:abstractNumId w:val="99"/>
  </w:num>
  <w:num w:numId="74">
    <w:abstractNumId w:val="176"/>
  </w:num>
  <w:num w:numId="75">
    <w:abstractNumId w:val="180"/>
  </w:num>
  <w:num w:numId="76">
    <w:abstractNumId w:val="98"/>
  </w:num>
  <w:num w:numId="77">
    <w:abstractNumId w:val="67"/>
  </w:num>
  <w:num w:numId="78">
    <w:abstractNumId w:val="57"/>
  </w:num>
  <w:num w:numId="79">
    <w:abstractNumId w:val="28"/>
  </w:num>
  <w:num w:numId="80">
    <w:abstractNumId w:val="77"/>
  </w:num>
  <w:num w:numId="81">
    <w:abstractNumId w:val="47"/>
  </w:num>
  <w:num w:numId="82">
    <w:abstractNumId w:val="4"/>
  </w:num>
  <w:num w:numId="83">
    <w:abstractNumId w:val="112"/>
  </w:num>
  <w:num w:numId="84">
    <w:abstractNumId w:val="113"/>
  </w:num>
  <w:num w:numId="85">
    <w:abstractNumId w:val="100"/>
  </w:num>
  <w:num w:numId="86">
    <w:abstractNumId w:val="34"/>
  </w:num>
  <w:num w:numId="87">
    <w:abstractNumId w:val="161"/>
  </w:num>
  <w:num w:numId="88">
    <w:abstractNumId w:val="134"/>
  </w:num>
  <w:num w:numId="89">
    <w:abstractNumId w:val="136"/>
  </w:num>
  <w:num w:numId="90">
    <w:abstractNumId w:val="83"/>
  </w:num>
  <w:num w:numId="91">
    <w:abstractNumId w:val="24"/>
  </w:num>
  <w:num w:numId="92">
    <w:abstractNumId w:val="110"/>
  </w:num>
  <w:num w:numId="93">
    <w:abstractNumId w:val="56"/>
  </w:num>
  <w:num w:numId="94">
    <w:abstractNumId w:val="190"/>
  </w:num>
  <w:num w:numId="95">
    <w:abstractNumId w:val="173"/>
  </w:num>
  <w:num w:numId="96">
    <w:abstractNumId w:val="152"/>
  </w:num>
  <w:num w:numId="97">
    <w:abstractNumId w:val="182"/>
  </w:num>
  <w:num w:numId="98">
    <w:abstractNumId w:val="69"/>
  </w:num>
  <w:num w:numId="99">
    <w:abstractNumId w:val="183"/>
  </w:num>
  <w:num w:numId="100">
    <w:abstractNumId w:val="93"/>
  </w:num>
  <w:num w:numId="101">
    <w:abstractNumId w:val="154"/>
  </w:num>
  <w:num w:numId="102">
    <w:abstractNumId w:val="80"/>
  </w:num>
  <w:num w:numId="103">
    <w:abstractNumId w:val="198"/>
  </w:num>
  <w:num w:numId="104">
    <w:abstractNumId w:val="15"/>
  </w:num>
  <w:num w:numId="105">
    <w:abstractNumId w:val="21"/>
  </w:num>
  <w:num w:numId="106">
    <w:abstractNumId w:val="105"/>
  </w:num>
  <w:num w:numId="107">
    <w:abstractNumId w:val="97"/>
  </w:num>
  <w:num w:numId="108">
    <w:abstractNumId w:val="121"/>
  </w:num>
  <w:num w:numId="109">
    <w:abstractNumId w:val="142"/>
  </w:num>
  <w:num w:numId="110">
    <w:abstractNumId w:val="124"/>
  </w:num>
  <w:num w:numId="111">
    <w:abstractNumId w:val="92"/>
  </w:num>
  <w:num w:numId="112">
    <w:abstractNumId w:val="43"/>
  </w:num>
  <w:num w:numId="113">
    <w:abstractNumId w:val="141"/>
  </w:num>
  <w:num w:numId="114">
    <w:abstractNumId w:val="16"/>
  </w:num>
  <w:num w:numId="115">
    <w:abstractNumId w:val="184"/>
  </w:num>
  <w:num w:numId="116">
    <w:abstractNumId w:val="147"/>
  </w:num>
  <w:num w:numId="117">
    <w:abstractNumId w:val="128"/>
  </w:num>
  <w:num w:numId="118">
    <w:abstractNumId w:val="12"/>
  </w:num>
  <w:num w:numId="119">
    <w:abstractNumId w:val="106"/>
  </w:num>
  <w:num w:numId="120">
    <w:abstractNumId w:val="0"/>
  </w:num>
  <w:num w:numId="121">
    <w:abstractNumId w:val="96"/>
  </w:num>
  <w:num w:numId="122">
    <w:abstractNumId w:val="73"/>
  </w:num>
  <w:num w:numId="123">
    <w:abstractNumId w:val="129"/>
  </w:num>
  <w:num w:numId="124">
    <w:abstractNumId w:val="139"/>
  </w:num>
  <w:num w:numId="125">
    <w:abstractNumId w:val="178"/>
  </w:num>
  <w:num w:numId="126">
    <w:abstractNumId w:val="18"/>
  </w:num>
  <w:num w:numId="127">
    <w:abstractNumId w:val="131"/>
  </w:num>
  <w:num w:numId="128">
    <w:abstractNumId w:val="44"/>
  </w:num>
  <w:num w:numId="129">
    <w:abstractNumId w:val="89"/>
  </w:num>
  <w:num w:numId="130">
    <w:abstractNumId w:val="76"/>
  </w:num>
  <w:num w:numId="131">
    <w:abstractNumId w:val="165"/>
  </w:num>
  <w:num w:numId="132">
    <w:abstractNumId w:val="78"/>
  </w:num>
  <w:num w:numId="133">
    <w:abstractNumId w:val="72"/>
  </w:num>
  <w:num w:numId="134">
    <w:abstractNumId w:val="103"/>
  </w:num>
  <w:num w:numId="135">
    <w:abstractNumId w:val="166"/>
  </w:num>
  <w:num w:numId="136">
    <w:abstractNumId w:val="22"/>
  </w:num>
  <w:num w:numId="137">
    <w:abstractNumId w:val="46"/>
  </w:num>
  <w:num w:numId="138">
    <w:abstractNumId w:val="58"/>
  </w:num>
  <w:num w:numId="139">
    <w:abstractNumId w:val="186"/>
  </w:num>
  <w:num w:numId="140">
    <w:abstractNumId w:val="11"/>
  </w:num>
  <w:num w:numId="141">
    <w:abstractNumId w:val="164"/>
  </w:num>
  <w:num w:numId="142">
    <w:abstractNumId w:val="149"/>
  </w:num>
  <w:num w:numId="143">
    <w:abstractNumId w:val="170"/>
  </w:num>
  <w:num w:numId="144">
    <w:abstractNumId w:val="37"/>
  </w:num>
  <w:num w:numId="145">
    <w:abstractNumId w:val="104"/>
  </w:num>
  <w:num w:numId="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0"/>
  </w:num>
  <w:num w:numId="148">
    <w:abstractNumId w:val="175"/>
  </w:num>
  <w:num w:numId="149">
    <w:abstractNumId w:val="75"/>
  </w:num>
  <w:num w:numId="150">
    <w:abstractNumId w:val="116"/>
  </w:num>
  <w:num w:numId="15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9"/>
  </w:num>
  <w:num w:numId="153">
    <w:abstractNumId w:val="162"/>
  </w:num>
  <w:num w:numId="154">
    <w:abstractNumId w:val="195"/>
  </w:num>
  <w:num w:numId="155">
    <w:abstractNumId w:val="179"/>
  </w:num>
  <w:num w:numId="156">
    <w:abstractNumId w:val="151"/>
  </w:num>
  <w:num w:numId="157">
    <w:abstractNumId w:val="50"/>
  </w:num>
  <w:num w:numId="158">
    <w:abstractNumId w:val="193"/>
  </w:num>
  <w:num w:numId="159">
    <w:abstractNumId w:val="143"/>
  </w:num>
  <w:num w:numId="160">
    <w:abstractNumId w:val="125"/>
  </w:num>
  <w:num w:numId="161">
    <w:abstractNumId w:val="48"/>
  </w:num>
  <w:num w:numId="162">
    <w:abstractNumId w:val="135"/>
  </w:num>
  <w:num w:numId="163">
    <w:abstractNumId w:val="159"/>
  </w:num>
  <w:num w:numId="164">
    <w:abstractNumId w:val="54"/>
  </w:num>
  <w:num w:numId="165">
    <w:abstractNumId w:val="33"/>
  </w:num>
  <w:num w:numId="166">
    <w:abstractNumId w:val="191"/>
  </w:num>
  <w:num w:numId="16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8"/>
  </w:num>
  <w:num w:numId="172">
    <w:abstractNumId w:val="177"/>
  </w:num>
  <w:num w:numId="173">
    <w:abstractNumId w:val="64"/>
  </w:num>
  <w:num w:numId="174">
    <w:abstractNumId w:val="133"/>
  </w:num>
  <w:num w:numId="175">
    <w:abstractNumId w:val="160"/>
  </w:num>
  <w:num w:numId="176">
    <w:abstractNumId w:val="87"/>
    <w:lvlOverride w:ilvl="0">
      <w:startOverride w:val="68"/>
    </w:lvlOverride>
  </w:num>
  <w:num w:numId="177">
    <w:abstractNumId w:val="87"/>
    <w:lvlOverride w:ilvl="0">
      <w:startOverride w:val="1"/>
    </w:lvlOverride>
  </w:num>
  <w:num w:numId="178">
    <w:abstractNumId w:val="114"/>
  </w:num>
  <w:num w:numId="179">
    <w:abstractNumId w:val="150"/>
  </w:num>
  <w:num w:numId="180">
    <w:abstractNumId w:val="187"/>
  </w:num>
  <w:num w:numId="181">
    <w:abstractNumId w:val="2"/>
  </w:num>
  <w:num w:numId="182">
    <w:abstractNumId w:val="95"/>
  </w:num>
  <w:num w:numId="183">
    <w:abstractNumId w:val="132"/>
  </w:num>
  <w:num w:numId="184">
    <w:abstractNumId w:val="155"/>
  </w:num>
  <w:num w:numId="185">
    <w:abstractNumId w:val="79"/>
  </w:num>
  <w:num w:numId="186">
    <w:abstractNumId w:val="123"/>
  </w:num>
  <w:num w:numId="187">
    <w:abstractNumId w:val="84"/>
  </w:num>
  <w:num w:numId="188">
    <w:abstractNumId w:val="146"/>
  </w:num>
  <w:num w:numId="189">
    <w:abstractNumId w:val="117"/>
  </w:num>
  <w:num w:numId="190">
    <w:abstractNumId w:val="119"/>
  </w:num>
  <w:num w:numId="191">
    <w:abstractNumId w:val="60"/>
  </w:num>
  <w:num w:numId="192">
    <w:abstractNumId w:val="71"/>
  </w:num>
  <w:num w:numId="193">
    <w:abstractNumId w:val="94"/>
  </w:num>
  <w:num w:numId="194">
    <w:abstractNumId w:val="130"/>
  </w:num>
  <w:num w:numId="195">
    <w:abstractNumId w:val="74"/>
  </w:num>
  <w:num w:numId="196">
    <w:abstractNumId w:val="122"/>
  </w:num>
  <w:num w:numId="197">
    <w:abstractNumId w:val="169"/>
  </w:num>
  <w:num w:numId="198">
    <w:abstractNumId w:val="120"/>
  </w:num>
  <w:num w:numId="199">
    <w:abstractNumId w:val="31"/>
  </w:num>
  <w:num w:numId="200">
    <w:abstractNumId w:val="194"/>
  </w:num>
  <w:num w:numId="201">
    <w:abstractNumId w:val="188"/>
  </w:num>
  <w:numIdMacAtCleanup w:val="1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thony J. Beeching">
    <w15:presenceInfo w15:providerId="AD" w15:userId="S-1-5-21-4172143924-1219855766-3663182018-2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C67"/>
    <w:rsid w:val="00000ABE"/>
    <w:rsid w:val="00001F31"/>
    <w:rsid w:val="00003A1F"/>
    <w:rsid w:val="00007081"/>
    <w:rsid w:val="000076F8"/>
    <w:rsid w:val="00010A03"/>
    <w:rsid w:val="000128B1"/>
    <w:rsid w:val="00014CF5"/>
    <w:rsid w:val="00017412"/>
    <w:rsid w:val="00017989"/>
    <w:rsid w:val="00021430"/>
    <w:rsid w:val="000220AD"/>
    <w:rsid w:val="00023F07"/>
    <w:rsid w:val="00026403"/>
    <w:rsid w:val="00027147"/>
    <w:rsid w:val="00030ABD"/>
    <w:rsid w:val="00032768"/>
    <w:rsid w:val="00033B28"/>
    <w:rsid w:val="00036C4F"/>
    <w:rsid w:val="00036FA2"/>
    <w:rsid w:val="0003733E"/>
    <w:rsid w:val="00041666"/>
    <w:rsid w:val="00041CD9"/>
    <w:rsid w:val="00043E55"/>
    <w:rsid w:val="0004430F"/>
    <w:rsid w:val="00045540"/>
    <w:rsid w:val="00047EC8"/>
    <w:rsid w:val="0005487E"/>
    <w:rsid w:val="000549CD"/>
    <w:rsid w:val="00055229"/>
    <w:rsid w:val="00055D8D"/>
    <w:rsid w:val="00057CAB"/>
    <w:rsid w:val="00060664"/>
    <w:rsid w:val="00065AF9"/>
    <w:rsid w:val="00066444"/>
    <w:rsid w:val="0007220A"/>
    <w:rsid w:val="0007245A"/>
    <w:rsid w:val="0007277D"/>
    <w:rsid w:val="00072A81"/>
    <w:rsid w:val="0007391D"/>
    <w:rsid w:val="00074E36"/>
    <w:rsid w:val="00074F47"/>
    <w:rsid w:val="000751A9"/>
    <w:rsid w:val="00081AEE"/>
    <w:rsid w:val="0009474D"/>
    <w:rsid w:val="000A1731"/>
    <w:rsid w:val="000A5432"/>
    <w:rsid w:val="000A5A75"/>
    <w:rsid w:val="000A6044"/>
    <w:rsid w:val="000A632A"/>
    <w:rsid w:val="000B0D15"/>
    <w:rsid w:val="000B2843"/>
    <w:rsid w:val="000B43F3"/>
    <w:rsid w:val="000B483A"/>
    <w:rsid w:val="000B723D"/>
    <w:rsid w:val="000C4C35"/>
    <w:rsid w:val="000D3ADC"/>
    <w:rsid w:val="000D4DA5"/>
    <w:rsid w:val="000D5143"/>
    <w:rsid w:val="000D5FF6"/>
    <w:rsid w:val="000D6033"/>
    <w:rsid w:val="000E1B2D"/>
    <w:rsid w:val="000E2C7A"/>
    <w:rsid w:val="000E3FD2"/>
    <w:rsid w:val="000E6616"/>
    <w:rsid w:val="000E6D06"/>
    <w:rsid w:val="000E769B"/>
    <w:rsid w:val="000F064A"/>
    <w:rsid w:val="000F4409"/>
    <w:rsid w:val="000F4E37"/>
    <w:rsid w:val="000F4FE0"/>
    <w:rsid w:val="000F5C6A"/>
    <w:rsid w:val="000F6FF2"/>
    <w:rsid w:val="00102750"/>
    <w:rsid w:val="00106A40"/>
    <w:rsid w:val="0011269A"/>
    <w:rsid w:val="001127D5"/>
    <w:rsid w:val="001150F2"/>
    <w:rsid w:val="00115942"/>
    <w:rsid w:val="0011700C"/>
    <w:rsid w:val="0012124E"/>
    <w:rsid w:val="00121554"/>
    <w:rsid w:val="001223BB"/>
    <w:rsid w:val="00123214"/>
    <w:rsid w:val="00137482"/>
    <w:rsid w:val="00140020"/>
    <w:rsid w:val="00140621"/>
    <w:rsid w:val="001409BC"/>
    <w:rsid w:val="0014316A"/>
    <w:rsid w:val="00144EEF"/>
    <w:rsid w:val="0014588F"/>
    <w:rsid w:val="00145E72"/>
    <w:rsid w:val="001508A9"/>
    <w:rsid w:val="001559E1"/>
    <w:rsid w:val="00157EFB"/>
    <w:rsid w:val="00165E4C"/>
    <w:rsid w:val="00167321"/>
    <w:rsid w:val="0017240C"/>
    <w:rsid w:val="001759C1"/>
    <w:rsid w:val="00176142"/>
    <w:rsid w:val="00181D34"/>
    <w:rsid w:val="0018205F"/>
    <w:rsid w:val="001835F9"/>
    <w:rsid w:val="00183C6D"/>
    <w:rsid w:val="00187B84"/>
    <w:rsid w:val="001912D9"/>
    <w:rsid w:val="00191803"/>
    <w:rsid w:val="0019314C"/>
    <w:rsid w:val="001A409D"/>
    <w:rsid w:val="001A60A2"/>
    <w:rsid w:val="001A6413"/>
    <w:rsid w:val="001B0CC3"/>
    <w:rsid w:val="001B0F07"/>
    <w:rsid w:val="001B493C"/>
    <w:rsid w:val="001B7A1E"/>
    <w:rsid w:val="001C1569"/>
    <w:rsid w:val="001C35A2"/>
    <w:rsid w:val="001C62E2"/>
    <w:rsid w:val="001D092B"/>
    <w:rsid w:val="001D4336"/>
    <w:rsid w:val="001D4A21"/>
    <w:rsid w:val="001D5A92"/>
    <w:rsid w:val="001D7AF8"/>
    <w:rsid w:val="001D7DE2"/>
    <w:rsid w:val="001E007C"/>
    <w:rsid w:val="001E2722"/>
    <w:rsid w:val="001E3EE8"/>
    <w:rsid w:val="001F2268"/>
    <w:rsid w:val="001F5929"/>
    <w:rsid w:val="001F6690"/>
    <w:rsid w:val="0020298D"/>
    <w:rsid w:val="0020302A"/>
    <w:rsid w:val="00205040"/>
    <w:rsid w:val="002055FC"/>
    <w:rsid w:val="00206BA1"/>
    <w:rsid w:val="0020787E"/>
    <w:rsid w:val="002104A8"/>
    <w:rsid w:val="002110F6"/>
    <w:rsid w:val="002114F4"/>
    <w:rsid w:val="0021261B"/>
    <w:rsid w:val="00212F83"/>
    <w:rsid w:val="00213E61"/>
    <w:rsid w:val="00214513"/>
    <w:rsid w:val="00214CA6"/>
    <w:rsid w:val="00217343"/>
    <w:rsid w:val="00217612"/>
    <w:rsid w:val="00220F26"/>
    <w:rsid w:val="002214B8"/>
    <w:rsid w:val="00221635"/>
    <w:rsid w:val="002219DC"/>
    <w:rsid w:val="00223D03"/>
    <w:rsid w:val="00225803"/>
    <w:rsid w:val="00230FD9"/>
    <w:rsid w:val="00233E81"/>
    <w:rsid w:val="00234279"/>
    <w:rsid w:val="0023465A"/>
    <w:rsid w:val="00234E4E"/>
    <w:rsid w:val="00240029"/>
    <w:rsid w:val="00240D42"/>
    <w:rsid w:val="00243216"/>
    <w:rsid w:val="002439DD"/>
    <w:rsid w:val="002453E6"/>
    <w:rsid w:val="00245A23"/>
    <w:rsid w:val="00246A77"/>
    <w:rsid w:val="00246F70"/>
    <w:rsid w:val="002505B5"/>
    <w:rsid w:val="00251883"/>
    <w:rsid w:val="00255E8F"/>
    <w:rsid w:val="00265A52"/>
    <w:rsid w:val="0027288F"/>
    <w:rsid w:val="00273C74"/>
    <w:rsid w:val="00273F60"/>
    <w:rsid w:val="00276CC2"/>
    <w:rsid w:val="00283641"/>
    <w:rsid w:val="0028464D"/>
    <w:rsid w:val="00284A4C"/>
    <w:rsid w:val="002904BA"/>
    <w:rsid w:val="00290F29"/>
    <w:rsid w:val="002930A0"/>
    <w:rsid w:val="00294FB1"/>
    <w:rsid w:val="002971C2"/>
    <w:rsid w:val="002979F4"/>
    <w:rsid w:val="002A5B99"/>
    <w:rsid w:val="002B0CC1"/>
    <w:rsid w:val="002B3E72"/>
    <w:rsid w:val="002B71ED"/>
    <w:rsid w:val="002B7B8E"/>
    <w:rsid w:val="002C0270"/>
    <w:rsid w:val="002C1A80"/>
    <w:rsid w:val="002C1EED"/>
    <w:rsid w:val="002C205C"/>
    <w:rsid w:val="002C4889"/>
    <w:rsid w:val="002C72D6"/>
    <w:rsid w:val="002D3AB9"/>
    <w:rsid w:val="002D4158"/>
    <w:rsid w:val="002D58FD"/>
    <w:rsid w:val="002E4D1A"/>
    <w:rsid w:val="002E62DC"/>
    <w:rsid w:val="002E7242"/>
    <w:rsid w:val="002E76C8"/>
    <w:rsid w:val="002F2AE2"/>
    <w:rsid w:val="002F5BDA"/>
    <w:rsid w:val="00300085"/>
    <w:rsid w:val="00300F08"/>
    <w:rsid w:val="003035B1"/>
    <w:rsid w:val="003063C1"/>
    <w:rsid w:val="0031136B"/>
    <w:rsid w:val="003123E3"/>
    <w:rsid w:val="003127D8"/>
    <w:rsid w:val="003130CC"/>
    <w:rsid w:val="00315FC6"/>
    <w:rsid w:val="0031620E"/>
    <w:rsid w:val="003216BE"/>
    <w:rsid w:val="00321ABF"/>
    <w:rsid w:val="00322473"/>
    <w:rsid w:val="003225B9"/>
    <w:rsid w:val="00323209"/>
    <w:rsid w:val="0032556B"/>
    <w:rsid w:val="00325D7D"/>
    <w:rsid w:val="00327BEB"/>
    <w:rsid w:val="00331540"/>
    <w:rsid w:val="00331E82"/>
    <w:rsid w:val="00334A05"/>
    <w:rsid w:val="00341D2D"/>
    <w:rsid w:val="00343DAA"/>
    <w:rsid w:val="00344A61"/>
    <w:rsid w:val="0034646F"/>
    <w:rsid w:val="00352E18"/>
    <w:rsid w:val="003541CA"/>
    <w:rsid w:val="00356939"/>
    <w:rsid w:val="00356987"/>
    <w:rsid w:val="0035770D"/>
    <w:rsid w:val="003622B5"/>
    <w:rsid w:val="00366912"/>
    <w:rsid w:val="00375586"/>
    <w:rsid w:val="00377F19"/>
    <w:rsid w:val="003818E3"/>
    <w:rsid w:val="00387928"/>
    <w:rsid w:val="00387CA2"/>
    <w:rsid w:val="00387CAD"/>
    <w:rsid w:val="00393EDB"/>
    <w:rsid w:val="00395A8F"/>
    <w:rsid w:val="0039624C"/>
    <w:rsid w:val="003A0E0E"/>
    <w:rsid w:val="003A411E"/>
    <w:rsid w:val="003A4699"/>
    <w:rsid w:val="003A5188"/>
    <w:rsid w:val="003A65FA"/>
    <w:rsid w:val="003B0643"/>
    <w:rsid w:val="003B2E84"/>
    <w:rsid w:val="003B5A1A"/>
    <w:rsid w:val="003C0603"/>
    <w:rsid w:val="003C163D"/>
    <w:rsid w:val="003C443D"/>
    <w:rsid w:val="003C61E2"/>
    <w:rsid w:val="003D0CEA"/>
    <w:rsid w:val="003D4761"/>
    <w:rsid w:val="003D4C86"/>
    <w:rsid w:val="003E47FC"/>
    <w:rsid w:val="003F1AA9"/>
    <w:rsid w:val="003F1CEE"/>
    <w:rsid w:val="003F37B8"/>
    <w:rsid w:val="003F3AF5"/>
    <w:rsid w:val="003F4983"/>
    <w:rsid w:val="00401B5D"/>
    <w:rsid w:val="0040394A"/>
    <w:rsid w:val="00410899"/>
    <w:rsid w:val="00410CEC"/>
    <w:rsid w:val="004260FC"/>
    <w:rsid w:val="00430AF7"/>
    <w:rsid w:val="004316DF"/>
    <w:rsid w:val="00431A42"/>
    <w:rsid w:val="00432E20"/>
    <w:rsid w:val="00432F5B"/>
    <w:rsid w:val="00432F68"/>
    <w:rsid w:val="004349F8"/>
    <w:rsid w:val="004362E6"/>
    <w:rsid w:val="004442D3"/>
    <w:rsid w:val="00444E27"/>
    <w:rsid w:val="004542EC"/>
    <w:rsid w:val="00454C07"/>
    <w:rsid w:val="00454D25"/>
    <w:rsid w:val="00456B61"/>
    <w:rsid w:val="00457671"/>
    <w:rsid w:val="00457886"/>
    <w:rsid w:val="00461031"/>
    <w:rsid w:val="00464B7F"/>
    <w:rsid w:val="004664EB"/>
    <w:rsid w:val="0047251B"/>
    <w:rsid w:val="00475543"/>
    <w:rsid w:val="00477DBB"/>
    <w:rsid w:val="0048180B"/>
    <w:rsid w:val="0048229F"/>
    <w:rsid w:val="00483245"/>
    <w:rsid w:val="00483CDC"/>
    <w:rsid w:val="00484240"/>
    <w:rsid w:val="004845DF"/>
    <w:rsid w:val="00486F05"/>
    <w:rsid w:val="004876CF"/>
    <w:rsid w:val="00497294"/>
    <w:rsid w:val="00497F25"/>
    <w:rsid w:val="004A1C7E"/>
    <w:rsid w:val="004A25DA"/>
    <w:rsid w:val="004A3382"/>
    <w:rsid w:val="004A46B2"/>
    <w:rsid w:val="004A4775"/>
    <w:rsid w:val="004A68E0"/>
    <w:rsid w:val="004B0762"/>
    <w:rsid w:val="004B48CE"/>
    <w:rsid w:val="004C544F"/>
    <w:rsid w:val="004C58AE"/>
    <w:rsid w:val="004D313A"/>
    <w:rsid w:val="004D59F7"/>
    <w:rsid w:val="004D7F52"/>
    <w:rsid w:val="004E1BF8"/>
    <w:rsid w:val="004E3825"/>
    <w:rsid w:val="004E4E20"/>
    <w:rsid w:val="004E50B0"/>
    <w:rsid w:val="004E7938"/>
    <w:rsid w:val="004E7F00"/>
    <w:rsid w:val="004F13BB"/>
    <w:rsid w:val="004F183E"/>
    <w:rsid w:val="004F2646"/>
    <w:rsid w:val="004F2F5A"/>
    <w:rsid w:val="004F5261"/>
    <w:rsid w:val="00502187"/>
    <w:rsid w:val="0050437C"/>
    <w:rsid w:val="0050446C"/>
    <w:rsid w:val="005046BD"/>
    <w:rsid w:val="00504CA7"/>
    <w:rsid w:val="005107C4"/>
    <w:rsid w:val="0051199F"/>
    <w:rsid w:val="00511E36"/>
    <w:rsid w:val="00512EBB"/>
    <w:rsid w:val="00515832"/>
    <w:rsid w:val="00516289"/>
    <w:rsid w:val="00516960"/>
    <w:rsid w:val="005213FA"/>
    <w:rsid w:val="005232FE"/>
    <w:rsid w:val="005307C0"/>
    <w:rsid w:val="00532870"/>
    <w:rsid w:val="0053558B"/>
    <w:rsid w:val="00535933"/>
    <w:rsid w:val="00535BED"/>
    <w:rsid w:val="00535E44"/>
    <w:rsid w:val="0054026A"/>
    <w:rsid w:val="005408BD"/>
    <w:rsid w:val="0054190C"/>
    <w:rsid w:val="0054236F"/>
    <w:rsid w:val="00542980"/>
    <w:rsid w:val="005506E8"/>
    <w:rsid w:val="005516D9"/>
    <w:rsid w:val="00554BA7"/>
    <w:rsid w:val="005552DF"/>
    <w:rsid w:val="00556580"/>
    <w:rsid w:val="00560E78"/>
    <w:rsid w:val="00560F1C"/>
    <w:rsid w:val="00562310"/>
    <w:rsid w:val="00566574"/>
    <w:rsid w:val="0057111D"/>
    <w:rsid w:val="00571D79"/>
    <w:rsid w:val="00572EC4"/>
    <w:rsid w:val="00585986"/>
    <w:rsid w:val="00586577"/>
    <w:rsid w:val="005900F1"/>
    <w:rsid w:val="0059054E"/>
    <w:rsid w:val="00590FBF"/>
    <w:rsid w:val="00591C84"/>
    <w:rsid w:val="005921AA"/>
    <w:rsid w:val="005926A9"/>
    <w:rsid w:val="00593405"/>
    <w:rsid w:val="00594772"/>
    <w:rsid w:val="0059766D"/>
    <w:rsid w:val="005A4895"/>
    <w:rsid w:val="005B04A2"/>
    <w:rsid w:val="005B3538"/>
    <w:rsid w:val="005B4349"/>
    <w:rsid w:val="005B4CF1"/>
    <w:rsid w:val="005B744C"/>
    <w:rsid w:val="005B7993"/>
    <w:rsid w:val="005B7A44"/>
    <w:rsid w:val="005C4FDC"/>
    <w:rsid w:val="005C6255"/>
    <w:rsid w:val="005C79B0"/>
    <w:rsid w:val="005D0F04"/>
    <w:rsid w:val="005D2193"/>
    <w:rsid w:val="005D465C"/>
    <w:rsid w:val="005D54D0"/>
    <w:rsid w:val="005E0434"/>
    <w:rsid w:val="005E6758"/>
    <w:rsid w:val="005F232B"/>
    <w:rsid w:val="005F3171"/>
    <w:rsid w:val="005F3855"/>
    <w:rsid w:val="005F467C"/>
    <w:rsid w:val="005F4E98"/>
    <w:rsid w:val="005F6722"/>
    <w:rsid w:val="006044E9"/>
    <w:rsid w:val="00613702"/>
    <w:rsid w:val="0061723C"/>
    <w:rsid w:val="00621ACD"/>
    <w:rsid w:val="006233F1"/>
    <w:rsid w:val="006236B4"/>
    <w:rsid w:val="006245CA"/>
    <w:rsid w:val="00627B09"/>
    <w:rsid w:val="00630BBE"/>
    <w:rsid w:val="00633618"/>
    <w:rsid w:val="00633679"/>
    <w:rsid w:val="00633F81"/>
    <w:rsid w:val="00636D6D"/>
    <w:rsid w:val="0064346A"/>
    <w:rsid w:val="00643CDF"/>
    <w:rsid w:val="00644432"/>
    <w:rsid w:val="00644BAC"/>
    <w:rsid w:val="00647A83"/>
    <w:rsid w:val="006532E9"/>
    <w:rsid w:val="00653867"/>
    <w:rsid w:val="00655166"/>
    <w:rsid w:val="006554F7"/>
    <w:rsid w:val="006579BC"/>
    <w:rsid w:val="006603F8"/>
    <w:rsid w:val="0066102F"/>
    <w:rsid w:val="00662585"/>
    <w:rsid w:val="0066270D"/>
    <w:rsid w:val="00663A76"/>
    <w:rsid w:val="0066470A"/>
    <w:rsid w:val="0067239C"/>
    <w:rsid w:val="00675896"/>
    <w:rsid w:val="00681953"/>
    <w:rsid w:val="00681E83"/>
    <w:rsid w:val="00683848"/>
    <w:rsid w:val="006839F9"/>
    <w:rsid w:val="006844F8"/>
    <w:rsid w:val="006860E2"/>
    <w:rsid w:val="00690F79"/>
    <w:rsid w:val="006922EE"/>
    <w:rsid w:val="0069607E"/>
    <w:rsid w:val="006A1B24"/>
    <w:rsid w:val="006A2196"/>
    <w:rsid w:val="006A3060"/>
    <w:rsid w:val="006A57F5"/>
    <w:rsid w:val="006A5EED"/>
    <w:rsid w:val="006A740B"/>
    <w:rsid w:val="006B2F2D"/>
    <w:rsid w:val="006B3081"/>
    <w:rsid w:val="006C06D6"/>
    <w:rsid w:val="006C08F8"/>
    <w:rsid w:val="006C202F"/>
    <w:rsid w:val="006C2F35"/>
    <w:rsid w:val="006C57DF"/>
    <w:rsid w:val="006C6D33"/>
    <w:rsid w:val="006C6EBA"/>
    <w:rsid w:val="006C72CA"/>
    <w:rsid w:val="006D073B"/>
    <w:rsid w:val="006D1536"/>
    <w:rsid w:val="006D2155"/>
    <w:rsid w:val="006D30C3"/>
    <w:rsid w:val="006D317E"/>
    <w:rsid w:val="006D43E7"/>
    <w:rsid w:val="006D56C4"/>
    <w:rsid w:val="006D6624"/>
    <w:rsid w:val="006E275B"/>
    <w:rsid w:val="006E2EEE"/>
    <w:rsid w:val="006E39E8"/>
    <w:rsid w:val="006E3D29"/>
    <w:rsid w:val="006F041A"/>
    <w:rsid w:val="006F302A"/>
    <w:rsid w:val="006F4F50"/>
    <w:rsid w:val="006F5A32"/>
    <w:rsid w:val="006F662B"/>
    <w:rsid w:val="006F717F"/>
    <w:rsid w:val="00702F5B"/>
    <w:rsid w:val="007033CF"/>
    <w:rsid w:val="0070772D"/>
    <w:rsid w:val="0070782E"/>
    <w:rsid w:val="0071153F"/>
    <w:rsid w:val="007121EE"/>
    <w:rsid w:val="007167EE"/>
    <w:rsid w:val="00723665"/>
    <w:rsid w:val="00723C93"/>
    <w:rsid w:val="00724D7B"/>
    <w:rsid w:val="007254AF"/>
    <w:rsid w:val="0072610C"/>
    <w:rsid w:val="00732770"/>
    <w:rsid w:val="007328C9"/>
    <w:rsid w:val="00732AD4"/>
    <w:rsid w:val="00734E2C"/>
    <w:rsid w:val="007373C0"/>
    <w:rsid w:val="00737863"/>
    <w:rsid w:val="0074425A"/>
    <w:rsid w:val="00746848"/>
    <w:rsid w:val="00747595"/>
    <w:rsid w:val="00750B52"/>
    <w:rsid w:val="00752DED"/>
    <w:rsid w:val="00753C42"/>
    <w:rsid w:val="00756DE3"/>
    <w:rsid w:val="00761724"/>
    <w:rsid w:val="007634FC"/>
    <w:rsid w:val="00764FDD"/>
    <w:rsid w:val="00765BDF"/>
    <w:rsid w:val="00766C07"/>
    <w:rsid w:val="00767C1F"/>
    <w:rsid w:val="00767D15"/>
    <w:rsid w:val="0077126A"/>
    <w:rsid w:val="007772BC"/>
    <w:rsid w:val="007778AB"/>
    <w:rsid w:val="0078146C"/>
    <w:rsid w:val="00783705"/>
    <w:rsid w:val="00787DAC"/>
    <w:rsid w:val="0079145C"/>
    <w:rsid w:val="00794ECF"/>
    <w:rsid w:val="0079553C"/>
    <w:rsid w:val="00796857"/>
    <w:rsid w:val="007A105A"/>
    <w:rsid w:val="007A2461"/>
    <w:rsid w:val="007A32A2"/>
    <w:rsid w:val="007A3E34"/>
    <w:rsid w:val="007A48AB"/>
    <w:rsid w:val="007A54BF"/>
    <w:rsid w:val="007A5FEA"/>
    <w:rsid w:val="007B0B09"/>
    <w:rsid w:val="007B1E3B"/>
    <w:rsid w:val="007B2422"/>
    <w:rsid w:val="007B2479"/>
    <w:rsid w:val="007B3C93"/>
    <w:rsid w:val="007B5918"/>
    <w:rsid w:val="007B6284"/>
    <w:rsid w:val="007B7CA2"/>
    <w:rsid w:val="007C0426"/>
    <w:rsid w:val="007C1444"/>
    <w:rsid w:val="007C2554"/>
    <w:rsid w:val="007C3932"/>
    <w:rsid w:val="007D1C15"/>
    <w:rsid w:val="007E066D"/>
    <w:rsid w:val="007E0F8D"/>
    <w:rsid w:val="007E3AEA"/>
    <w:rsid w:val="007E43AA"/>
    <w:rsid w:val="007E6A30"/>
    <w:rsid w:val="007F0142"/>
    <w:rsid w:val="007F201F"/>
    <w:rsid w:val="007F2B46"/>
    <w:rsid w:val="007F3076"/>
    <w:rsid w:val="007F4EF3"/>
    <w:rsid w:val="007F57E5"/>
    <w:rsid w:val="00801F22"/>
    <w:rsid w:val="00804482"/>
    <w:rsid w:val="008048B6"/>
    <w:rsid w:val="00805260"/>
    <w:rsid w:val="00806549"/>
    <w:rsid w:val="008078D7"/>
    <w:rsid w:val="00812A60"/>
    <w:rsid w:val="00814927"/>
    <w:rsid w:val="00814D9C"/>
    <w:rsid w:val="00816981"/>
    <w:rsid w:val="00816D18"/>
    <w:rsid w:val="00820676"/>
    <w:rsid w:val="008215C5"/>
    <w:rsid w:val="00822914"/>
    <w:rsid w:val="00822F72"/>
    <w:rsid w:val="00824798"/>
    <w:rsid w:val="0084338F"/>
    <w:rsid w:val="008443B2"/>
    <w:rsid w:val="00845088"/>
    <w:rsid w:val="00851B91"/>
    <w:rsid w:val="00852F80"/>
    <w:rsid w:val="008540A8"/>
    <w:rsid w:val="00857121"/>
    <w:rsid w:val="00861EE8"/>
    <w:rsid w:val="008639A9"/>
    <w:rsid w:val="008660DE"/>
    <w:rsid w:val="0087299A"/>
    <w:rsid w:val="00872A54"/>
    <w:rsid w:val="00876BEC"/>
    <w:rsid w:val="00880615"/>
    <w:rsid w:val="0088144A"/>
    <w:rsid w:val="0088417D"/>
    <w:rsid w:val="00884765"/>
    <w:rsid w:val="00885EFB"/>
    <w:rsid w:val="00885F43"/>
    <w:rsid w:val="00887159"/>
    <w:rsid w:val="0088767C"/>
    <w:rsid w:val="008918CA"/>
    <w:rsid w:val="00894490"/>
    <w:rsid w:val="00896EF0"/>
    <w:rsid w:val="00897E02"/>
    <w:rsid w:val="00897F29"/>
    <w:rsid w:val="008A0468"/>
    <w:rsid w:val="008A6AD1"/>
    <w:rsid w:val="008A6F43"/>
    <w:rsid w:val="008B0607"/>
    <w:rsid w:val="008B092E"/>
    <w:rsid w:val="008B0F04"/>
    <w:rsid w:val="008B10C8"/>
    <w:rsid w:val="008B1463"/>
    <w:rsid w:val="008B3764"/>
    <w:rsid w:val="008B5C6F"/>
    <w:rsid w:val="008C6AF9"/>
    <w:rsid w:val="008C7660"/>
    <w:rsid w:val="008C775C"/>
    <w:rsid w:val="008D0957"/>
    <w:rsid w:val="008D12C2"/>
    <w:rsid w:val="008D1F1D"/>
    <w:rsid w:val="008D2A55"/>
    <w:rsid w:val="008D3E6A"/>
    <w:rsid w:val="008D3EB6"/>
    <w:rsid w:val="008D4FE9"/>
    <w:rsid w:val="008E0FAE"/>
    <w:rsid w:val="008E25D1"/>
    <w:rsid w:val="008E4A34"/>
    <w:rsid w:val="008E4C53"/>
    <w:rsid w:val="008F1703"/>
    <w:rsid w:val="008F580E"/>
    <w:rsid w:val="008F59FB"/>
    <w:rsid w:val="00904F6A"/>
    <w:rsid w:val="00914FFD"/>
    <w:rsid w:val="009174BE"/>
    <w:rsid w:val="0091772A"/>
    <w:rsid w:val="009210AF"/>
    <w:rsid w:val="00921857"/>
    <w:rsid w:val="009263EA"/>
    <w:rsid w:val="00932984"/>
    <w:rsid w:val="009353D2"/>
    <w:rsid w:val="00936FF0"/>
    <w:rsid w:val="00940E54"/>
    <w:rsid w:val="00942507"/>
    <w:rsid w:val="009434D3"/>
    <w:rsid w:val="00945C80"/>
    <w:rsid w:val="009460C2"/>
    <w:rsid w:val="00953E0B"/>
    <w:rsid w:val="009608F1"/>
    <w:rsid w:val="00960C2A"/>
    <w:rsid w:val="00966F99"/>
    <w:rsid w:val="009715BC"/>
    <w:rsid w:val="00971647"/>
    <w:rsid w:val="009719D9"/>
    <w:rsid w:val="00977B42"/>
    <w:rsid w:val="00977CC6"/>
    <w:rsid w:val="00980053"/>
    <w:rsid w:val="00981452"/>
    <w:rsid w:val="009846FB"/>
    <w:rsid w:val="009859D6"/>
    <w:rsid w:val="00990334"/>
    <w:rsid w:val="00990C4B"/>
    <w:rsid w:val="00992172"/>
    <w:rsid w:val="009927B2"/>
    <w:rsid w:val="00993254"/>
    <w:rsid w:val="0099409B"/>
    <w:rsid w:val="00996457"/>
    <w:rsid w:val="00997477"/>
    <w:rsid w:val="009A295E"/>
    <w:rsid w:val="009A48D5"/>
    <w:rsid w:val="009A53E1"/>
    <w:rsid w:val="009A5EC2"/>
    <w:rsid w:val="009B3645"/>
    <w:rsid w:val="009B55AC"/>
    <w:rsid w:val="009B5FA6"/>
    <w:rsid w:val="009B6273"/>
    <w:rsid w:val="009B721E"/>
    <w:rsid w:val="009C18D7"/>
    <w:rsid w:val="009C1A5E"/>
    <w:rsid w:val="009C216F"/>
    <w:rsid w:val="009C2ADD"/>
    <w:rsid w:val="009C3EC2"/>
    <w:rsid w:val="009C5B18"/>
    <w:rsid w:val="009C729C"/>
    <w:rsid w:val="009D2993"/>
    <w:rsid w:val="009D4B93"/>
    <w:rsid w:val="009E0AA6"/>
    <w:rsid w:val="009E1DA5"/>
    <w:rsid w:val="009E2E78"/>
    <w:rsid w:val="009E5549"/>
    <w:rsid w:val="009E5AEB"/>
    <w:rsid w:val="009E77A2"/>
    <w:rsid w:val="009F10BA"/>
    <w:rsid w:val="009F4AFA"/>
    <w:rsid w:val="00A00EF8"/>
    <w:rsid w:val="00A01189"/>
    <w:rsid w:val="00A17689"/>
    <w:rsid w:val="00A22448"/>
    <w:rsid w:val="00A251AC"/>
    <w:rsid w:val="00A265B1"/>
    <w:rsid w:val="00A3053E"/>
    <w:rsid w:val="00A3076D"/>
    <w:rsid w:val="00A318D4"/>
    <w:rsid w:val="00A340AE"/>
    <w:rsid w:val="00A350A7"/>
    <w:rsid w:val="00A35E12"/>
    <w:rsid w:val="00A36285"/>
    <w:rsid w:val="00A37D69"/>
    <w:rsid w:val="00A43C2E"/>
    <w:rsid w:val="00A457AC"/>
    <w:rsid w:val="00A461C8"/>
    <w:rsid w:val="00A47121"/>
    <w:rsid w:val="00A51532"/>
    <w:rsid w:val="00A54035"/>
    <w:rsid w:val="00A55095"/>
    <w:rsid w:val="00A61BBD"/>
    <w:rsid w:val="00A6748E"/>
    <w:rsid w:val="00A71A59"/>
    <w:rsid w:val="00A7211D"/>
    <w:rsid w:val="00A72824"/>
    <w:rsid w:val="00A74278"/>
    <w:rsid w:val="00A74DE8"/>
    <w:rsid w:val="00A75825"/>
    <w:rsid w:val="00A77346"/>
    <w:rsid w:val="00A80D76"/>
    <w:rsid w:val="00A81B8A"/>
    <w:rsid w:val="00A8547E"/>
    <w:rsid w:val="00A878F2"/>
    <w:rsid w:val="00A93E13"/>
    <w:rsid w:val="00A96C67"/>
    <w:rsid w:val="00AA2F71"/>
    <w:rsid w:val="00AA523D"/>
    <w:rsid w:val="00AB0561"/>
    <w:rsid w:val="00AB281B"/>
    <w:rsid w:val="00AB35BD"/>
    <w:rsid w:val="00AB6E34"/>
    <w:rsid w:val="00AB7E0C"/>
    <w:rsid w:val="00AC054E"/>
    <w:rsid w:val="00AC06BE"/>
    <w:rsid w:val="00AC186A"/>
    <w:rsid w:val="00AC24C8"/>
    <w:rsid w:val="00AC53FB"/>
    <w:rsid w:val="00AD021D"/>
    <w:rsid w:val="00AD1509"/>
    <w:rsid w:val="00AD4AB8"/>
    <w:rsid w:val="00AD7412"/>
    <w:rsid w:val="00AE423F"/>
    <w:rsid w:val="00AE7FF7"/>
    <w:rsid w:val="00AF1231"/>
    <w:rsid w:val="00AF2E43"/>
    <w:rsid w:val="00AF4DD6"/>
    <w:rsid w:val="00AF4E28"/>
    <w:rsid w:val="00AF5066"/>
    <w:rsid w:val="00AF5DDC"/>
    <w:rsid w:val="00B00C50"/>
    <w:rsid w:val="00B01567"/>
    <w:rsid w:val="00B02D99"/>
    <w:rsid w:val="00B037FE"/>
    <w:rsid w:val="00B050AF"/>
    <w:rsid w:val="00B05BEE"/>
    <w:rsid w:val="00B064CE"/>
    <w:rsid w:val="00B077F4"/>
    <w:rsid w:val="00B1191E"/>
    <w:rsid w:val="00B140DD"/>
    <w:rsid w:val="00B14A73"/>
    <w:rsid w:val="00B177F7"/>
    <w:rsid w:val="00B2012F"/>
    <w:rsid w:val="00B21443"/>
    <w:rsid w:val="00B22C8E"/>
    <w:rsid w:val="00B22D0D"/>
    <w:rsid w:val="00B32BF2"/>
    <w:rsid w:val="00B33996"/>
    <w:rsid w:val="00B33CDD"/>
    <w:rsid w:val="00B406B8"/>
    <w:rsid w:val="00B41E74"/>
    <w:rsid w:val="00B43EB2"/>
    <w:rsid w:val="00B46964"/>
    <w:rsid w:val="00B500CC"/>
    <w:rsid w:val="00B518F9"/>
    <w:rsid w:val="00B529AE"/>
    <w:rsid w:val="00B55AA0"/>
    <w:rsid w:val="00B572BB"/>
    <w:rsid w:val="00B615F9"/>
    <w:rsid w:val="00B62E61"/>
    <w:rsid w:val="00B64C4B"/>
    <w:rsid w:val="00B64D5D"/>
    <w:rsid w:val="00B658D7"/>
    <w:rsid w:val="00B65E7C"/>
    <w:rsid w:val="00B70398"/>
    <w:rsid w:val="00B738F6"/>
    <w:rsid w:val="00B801AF"/>
    <w:rsid w:val="00B80E93"/>
    <w:rsid w:val="00B819C6"/>
    <w:rsid w:val="00B81E3A"/>
    <w:rsid w:val="00B849B1"/>
    <w:rsid w:val="00B92658"/>
    <w:rsid w:val="00BA0E48"/>
    <w:rsid w:val="00BA3930"/>
    <w:rsid w:val="00BB077D"/>
    <w:rsid w:val="00BB313F"/>
    <w:rsid w:val="00BB68BD"/>
    <w:rsid w:val="00BB6A4C"/>
    <w:rsid w:val="00BC1A58"/>
    <w:rsid w:val="00BC484B"/>
    <w:rsid w:val="00BD08C6"/>
    <w:rsid w:val="00BD134A"/>
    <w:rsid w:val="00BD2366"/>
    <w:rsid w:val="00BE0356"/>
    <w:rsid w:val="00BE4927"/>
    <w:rsid w:val="00BE51E0"/>
    <w:rsid w:val="00BE5A56"/>
    <w:rsid w:val="00BE5F38"/>
    <w:rsid w:val="00BF308B"/>
    <w:rsid w:val="00BF362F"/>
    <w:rsid w:val="00BF56B8"/>
    <w:rsid w:val="00BF7A63"/>
    <w:rsid w:val="00BF7ED2"/>
    <w:rsid w:val="00C01C73"/>
    <w:rsid w:val="00C0454C"/>
    <w:rsid w:val="00C06F80"/>
    <w:rsid w:val="00C07BD5"/>
    <w:rsid w:val="00C07DA6"/>
    <w:rsid w:val="00C07E7D"/>
    <w:rsid w:val="00C10555"/>
    <w:rsid w:val="00C139B3"/>
    <w:rsid w:val="00C14319"/>
    <w:rsid w:val="00C1455F"/>
    <w:rsid w:val="00C17F7D"/>
    <w:rsid w:val="00C2109F"/>
    <w:rsid w:val="00C277F0"/>
    <w:rsid w:val="00C30B38"/>
    <w:rsid w:val="00C31FA6"/>
    <w:rsid w:val="00C32ED1"/>
    <w:rsid w:val="00C340CD"/>
    <w:rsid w:val="00C3450B"/>
    <w:rsid w:val="00C34FC3"/>
    <w:rsid w:val="00C416B4"/>
    <w:rsid w:val="00C46112"/>
    <w:rsid w:val="00C467AB"/>
    <w:rsid w:val="00C469D9"/>
    <w:rsid w:val="00C51585"/>
    <w:rsid w:val="00C529CB"/>
    <w:rsid w:val="00C5411B"/>
    <w:rsid w:val="00C54C2D"/>
    <w:rsid w:val="00C55C25"/>
    <w:rsid w:val="00C57599"/>
    <w:rsid w:val="00C612B7"/>
    <w:rsid w:val="00C615B9"/>
    <w:rsid w:val="00C72941"/>
    <w:rsid w:val="00C72947"/>
    <w:rsid w:val="00C80F0B"/>
    <w:rsid w:val="00C8786F"/>
    <w:rsid w:val="00C92E52"/>
    <w:rsid w:val="00C95034"/>
    <w:rsid w:val="00C96320"/>
    <w:rsid w:val="00C96804"/>
    <w:rsid w:val="00C9700A"/>
    <w:rsid w:val="00CA02FE"/>
    <w:rsid w:val="00CA1BA6"/>
    <w:rsid w:val="00CA1FC0"/>
    <w:rsid w:val="00CA5F83"/>
    <w:rsid w:val="00CA63FF"/>
    <w:rsid w:val="00CA7538"/>
    <w:rsid w:val="00CB2CD3"/>
    <w:rsid w:val="00CB5136"/>
    <w:rsid w:val="00CC04F0"/>
    <w:rsid w:val="00CC2336"/>
    <w:rsid w:val="00CD11CB"/>
    <w:rsid w:val="00CD1D72"/>
    <w:rsid w:val="00CD4AB8"/>
    <w:rsid w:val="00CD4B68"/>
    <w:rsid w:val="00CD6C43"/>
    <w:rsid w:val="00CD76F9"/>
    <w:rsid w:val="00CE09F4"/>
    <w:rsid w:val="00CE3164"/>
    <w:rsid w:val="00CE4596"/>
    <w:rsid w:val="00CE6039"/>
    <w:rsid w:val="00CE65DF"/>
    <w:rsid w:val="00CE7ACF"/>
    <w:rsid w:val="00CF2B2A"/>
    <w:rsid w:val="00CF384A"/>
    <w:rsid w:val="00CF60A8"/>
    <w:rsid w:val="00D00E60"/>
    <w:rsid w:val="00D02750"/>
    <w:rsid w:val="00D03614"/>
    <w:rsid w:val="00D04F86"/>
    <w:rsid w:val="00D13CE4"/>
    <w:rsid w:val="00D15A55"/>
    <w:rsid w:val="00D20214"/>
    <w:rsid w:val="00D22EEA"/>
    <w:rsid w:val="00D24CDF"/>
    <w:rsid w:val="00D25E4E"/>
    <w:rsid w:val="00D2779F"/>
    <w:rsid w:val="00D35145"/>
    <w:rsid w:val="00D352AD"/>
    <w:rsid w:val="00D35815"/>
    <w:rsid w:val="00D3647B"/>
    <w:rsid w:val="00D40166"/>
    <w:rsid w:val="00D40B2A"/>
    <w:rsid w:val="00D4452E"/>
    <w:rsid w:val="00D45C48"/>
    <w:rsid w:val="00D50099"/>
    <w:rsid w:val="00D5284E"/>
    <w:rsid w:val="00D537A1"/>
    <w:rsid w:val="00D5432C"/>
    <w:rsid w:val="00D54394"/>
    <w:rsid w:val="00D54680"/>
    <w:rsid w:val="00D55481"/>
    <w:rsid w:val="00D564E0"/>
    <w:rsid w:val="00D57209"/>
    <w:rsid w:val="00D63189"/>
    <w:rsid w:val="00D64FC5"/>
    <w:rsid w:val="00D701E1"/>
    <w:rsid w:val="00D71391"/>
    <w:rsid w:val="00D71FD5"/>
    <w:rsid w:val="00D74174"/>
    <w:rsid w:val="00D8022F"/>
    <w:rsid w:val="00D81D18"/>
    <w:rsid w:val="00D8239A"/>
    <w:rsid w:val="00D84364"/>
    <w:rsid w:val="00D85176"/>
    <w:rsid w:val="00DA29B0"/>
    <w:rsid w:val="00DA48D8"/>
    <w:rsid w:val="00DA53CE"/>
    <w:rsid w:val="00DA7AC9"/>
    <w:rsid w:val="00DB0876"/>
    <w:rsid w:val="00DB21B5"/>
    <w:rsid w:val="00DB4C8D"/>
    <w:rsid w:val="00DB741F"/>
    <w:rsid w:val="00DC05BC"/>
    <w:rsid w:val="00DC0615"/>
    <w:rsid w:val="00DC0716"/>
    <w:rsid w:val="00DC14E8"/>
    <w:rsid w:val="00DC3FA8"/>
    <w:rsid w:val="00DC5F3B"/>
    <w:rsid w:val="00DC649A"/>
    <w:rsid w:val="00DD5D55"/>
    <w:rsid w:val="00DD79ED"/>
    <w:rsid w:val="00DE0C01"/>
    <w:rsid w:val="00DE50DC"/>
    <w:rsid w:val="00DE69B4"/>
    <w:rsid w:val="00DE7B82"/>
    <w:rsid w:val="00DF02F5"/>
    <w:rsid w:val="00DF1F71"/>
    <w:rsid w:val="00DF4326"/>
    <w:rsid w:val="00DF480F"/>
    <w:rsid w:val="00E02F82"/>
    <w:rsid w:val="00E0375A"/>
    <w:rsid w:val="00E106A9"/>
    <w:rsid w:val="00E10DB3"/>
    <w:rsid w:val="00E119F4"/>
    <w:rsid w:val="00E128AA"/>
    <w:rsid w:val="00E15D99"/>
    <w:rsid w:val="00E16BF4"/>
    <w:rsid w:val="00E2182A"/>
    <w:rsid w:val="00E2225D"/>
    <w:rsid w:val="00E2457F"/>
    <w:rsid w:val="00E2627A"/>
    <w:rsid w:val="00E2628C"/>
    <w:rsid w:val="00E31485"/>
    <w:rsid w:val="00E318D0"/>
    <w:rsid w:val="00E36DE2"/>
    <w:rsid w:val="00E409FF"/>
    <w:rsid w:val="00E41916"/>
    <w:rsid w:val="00E462BE"/>
    <w:rsid w:val="00E509BF"/>
    <w:rsid w:val="00E52B13"/>
    <w:rsid w:val="00E52F2B"/>
    <w:rsid w:val="00E55509"/>
    <w:rsid w:val="00E61561"/>
    <w:rsid w:val="00E650D4"/>
    <w:rsid w:val="00E6669A"/>
    <w:rsid w:val="00E67E81"/>
    <w:rsid w:val="00E70688"/>
    <w:rsid w:val="00E71C4F"/>
    <w:rsid w:val="00E72865"/>
    <w:rsid w:val="00E7612F"/>
    <w:rsid w:val="00E765E9"/>
    <w:rsid w:val="00E81B37"/>
    <w:rsid w:val="00E83034"/>
    <w:rsid w:val="00E83347"/>
    <w:rsid w:val="00E9106B"/>
    <w:rsid w:val="00E93786"/>
    <w:rsid w:val="00E93BAE"/>
    <w:rsid w:val="00E950ED"/>
    <w:rsid w:val="00E97908"/>
    <w:rsid w:val="00EA2B08"/>
    <w:rsid w:val="00EA5F74"/>
    <w:rsid w:val="00EA673A"/>
    <w:rsid w:val="00EA692A"/>
    <w:rsid w:val="00EB1676"/>
    <w:rsid w:val="00EB700E"/>
    <w:rsid w:val="00EC1A3C"/>
    <w:rsid w:val="00EC4FFD"/>
    <w:rsid w:val="00EC6A2F"/>
    <w:rsid w:val="00ED0741"/>
    <w:rsid w:val="00ED2B85"/>
    <w:rsid w:val="00ED3D9A"/>
    <w:rsid w:val="00ED4F21"/>
    <w:rsid w:val="00ED73E3"/>
    <w:rsid w:val="00EE1DE7"/>
    <w:rsid w:val="00EE3A60"/>
    <w:rsid w:val="00EE3C2A"/>
    <w:rsid w:val="00EE3D1F"/>
    <w:rsid w:val="00EE5F7E"/>
    <w:rsid w:val="00EF2599"/>
    <w:rsid w:val="00F011B9"/>
    <w:rsid w:val="00F02151"/>
    <w:rsid w:val="00F0225B"/>
    <w:rsid w:val="00F02BCE"/>
    <w:rsid w:val="00F06518"/>
    <w:rsid w:val="00F07098"/>
    <w:rsid w:val="00F13801"/>
    <w:rsid w:val="00F145EB"/>
    <w:rsid w:val="00F15016"/>
    <w:rsid w:val="00F2159B"/>
    <w:rsid w:val="00F21EDC"/>
    <w:rsid w:val="00F30824"/>
    <w:rsid w:val="00F33F46"/>
    <w:rsid w:val="00F35A4C"/>
    <w:rsid w:val="00F35E0E"/>
    <w:rsid w:val="00F36432"/>
    <w:rsid w:val="00F37706"/>
    <w:rsid w:val="00F4173E"/>
    <w:rsid w:val="00F42D1B"/>
    <w:rsid w:val="00F43925"/>
    <w:rsid w:val="00F45843"/>
    <w:rsid w:val="00F57C59"/>
    <w:rsid w:val="00F646BD"/>
    <w:rsid w:val="00F70341"/>
    <w:rsid w:val="00F7162F"/>
    <w:rsid w:val="00F7402B"/>
    <w:rsid w:val="00F748C3"/>
    <w:rsid w:val="00F76F0F"/>
    <w:rsid w:val="00F807AB"/>
    <w:rsid w:val="00F85A0F"/>
    <w:rsid w:val="00F875BA"/>
    <w:rsid w:val="00F90964"/>
    <w:rsid w:val="00F90F8C"/>
    <w:rsid w:val="00F91498"/>
    <w:rsid w:val="00F92A0B"/>
    <w:rsid w:val="00F95727"/>
    <w:rsid w:val="00F95F57"/>
    <w:rsid w:val="00F97AF3"/>
    <w:rsid w:val="00F97D23"/>
    <w:rsid w:val="00FA47D6"/>
    <w:rsid w:val="00FA646B"/>
    <w:rsid w:val="00FA722C"/>
    <w:rsid w:val="00FB2AC8"/>
    <w:rsid w:val="00FB437A"/>
    <w:rsid w:val="00FC04FA"/>
    <w:rsid w:val="00FC11FE"/>
    <w:rsid w:val="00FC4173"/>
    <w:rsid w:val="00FD1EAF"/>
    <w:rsid w:val="00FD57ED"/>
    <w:rsid w:val="00FE0426"/>
    <w:rsid w:val="00FE4968"/>
    <w:rsid w:val="00FE4E5C"/>
    <w:rsid w:val="00FE57BD"/>
    <w:rsid w:val="00FE60B0"/>
    <w:rsid w:val="00FF1F4C"/>
    <w:rsid w:val="00FF5D20"/>
    <w:rsid w:val="00FF6DFD"/>
  </w:rsids>
  <m:mathPr>
    <m:mathFont m:val="Cambria Math"/>
    <m:brkBin m:val="before"/>
    <m:brkBinSub m:val="--"/>
    <m:smallFrac m:val="0"/>
    <m:dispDef/>
    <m:lMargin m:val="0"/>
    <m:rMargin m:val="0"/>
    <m:defJc m:val="centerGroup"/>
    <m:wrapIndent m:val="1440"/>
    <m:intLim m:val="subSup"/>
    <m:naryLim m:val="undOvr"/>
  </m:mathPr>
  <w:themeFontLang w:val="en-NZ"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67"/>
    <w:pPr>
      <w:spacing w:after="240"/>
      <w:jc w:val="both"/>
    </w:pPr>
    <w:rPr>
      <w:sz w:val="22"/>
      <w:szCs w:val="22"/>
      <w:lang w:val="en-NZ"/>
    </w:rPr>
  </w:style>
  <w:style w:type="paragraph" w:styleId="Heading1">
    <w:name w:val="heading 1"/>
    <w:basedOn w:val="Normal"/>
    <w:next w:val="Normal"/>
    <w:link w:val="Heading1Char"/>
    <w:qFormat/>
    <w:rsid w:val="00123214"/>
    <w:pPr>
      <w:keepNext/>
      <w:keepLines/>
      <w:spacing w:after="0"/>
      <w:jc w:val="center"/>
      <w:outlineLvl w:val="0"/>
    </w:pPr>
    <w:rPr>
      <w:rFonts w:ascii="Cambria" w:eastAsia="Times New Roman" w:hAnsi="Cambria"/>
      <w:b/>
      <w:bCs/>
      <w:caps/>
      <w:sz w:val="24"/>
      <w:szCs w:val="24"/>
      <w:lang w:val="en-AU"/>
    </w:rPr>
  </w:style>
  <w:style w:type="paragraph" w:styleId="Heading2">
    <w:name w:val="heading 2"/>
    <w:aliases w:val="Heading a,b"/>
    <w:basedOn w:val="Normal"/>
    <w:next w:val="Normal"/>
    <w:link w:val="Heading2Char"/>
    <w:unhideWhenUsed/>
    <w:qFormat/>
    <w:rsid w:val="00123214"/>
    <w:pPr>
      <w:spacing w:after="0"/>
      <w:outlineLvl w:val="1"/>
    </w:pPr>
    <w:rPr>
      <w:rFonts w:ascii="Times New Roman" w:eastAsia="MS Mincho" w:hAnsi="Times New Roman"/>
      <w:b/>
      <w:color w:val="000000"/>
      <w:szCs w:val="24"/>
      <w:lang w:eastAsia="ja-JP"/>
    </w:rPr>
  </w:style>
  <w:style w:type="paragraph" w:styleId="Heading3">
    <w:name w:val="heading 3"/>
    <w:basedOn w:val="Normal"/>
    <w:next w:val="Normal"/>
    <w:link w:val="Heading3Char"/>
    <w:unhideWhenUsed/>
    <w:qFormat/>
    <w:rsid w:val="00E15D99"/>
    <w:pPr>
      <w:keepNext/>
      <w:keepLines/>
      <w:spacing w:before="40" w:after="0"/>
      <w:jc w:val="left"/>
      <w:outlineLvl w:val="2"/>
    </w:pPr>
    <w:rPr>
      <w:rFonts w:asciiTheme="majorHAnsi" w:eastAsiaTheme="majorEastAsia" w:hAnsiTheme="majorHAnsi" w:cstheme="majorBidi"/>
      <w:b/>
    </w:rPr>
  </w:style>
  <w:style w:type="paragraph" w:styleId="Heading4">
    <w:name w:val="heading 4"/>
    <w:basedOn w:val="Normal"/>
    <w:next w:val="Normal"/>
    <w:link w:val="Heading4Char"/>
    <w:unhideWhenUsed/>
    <w:qFormat/>
    <w:rsid w:val="00734E2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qFormat/>
    <w:rsid w:val="006B2F2D"/>
    <w:pPr>
      <w:keepNext/>
      <w:spacing w:after="0"/>
      <w:outlineLvl w:val="4"/>
    </w:pPr>
    <w:rPr>
      <w:rFonts w:ascii="Arial" w:eastAsia="바탕" w:hAnsi="Arial" w:cs="Arial"/>
      <w:b/>
      <w:bCs/>
      <w:sz w:val="20"/>
      <w:szCs w:val="20"/>
      <w:lang w:val="en-US"/>
    </w:rPr>
  </w:style>
  <w:style w:type="paragraph" w:styleId="Heading6">
    <w:name w:val="heading 6"/>
    <w:basedOn w:val="Normal"/>
    <w:next w:val="Normal"/>
    <w:link w:val="Heading6Char"/>
    <w:qFormat/>
    <w:rsid w:val="006B2F2D"/>
    <w:pPr>
      <w:keepNext/>
      <w:spacing w:after="0"/>
      <w:jc w:val="left"/>
      <w:outlineLvl w:val="5"/>
    </w:pPr>
    <w:rPr>
      <w:rFonts w:ascii="Arial" w:eastAsia="바탕" w:hAnsi="Arial" w:cs="Arial"/>
      <w:b/>
      <w:color w:val="FF0000"/>
      <w:sz w:val="16"/>
      <w:szCs w:val="20"/>
      <w:lang w:val="en-US"/>
    </w:rPr>
  </w:style>
  <w:style w:type="paragraph" w:styleId="Heading7">
    <w:name w:val="heading 7"/>
    <w:basedOn w:val="Normal"/>
    <w:next w:val="Normal"/>
    <w:link w:val="Heading7Char"/>
    <w:unhideWhenUsed/>
    <w:qFormat/>
    <w:rsid w:val="002C205C"/>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unhideWhenUsed/>
    <w:qFormat/>
    <w:rsid w:val="008E4A34"/>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3214"/>
    <w:rPr>
      <w:rFonts w:ascii="Cambria" w:eastAsia="Times New Roman" w:hAnsi="Cambria"/>
      <w:b/>
      <w:bCs/>
      <w:caps/>
      <w:sz w:val="24"/>
      <w:szCs w:val="24"/>
      <w:lang w:val="en-AU"/>
    </w:rPr>
  </w:style>
  <w:style w:type="character" w:customStyle="1" w:styleId="Heading2Char">
    <w:name w:val="Heading 2 Char"/>
    <w:aliases w:val="Heading a Char,b Char"/>
    <w:link w:val="Heading2"/>
    <w:rsid w:val="00123214"/>
    <w:rPr>
      <w:rFonts w:ascii="Times New Roman" w:eastAsia="MS Mincho" w:hAnsi="Times New Roman"/>
      <w:b/>
      <w:color w:val="000000"/>
      <w:sz w:val="22"/>
      <w:szCs w:val="24"/>
      <w:lang w:val="en-NZ" w:eastAsia="ja-JP"/>
    </w:rPr>
  </w:style>
  <w:style w:type="character" w:customStyle="1" w:styleId="Heading3Char">
    <w:name w:val="Heading 3 Char"/>
    <w:basedOn w:val="DefaultParagraphFont"/>
    <w:link w:val="Heading3"/>
    <w:uiPriority w:val="9"/>
    <w:rsid w:val="00E15D99"/>
    <w:rPr>
      <w:rFonts w:asciiTheme="majorHAnsi" w:eastAsiaTheme="majorEastAsia" w:hAnsiTheme="majorHAnsi" w:cstheme="majorBidi"/>
      <w:b/>
      <w:sz w:val="22"/>
      <w:szCs w:val="22"/>
      <w:lang w:val="en-NZ"/>
    </w:rPr>
  </w:style>
  <w:style w:type="character" w:customStyle="1" w:styleId="Heading4Char">
    <w:name w:val="Heading 4 Char"/>
    <w:link w:val="Heading4"/>
    <w:uiPriority w:val="9"/>
    <w:semiHidden/>
    <w:rsid w:val="00734E2C"/>
    <w:rPr>
      <w:rFonts w:ascii="Cambria" w:eastAsia="Times New Roman" w:hAnsi="Cambria" w:cs="Times New Roman"/>
      <w:b/>
      <w:bCs/>
      <w:i/>
      <w:iCs/>
      <w:color w:val="4F81BD"/>
    </w:rPr>
  </w:style>
  <w:style w:type="character" w:customStyle="1" w:styleId="Heading5Char">
    <w:name w:val="Heading 5 Char"/>
    <w:basedOn w:val="DefaultParagraphFont"/>
    <w:link w:val="Heading5"/>
    <w:rsid w:val="006B2F2D"/>
    <w:rPr>
      <w:rFonts w:ascii="Arial" w:eastAsia="바탕" w:hAnsi="Arial" w:cs="Arial"/>
      <w:b/>
      <w:bCs/>
    </w:rPr>
  </w:style>
  <w:style w:type="character" w:customStyle="1" w:styleId="Heading6Char">
    <w:name w:val="Heading 6 Char"/>
    <w:basedOn w:val="DefaultParagraphFont"/>
    <w:link w:val="Heading6"/>
    <w:rsid w:val="006B2F2D"/>
    <w:rPr>
      <w:rFonts w:ascii="Arial" w:eastAsia="바탕" w:hAnsi="Arial" w:cs="Arial"/>
      <w:b/>
      <w:color w:val="FF0000"/>
      <w:sz w:val="16"/>
    </w:rPr>
  </w:style>
  <w:style w:type="character" w:customStyle="1" w:styleId="Heading7Char">
    <w:name w:val="Heading 7 Char"/>
    <w:link w:val="Heading7"/>
    <w:uiPriority w:val="9"/>
    <w:rsid w:val="002C205C"/>
    <w:rPr>
      <w:rFonts w:ascii="Cambria" w:eastAsia="Times New Roman" w:hAnsi="Cambria" w:cs="Times New Roman"/>
      <w:i/>
      <w:iCs/>
      <w:color w:val="404040"/>
    </w:rPr>
  </w:style>
  <w:style w:type="character" w:customStyle="1" w:styleId="Heading8Char">
    <w:name w:val="Heading 8 Char"/>
    <w:link w:val="Heading8"/>
    <w:uiPriority w:val="9"/>
    <w:rsid w:val="008E4A34"/>
    <w:rPr>
      <w:rFonts w:ascii="Calibri" w:eastAsia="Times New Roman" w:hAnsi="Calibri" w:cs="Times New Roman"/>
      <w:i/>
      <w:iCs/>
      <w:sz w:val="24"/>
      <w:szCs w:val="24"/>
      <w:lang w:val="en-NZ"/>
    </w:rPr>
  </w:style>
  <w:style w:type="character" w:customStyle="1" w:styleId="WCPFCChar">
    <w:name w:val="WCPFC Char"/>
    <w:link w:val="WCPFC"/>
    <w:locked/>
    <w:rsid w:val="00A96C67"/>
    <w:rPr>
      <w:rFonts w:ascii="Times New Roman" w:hAnsi="Times New Roman"/>
      <w:sz w:val="22"/>
      <w:szCs w:val="22"/>
      <w:lang w:val="en-NZ" w:eastAsia="en-NZ"/>
    </w:rPr>
  </w:style>
  <w:style w:type="paragraph" w:customStyle="1" w:styleId="WCPFC">
    <w:name w:val="WCPFC"/>
    <w:link w:val="WCPFCChar"/>
    <w:qFormat/>
    <w:rsid w:val="00A96C67"/>
    <w:pPr>
      <w:numPr>
        <w:numId w:val="1"/>
      </w:numPr>
      <w:snapToGrid w:val="0"/>
      <w:spacing w:after="240"/>
      <w:jc w:val="both"/>
    </w:pPr>
    <w:rPr>
      <w:rFonts w:ascii="Times New Roman" w:hAnsi="Times New Roman"/>
      <w:sz w:val="22"/>
      <w:szCs w:val="22"/>
      <w:lang w:val="en-NZ" w:eastAsia="en-NZ"/>
    </w:rPr>
  </w:style>
  <w:style w:type="character" w:customStyle="1" w:styleId="Best2Char">
    <w:name w:val="Best2 Char"/>
    <w:link w:val="Best2"/>
    <w:locked/>
    <w:rsid w:val="00A96C67"/>
    <w:rPr>
      <w:rFonts w:ascii="Times New Roman" w:hAnsi="Times New Roman"/>
      <w:sz w:val="22"/>
      <w:szCs w:val="22"/>
      <w:lang w:val="en-NZ" w:eastAsia="en-NZ"/>
    </w:rPr>
  </w:style>
  <w:style w:type="paragraph" w:customStyle="1" w:styleId="Best2">
    <w:name w:val="Best2"/>
    <w:basedOn w:val="Normal"/>
    <w:link w:val="Best2Char"/>
    <w:qFormat/>
    <w:rsid w:val="00A96C67"/>
    <w:pPr>
      <w:numPr>
        <w:numId w:val="2"/>
      </w:numPr>
      <w:spacing w:after="120" w:line="300" w:lineRule="exact"/>
    </w:pPr>
    <w:rPr>
      <w:rFonts w:ascii="Times New Roman" w:hAnsi="Times New Roman"/>
      <w:lang w:eastAsia="en-NZ"/>
    </w:rPr>
  </w:style>
  <w:style w:type="table" w:styleId="TableGrid">
    <w:name w:val="Table Grid"/>
    <w:basedOn w:val="TableNormal"/>
    <w:uiPriority w:val="59"/>
    <w:rsid w:val="00A96C67"/>
    <w:rPr>
      <w:rFonts w:eastAsia="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D9A"/>
    <w:pPr>
      <w:spacing w:after="0"/>
    </w:pPr>
    <w:rPr>
      <w:rFonts w:ascii="Tahoma" w:hAnsi="Tahoma" w:cs="Tahoma"/>
      <w:sz w:val="16"/>
      <w:szCs w:val="16"/>
    </w:rPr>
  </w:style>
  <w:style w:type="character" w:customStyle="1" w:styleId="BalloonTextChar">
    <w:name w:val="Balloon Text Char"/>
    <w:link w:val="BalloonText"/>
    <w:uiPriority w:val="99"/>
    <w:semiHidden/>
    <w:rsid w:val="00ED3D9A"/>
    <w:rPr>
      <w:rFonts w:ascii="Tahoma" w:hAnsi="Tahoma" w:cs="Tahoma"/>
      <w:sz w:val="16"/>
      <w:szCs w:val="16"/>
    </w:rPr>
  </w:style>
  <w:style w:type="paragraph" w:styleId="Caption">
    <w:name w:val="caption"/>
    <w:basedOn w:val="Normal"/>
    <w:next w:val="Normal"/>
    <w:link w:val="CaptionChar"/>
    <w:uiPriority w:val="35"/>
    <w:qFormat/>
    <w:rsid w:val="009353D2"/>
    <w:pPr>
      <w:spacing w:after="0"/>
      <w:ind w:left="720" w:hanging="720"/>
      <w:jc w:val="center"/>
    </w:pPr>
    <w:rPr>
      <w:rFonts w:ascii="Times New Roman" w:eastAsia="Times New Roman" w:hAnsi="Times New Roman"/>
      <w:b/>
      <w:szCs w:val="20"/>
      <w:lang w:val="en-US"/>
    </w:rPr>
  </w:style>
  <w:style w:type="character" w:customStyle="1" w:styleId="CaptionChar">
    <w:name w:val="Caption Char"/>
    <w:link w:val="Caption"/>
    <w:uiPriority w:val="35"/>
    <w:locked/>
    <w:rsid w:val="009353D2"/>
    <w:rPr>
      <w:rFonts w:ascii="Times New Roman" w:eastAsia="Times New Roman" w:hAnsi="Times New Roman" w:cs="Times New Roman"/>
      <w:b/>
      <w:szCs w:val="20"/>
      <w:lang w:val="en-US"/>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3C443D"/>
    <w:pPr>
      <w:spacing w:after="0"/>
      <w:ind w:left="720" w:hanging="720"/>
      <w:contextualSpacing/>
    </w:p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3C443D"/>
    <w:rPr>
      <w:rFonts w:ascii="Calibri" w:eastAsia="Calibri" w:hAnsi="Calibri" w:cs="Times New Roman"/>
    </w:rPr>
  </w:style>
  <w:style w:type="character" w:styleId="CommentReference">
    <w:name w:val="annotation reference"/>
    <w:uiPriority w:val="99"/>
    <w:unhideWhenUsed/>
    <w:rsid w:val="004F2646"/>
    <w:rPr>
      <w:sz w:val="16"/>
      <w:szCs w:val="16"/>
    </w:rPr>
  </w:style>
  <w:style w:type="paragraph" w:styleId="CommentText">
    <w:name w:val="annotation text"/>
    <w:basedOn w:val="Normal"/>
    <w:link w:val="CommentTextChar"/>
    <w:uiPriority w:val="99"/>
    <w:unhideWhenUsed/>
    <w:rsid w:val="004F2646"/>
    <w:rPr>
      <w:sz w:val="20"/>
      <w:szCs w:val="20"/>
    </w:rPr>
  </w:style>
  <w:style w:type="character" w:customStyle="1" w:styleId="CommentTextChar">
    <w:name w:val="Comment Text Char"/>
    <w:link w:val="CommentText"/>
    <w:uiPriority w:val="99"/>
    <w:rsid w:val="004F2646"/>
    <w:rPr>
      <w:sz w:val="20"/>
      <w:szCs w:val="20"/>
    </w:rPr>
  </w:style>
  <w:style w:type="paragraph" w:styleId="CommentSubject">
    <w:name w:val="annotation subject"/>
    <w:basedOn w:val="CommentText"/>
    <w:next w:val="CommentText"/>
    <w:link w:val="CommentSubjectChar"/>
    <w:uiPriority w:val="99"/>
    <w:semiHidden/>
    <w:unhideWhenUsed/>
    <w:rsid w:val="004F2646"/>
    <w:rPr>
      <w:b/>
      <w:bCs/>
    </w:rPr>
  </w:style>
  <w:style w:type="character" w:customStyle="1" w:styleId="CommentSubjectChar">
    <w:name w:val="Comment Subject Char"/>
    <w:link w:val="CommentSubject"/>
    <w:uiPriority w:val="99"/>
    <w:semiHidden/>
    <w:rsid w:val="004F2646"/>
    <w:rPr>
      <w:b/>
      <w:bCs/>
      <w:sz w:val="20"/>
      <w:szCs w:val="20"/>
    </w:rPr>
  </w:style>
  <w:style w:type="paragraph" w:customStyle="1" w:styleId="WP">
    <w:name w:val="WP"/>
    <w:basedOn w:val="Normal"/>
    <w:rsid w:val="00885EFB"/>
    <w:pPr>
      <w:keepLines/>
      <w:tabs>
        <w:tab w:val="left" w:pos="1021"/>
        <w:tab w:val="left" w:pos="1560"/>
        <w:tab w:val="left" w:pos="1588"/>
        <w:tab w:val="left" w:pos="1985"/>
      </w:tabs>
      <w:spacing w:before="240" w:after="0"/>
      <w:ind w:left="1588" w:hanging="1588"/>
    </w:pPr>
    <w:rPr>
      <w:rFonts w:ascii="Times New Roman" w:eastAsia="Times New Roman" w:hAnsi="Times New Roman"/>
      <w:sz w:val="20"/>
      <w:szCs w:val="20"/>
      <w:lang w:val="en-GB"/>
    </w:rPr>
  </w:style>
  <w:style w:type="paragraph" w:styleId="NormalWeb">
    <w:name w:val="Normal (Web)"/>
    <w:basedOn w:val="Normal"/>
    <w:unhideWhenUsed/>
    <w:rsid w:val="0020302A"/>
    <w:pPr>
      <w:spacing w:after="0"/>
    </w:pPr>
    <w:rPr>
      <w:rFonts w:eastAsia="MS Mincho" w:cs="Calibri"/>
      <w:lang w:val="en-AU" w:eastAsia="en-AU"/>
    </w:rPr>
  </w:style>
  <w:style w:type="paragraph" w:customStyle="1" w:styleId="WCPFCSUBHEADING0">
    <w:name w:val="WCPFC SUBHEADING"/>
    <w:basedOn w:val="Normal"/>
    <w:link w:val="WCPFCSUBHEADINGChar"/>
    <w:autoRedefine/>
    <w:qFormat/>
    <w:rsid w:val="00D24CDF"/>
    <w:pPr>
      <w:ind w:left="720" w:hanging="720"/>
    </w:pPr>
    <w:rPr>
      <w:rFonts w:ascii="Times New Roman" w:hAnsi="Times New Roman"/>
      <w:b/>
    </w:rPr>
  </w:style>
  <w:style w:type="character" w:customStyle="1" w:styleId="WCPFCSUBHEADINGChar">
    <w:name w:val="WCPFC SUBHEADING Char"/>
    <w:link w:val="WCPFCSUBHEADING0"/>
    <w:rsid w:val="00D24CDF"/>
    <w:rPr>
      <w:rFonts w:ascii="Times New Roman" w:hAnsi="Times New Roman"/>
      <w:b/>
      <w:sz w:val="22"/>
      <w:szCs w:val="22"/>
      <w:lang w:eastAsia="en-US"/>
    </w:rPr>
  </w:style>
  <w:style w:type="character" w:styleId="Hyperlink">
    <w:name w:val="Hyperlink"/>
    <w:uiPriority w:val="99"/>
    <w:unhideWhenUsed/>
    <w:rsid w:val="00A00EF8"/>
    <w:rPr>
      <w:color w:val="0000FF"/>
      <w:u w:val="single"/>
    </w:rPr>
  </w:style>
  <w:style w:type="paragraph" w:styleId="FootnoteText">
    <w:name w:val="footnote text"/>
    <w:basedOn w:val="Normal"/>
    <w:link w:val="FootnoteTextChar"/>
    <w:uiPriority w:val="99"/>
    <w:semiHidden/>
    <w:unhideWhenUsed/>
    <w:rsid w:val="00D40B2A"/>
    <w:pPr>
      <w:spacing w:after="0"/>
    </w:pPr>
    <w:rPr>
      <w:sz w:val="20"/>
      <w:szCs w:val="20"/>
    </w:rPr>
  </w:style>
  <w:style w:type="character" w:customStyle="1" w:styleId="FootnoteTextChar">
    <w:name w:val="Footnote Text Char"/>
    <w:link w:val="FootnoteText"/>
    <w:uiPriority w:val="99"/>
    <w:semiHidden/>
    <w:rsid w:val="00D40B2A"/>
    <w:rPr>
      <w:sz w:val="20"/>
      <w:szCs w:val="20"/>
    </w:rPr>
  </w:style>
  <w:style w:type="character" w:styleId="FootnoteReference">
    <w:name w:val="footnote reference"/>
    <w:uiPriority w:val="99"/>
    <w:unhideWhenUsed/>
    <w:rsid w:val="00D40B2A"/>
    <w:rPr>
      <w:vertAlign w:val="superscript"/>
    </w:rPr>
  </w:style>
  <w:style w:type="paragraph" w:customStyle="1" w:styleId="Default">
    <w:name w:val="Default"/>
    <w:basedOn w:val="Normal"/>
    <w:link w:val="DefaultChar"/>
    <w:rsid w:val="002C205C"/>
    <w:pPr>
      <w:autoSpaceDE w:val="0"/>
      <w:autoSpaceDN w:val="0"/>
      <w:spacing w:after="0"/>
    </w:pPr>
    <w:rPr>
      <w:rFonts w:cs="Calibri"/>
      <w:color w:val="000000"/>
      <w:sz w:val="24"/>
      <w:szCs w:val="24"/>
      <w:lang w:val="en-AU"/>
    </w:rPr>
  </w:style>
  <w:style w:type="character" w:customStyle="1" w:styleId="DefaultChar">
    <w:name w:val="Default Char"/>
    <w:basedOn w:val="DefaultParagraphFont"/>
    <w:link w:val="Default"/>
    <w:locked/>
    <w:rsid w:val="006D56C4"/>
    <w:rPr>
      <w:rFonts w:cs="Calibri"/>
      <w:color w:val="000000"/>
      <w:sz w:val="24"/>
      <w:szCs w:val="24"/>
      <w:lang w:val="en-AU"/>
    </w:rPr>
  </w:style>
  <w:style w:type="paragraph" w:customStyle="1" w:styleId="wcpfcsubheading">
    <w:name w:val="wcpfc subheading"/>
    <w:basedOn w:val="ListParagraph"/>
    <w:link w:val="wcpfcsubheadingChar0"/>
    <w:qFormat/>
    <w:rsid w:val="002C205C"/>
    <w:pPr>
      <w:numPr>
        <w:ilvl w:val="2"/>
        <w:numId w:val="6"/>
      </w:numPr>
      <w:adjustRightInd w:val="0"/>
      <w:snapToGrid w:val="0"/>
    </w:pPr>
    <w:rPr>
      <w:rFonts w:ascii="Times New Roman" w:eastAsia="바탕" w:hAnsi="Times New Roman"/>
      <w:b/>
      <w:bCs/>
      <w:sz w:val="24"/>
      <w:lang w:eastAsia="ko-KR"/>
    </w:rPr>
  </w:style>
  <w:style w:type="character" w:customStyle="1" w:styleId="wcpfcsubheadingChar0">
    <w:name w:val="wcpfc subheading Char"/>
    <w:link w:val="wcpfcsubheading"/>
    <w:rsid w:val="002C205C"/>
    <w:rPr>
      <w:rFonts w:ascii="Times New Roman" w:eastAsia="바탕" w:hAnsi="Times New Roman"/>
      <w:b/>
      <w:bCs/>
      <w:sz w:val="24"/>
      <w:szCs w:val="22"/>
      <w:lang w:val="en-NZ" w:eastAsia="ko-KR"/>
    </w:rPr>
  </w:style>
  <w:style w:type="paragraph" w:styleId="Header">
    <w:name w:val="header"/>
    <w:basedOn w:val="Normal"/>
    <w:link w:val="HeaderChar"/>
    <w:uiPriority w:val="99"/>
    <w:unhideWhenUsed/>
    <w:rsid w:val="009C5B18"/>
    <w:pPr>
      <w:tabs>
        <w:tab w:val="center" w:pos="4513"/>
        <w:tab w:val="right" w:pos="9026"/>
      </w:tabs>
    </w:pPr>
  </w:style>
  <w:style w:type="character" w:customStyle="1" w:styleId="HeaderChar">
    <w:name w:val="Header Char"/>
    <w:link w:val="Header"/>
    <w:uiPriority w:val="99"/>
    <w:rsid w:val="009C5B18"/>
    <w:rPr>
      <w:sz w:val="22"/>
      <w:szCs w:val="22"/>
      <w:lang w:eastAsia="en-US"/>
    </w:rPr>
  </w:style>
  <w:style w:type="paragraph" w:styleId="Footer">
    <w:name w:val="footer"/>
    <w:basedOn w:val="Normal"/>
    <w:link w:val="FooterChar"/>
    <w:uiPriority w:val="99"/>
    <w:unhideWhenUsed/>
    <w:rsid w:val="009C5B18"/>
    <w:pPr>
      <w:tabs>
        <w:tab w:val="center" w:pos="4513"/>
        <w:tab w:val="right" w:pos="9026"/>
      </w:tabs>
    </w:pPr>
  </w:style>
  <w:style w:type="character" w:customStyle="1" w:styleId="FooterChar">
    <w:name w:val="Footer Char"/>
    <w:link w:val="Footer"/>
    <w:uiPriority w:val="99"/>
    <w:rsid w:val="009C5B18"/>
    <w:rPr>
      <w:sz w:val="22"/>
      <w:szCs w:val="22"/>
      <w:lang w:eastAsia="en-US"/>
    </w:rPr>
  </w:style>
  <w:style w:type="paragraph" w:styleId="TOCHeading">
    <w:name w:val="TOC Heading"/>
    <w:basedOn w:val="Heading1"/>
    <w:next w:val="Normal"/>
    <w:uiPriority w:val="39"/>
    <w:unhideWhenUsed/>
    <w:qFormat/>
    <w:rsid w:val="003D4C86"/>
    <w:pPr>
      <w:spacing w:before="240" w:line="259" w:lineRule="auto"/>
      <w:jc w:val="left"/>
      <w:outlineLvl w:val="9"/>
    </w:pPr>
    <w:rPr>
      <w:rFonts w:ascii="Calibri Light" w:hAnsi="Calibri Light"/>
      <w:b w:val="0"/>
      <w:bCs w:val="0"/>
      <w:color w:val="2F5496"/>
      <w:sz w:val="32"/>
      <w:szCs w:val="32"/>
      <w:lang w:val="en-US"/>
    </w:rPr>
  </w:style>
  <w:style w:type="paragraph" w:styleId="TOC1">
    <w:name w:val="toc 1"/>
    <w:basedOn w:val="Normal"/>
    <w:next w:val="Normal"/>
    <w:autoRedefine/>
    <w:uiPriority w:val="39"/>
    <w:unhideWhenUsed/>
    <w:qFormat/>
    <w:rsid w:val="0079553C"/>
    <w:pPr>
      <w:tabs>
        <w:tab w:val="right" w:leader="dot" w:pos="9016"/>
      </w:tabs>
      <w:spacing w:after="0"/>
      <w:jc w:val="left"/>
    </w:pPr>
  </w:style>
  <w:style w:type="paragraph" w:styleId="TOC2">
    <w:name w:val="toc 2"/>
    <w:basedOn w:val="Normal"/>
    <w:next w:val="Normal"/>
    <w:autoRedefine/>
    <w:uiPriority w:val="39"/>
    <w:unhideWhenUsed/>
    <w:qFormat/>
    <w:rsid w:val="003D4C86"/>
    <w:pPr>
      <w:ind w:left="220"/>
    </w:pPr>
  </w:style>
  <w:style w:type="paragraph" w:styleId="TOC3">
    <w:name w:val="toc 3"/>
    <w:basedOn w:val="Normal"/>
    <w:next w:val="Normal"/>
    <w:autoRedefine/>
    <w:uiPriority w:val="39"/>
    <w:unhideWhenUsed/>
    <w:qFormat/>
    <w:rsid w:val="003622B5"/>
    <w:pPr>
      <w:spacing w:after="100" w:line="259" w:lineRule="auto"/>
      <w:ind w:left="440"/>
      <w:jc w:val="left"/>
    </w:pPr>
    <w:rPr>
      <w:rFonts w:eastAsia="Times New Roman"/>
      <w:lang w:val="en-US"/>
    </w:rPr>
  </w:style>
  <w:style w:type="character" w:customStyle="1" w:styleId="Mention">
    <w:name w:val="Mention"/>
    <w:basedOn w:val="DefaultParagraphFont"/>
    <w:uiPriority w:val="99"/>
    <w:semiHidden/>
    <w:unhideWhenUsed/>
    <w:rsid w:val="008D3E6A"/>
    <w:rPr>
      <w:color w:val="2B579A"/>
      <w:shd w:val="clear" w:color="auto" w:fill="E6E6E6"/>
    </w:rPr>
  </w:style>
  <w:style w:type="character" w:customStyle="1" w:styleId="bumpedfont15">
    <w:name w:val="bumpedfont15"/>
    <w:basedOn w:val="DefaultParagraphFont"/>
    <w:rsid w:val="00732AD4"/>
  </w:style>
  <w:style w:type="character" w:customStyle="1" w:styleId="DocumentMapChar">
    <w:name w:val="Document Map Char"/>
    <w:basedOn w:val="DefaultParagraphFont"/>
    <w:link w:val="DocumentMap"/>
    <w:semiHidden/>
    <w:rsid w:val="006B2F2D"/>
    <w:rPr>
      <w:rFonts w:ascii="Tahoma" w:eastAsia="바탕" w:hAnsi="Tahoma"/>
      <w:shd w:val="clear" w:color="auto" w:fill="000080"/>
    </w:rPr>
  </w:style>
  <w:style w:type="paragraph" w:styleId="DocumentMap">
    <w:name w:val="Document Map"/>
    <w:basedOn w:val="Normal"/>
    <w:link w:val="DocumentMapChar"/>
    <w:semiHidden/>
    <w:rsid w:val="006B2F2D"/>
    <w:pPr>
      <w:shd w:val="clear" w:color="auto" w:fill="000080"/>
      <w:spacing w:after="0"/>
      <w:jc w:val="left"/>
    </w:pPr>
    <w:rPr>
      <w:rFonts w:ascii="Tahoma" w:eastAsia="바탕" w:hAnsi="Tahoma"/>
      <w:sz w:val="20"/>
      <w:szCs w:val="20"/>
      <w:lang w:val="en-US"/>
    </w:rPr>
  </w:style>
  <w:style w:type="character" w:styleId="Strong">
    <w:name w:val="Strong"/>
    <w:uiPriority w:val="22"/>
    <w:qFormat/>
    <w:rsid w:val="006B2F2D"/>
    <w:rPr>
      <w:b/>
      <w:bCs/>
    </w:rPr>
  </w:style>
  <w:style w:type="character" w:styleId="Emphasis">
    <w:name w:val="Emphasis"/>
    <w:qFormat/>
    <w:rsid w:val="006B2F2D"/>
    <w:rPr>
      <w:i/>
      <w:iCs/>
    </w:rPr>
  </w:style>
  <w:style w:type="character" w:customStyle="1" w:styleId="PlainTextChar">
    <w:name w:val="Plain Text Char"/>
    <w:basedOn w:val="DefaultParagraphFont"/>
    <w:link w:val="PlainText"/>
    <w:uiPriority w:val="99"/>
    <w:semiHidden/>
    <w:rsid w:val="006B2F2D"/>
    <w:rPr>
      <w:rFonts w:ascii="Consolas" w:eastAsia="SimSun" w:hAnsi="Consolas"/>
      <w:sz w:val="21"/>
      <w:szCs w:val="21"/>
      <w:lang w:eastAsia="zh-CN"/>
    </w:rPr>
  </w:style>
  <w:style w:type="paragraph" w:styleId="PlainText">
    <w:name w:val="Plain Text"/>
    <w:basedOn w:val="Normal"/>
    <w:link w:val="PlainTextChar"/>
    <w:uiPriority w:val="99"/>
    <w:semiHidden/>
    <w:unhideWhenUsed/>
    <w:rsid w:val="006B2F2D"/>
    <w:pPr>
      <w:spacing w:after="0"/>
      <w:jc w:val="left"/>
    </w:pPr>
    <w:rPr>
      <w:rFonts w:ascii="Consolas" w:eastAsia="SimSun" w:hAnsi="Consolas"/>
      <w:sz w:val="21"/>
      <w:szCs w:val="21"/>
      <w:lang w:val="en-US" w:eastAsia="zh-CN"/>
    </w:rPr>
  </w:style>
  <w:style w:type="paragraph" w:styleId="NoSpacing">
    <w:name w:val="No Spacing"/>
    <w:uiPriority w:val="1"/>
    <w:qFormat/>
    <w:rsid w:val="006D56C4"/>
    <w:rPr>
      <w:rFonts w:asciiTheme="minorHAnsi" w:eastAsiaTheme="minorHAnsi" w:hAnsiTheme="minorHAnsi" w:cstheme="minorBidi"/>
      <w:sz w:val="22"/>
      <w:szCs w:val="22"/>
    </w:rPr>
  </w:style>
  <w:style w:type="table" w:customStyle="1" w:styleId="TableNormal1">
    <w:name w:val="Table Normal1"/>
    <w:uiPriority w:val="2"/>
    <w:semiHidden/>
    <w:unhideWhenUsed/>
    <w:qFormat/>
    <w:rsid w:val="0021261B"/>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1261B"/>
    <w:pPr>
      <w:widowControl w:val="0"/>
      <w:autoSpaceDE w:val="0"/>
      <w:autoSpaceDN w:val="0"/>
      <w:spacing w:after="0"/>
      <w:jc w:val="left"/>
    </w:pPr>
    <w:rPr>
      <w:rFonts w:eastAsia="Calibri" w:cs="Calibri"/>
      <w:lang w:val="en-US"/>
    </w:rPr>
  </w:style>
  <w:style w:type="character" w:customStyle="1" w:styleId="BodyTextChar">
    <w:name w:val="Body Text Char"/>
    <w:basedOn w:val="DefaultParagraphFont"/>
    <w:link w:val="BodyText"/>
    <w:uiPriority w:val="1"/>
    <w:rsid w:val="0021261B"/>
    <w:rPr>
      <w:rFonts w:eastAsia="Calibri" w:cs="Calibri"/>
      <w:sz w:val="22"/>
      <w:szCs w:val="22"/>
    </w:rPr>
  </w:style>
  <w:style w:type="paragraph" w:customStyle="1" w:styleId="TableParagraph">
    <w:name w:val="Table Paragraph"/>
    <w:basedOn w:val="Normal"/>
    <w:uiPriority w:val="1"/>
    <w:qFormat/>
    <w:rsid w:val="0021261B"/>
    <w:pPr>
      <w:widowControl w:val="0"/>
      <w:autoSpaceDE w:val="0"/>
      <w:autoSpaceDN w:val="0"/>
      <w:spacing w:after="0"/>
      <w:ind w:left="103"/>
    </w:pPr>
    <w:rPr>
      <w:rFonts w:eastAsia="Calibri" w:cs="Calibri"/>
      <w:lang w:val="en-US"/>
    </w:rPr>
  </w:style>
  <w:style w:type="paragraph" w:customStyle="1" w:styleId="SCCHeading1">
    <w:name w:val="SCC Heading 1"/>
    <w:basedOn w:val="Normal"/>
    <w:qFormat/>
    <w:rsid w:val="00571D79"/>
    <w:pPr>
      <w:numPr>
        <w:numId w:val="121"/>
      </w:numPr>
      <w:spacing w:before="200" w:after="200"/>
      <w:ind w:right="677" w:hanging="720"/>
      <w:jc w:val="left"/>
    </w:pPr>
    <w:rPr>
      <w:rFonts w:asciiTheme="majorHAnsi" w:eastAsia="MS Mincho" w:hAnsiTheme="majorHAnsi"/>
      <w:b/>
      <w:sz w:val="28"/>
      <w:szCs w:val="28"/>
      <w:lang w:val="en-GB" w:eastAsia="ja-JP"/>
    </w:rPr>
  </w:style>
  <w:style w:type="paragraph" w:customStyle="1" w:styleId="SCCHeading2">
    <w:name w:val="SCC Heading 2"/>
    <w:basedOn w:val="Normal"/>
    <w:qFormat/>
    <w:rsid w:val="00571D79"/>
    <w:pPr>
      <w:numPr>
        <w:ilvl w:val="1"/>
        <w:numId w:val="121"/>
      </w:numPr>
      <w:spacing w:after="0"/>
      <w:ind w:left="720" w:right="675"/>
      <w:jc w:val="left"/>
    </w:pPr>
    <w:rPr>
      <w:rFonts w:ascii="Cambria" w:eastAsia="MS Mincho" w:hAnsi="Cambria"/>
      <w:b/>
      <w:sz w:val="24"/>
      <w:szCs w:val="24"/>
      <w:lang w:val="en-GB" w:eastAsia="ja-JP"/>
    </w:rPr>
  </w:style>
  <w:style w:type="paragraph" w:customStyle="1" w:styleId="SCCHeading3">
    <w:name w:val="SCC Heading 3"/>
    <w:basedOn w:val="SCCHeading2"/>
    <w:qFormat/>
    <w:rsid w:val="00571D79"/>
    <w:pPr>
      <w:numPr>
        <w:ilvl w:val="2"/>
      </w:numPr>
      <w:ind w:hanging="1080"/>
    </w:pPr>
    <w:rPr>
      <w:i/>
    </w:rPr>
  </w:style>
  <w:style w:type="paragraph" w:customStyle="1" w:styleId="StyleHeading1Left0">
    <w:name w:val="Style Heading 1 + Left:  0&quot;"/>
    <w:basedOn w:val="Heading1"/>
    <w:rsid w:val="009A53E1"/>
    <w:pPr>
      <w:keepLines w:val="0"/>
      <w:spacing w:before="240" w:after="60"/>
      <w:jc w:val="left"/>
    </w:pPr>
    <w:rPr>
      <w:rFonts w:ascii="Times New (W1)" w:hAnsi="Times New (W1)"/>
      <w:lang w:val="en-US"/>
    </w:rPr>
  </w:style>
  <w:style w:type="character" w:customStyle="1" w:styleId="fontstyle01">
    <w:name w:val="fontstyle01"/>
    <w:basedOn w:val="DefaultParagraphFont"/>
    <w:rsid w:val="009A53E1"/>
    <w:rPr>
      <w:rFonts w:ascii="Times New Roman" w:hAnsi="Times New Roman" w:cs="Times New Roman" w:hint="default"/>
      <w:b/>
      <w:bCs/>
      <w:i w:val="0"/>
      <w:iCs w:val="0"/>
      <w:color w:val="000000"/>
      <w:sz w:val="22"/>
      <w:szCs w:val="22"/>
    </w:rPr>
  </w:style>
  <w:style w:type="paragraph" w:styleId="TOC4">
    <w:name w:val="toc 4"/>
    <w:basedOn w:val="Normal"/>
    <w:next w:val="Normal"/>
    <w:autoRedefine/>
    <w:uiPriority w:val="39"/>
    <w:unhideWhenUsed/>
    <w:rsid w:val="0079553C"/>
    <w:pPr>
      <w:spacing w:after="100" w:line="276" w:lineRule="auto"/>
      <w:ind w:left="660"/>
      <w:jc w:val="left"/>
    </w:pPr>
    <w:rPr>
      <w:rFonts w:asciiTheme="minorHAnsi" w:eastAsia="바탕" w:hAnsiTheme="minorHAnsi" w:cstheme="minorBidi"/>
      <w:lang w:val="en-US" w:eastAsia="ko-KR"/>
    </w:rPr>
  </w:style>
  <w:style w:type="paragraph" w:styleId="TOC5">
    <w:name w:val="toc 5"/>
    <w:basedOn w:val="Normal"/>
    <w:next w:val="Normal"/>
    <w:autoRedefine/>
    <w:uiPriority w:val="39"/>
    <w:unhideWhenUsed/>
    <w:rsid w:val="0079553C"/>
    <w:pPr>
      <w:spacing w:after="100" w:line="276" w:lineRule="auto"/>
      <w:ind w:left="880"/>
      <w:jc w:val="left"/>
    </w:pPr>
    <w:rPr>
      <w:rFonts w:asciiTheme="minorHAnsi" w:eastAsia="바탕" w:hAnsiTheme="minorHAnsi" w:cstheme="minorBidi"/>
      <w:lang w:val="en-US" w:eastAsia="ko-KR"/>
    </w:rPr>
  </w:style>
  <w:style w:type="paragraph" w:styleId="TOC6">
    <w:name w:val="toc 6"/>
    <w:basedOn w:val="Normal"/>
    <w:next w:val="Normal"/>
    <w:autoRedefine/>
    <w:uiPriority w:val="39"/>
    <w:unhideWhenUsed/>
    <w:rsid w:val="0079553C"/>
    <w:pPr>
      <w:spacing w:after="100" w:line="276" w:lineRule="auto"/>
      <w:ind w:left="1100"/>
      <w:jc w:val="left"/>
    </w:pPr>
    <w:rPr>
      <w:rFonts w:asciiTheme="minorHAnsi" w:eastAsia="바탕" w:hAnsiTheme="minorHAnsi" w:cstheme="minorBidi"/>
      <w:lang w:val="en-US" w:eastAsia="ko-KR"/>
    </w:rPr>
  </w:style>
  <w:style w:type="paragraph" w:styleId="TOC7">
    <w:name w:val="toc 7"/>
    <w:basedOn w:val="Normal"/>
    <w:next w:val="Normal"/>
    <w:autoRedefine/>
    <w:uiPriority w:val="39"/>
    <w:unhideWhenUsed/>
    <w:rsid w:val="0079553C"/>
    <w:pPr>
      <w:spacing w:after="100" w:line="276" w:lineRule="auto"/>
      <w:ind w:left="1320"/>
      <w:jc w:val="left"/>
    </w:pPr>
    <w:rPr>
      <w:rFonts w:asciiTheme="minorHAnsi" w:eastAsia="바탕" w:hAnsiTheme="minorHAnsi" w:cstheme="minorBidi"/>
      <w:lang w:val="en-US" w:eastAsia="ko-KR"/>
    </w:rPr>
  </w:style>
  <w:style w:type="paragraph" w:styleId="TOC8">
    <w:name w:val="toc 8"/>
    <w:basedOn w:val="Normal"/>
    <w:next w:val="Normal"/>
    <w:autoRedefine/>
    <w:uiPriority w:val="39"/>
    <w:unhideWhenUsed/>
    <w:rsid w:val="0079553C"/>
    <w:pPr>
      <w:spacing w:after="100" w:line="276" w:lineRule="auto"/>
      <w:ind w:left="1540"/>
      <w:jc w:val="left"/>
    </w:pPr>
    <w:rPr>
      <w:rFonts w:asciiTheme="minorHAnsi" w:eastAsia="바탕" w:hAnsiTheme="minorHAnsi" w:cstheme="minorBidi"/>
      <w:lang w:val="en-US" w:eastAsia="ko-KR"/>
    </w:rPr>
  </w:style>
  <w:style w:type="paragraph" w:styleId="TOC9">
    <w:name w:val="toc 9"/>
    <w:basedOn w:val="Normal"/>
    <w:next w:val="Normal"/>
    <w:autoRedefine/>
    <w:uiPriority w:val="39"/>
    <w:unhideWhenUsed/>
    <w:rsid w:val="0079553C"/>
    <w:pPr>
      <w:spacing w:after="100" w:line="276" w:lineRule="auto"/>
      <w:ind w:left="1760"/>
      <w:jc w:val="left"/>
    </w:pPr>
    <w:rPr>
      <w:rFonts w:asciiTheme="minorHAnsi" w:eastAsia="바탕" w:hAnsiTheme="minorHAnsi" w:cstheme="minorBidi"/>
      <w:lang w:val="en-US" w:eastAsia="ko-KR"/>
    </w:rPr>
  </w:style>
  <w:style w:type="character" w:styleId="FollowedHyperlink">
    <w:name w:val="FollowedHyperlink"/>
    <w:basedOn w:val="DefaultParagraphFont"/>
    <w:semiHidden/>
    <w:unhideWhenUsed/>
    <w:rsid w:val="007955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67"/>
    <w:pPr>
      <w:spacing w:after="240"/>
      <w:jc w:val="both"/>
    </w:pPr>
    <w:rPr>
      <w:sz w:val="22"/>
      <w:szCs w:val="22"/>
      <w:lang w:val="en-NZ"/>
    </w:rPr>
  </w:style>
  <w:style w:type="paragraph" w:styleId="Heading1">
    <w:name w:val="heading 1"/>
    <w:basedOn w:val="Normal"/>
    <w:next w:val="Normal"/>
    <w:link w:val="Heading1Char"/>
    <w:qFormat/>
    <w:rsid w:val="00123214"/>
    <w:pPr>
      <w:keepNext/>
      <w:keepLines/>
      <w:spacing w:after="0"/>
      <w:jc w:val="center"/>
      <w:outlineLvl w:val="0"/>
    </w:pPr>
    <w:rPr>
      <w:rFonts w:ascii="Cambria" w:eastAsia="Times New Roman" w:hAnsi="Cambria"/>
      <w:b/>
      <w:bCs/>
      <w:caps/>
      <w:sz w:val="24"/>
      <w:szCs w:val="24"/>
      <w:lang w:val="en-AU"/>
    </w:rPr>
  </w:style>
  <w:style w:type="paragraph" w:styleId="Heading2">
    <w:name w:val="heading 2"/>
    <w:aliases w:val="Heading a,b"/>
    <w:basedOn w:val="Normal"/>
    <w:next w:val="Normal"/>
    <w:link w:val="Heading2Char"/>
    <w:unhideWhenUsed/>
    <w:qFormat/>
    <w:rsid w:val="00123214"/>
    <w:pPr>
      <w:spacing w:after="0"/>
      <w:outlineLvl w:val="1"/>
    </w:pPr>
    <w:rPr>
      <w:rFonts w:ascii="Times New Roman" w:eastAsia="MS Mincho" w:hAnsi="Times New Roman"/>
      <w:b/>
      <w:color w:val="000000"/>
      <w:szCs w:val="24"/>
      <w:lang w:eastAsia="ja-JP"/>
    </w:rPr>
  </w:style>
  <w:style w:type="paragraph" w:styleId="Heading3">
    <w:name w:val="heading 3"/>
    <w:basedOn w:val="Normal"/>
    <w:next w:val="Normal"/>
    <w:link w:val="Heading3Char"/>
    <w:unhideWhenUsed/>
    <w:qFormat/>
    <w:rsid w:val="00E15D99"/>
    <w:pPr>
      <w:keepNext/>
      <w:keepLines/>
      <w:spacing w:before="40" w:after="0"/>
      <w:jc w:val="left"/>
      <w:outlineLvl w:val="2"/>
    </w:pPr>
    <w:rPr>
      <w:rFonts w:asciiTheme="majorHAnsi" w:eastAsiaTheme="majorEastAsia" w:hAnsiTheme="majorHAnsi" w:cstheme="majorBidi"/>
      <w:b/>
    </w:rPr>
  </w:style>
  <w:style w:type="paragraph" w:styleId="Heading4">
    <w:name w:val="heading 4"/>
    <w:basedOn w:val="Normal"/>
    <w:next w:val="Normal"/>
    <w:link w:val="Heading4Char"/>
    <w:unhideWhenUsed/>
    <w:qFormat/>
    <w:rsid w:val="00734E2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qFormat/>
    <w:rsid w:val="006B2F2D"/>
    <w:pPr>
      <w:keepNext/>
      <w:spacing w:after="0"/>
      <w:outlineLvl w:val="4"/>
    </w:pPr>
    <w:rPr>
      <w:rFonts w:ascii="Arial" w:eastAsia="바탕" w:hAnsi="Arial" w:cs="Arial"/>
      <w:b/>
      <w:bCs/>
      <w:sz w:val="20"/>
      <w:szCs w:val="20"/>
      <w:lang w:val="en-US"/>
    </w:rPr>
  </w:style>
  <w:style w:type="paragraph" w:styleId="Heading6">
    <w:name w:val="heading 6"/>
    <w:basedOn w:val="Normal"/>
    <w:next w:val="Normal"/>
    <w:link w:val="Heading6Char"/>
    <w:qFormat/>
    <w:rsid w:val="006B2F2D"/>
    <w:pPr>
      <w:keepNext/>
      <w:spacing w:after="0"/>
      <w:jc w:val="left"/>
      <w:outlineLvl w:val="5"/>
    </w:pPr>
    <w:rPr>
      <w:rFonts w:ascii="Arial" w:eastAsia="바탕" w:hAnsi="Arial" w:cs="Arial"/>
      <w:b/>
      <w:color w:val="FF0000"/>
      <w:sz w:val="16"/>
      <w:szCs w:val="20"/>
      <w:lang w:val="en-US"/>
    </w:rPr>
  </w:style>
  <w:style w:type="paragraph" w:styleId="Heading7">
    <w:name w:val="heading 7"/>
    <w:basedOn w:val="Normal"/>
    <w:next w:val="Normal"/>
    <w:link w:val="Heading7Char"/>
    <w:unhideWhenUsed/>
    <w:qFormat/>
    <w:rsid w:val="002C205C"/>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unhideWhenUsed/>
    <w:qFormat/>
    <w:rsid w:val="008E4A34"/>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3214"/>
    <w:rPr>
      <w:rFonts w:ascii="Cambria" w:eastAsia="Times New Roman" w:hAnsi="Cambria"/>
      <w:b/>
      <w:bCs/>
      <w:caps/>
      <w:sz w:val="24"/>
      <w:szCs w:val="24"/>
      <w:lang w:val="en-AU"/>
    </w:rPr>
  </w:style>
  <w:style w:type="character" w:customStyle="1" w:styleId="Heading2Char">
    <w:name w:val="Heading 2 Char"/>
    <w:aliases w:val="Heading a Char,b Char"/>
    <w:link w:val="Heading2"/>
    <w:rsid w:val="00123214"/>
    <w:rPr>
      <w:rFonts w:ascii="Times New Roman" w:eastAsia="MS Mincho" w:hAnsi="Times New Roman"/>
      <w:b/>
      <w:color w:val="000000"/>
      <w:sz w:val="22"/>
      <w:szCs w:val="24"/>
      <w:lang w:val="en-NZ" w:eastAsia="ja-JP"/>
    </w:rPr>
  </w:style>
  <w:style w:type="character" w:customStyle="1" w:styleId="Heading3Char">
    <w:name w:val="Heading 3 Char"/>
    <w:basedOn w:val="DefaultParagraphFont"/>
    <w:link w:val="Heading3"/>
    <w:uiPriority w:val="9"/>
    <w:rsid w:val="00E15D99"/>
    <w:rPr>
      <w:rFonts w:asciiTheme="majorHAnsi" w:eastAsiaTheme="majorEastAsia" w:hAnsiTheme="majorHAnsi" w:cstheme="majorBidi"/>
      <w:b/>
      <w:sz w:val="22"/>
      <w:szCs w:val="22"/>
      <w:lang w:val="en-NZ"/>
    </w:rPr>
  </w:style>
  <w:style w:type="character" w:customStyle="1" w:styleId="Heading4Char">
    <w:name w:val="Heading 4 Char"/>
    <w:link w:val="Heading4"/>
    <w:uiPriority w:val="9"/>
    <w:semiHidden/>
    <w:rsid w:val="00734E2C"/>
    <w:rPr>
      <w:rFonts w:ascii="Cambria" w:eastAsia="Times New Roman" w:hAnsi="Cambria" w:cs="Times New Roman"/>
      <w:b/>
      <w:bCs/>
      <w:i/>
      <w:iCs/>
      <w:color w:val="4F81BD"/>
    </w:rPr>
  </w:style>
  <w:style w:type="character" w:customStyle="1" w:styleId="Heading5Char">
    <w:name w:val="Heading 5 Char"/>
    <w:basedOn w:val="DefaultParagraphFont"/>
    <w:link w:val="Heading5"/>
    <w:rsid w:val="006B2F2D"/>
    <w:rPr>
      <w:rFonts w:ascii="Arial" w:eastAsia="바탕" w:hAnsi="Arial" w:cs="Arial"/>
      <w:b/>
      <w:bCs/>
    </w:rPr>
  </w:style>
  <w:style w:type="character" w:customStyle="1" w:styleId="Heading6Char">
    <w:name w:val="Heading 6 Char"/>
    <w:basedOn w:val="DefaultParagraphFont"/>
    <w:link w:val="Heading6"/>
    <w:rsid w:val="006B2F2D"/>
    <w:rPr>
      <w:rFonts w:ascii="Arial" w:eastAsia="바탕" w:hAnsi="Arial" w:cs="Arial"/>
      <w:b/>
      <w:color w:val="FF0000"/>
      <w:sz w:val="16"/>
    </w:rPr>
  </w:style>
  <w:style w:type="character" w:customStyle="1" w:styleId="Heading7Char">
    <w:name w:val="Heading 7 Char"/>
    <w:link w:val="Heading7"/>
    <w:uiPriority w:val="9"/>
    <w:rsid w:val="002C205C"/>
    <w:rPr>
      <w:rFonts w:ascii="Cambria" w:eastAsia="Times New Roman" w:hAnsi="Cambria" w:cs="Times New Roman"/>
      <w:i/>
      <w:iCs/>
      <w:color w:val="404040"/>
    </w:rPr>
  </w:style>
  <w:style w:type="character" w:customStyle="1" w:styleId="Heading8Char">
    <w:name w:val="Heading 8 Char"/>
    <w:link w:val="Heading8"/>
    <w:uiPriority w:val="9"/>
    <w:rsid w:val="008E4A34"/>
    <w:rPr>
      <w:rFonts w:ascii="Calibri" w:eastAsia="Times New Roman" w:hAnsi="Calibri" w:cs="Times New Roman"/>
      <w:i/>
      <w:iCs/>
      <w:sz w:val="24"/>
      <w:szCs w:val="24"/>
      <w:lang w:val="en-NZ"/>
    </w:rPr>
  </w:style>
  <w:style w:type="character" w:customStyle="1" w:styleId="WCPFCChar">
    <w:name w:val="WCPFC Char"/>
    <w:link w:val="WCPFC"/>
    <w:locked/>
    <w:rsid w:val="00A96C67"/>
    <w:rPr>
      <w:rFonts w:ascii="Times New Roman" w:hAnsi="Times New Roman"/>
      <w:sz w:val="22"/>
      <w:szCs w:val="22"/>
      <w:lang w:val="en-NZ" w:eastAsia="en-NZ"/>
    </w:rPr>
  </w:style>
  <w:style w:type="paragraph" w:customStyle="1" w:styleId="WCPFC">
    <w:name w:val="WCPFC"/>
    <w:link w:val="WCPFCChar"/>
    <w:qFormat/>
    <w:rsid w:val="00A96C67"/>
    <w:pPr>
      <w:numPr>
        <w:numId w:val="1"/>
      </w:numPr>
      <w:snapToGrid w:val="0"/>
      <w:spacing w:after="240"/>
      <w:jc w:val="both"/>
    </w:pPr>
    <w:rPr>
      <w:rFonts w:ascii="Times New Roman" w:hAnsi="Times New Roman"/>
      <w:sz w:val="22"/>
      <w:szCs w:val="22"/>
      <w:lang w:val="en-NZ" w:eastAsia="en-NZ"/>
    </w:rPr>
  </w:style>
  <w:style w:type="character" w:customStyle="1" w:styleId="Best2Char">
    <w:name w:val="Best2 Char"/>
    <w:link w:val="Best2"/>
    <w:locked/>
    <w:rsid w:val="00A96C67"/>
    <w:rPr>
      <w:rFonts w:ascii="Times New Roman" w:hAnsi="Times New Roman"/>
      <w:sz w:val="22"/>
      <w:szCs w:val="22"/>
      <w:lang w:val="en-NZ" w:eastAsia="en-NZ"/>
    </w:rPr>
  </w:style>
  <w:style w:type="paragraph" w:customStyle="1" w:styleId="Best2">
    <w:name w:val="Best2"/>
    <w:basedOn w:val="Normal"/>
    <w:link w:val="Best2Char"/>
    <w:qFormat/>
    <w:rsid w:val="00A96C67"/>
    <w:pPr>
      <w:numPr>
        <w:numId w:val="2"/>
      </w:numPr>
      <w:spacing w:after="120" w:line="300" w:lineRule="exact"/>
    </w:pPr>
    <w:rPr>
      <w:rFonts w:ascii="Times New Roman" w:hAnsi="Times New Roman"/>
      <w:lang w:eastAsia="en-NZ"/>
    </w:rPr>
  </w:style>
  <w:style w:type="table" w:styleId="TableGrid">
    <w:name w:val="Table Grid"/>
    <w:basedOn w:val="TableNormal"/>
    <w:uiPriority w:val="59"/>
    <w:rsid w:val="00A96C67"/>
    <w:rPr>
      <w:rFonts w:eastAsia="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D9A"/>
    <w:pPr>
      <w:spacing w:after="0"/>
    </w:pPr>
    <w:rPr>
      <w:rFonts w:ascii="Tahoma" w:hAnsi="Tahoma" w:cs="Tahoma"/>
      <w:sz w:val="16"/>
      <w:szCs w:val="16"/>
    </w:rPr>
  </w:style>
  <w:style w:type="character" w:customStyle="1" w:styleId="BalloonTextChar">
    <w:name w:val="Balloon Text Char"/>
    <w:link w:val="BalloonText"/>
    <w:uiPriority w:val="99"/>
    <w:semiHidden/>
    <w:rsid w:val="00ED3D9A"/>
    <w:rPr>
      <w:rFonts w:ascii="Tahoma" w:hAnsi="Tahoma" w:cs="Tahoma"/>
      <w:sz w:val="16"/>
      <w:szCs w:val="16"/>
    </w:rPr>
  </w:style>
  <w:style w:type="paragraph" w:styleId="Caption">
    <w:name w:val="caption"/>
    <w:basedOn w:val="Normal"/>
    <w:next w:val="Normal"/>
    <w:link w:val="CaptionChar"/>
    <w:uiPriority w:val="35"/>
    <w:qFormat/>
    <w:rsid w:val="009353D2"/>
    <w:pPr>
      <w:spacing w:after="0"/>
      <w:ind w:left="720" w:hanging="720"/>
      <w:jc w:val="center"/>
    </w:pPr>
    <w:rPr>
      <w:rFonts w:ascii="Times New Roman" w:eastAsia="Times New Roman" w:hAnsi="Times New Roman"/>
      <w:b/>
      <w:szCs w:val="20"/>
      <w:lang w:val="en-US"/>
    </w:rPr>
  </w:style>
  <w:style w:type="character" w:customStyle="1" w:styleId="CaptionChar">
    <w:name w:val="Caption Char"/>
    <w:link w:val="Caption"/>
    <w:uiPriority w:val="35"/>
    <w:locked/>
    <w:rsid w:val="009353D2"/>
    <w:rPr>
      <w:rFonts w:ascii="Times New Roman" w:eastAsia="Times New Roman" w:hAnsi="Times New Roman" w:cs="Times New Roman"/>
      <w:b/>
      <w:szCs w:val="20"/>
      <w:lang w:val="en-US"/>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3C443D"/>
    <w:pPr>
      <w:spacing w:after="0"/>
      <w:ind w:left="720" w:hanging="720"/>
      <w:contextualSpacing/>
    </w:p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3C443D"/>
    <w:rPr>
      <w:rFonts w:ascii="Calibri" w:eastAsia="Calibri" w:hAnsi="Calibri" w:cs="Times New Roman"/>
    </w:rPr>
  </w:style>
  <w:style w:type="character" w:styleId="CommentReference">
    <w:name w:val="annotation reference"/>
    <w:uiPriority w:val="99"/>
    <w:unhideWhenUsed/>
    <w:rsid w:val="004F2646"/>
    <w:rPr>
      <w:sz w:val="16"/>
      <w:szCs w:val="16"/>
    </w:rPr>
  </w:style>
  <w:style w:type="paragraph" w:styleId="CommentText">
    <w:name w:val="annotation text"/>
    <w:basedOn w:val="Normal"/>
    <w:link w:val="CommentTextChar"/>
    <w:uiPriority w:val="99"/>
    <w:unhideWhenUsed/>
    <w:rsid w:val="004F2646"/>
    <w:rPr>
      <w:sz w:val="20"/>
      <w:szCs w:val="20"/>
    </w:rPr>
  </w:style>
  <w:style w:type="character" w:customStyle="1" w:styleId="CommentTextChar">
    <w:name w:val="Comment Text Char"/>
    <w:link w:val="CommentText"/>
    <w:uiPriority w:val="99"/>
    <w:rsid w:val="004F2646"/>
    <w:rPr>
      <w:sz w:val="20"/>
      <w:szCs w:val="20"/>
    </w:rPr>
  </w:style>
  <w:style w:type="paragraph" w:styleId="CommentSubject">
    <w:name w:val="annotation subject"/>
    <w:basedOn w:val="CommentText"/>
    <w:next w:val="CommentText"/>
    <w:link w:val="CommentSubjectChar"/>
    <w:uiPriority w:val="99"/>
    <w:semiHidden/>
    <w:unhideWhenUsed/>
    <w:rsid w:val="004F2646"/>
    <w:rPr>
      <w:b/>
      <w:bCs/>
    </w:rPr>
  </w:style>
  <w:style w:type="character" w:customStyle="1" w:styleId="CommentSubjectChar">
    <w:name w:val="Comment Subject Char"/>
    <w:link w:val="CommentSubject"/>
    <w:uiPriority w:val="99"/>
    <w:semiHidden/>
    <w:rsid w:val="004F2646"/>
    <w:rPr>
      <w:b/>
      <w:bCs/>
      <w:sz w:val="20"/>
      <w:szCs w:val="20"/>
    </w:rPr>
  </w:style>
  <w:style w:type="paragraph" w:customStyle="1" w:styleId="WP">
    <w:name w:val="WP"/>
    <w:basedOn w:val="Normal"/>
    <w:rsid w:val="00885EFB"/>
    <w:pPr>
      <w:keepLines/>
      <w:tabs>
        <w:tab w:val="left" w:pos="1021"/>
        <w:tab w:val="left" w:pos="1560"/>
        <w:tab w:val="left" w:pos="1588"/>
        <w:tab w:val="left" w:pos="1985"/>
      </w:tabs>
      <w:spacing w:before="240" w:after="0"/>
      <w:ind w:left="1588" w:hanging="1588"/>
    </w:pPr>
    <w:rPr>
      <w:rFonts w:ascii="Times New Roman" w:eastAsia="Times New Roman" w:hAnsi="Times New Roman"/>
      <w:sz w:val="20"/>
      <w:szCs w:val="20"/>
      <w:lang w:val="en-GB"/>
    </w:rPr>
  </w:style>
  <w:style w:type="paragraph" w:styleId="NormalWeb">
    <w:name w:val="Normal (Web)"/>
    <w:basedOn w:val="Normal"/>
    <w:unhideWhenUsed/>
    <w:rsid w:val="0020302A"/>
    <w:pPr>
      <w:spacing w:after="0"/>
    </w:pPr>
    <w:rPr>
      <w:rFonts w:eastAsia="MS Mincho" w:cs="Calibri"/>
      <w:lang w:val="en-AU" w:eastAsia="en-AU"/>
    </w:rPr>
  </w:style>
  <w:style w:type="paragraph" w:customStyle="1" w:styleId="WCPFCSUBHEADING0">
    <w:name w:val="WCPFC SUBHEADING"/>
    <w:basedOn w:val="Normal"/>
    <w:link w:val="WCPFCSUBHEADINGChar"/>
    <w:autoRedefine/>
    <w:qFormat/>
    <w:rsid w:val="00D24CDF"/>
    <w:pPr>
      <w:ind w:left="720" w:hanging="720"/>
    </w:pPr>
    <w:rPr>
      <w:rFonts w:ascii="Times New Roman" w:hAnsi="Times New Roman"/>
      <w:b/>
    </w:rPr>
  </w:style>
  <w:style w:type="character" w:customStyle="1" w:styleId="WCPFCSUBHEADINGChar">
    <w:name w:val="WCPFC SUBHEADING Char"/>
    <w:link w:val="WCPFCSUBHEADING0"/>
    <w:rsid w:val="00D24CDF"/>
    <w:rPr>
      <w:rFonts w:ascii="Times New Roman" w:hAnsi="Times New Roman"/>
      <w:b/>
      <w:sz w:val="22"/>
      <w:szCs w:val="22"/>
      <w:lang w:eastAsia="en-US"/>
    </w:rPr>
  </w:style>
  <w:style w:type="character" w:styleId="Hyperlink">
    <w:name w:val="Hyperlink"/>
    <w:uiPriority w:val="99"/>
    <w:unhideWhenUsed/>
    <w:rsid w:val="00A00EF8"/>
    <w:rPr>
      <w:color w:val="0000FF"/>
      <w:u w:val="single"/>
    </w:rPr>
  </w:style>
  <w:style w:type="paragraph" w:styleId="FootnoteText">
    <w:name w:val="footnote text"/>
    <w:basedOn w:val="Normal"/>
    <w:link w:val="FootnoteTextChar"/>
    <w:uiPriority w:val="99"/>
    <w:semiHidden/>
    <w:unhideWhenUsed/>
    <w:rsid w:val="00D40B2A"/>
    <w:pPr>
      <w:spacing w:after="0"/>
    </w:pPr>
    <w:rPr>
      <w:sz w:val="20"/>
      <w:szCs w:val="20"/>
    </w:rPr>
  </w:style>
  <w:style w:type="character" w:customStyle="1" w:styleId="FootnoteTextChar">
    <w:name w:val="Footnote Text Char"/>
    <w:link w:val="FootnoteText"/>
    <w:uiPriority w:val="99"/>
    <w:semiHidden/>
    <w:rsid w:val="00D40B2A"/>
    <w:rPr>
      <w:sz w:val="20"/>
      <w:szCs w:val="20"/>
    </w:rPr>
  </w:style>
  <w:style w:type="character" w:styleId="FootnoteReference">
    <w:name w:val="footnote reference"/>
    <w:uiPriority w:val="99"/>
    <w:unhideWhenUsed/>
    <w:rsid w:val="00D40B2A"/>
    <w:rPr>
      <w:vertAlign w:val="superscript"/>
    </w:rPr>
  </w:style>
  <w:style w:type="paragraph" w:customStyle="1" w:styleId="Default">
    <w:name w:val="Default"/>
    <w:basedOn w:val="Normal"/>
    <w:link w:val="DefaultChar"/>
    <w:rsid w:val="002C205C"/>
    <w:pPr>
      <w:autoSpaceDE w:val="0"/>
      <w:autoSpaceDN w:val="0"/>
      <w:spacing w:after="0"/>
    </w:pPr>
    <w:rPr>
      <w:rFonts w:cs="Calibri"/>
      <w:color w:val="000000"/>
      <w:sz w:val="24"/>
      <w:szCs w:val="24"/>
      <w:lang w:val="en-AU"/>
    </w:rPr>
  </w:style>
  <w:style w:type="character" w:customStyle="1" w:styleId="DefaultChar">
    <w:name w:val="Default Char"/>
    <w:basedOn w:val="DefaultParagraphFont"/>
    <w:link w:val="Default"/>
    <w:locked/>
    <w:rsid w:val="006D56C4"/>
    <w:rPr>
      <w:rFonts w:cs="Calibri"/>
      <w:color w:val="000000"/>
      <w:sz w:val="24"/>
      <w:szCs w:val="24"/>
      <w:lang w:val="en-AU"/>
    </w:rPr>
  </w:style>
  <w:style w:type="paragraph" w:customStyle="1" w:styleId="wcpfcsubheading">
    <w:name w:val="wcpfc subheading"/>
    <w:basedOn w:val="ListParagraph"/>
    <w:link w:val="wcpfcsubheadingChar0"/>
    <w:qFormat/>
    <w:rsid w:val="002C205C"/>
    <w:pPr>
      <w:numPr>
        <w:ilvl w:val="2"/>
        <w:numId w:val="6"/>
      </w:numPr>
      <w:adjustRightInd w:val="0"/>
      <w:snapToGrid w:val="0"/>
    </w:pPr>
    <w:rPr>
      <w:rFonts w:ascii="Times New Roman" w:eastAsia="바탕" w:hAnsi="Times New Roman"/>
      <w:b/>
      <w:bCs/>
      <w:sz w:val="24"/>
      <w:lang w:eastAsia="ko-KR"/>
    </w:rPr>
  </w:style>
  <w:style w:type="character" w:customStyle="1" w:styleId="wcpfcsubheadingChar0">
    <w:name w:val="wcpfc subheading Char"/>
    <w:link w:val="wcpfcsubheading"/>
    <w:rsid w:val="002C205C"/>
    <w:rPr>
      <w:rFonts w:ascii="Times New Roman" w:eastAsia="바탕" w:hAnsi="Times New Roman"/>
      <w:b/>
      <w:bCs/>
      <w:sz w:val="24"/>
      <w:szCs w:val="22"/>
      <w:lang w:val="en-NZ" w:eastAsia="ko-KR"/>
    </w:rPr>
  </w:style>
  <w:style w:type="paragraph" w:styleId="Header">
    <w:name w:val="header"/>
    <w:basedOn w:val="Normal"/>
    <w:link w:val="HeaderChar"/>
    <w:uiPriority w:val="99"/>
    <w:unhideWhenUsed/>
    <w:rsid w:val="009C5B18"/>
    <w:pPr>
      <w:tabs>
        <w:tab w:val="center" w:pos="4513"/>
        <w:tab w:val="right" w:pos="9026"/>
      </w:tabs>
    </w:pPr>
  </w:style>
  <w:style w:type="character" w:customStyle="1" w:styleId="HeaderChar">
    <w:name w:val="Header Char"/>
    <w:link w:val="Header"/>
    <w:uiPriority w:val="99"/>
    <w:rsid w:val="009C5B18"/>
    <w:rPr>
      <w:sz w:val="22"/>
      <w:szCs w:val="22"/>
      <w:lang w:eastAsia="en-US"/>
    </w:rPr>
  </w:style>
  <w:style w:type="paragraph" w:styleId="Footer">
    <w:name w:val="footer"/>
    <w:basedOn w:val="Normal"/>
    <w:link w:val="FooterChar"/>
    <w:uiPriority w:val="99"/>
    <w:unhideWhenUsed/>
    <w:rsid w:val="009C5B18"/>
    <w:pPr>
      <w:tabs>
        <w:tab w:val="center" w:pos="4513"/>
        <w:tab w:val="right" w:pos="9026"/>
      </w:tabs>
    </w:pPr>
  </w:style>
  <w:style w:type="character" w:customStyle="1" w:styleId="FooterChar">
    <w:name w:val="Footer Char"/>
    <w:link w:val="Footer"/>
    <w:uiPriority w:val="99"/>
    <w:rsid w:val="009C5B18"/>
    <w:rPr>
      <w:sz w:val="22"/>
      <w:szCs w:val="22"/>
      <w:lang w:eastAsia="en-US"/>
    </w:rPr>
  </w:style>
  <w:style w:type="paragraph" w:styleId="TOCHeading">
    <w:name w:val="TOC Heading"/>
    <w:basedOn w:val="Heading1"/>
    <w:next w:val="Normal"/>
    <w:uiPriority w:val="39"/>
    <w:unhideWhenUsed/>
    <w:qFormat/>
    <w:rsid w:val="003D4C86"/>
    <w:pPr>
      <w:spacing w:before="240" w:line="259" w:lineRule="auto"/>
      <w:jc w:val="left"/>
      <w:outlineLvl w:val="9"/>
    </w:pPr>
    <w:rPr>
      <w:rFonts w:ascii="Calibri Light" w:hAnsi="Calibri Light"/>
      <w:b w:val="0"/>
      <w:bCs w:val="0"/>
      <w:color w:val="2F5496"/>
      <w:sz w:val="32"/>
      <w:szCs w:val="32"/>
      <w:lang w:val="en-US"/>
    </w:rPr>
  </w:style>
  <w:style w:type="paragraph" w:styleId="TOC1">
    <w:name w:val="toc 1"/>
    <w:basedOn w:val="Normal"/>
    <w:next w:val="Normal"/>
    <w:autoRedefine/>
    <w:uiPriority w:val="39"/>
    <w:unhideWhenUsed/>
    <w:qFormat/>
    <w:rsid w:val="0079553C"/>
    <w:pPr>
      <w:tabs>
        <w:tab w:val="right" w:leader="dot" w:pos="9016"/>
      </w:tabs>
      <w:spacing w:after="0"/>
      <w:jc w:val="left"/>
    </w:pPr>
  </w:style>
  <w:style w:type="paragraph" w:styleId="TOC2">
    <w:name w:val="toc 2"/>
    <w:basedOn w:val="Normal"/>
    <w:next w:val="Normal"/>
    <w:autoRedefine/>
    <w:uiPriority w:val="39"/>
    <w:unhideWhenUsed/>
    <w:qFormat/>
    <w:rsid w:val="003D4C86"/>
    <w:pPr>
      <w:ind w:left="220"/>
    </w:pPr>
  </w:style>
  <w:style w:type="paragraph" w:styleId="TOC3">
    <w:name w:val="toc 3"/>
    <w:basedOn w:val="Normal"/>
    <w:next w:val="Normal"/>
    <w:autoRedefine/>
    <w:uiPriority w:val="39"/>
    <w:unhideWhenUsed/>
    <w:qFormat/>
    <w:rsid w:val="003622B5"/>
    <w:pPr>
      <w:spacing w:after="100" w:line="259" w:lineRule="auto"/>
      <w:ind w:left="440"/>
      <w:jc w:val="left"/>
    </w:pPr>
    <w:rPr>
      <w:rFonts w:eastAsia="Times New Roman"/>
      <w:lang w:val="en-US"/>
    </w:rPr>
  </w:style>
  <w:style w:type="character" w:customStyle="1" w:styleId="Mention">
    <w:name w:val="Mention"/>
    <w:basedOn w:val="DefaultParagraphFont"/>
    <w:uiPriority w:val="99"/>
    <w:semiHidden/>
    <w:unhideWhenUsed/>
    <w:rsid w:val="008D3E6A"/>
    <w:rPr>
      <w:color w:val="2B579A"/>
      <w:shd w:val="clear" w:color="auto" w:fill="E6E6E6"/>
    </w:rPr>
  </w:style>
  <w:style w:type="character" w:customStyle="1" w:styleId="bumpedfont15">
    <w:name w:val="bumpedfont15"/>
    <w:basedOn w:val="DefaultParagraphFont"/>
    <w:rsid w:val="00732AD4"/>
  </w:style>
  <w:style w:type="character" w:customStyle="1" w:styleId="DocumentMapChar">
    <w:name w:val="Document Map Char"/>
    <w:basedOn w:val="DefaultParagraphFont"/>
    <w:link w:val="DocumentMap"/>
    <w:semiHidden/>
    <w:rsid w:val="006B2F2D"/>
    <w:rPr>
      <w:rFonts w:ascii="Tahoma" w:eastAsia="바탕" w:hAnsi="Tahoma"/>
      <w:shd w:val="clear" w:color="auto" w:fill="000080"/>
    </w:rPr>
  </w:style>
  <w:style w:type="paragraph" w:styleId="DocumentMap">
    <w:name w:val="Document Map"/>
    <w:basedOn w:val="Normal"/>
    <w:link w:val="DocumentMapChar"/>
    <w:semiHidden/>
    <w:rsid w:val="006B2F2D"/>
    <w:pPr>
      <w:shd w:val="clear" w:color="auto" w:fill="000080"/>
      <w:spacing w:after="0"/>
      <w:jc w:val="left"/>
    </w:pPr>
    <w:rPr>
      <w:rFonts w:ascii="Tahoma" w:eastAsia="바탕" w:hAnsi="Tahoma"/>
      <w:sz w:val="20"/>
      <w:szCs w:val="20"/>
      <w:lang w:val="en-US"/>
    </w:rPr>
  </w:style>
  <w:style w:type="character" w:styleId="Strong">
    <w:name w:val="Strong"/>
    <w:uiPriority w:val="22"/>
    <w:qFormat/>
    <w:rsid w:val="006B2F2D"/>
    <w:rPr>
      <w:b/>
      <w:bCs/>
    </w:rPr>
  </w:style>
  <w:style w:type="character" w:styleId="Emphasis">
    <w:name w:val="Emphasis"/>
    <w:qFormat/>
    <w:rsid w:val="006B2F2D"/>
    <w:rPr>
      <w:i/>
      <w:iCs/>
    </w:rPr>
  </w:style>
  <w:style w:type="character" w:customStyle="1" w:styleId="PlainTextChar">
    <w:name w:val="Plain Text Char"/>
    <w:basedOn w:val="DefaultParagraphFont"/>
    <w:link w:val="PlainText"/>
    <w:uiPriority w:val="99"/>
    <w:semiHidden/>
    <w:rsid w:val="006B2F2D"/>
    <w:rPr>
      <w:rFonts w:ascii="Consolas" w:eastAsia="SimSun" w:hAnsi="Consolas"/>
      <w:sz w:val="21"/>
      <w:szCs w:val="21"/>
      <w:lang w:eastAsia="zh-CN"/>
    </w:rPr>
  </w:style>
  <w:style w:type="paragraph" w:styleId="PlainText">
    <w:name w:val="Plain Text"/>
    <w:basedOn w:val="Normal"/>
    <w:link w:val="PlainTextChar"/>
    <w:uiPriority w:val="99"/>
    <w:semiHidden/>
    <w:unhideWhenUsed/>
    <w:rsid w:val="006B2F2D"/>
    <w:pPr>
      <w:spacing w:after="0"/>
      <w:jc w:val="left"/>
    </w:pPr>
    <w:rPr>
      <w:rFonts w:ascii="Consolas" w:eastAsia="SimSun" w:hAnsi="Consolas"/>
      <w:sz w:val="21"/>
      <w:szCs w:val="21"/>
      <w:lang w:val="en-US" w:eastAsia="zh-CN"/>
    </w:rPr>
  </w:style>
  <w:style w:type="paragraph" w:styleId="NoSpacing">
    <w:name w:val="No Spacing"/>
    <w:uiPriority w:val="1"/>
    <w:qFormat/>
    <w:rsid w:val="006D56C4"/>
    <w:rPr>
      <w:rFonts w:asciiTheme="minorHAnsi" w:eastAsiaTheme="minorHAnsi" w:hAnsiTheme="minorHAnsi" w:cstheme="minorBidi"/>
      <w:sz w:val="22"/>
      <w:szCs w:val="22"/>
    </w:rPr>
  </w:style>
  <w:style w:type="table" w:customStyle="1" w:styleId="TableNormal1">
    <w:name w:val="Table Normal1"/>
    <w:uiPriority w:val="2"/>
    <w:semiHidden/>
    <w:unhideWhenUsed/>
    <w:qFormat/>
    <w:rsid w:val="0021261B"/>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1261B"/>
    <w:pPr>
      <w:widowControl w:val="0"/>
      <w:autoSpaceDE w:val="0"/>
      <w:autoSpaceDN w:val="0"/>
      <w:spacing w:after="0"/>
      <w:jc w:val="left"/>
    </w:pPr>
    <w:rPr>
      <w:rFonts w:eastAsia="Calibri" w:cs="Calibri"/>
      <w:lang w:val="en-US"/>
    </w:rPr>
  </w:style>
  <w:style w:type="character" w:customStyle="1" w:styleId="BodyTextChar">
    <w:name w:val="Body Text Char"/>
    <w:basedOn w:val="DefaultParagraphFont"/>
    <w:link w:val="BodyText"/>
    <w:uiPriority w:val="1"/>
    <w:rsid w:val="0021261B"/>
    <w:rPr>
      <w:rFonts w:eastAsia="Calibri" w:cs="Calibri"/>
      <w:sz w:val="22"/>
      <w:szCs w:val="22"/>
    </w:rPr>
  </w:style>
  <w:style w:type="paragraph" w:customStyle="1" w:styleId="TableParagraph">
    <w:name w:val="Table Paragraph"/>
    <w:basedOn w:val="Normal"/>
    <w:uiPriority w:val="1"/>
    <w:qFormat/>
    <w:rsid w:val="0021261B"/>
    <w:pPr>
      <w:widowControl w:val="0"/>
      <w:autoSpaceDE w:val="0"/>
      <w:autoSpaceDN w:val="0"/>
      <w:spacing w:after="0"/>
      <w:ind w:left="103"/>
    </w:pPr>
    <w:rPr>
      <w:rFonts w:eastAsia="Calibri" w:cs="Calibri"/>
      <w:lang w:val="en-US"/>
    </w:rPr>
  </w:style>
  <w:style w:type="paragraph" w:customStyle="1" w:styleId="SCCHeading1">
    <w:name w:val="SCC Heading 1"/>
    <w:basedOn w:val="Normal"/>
    <w:qFormat/>
    <w:rsid w:val="00571D79"/>
    <w:pPr>
      <w:numPr>
        <w:numId w:val="121"/>
      </w:numPr>
      <w:spacing w:before="200" w:after="200"/>
      <w:ind w:right="677" w:hanging="720"/>
      <w:jc w:val="left"/>
    </w:pPr>
    <w:rPr>
      <w:rFonts w:asciiTheme="majorHAnsi" w:eastAsia="MS Mincho" w:hAnsiTheme="majorHAnsi"/>
      <w:b/>
      <w:sz w:val="28"/>
      <w:szCs w:val="28"/>
      <w:lang w:val="en-GB" w:eastAsia="ja-JP"/>
    </w:rPr>
  </w:style>
  <w:style w:type="paragraph" w:customStyle="1" w:styleId="SCCHeading2">
    <w:name w:val="SCC Heading 2"/>
    <w:basedOn w:val="Normal"/>
    <w:qFormat/>
    <w:rsid w:val="00571D79"/>
    <w:pPr>
      <w:numPr>
        <w:ilvl w:val="1"/>
        <w:numId w:val="121"/>
      </w:numPr>
      <w:spacing w:after="0"/>
      <w:ind w:left="720" w:right="675"/>
      <w:jc w:val="left"/>
    </w:pPr>
    <w:rPr>
      <w:rFonts w:ascii="Cambria" w:eastAsia="MS Mincho" w:hAnsi="Cambria"/>
      <w:b/>
      <w:sz w:val="24"/>
      <w:szCs w:val="24"/>
      <w:lang w:val="en-GB" w:eastAsia="ja-JP"/>
    </w:rPr>
  </w:style>
  <w:style w:type="paragraph" w:customStyle="1" w:styleId="SCCHeading3">
    <w:name w:val="SCC Heading 3"/>
    <w:basedOn w:val="SCCHeading2"/>
    <w:qFormat/>
    <w:rsid w:val="00571D79"/>
    <w:pPr>
      <w:numPr>
        <w:ilvl w:val="2"/>
      </w:numPr>
      <w:ind w:hanging="1080"/>
    </w:pPr>
    <w:rPr>
      <w:i/>
    </w:rPr>
  </w:style>
  <w:style w:type="paragraph" w:customStyle="1" w:styleId="StyleHeading1Left0">
    <w:name w:val="Style Heading 1 + Left:  0&quot;"/>
    <w:basedOn w:val="Heading1"/>
    <w:rsid w:val="009A53E1"/>
    <w:pPr>
      <w:keepLines w:val="0"/>
      <w:spacing w:before="240" w:after="60"/>
      <w:jc w:val="left"/>
    </w:pPr>
    <w:rPr>
      <w:rFonts w:ascii="Times New (W1)" w:hAnsi="Times New (W1)"/>
      <w:lang w:val="en-US"/>
    </w:rPr>
  </w:style>
  <w:style w:type="character" w:customStyle="1" w:styleId="fontstyle01">
    <w:name w:val="fontstyle01"/>
    <w:basedOn w:val="DefaultParagraphFont"/>
    <w:rsid w:val="009A53E1"/>
    <w:rPr>
      <w:rFonts w:ascii="Times New Roman" w:hAnsi="Times New Roman" w:cs="Times New Roman" w:hint="default"/>
      <w:b/>
      <w:bCs/>
      <w:i w:val="0"/>
      <w:iCs w:val="0"/>
      <w:color w:val="000000"/>
      <w:sz w:val="22"/>
      <w:szCs w:val="22"/>
    </w:rPr>
  </w:style>
  <w:style w:type="paragraph" w:styleId="TOC4">
    <w:name w:val="toc 4"/>
    <w:basedOn w:val="Normal"/>
    <w:next w:val="Normal"/>
    <w:autoRedefine/>
    <w:uiPriority w:val="39"/>
    <w:unhideWhenUsed/>
    <w:rsid w:val="0079553C"/>
    <w:pPr>
      <w:spacing w:after="100" w:line="276" w:lineRule="auto"/>
      <w:ind w:left="660"/>
      <w:jc w:val="left"/>
    </w:pPr>
    <w:rPr>
      <w:rFonts w:asciiTheme="minorHAnsi" w:eastAsia="바탕" w:hAnsiTheme="minorHAnsi" w:cstheme="minorBidi"/>
      <w:lang w:val="en-US" w:eastAsia="ko-KR"/>
    </w:rPr>
  </w:style>
  <w:style w:type="paragraph" w:styleId="TOC5">
    <w:name w:val="toc 5"/>
    <w:basedOn w:val="Normal"/>
    <w:next w:val="Normal"/>
    <w:autoRedefine/>
    <w:uiPriority w:val="39"/>
    <w:unhideWhenUsed/>
    <w:rsid w:val="0079553C"/>
    <w:pPr>
      <w:spacing w:after="100" w:line="276" w:lineRule="auto"/>
      <w:ind w:left="880"/>
      <w:jc w:val="left"/>
    </w:pPr>
    <w:rPr>
      <w:rFonts w:asciiTheme="minorHAnsi" w:eastAsia="바탕" w:hAnsiTheme="minorHAnsi" w:cstheme="minorBidi"/>
      <w:lang w:val="en-US" w:eastAsia="ko-KR"/>
    </w:rPr>
  </w:style>
  <w:style w:type="paragraph" w:styleId="TOC6">
    <w:name w:val="toc 6"/>
    <w:basedOn w:val="Normal"/>
    <w:next w:val="Normal"/>
    <w:autoRedefine/>
    <w:uiPriority w:val="39"/>
    <w:unhideWhenUsed/>
    <w:rsid w:val="0079553C"/>
    <w:pPr>
      <w:spacing w:after="100" w:line="276" w:lineRule="auto"/>
      <w:ind w:left="1100"/>
      <w:jc w:val="left"/>
    </w:pPr>
    <w:rPr>
      <w:rFonts w:asciiTheme="minorHAnsi" w:eastAsia="바탕" w:hAnsiTheme="minorHAnsi" w:cstheme="minorBidi"/>
      <w:lang w:val="en-US" w:eastAsia="ko-KR"/>
    </w:rPr>
  </w:style>
  <w:style w:type="paragraph" w:styleId="TOC7">
    <w:name w:val="toc 7"/>
    <w:basedOn w:val="Normal"/>
    <w:next w:val="Normal"/>
    <w:autoRedefine/>
    <w:uiPriority w:val="39"/>
    <w:unhideWhenUsed/>
    <w:rsid w:val="0079553C"/>
    <w:pPr>
      <w:spacing w:after="100" w:line="276" w:lineRule="auto"/>
      <w:ind w:left="1320"/>
      <w:jc w:val="left"/>
    </w:pPr>
    <w:rPr>
      <w:rFonts w:asciiTheme="minorHAnsi" w:eastAsia="바탕" w:hAnsiTheme="minorHAnsi" w:cstheme="minorBidi"/>
      <w:lang w:val="en-US" w:eastAsia="ko-KR"/>
    </w:rPr>
  </w:style>
  <w:style w:type="paragraph" w:styleId="TOC8">
    <w:name w:val="toc 8"/>
    <w:basedOn w:val="Normal"/>
    <w:next w:val="Normal"/>
    <w:autoRedefine/>
    <w:uiPriority w:val="39"/>
    <w:unhideWhenUsed/>
    <w:rsid w:val="0079553C"/>
    <w:pPr>
      <w:spacing w:after="100" w:line="276" w:lineRule="auto"/>
      <w:ind w:left="1540"/>
      <w:jc w:val="left"/>
    </w:pPr>
    <w:rPr>
      <w:rFonts w:asciiTheme="minorHAnsi" w:eastAsia="바탕" w:hAnsiTheme="minorHAnsi" w:cstheme="minorBidi"/>
      <w:lang w:val="en-US" w:eastAsia="ko-KR"/>
    </w:rPr>
  </w:style>
  <w:style w:type="paragraph" w:styleId="TOC9">
    <w:name w:val="toc 9"/>
    <w:basedOn w:val="Normal"/>
    <w:next w:val="Normal"/>
    <w:autoRedefine/>
    <w:uiPriority w:val="39"/>
    <w:unhideWhenUsed/>
    <w:rsid w:val="0079553C"/>
    <w:pPr>
      <w:spacing w:after="100" w:line="276" w:lineRule="auto"/>
      <w:ind w:left="1760"/>
      <w:jc w:val="left"/>
    </w:pPr>
    <w:rPr>
      <w:rFonts w:asciiTheme="minorHAnsi" w:eastAsia="바탕" w:hAnsiTheme="minorHAnsi" w:cstheme="minorBidi"/>
      <w:lang w:val="en-US" w:eastAsia="ko-KR"/>
    </w:rPr>
  </w:style>
  <w:style w:type="character" w:styleId="FollowedHyperlink">
    <w:name w:val="FollowedHyperlink"/>
    <w:basedOn w:val="DefaultParagraphFont"/>
    <w:semiHidden/>
    <w:unhideWhenUsed/>
    <w:rsid w:val="00795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1.jpg"/><Relationship Id="rId47" Type="http://schemas.openxmlformats.org/officeDocument/2006/relationships/image" Target="media/image32.jpg"/><Relationship Id="rId63" Type="http://schemas.openxmlformats.org/officeDocument/2006/relationships/image" Target="media/image48.png"/><Relationship Id="rId68" Type="http://schemas.openxmlformats.org/officeDocument/2006/relationships/hyperlink" Target="http://www.spc.int/ofp/PacificSpecimenBank" TargetMode="External"/><Relationship Id="rId84" Type="http://schemas.openxmlformats.org/officeDocument/2006/relationships/hyperlink" Target="http://www.wcpfc.int/node/26922%20" TargetMode="External"/><Relationship Id="rId89" Type="http://schemas.openxmlformats.org/officeDocument/2006/relationships/hyperlink" Target="http://www.wcpfc.int/node/19472" TargetMode="Externa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67.jp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07" Type="http://schemas.microsoft.com/office/2011/relationships/people" Target="people.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www.wcpfc.int/node/26922%20" TargetMode="External"/><Relationship Id="rId40" Type="http://schemas.openxmlformats.org/officeDocument/2006/relationships/image" Target="media/image29.jpg"/><Relationship Id="rId45" Type="http://schemas.openxmlformats.org/officeDocument/2006/relationships/hyperlink" Target="http://www.wcpfc.int/node/19472" TargetMode="External"/><Relationship Id="rId53" Type="http://schemas.openxmlformats.org/officeDocument/2006/relationships/image" Target="media/image38.jpg"/><Relationship Id="rId58" Type="http://schemas.openxmlformats.org/officeDocument/2006/relationships/image" Target="media/image43.png"/><Relationship Id="rId66" Type="http://schemas.openxmlformats.org/officeDocument/2006/relationships/image" Target="media/image51.emf"/><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hyperlink" Target="https://www.wcpfc.int/node/27769"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hyperlink" Target="https://www.wcpfc.int/node/27769" TargetMode="External"/><Relationship Id="rId90" Type="http://schemas.openxmlformats.org/officeDocument/2006/relationships/image" Target="media/image65.png"/><Relationship Id="rId95" Type="http://schemas.openxmlformats.org/officeDocument/2006/relationships/image" Target="media/image68.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wcpfc.int/node/27769" TargetMode="External"/><Relationship Id="rId48" Type="http://schemas.openxmlformats.org/officeDocument/2006/relationships/image" Target="media/image33.png"/><Relationship Id="rId56" Type="http://schemas.openxmlformats.org/officeDocument/2006/relationships/image" Target="media/image41.emf"/><Relationship Id="rId64" Type="http://schemas.openxmlformats.org/officeDocument/2006/relationships/image" Target="media/image49.png"/><Relationship Id="rId69" Type="http://schemas.openxmlformats.org/officeDocument/2006/relationships/footer" Target="footer1.xml"/><Relationship Id="rId77" Type="http://schemas.openxmlformats.org/officeDocument/2006/relationships/image" Target="media/image60.png"/><Relationship Id="rId100"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36.jp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hyperlink" Target="https://www.wcpfc.int/node/26922" TargetMode="External"/><Relationship Id="rId93" Type="http://schemas.openxmlformats.org/officeDocument/2006/relationships/hyperlink" Target="http://www.spc.int/ofp/PacificSpecimenBank" TargetMode="External"/><Relationship Id="rId98" Type="http://schemas.openxmlformats.org/officeDocument/2006/relationships/image" Target="cid:image001.png@01D315BA.2055554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hyperlink" Target="http://www.wcpfc.int/node/19472" TargetMode="External"/><Relationship Id="rId59" Type="http://schemas.openxmlformats.org/officeDocument/2006/relationships/image" Target="media/image44.png"/><Relationship Id="rId67" Type="http://schemas.openxmlformats.org/officeDocument/2006/relationships/image" Target="media/image52.emf"/><Relationship Id="rId103"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0.jpg"/><Relationship Id="rId54" Type="http://schemas.openxmlformats.org/officeDocument/2006/relationships/image" Target="media/image39.emf"/><Relationship Id="rId62" Type="http://schemas.openxmlformats.org/officeDocument/2006/relationships/image" Target="media/image47.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hyperlink" Target="https://www.wcpfc.int/node/27769" TargetMode="External"/><Relationship Id="rId88" Type="http://schemas.openxmlformats.org/officeDocument/2006/relationships/hyperlink" Target="http://www.wcpfc.int/node/19472" TargetMode="External"/><Relationship Id="rId91" Type="http://schemas.openxmlformats.org/officeDocument/2006/relationships/image" Target="media/image66.png"/><Relationship Id="rId96" Type="http://schemas.openxmlformats.org/officeDocument/2006/relationships/image" Target="cid:image003.png@01D315CC.E6421B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wcpfc.int/node/27769" TargetMode="External"/><Relationship Id="rId49" Type="http://schemas.openxmlformats.org/officeDocument/2006/relationships/image" Target="media/image34.jpg"/><Relationship Id="rId57" Type="http://schemas.openxmlformats.org/officeDocument/2006/relationships/image" Target="media/image42.png"/><Relationship Id="rId106" Type="http://schemas.microsoft.com/office/2011/relationships/commentsExtended" Target="commentsExtended.xml"/><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hyperlink" Target="https://www.wcpfc.int/node/27769" TargetMode="External"/><Relationship Id="rId52" Type="http://schemas.openxmlformats.org/officeDocument/2006/relationships/image" Target="media/image37.jpg"/><Relationship Id="rId60" Type="http://schemas.openxmlformats.org/officeDocument/2006/relationships/image" Target="media/image45.png"/><Relationship Id="rId65" Type="http://schemas.openxmlformats.org/officeDocument/2006/relationships/image" Target="media/image50.emf"/><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hyperlink" Target="https://www.wcpfc.int/node/27769" TargetMode="External"/><Relationship Id="rId94" Type="http://schemas.openxmlformats.org/officeDocument/2006/relationships/footer" Target="footer2.xml"/><Relationship Id="rId99" Type="http://schemas.openxmlformats.org/officeDocument/2006/relationships/header" Target="head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wcpfc.int/node/26922" TargetMode="External"/><Relationship Id="rId34" Type="http://schemas.openxmlformats.org/officeDocument/2006/relationships/image" Target="media/image26.png"/><Relationship Id="rId50" Type="http://schemas.openxmlformats.org/officeDocument/2006/relationships/image" Target="media/image35.jpg"/><Relationship Id="rId55" Type="http://schemas.openxmlformats.org/officeDocument/2006/relationships/image" Target="media/image40.emf"/><Relationship Id="rId76" Type="http://schemas.openxmlformats.org/officeDocument/2006/relationships/image" Target="media/image59.png"/><Relationship Id="rId97"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4AA57-1C0A-4461-9F4F-70EAC6B1C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281</Pages>
  <Words>105474</Words>
  <Characters>601205</Characters>
  <Application>Microsoft Office Word</Application>
  <DocSecurity>0</DocSecurity>
  <Lines>5010</Lines>
  <Paragraphs>1410</Paragraphs>
  <ScaleCrop>false</ScaleCrop>
  <HeadingPairs>
    <vt:vector size="4" baseType="variant">
      <vt:variant>
        <vt:lpstr>Title</vt:lpstr>
      </vt:variant>
      <vt:variant>
        <vt:i4>1</vt:i4>
      </vt:variant>
      <vt:variant>
        <vt:lpstr>Headings</vt:lpstr>
      </vt:variant>
      <vt:variant>
        <vt:i4>70</vt:i4>
      </vt:variant>
    </vt:vector>
  </HeadingPairs>
  <TitlesOfParts>
    <vt:vector size="71" baseType="lpstr">
      <vt:lpstr/>
      <vt:lpstr>AGENDA ITEM 1 – Opening of the Meeting</vt:lpstr>
      <vt:lpstr/>
      <vt:lpstr/>
      <vt:lpstr>AGENDA ITEM 2 – Review of Fisheries</vt:lpstr>
      <vt:lpstr>    </vt:lpstr>
      <vt:lpstr>    </vt:lpstr>
      <vt:lpstr>    2.1 	Overview of Western and Central Pacific Ocean (WCPO) fisheries</vt:lpstr>
      <vt:lpstr/>
      <vt:lpstr>AGENDA ITEM 3 – Data and Statistics</vt:lpstr>
      <vt:lpstr>    3.1 	Data gaps </vt:lpstr>
      <vt:lpstr>        3.1.1 	Data gaps of the Commission</vt:lpstr>
      <vt:lpstr>        3.1.2 	Species composition of purse seine catches (Project 60)</vt:lpstr>
      <vt:lpstr>        3.1.3 	Potential use of cannery receipt data for the work of the WCPFC</vt:lpstr>
      <vt:lpstr>        </vt:lpstr>
      <vt:lpstr>        3.1.4 	Estimates of purse seine fishery bycatch at a regional scale, 2003 – 2016</vt:lpstr>
      <vt:lpstr>    3.2 	FAD data management</vt:lpstr>
      <vt:lpstr>        3.2.1 	Additional FAD data fields to be provided by vessel operators </vt:lpstr>
      <vt:lpstr>        3.2.2 	FAD marking and monitoring  </vt:lpstr>
      <vt:lpstr>    3.3 	Regional Observer Programme</vt:lpstr>
      <vt:lpstr>    3.4 	Electronic Reporting outcomes from WCPFC13</vt:lpstr>
      <vt:lpstr>    3.5 	Economic Data</vt:lpstr>
      <vt:lpstr>AGENDA ITEM 4 – Stock Assessment</vt:lpstr>
      <vt:lpstr>    4.1 	WCPO Tunas</vt:lpstr>
      <vt:lpstr>        4.1.1 	WCPO bigeye tuna (Thunnus obesus)  </vt:lpstr>
      <vt:lpstr>        4.1.2 	WCPO yellowfin tuna (Thunnus albacares)</vt:lpstr>
      <vt:lpstr>        </vt:lpstr>
      <vt:lpstr>        4.1.3 	WCPO skipjack tuna (Katsuwonus pelamis)</vt:lpstr>
      <vt:lpstr>        4.1.4 	South Pacific albacore tuna (Thunnus alalunga)</vt:lpstr>
      <vt:lpstr>    4.2 	Northern stocks </vt:lpstr>
      <vt:lpstr>        4.2.1 	North Pacific albacore (Thunnus alalunga) </vt:lpstr>
      <vt:lpstr>        </vt:lpstr>
      <vt:lpstr>        4.2.2 	Pacific bluefin tuna (Thunnus orientalis) </vt:lpstr>
      <vt:lpstr>    WCPO Sharks</vt:lpstr>
      <vt:lpstr>        4.3.2 	Silky shark (Carcharhinus falciformis)</vt:lpstr>
      <vt:lpstr>        4.3.3 	South Pacific blue shark (Prionace glauca)</vt:lpstr>
      <vt:lpstr>        4.3.4 	North Pacific blue shark (Prionace glauca)  </vt:lpstr>
      <vt:lpstr>        4.3.5 	North Pacific shortfin mako (Isurus oxyrinchus)</vt:lpstr>
      <vt:lpstr>        4.3.6 	Pacific bigeye thresher shark (Alopias superciliosus)</vt:lpstr>
      <vt:lpstr>        4.3.7	 Porbeagle shark (Lamna nasus)  </vt:lpstr>
      <vt:lpstr>    4.4 	WCPO billfishes</vt:lpstr>
      <vt:lpstr>        4.4.1 	South Pacific swordfish (Xiphias gladius) </vt:lpstr>
      <vt:lpstr>        4.4.2 	Southwest Pacific striped marlin (Kajikia audax)</vt:lpstr>
      <vt:lpstr>        4.4.3 	North Pacific striped marlin (Kajikia audax)</vt:lpstr>
      <vt:lpstr>        4.4.4 	Pacific blue marlin (Makaira nigricans)</vt:lpstr>
      <vt:lpstr>AGENDA ITEM 5 - Management Issues Theme</vt:lpstr>
      <vt:lpstr>    5.1 	Development of harvest strategy framework</vt:lpstr>
      <vt:lpstr>        5.1.1 	Reference points (South Pacific albacore)</vt:lpstr>
      <vt:lpstr>        5.1.2 	Performance indicators and monitoring strategies</vt:lpstr>
      <vt:lpstr>        5.1.3 	Harvest control rules and management strategy evaluation</vt:lpstr>
      <vt:lpstr>        </vt:lpstr>
      <vt:lpstr>    5.2 Management issues related to FADs</vt:lpstr>
      <vt:lpstr>        </vt:lpstr>
      <vt:lpstr>    5.3 	Implementation of CMM 2016-01</vt:lpstr>
      <vt:lpstr>AGENDA ITEM 6 – Ecosystem and Bycatch Theme</vt:lpstr>
      <vt:lpstr>    6.1 	Ecosystem effects of fishing  </vt:lpstr>
      <vt:lpstr>        6.1.1 	SEAPODYM </vt:lpstr>
      <vt:lpstr>        6.1.2 	Ecosystem indicators</vt:lpstr>
      <vt:lpstr>        6.1.3 	FAD impacts </vt:lpstr>
      <vt:lpstr>    6.2 	Sharks</vt:lpstr>
      <vt:lpstr>        6.2.1 	Review of conservation and management measures for sharks</vt:lpstr>
      <vt:lpstr>        </vt:lpstr>
      <vt:lpstr>        6.2.2 	Development of a comprehensive shark and ray measure</vt:lpstr>
      <vt:lpstr>        </vt:lpstr>
      <vt:lpstr>        6.2.3 	Safe release guidelines</vt:lpstr>
      <vt:lpstr>        </vt:lpstr>
      <vt:lpstr>        6.2.4 	Shark research plan</vt:lpstr>
      <vt:lpstr>    6.3 	Seabirds </vt:lpstr>
      <vt:lpstr>    6.4 	Sea Turtles </vt:lpstr>
      <vt:lpstr>AGENDA ITEM 7 - Other Research Projects</vt:lpstr>
      <vt:lpstr>    7.1 	West Pacific East Asia Project </vt:lpstr>
    </vt:vector>
  </TitlesOfParts>
  <Company>Maritime New Zealand</Company>
  <LinksUpToDate>false</LinksUpToDate>
  <CharactersWithSpaces>705269</CharactersWithSpaces>
  <SharedDoc>false</SharedDoc>
  <HLinks>
    <vt:vector size="24" baseType="variant">
      <vt:variant>
        <vt:i4>7929909</vt:i4>
      </vt:variant>
      <vt:variant>
        <vt:i4>9</vt:i4>
      </vt:variant>
      <vt:variant>
        <vt:i4>0</vt:i4>
      </vt:variant>
      <vt:variant>
        <vt:i4>5</vt:i4>
      </vt:variant>
      <vt:variant>
        <vt:lpwstr>http://www.wcpfc.int/node/19472</vt:lpwstr>
      </vt:variant>
      <vt:variant>
        <vt:lpwstr/>
      </vt:variant>
      <vt:variant>
        <vt:i4>7929909</vt:i4>
      </vt:variant>
      <vt:variant>
        <vt:i4>6</vt:i4>
      </vt:variant>
      <vt:variant>
        <vt:i4>0</vt:i4>
      </vt:variant>
      <vt:variant>
        <vt:i4>5</vt:i4>
      </vt:variant>
      <vt:variant>
        <vt:lpwstr>http://www.wcpfc.int/node/19472</vt:lpwstr>
      </vt:variant>
      <vt:variant>
        <vt:lpwstr/>
      </vt:variant>
      <vt:variant>
        <vt:i4>7536699</vt:i4>
      </vt:variant>
      <vt:variant>
        <vt:i4>3</vt:i4>
      </vt:variant>
      <vt:variant>
        <vt:i4>0</vt:i4>
      </vt:variant>
      <vt:variant>
        <vt:i4>5</vt:i4>
      </vt:variant>
      <vt:variant>
        <vt:lpwstr>http://www.wcpfc.int/node/26922</vt:lpwstr>
      </vt:variant>
      <vt:variant>
        <vt:lpwstr/>
      </vt:variant>
      <vt:variant>
        <vt:i4>7536699</vt:i4>
      </vt:variant>
      <vt:variant>
        <vt:i4>0</vt:i4>
      </vt:variant>
      <vt:variant>
        <vt:i4>0</vt:i4>
      </vt:variant>
      <vt:variant>
        <vt:i4>5</vt:i4>
      </vt:variant>
      <vt:variant>
        <vt:lpwstr>http://www.wcpfc.int/node/26922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Idiens</dc:creator>
  <cp:lastModifiedBy>SungKwon Soh</cp:lastModifiedBy>
  <cp:revision>2</cp:revision>
  <cp:lastPrinted>2017-09-12T21:12:00Z</cp:lastPrinted>
  <dcterms:created xsi:type="dcterms:W3CDTF">2017-11-17T03:26:00Z</dcterms:created>
  <dcterms:modified xsi:type="dcterms:W3CDTF">2017-11-17T03:26:00Z</dcterms:modified>
</cp:coreProperties>
</file>