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81B" w:rsidRPr="00F502AA" w:rsidRDefault="004060F2" w:rsidP="0076781B">
      <w:pPr>
        <w:jc w:val="center"/>
        <w:rPr>
          <w:sz w:val="22"/>
          <w:szCs w:val="22"/>
          <w:lang w:val="en-NZ"/>
        </w:rPr>
      </w:pPr>
      <w:r w:rsidRPr="00F502AA">
        <w:rPr>
          <w:noProof/>
          <w:sz w:val="22"/>
          <w:szCs w:val="22"/>
          <w:lang w:eastAsia="ko-KR"/>
        </w:rPr>
        <w:drawing>
          <wp:inline distT="0" distB="0" distL="0" distR="0" wp14:anchorId="25BF0247" wp14:editId="2BC73563">
            <wp:extent cx="210502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105025" cy="1104900"/>
                    </a:xfrm>
                    <a:prstGeom prst="rect">
                      <a:avLst/>
                    </a:prstGeom>
                    <a:noFill/>
                    <a:ln w="9525">
                      <a:noFill/>
                      <a:miter lim="800000"/>
                      <a:headEnd/>
                      <a:tailEnd/>
                    </a:ln>
                  </pic:spPr>
                </pic:pic>
              </a:graphicData>
            </a:graphic>
          </wp:inline>
        </w:drawing>
      </w:r>
    </w:p>
    <w:p w:rsidR="007A702C" w:rsidRDefault="007A702C" w:rsidP="00EE2ACA">
      <w:pPr>
        <w:adjustRightInd w:val="0"/>
        <w:snapToGrid w:val="0"/>
        <w:jc w:val="center"/>
        <w:rPr>
          <w:rFonts w:eastAsiaTheme="minorEastAsia"/>
          <w:b/>
          <w:sz w:val="22"/>
          <w:szCs w:val="22"/>
          <w:lang w:val="en-NZ" w:eastAsia="ko-KR"/>
        </w:rPr>
      </w:pPr>
    </w:p>
    <w:p w:rsidR="00EE2ACA" w:rsidRPr="009817E2" w:rsidRDefault="00EE2ACA" w:rsidP="00EE2ACA">
      <w:pPr>
        <w:adjustRightInd w:val="0"/>
        <w:snapToGrid w:val="0"/>
        <w:jc w:val="center"/>
        <w:rPr>
          <w:b/>
          <w:sz w:val="22"/>
          <w:szCs w:val="22"/>
          <w:lang w:val="en-NZ" w:eastAsia="ja-JP"/>
        </w:rPr>
      </w:pPr>
      <w:r w:rsidRPr="009817E2">
        <w:rPr>
          <w:b/>
          <w:sz w:val="22"/>
          <w:szCs w:val="22"/>
          <w:lang w:val="en-NZ"/>
        </w:rPr>
        <w:t>NORTHERN COMMITTEE</w:t>
      </w:r>
    </w:p>
    <w:p w:rsidR="00EE2ACA" w:rsidRDefault="009410B0" w:rsidP="00EE2ACA">
      <w:pPr>
        <w:adjustRightInd w:val="0"/>
        <w:snapToGrid w:val="0"/>
        <w:jc w:val="center"/>
        <w:rPr>
          <w:rFonts w:eastAsiaTheme="minorEastAsia"/>
          <w:b/>
          <w:sz w:val="22"/>
          <w:szCs w:val="22"/>
          <w:lang w:val="en-NZ" w:eastAsia="ko-KR"/>
        </w:rPr>
      </w:pPr>
      <w:r>
        <w:rPr>
          <w:rFonts w:eastAsiaTheme="minorEastAsia" w:hint="eastAsia"/>
          <w:b/>
          <w:sz w:val="22"/>
          <w:szCs w:val="22"/>
          <w:lang w:val="en-NZ" w:eastAsia="ko-KR"/>
        </w:rPr>
        <w:t>THIRTEENTH</w:t>
      </w:r>
      <w:r w:rsidR="00EE2ACA" w:rsidRPr="009817E2">
        <w:rPr>
          <w:rFonts w:eastAsiaTheme="minorEastAsia"/>
          <w:b/>
          <w:sz w:val="22"/>
          <w:szCs w:val="22"/>
          <w:lang w:val="en-NZ" w:eastAsia="ko-KR"/>
        </w:rPr>
        <w:t xml:space="preserve"> </w:t>
      </w:r>
      <w:r w:rsidR="00EE2ACA" w:rsidRPr="009817E2">
        <w:rPr>
          <w:b/>
          <w:sz w:val="22"/>
          <w:szCs w:val="22"/>
          <w:lang w:val="en-NZ" w:eastAsia="ja-JP"/>
        </w:rPr>
        <w:t>REGULAR SESSION</w:t>
      </w:r>
    </w:p>
    <w:p w:rsidR="007A702C" w:rsidRPr="007A702C" w:rsidRDefault="007A702C" w:rsidP="00EE2ACA">
      <w:pPr>
        <w:adjustRightInd w:val="0"/>
        <w:snapToGrid w:val="0"/>
        <w:jc w:val="center"/>
        <w:rPr>
          <w:rFonts w:eastAsiaTheme="minorEastAsia"/>
          <w:b/>
          <w:sz w:val="22"/>
          <w:szCs w:val="22"/>
          <w:lang w:val="en-NZ" w:eastAsia="ko-KR"/>
        </w:rPr>
      </w:pPr>
    </w:p>
    <w:p w:rsidR="00EE2ACA" w:rsidRPr="009817E2" w:rsidRDefault="009410B0" w:rsidP="00EE2ACA">
      <w:pPr>
        <w:adjustRightInd w:val="0"/>
        <w:snapToGrid w:val="0"/>
        <w:jc w:val="center"/>
        <w:rPr>
          <w:sz w:val="22"/>
          <w:szCs w:val="22"/>
          <w:lang w:val="en-NZ"/>
        </w:rPr>
      </w:pPr>
      <w:r>
        <w:rPr>
          <w:rFonts w:eastAsiaTheme="minorEastAsia" w:hint="eastAsia"/>
          <w:sz w:val="22"/>
          <w:szCs w:val="22"/>
          <w:lang w:val="en-NZ" w:eastAsia="ko-KR"/>
        </w:rPr>
        <w:t>Busan, Republic of Korea</w:t>
      </w:r>
    </w:p>
    <w:p w:rsidR="003572DD" w:rsidRPr="00EE2ACA" w:rsidRDefault="009410B0" w:rsidP="00EE2ACA">
      <w:pPr>
        <w:adjustRightInd w:val="0"/>
        <w:snapToGrid w:val="0"/>
        <w:jc w:val="center"/>
        <w:rPr>
          <w:rFonts w:eastAsia="맑은 고딕"/>
          <w:b/>
          <w:sz w:val="22"/>
          <w:szCs w:val="22"/>
          <w:lang w:eastAsia="ko-KR"/>
        </w:rPr>
      </w:pPr>
      <w:r>
        <w:rPr>
          <w:rFonts w:eastAsiaTheme="minorEastAsia" w:hint="eastAsia"/>
          <w:sz w:val="22"/>
          <w:szCs w:val="22"/>
          <w:lang w:val="en-NZ" w:eastAsia="ko-KR"/>
        </w:rPr>
        <w:t>28</w:t>
      </w:r>
      <w:r w:rsidR="00EE2ACA" w:rsidRPr="009817E2">
        <w:rPr>
          <w:rFonts w:eastAsiaTheme="minorEastAsia"/>
          <w:sz w:val="22"/>
          <w:szCs w:val="22"/>
          <w:lang w:val="en-NZ" w:eastAsia="ko-KR"/>
        </w:rPr>
        <w:t xml:space="preserve"> August </w:t>
      </w:r>
      <w:r w:rsidR="00EE2ACA" w:rsidRPr="009817E2">
        <w:rPr>
          <w:sz w:val="22"/>
          <w:szCs w:val="22"/>
          <w:lang w:val="en-NZ" w:eastAsia="ja-JP"/>
        </w:rPr>
        <w:t>–</w:t>
      </w:r>
      <w:r w:rsidR="00EE2ACA" w:rsidRPr="009817E2">
        <w:rPr>
          <w:rFonts w:eastAsiaTheme="minorEastAsia"/>
          <w:sz w:val="22"/>
          <w:szCs w:val="22"/>
          <w:lang w:val="en-NZ" w:eastAsia="ko-KR"/>
        </w:rPr>
        <w:t xml:space="preserve"> </w:t>
      </w:r>
      <w:r>
        <w:rPr>
          <w:rFonts w:eastAsiaTheme="minorEastAsia" w:hint="eastAsia"/>
          <w:sz w:val="22"/>
          <w:szCs w:val="22"/>
          <w:lang w:val="en-NZ" w:eastAsia="ko-KR"/>
        </w:rPr>
        <w:t>1</w:t>
      </w:r>
      <w:r w:rsidR="00EE2ACA" w:rsidRPr="009817E2">
        <w:rPr>
          <w:sz w:val="22"/>
          <w:szCs w:val="22"/>
          <w:lang w:val="en-NZ"/>
        </w:rPr>
        <w:t xml:space="preserve"> September </w:t>
      </w:r>
      <w:r w:rsidR="00EE2ACA" w:rsidRPr="009817E2">
        <w:rPr>
          <w:sz w:val="22"/>
          <w:szCs w:val="22"/>
          <w:lang w:val="en-NZ" w:eastAsia="ja-JP"/>
        </w:rPr>
        <w:t>201</w:t>
      </w:r>
      <w:r>
        <w:rPr>
          <w:rFonts w:eastAsiaTheme="minorEastAsia" w:hint="eastAsia"/>
          <w:sz w:val="22"/>
          <w:szCs w:val="22"/>
          <w:lang w:val="en-NZ" w:eastAsia="ko-KR"/>
        </w:rPr>
        <w:t>7</w:t>
      </w:r>
    </w:p>
    <w:p w:rsidR="00FF3313" w:rsidRDefault="00FF3313" w:rsidP="00FF3313">
      <w:pPr>
        <w:pStyle w:val="Default"/>
      </w:pPr>
    </w:p>
    <w:p w:rsidR="00C34CC4" w:rsidRPr="007A702C" w:rsidRDefault="007A702C" w:rsidP="00FF3313">
      <w:pPr>
        <w:pStyle w:val="BodyText3"/>
        <w:pBdr>
          <w:top w:val="single" w:sz="12" w:space="1" w:color="auto"/>
          <w:bottom w:val="single" w:sz="12" w:space="1" w:color="auto"/>
        </w:pBdr>
        <w:spacing w:after="0"/>
        <w:jc w:val="center"/>
        <w:rPr>
          <w:rFonts w:ascii="Times New Roman Bold" w:hAnsi="Times New Roman Bold" w:hint="eastAsia"/>
          <w:b/>
          <w:caps/>
          <w:sz w:val="22"/>
          <w:szCs w:val="22"/>
        </w:rPr>
      </w:pPr>
      <w:r w:rsidRPr="007A702C">
        <w:rPr>
          <w:rFonts w:ascii="Times New Roman Bold" w:hAnsi="Times New Roman Bold" w:hint="eastAsia"/>
          <w:b/>
          <w:bCs/>
          <w:caps/>
          <w:sz w:val="22"/>
          <w:szCs w:val="22"/>
          <w:lang w:val="en-US" w:eastAsia="ko-KR"/>
        </w:rPr>
        <w:t>Interim Harvest Strategy for North Pacific Albacore Fishery</w:t>
      </w:r>
    </w:p>
    <w:p w:rsidR="0076781B" w:rsidRPr="00F502AA" w:rsidRDefault="00084879" w:rsidP="0076781B">
      <w:pPr>
        <w:spacing w:before="60"/>
        <w:jc w:val="right"/>
        <w:rPr>
          <w:rFonts w:eastAsiaTheme="minorEastAsia"/>
          <w:b/>
          <w:bCs/>
          <w:sz w:val="22"/>
          <w:szCs w:val="22"/>
          <w:lang w:eastAsia="ko-KR"/>
        </w:rPr>
      </w:pPr>
      <w:r w:rsidRPr="00F502AA">
        <w:rPr>
          <w:b/>
          <w:bCs/>
          <w:sz w:val="22"/>
          <w:szCs w:val="22"/>
        </w:rPr>
        <w:t>WCPFC-</w:t>
      </w:r>
      <w:r w:rsidR="00D266FB" w:rsidRPr="00F502AA">
        <w:rPr>
          <w:b/>
          <w:bCs/>
          <w:sz w:val="22"/>
          <w:szCs w:val="22"/>
        </w:rPr>
        <w:t>NC</w:t>
      </w:r>
      <w:r w:rsidR="00F502AA" w:rsidRPr="00F502AA">
        <w:rPr>
          <w:rFonts w:eastAsiaTheme="minorEastAsia" w:hint="eastAsia"/>
          <w:b/>
          <w:bCs/>
          <w:sz w:val="22"/>
          <w:szCs w:val="22"/>
          <w:lang w:eastAsia="ko-KR"/>
        </w:rPr>
        <w:t>1</w:t>
      </w:r>
      <w:r w:rsidR="009410B0">
        <w:rPr>
          <w:rFonts w:eastAsiaTheme="minorEastAsia" w:hint="eastAsia"/>
          <w:b/>
          <w:bCs/>
          <w:sz w:val="22"/>
          <w:szCs w:val="22"/>
          <w:lang w:eastAsia="ko-KR"/>
        </w:rPr>
        <w:t>3</w:t>
      </w:r>
      <w:r w:rsidR="00D266FB" w:rsidRPr="00F502AA">
        <w:rPr>
          <w:b/>
          <w:bCs/>
          <w:sz w:val="22"/>
          <w:szCs w:val="22"/>
        </w:rPr>
        <w:t>-201</w:t>
      </w:r>
      <w:r w:rsidR="009410B0">
        <w:rPr>
          <w:rFonts w:eastAsia="바탕" w:hint="eastAsia"/>
          <w:b/>
          <w:bCs/>
          <w:sz w:val="22"/>
          <w:szCs w:val="22"/>
          <w:lang w:eastAsia="ko-KR"/>
        </w:rPr>
        <w:t>7</w:t>
      </w:r>
      <w:r w:rsidR="00E655E3" w:rsidRPr="00F502AA">
        <w:rPr>
          <w:b/>
          <w:bCs/>
          <w:sz w:val="22"/>
          <w:szCs w:val="22"/>
        </w:rPr>
        <w:t>/</w:t>
      </w:r>
      <w:r w:rsidR="00EE2ACA">
        <w:rPr>
          <w:rFonts w:eastAsiaTheme="minorEastAsia" w:hint="eastAsia"/>
          <w:b/>
          <w:bCs/>
          <w:sz w:val="22"/>
          <w:szCs w:val="22"/>
          <w:lang w:eastAsia="ko-KR"/>
        </w:rPr>
        <w:t>DP-</w:t>
      </w:r>
      <w:r w:rsidR="007A702C">
        <w:rPr>
          <w:rFonts w:eastAsiaTheme="minorEastAsia" w:hint="eastAsia"/>
          <w:b/>
          <w:bCs/>
          <w:sz w:val="22"/>
          <w:szCs w:val="22"/>
          <w:lang w:eastAsia="ko-KR"/>
        </w:rPr>
        <w:t>13</w:t>
      </w:r>
      <w:r w:rsidR="00905181">
        <w:rPr>
          <w:rFonts w:eastAsiaTheme="minorEastAsia" w:hint="eastAsia"/>
          <w:b/>
          <w:bCs/>
          <w:sz w:val="22"/>
          <w:szCs w:val="22"/>
          <w:lang w:eastAsia="ko-KR"/>
        </w:rPr>
        <w:t xml:space="preserve"> (Rev.01</w:t>
      </w:r>
      <w:bookmarkStart w:id="0" w:name="_GoBack"/>
      <w:bookmarkEnd w:id="0"/>
      <w:r w:rsidR="0082664F">
        <w:rPr>
          <w:rFonts w:eastAsiaTheme="minorEastAsia" w:hint="eastAsia"/>
          <w:b/>
          <w:bCs/>
          <w:sz w:val="22"/>
          <w:szCs w:val="22"/>
          <w:lang w:eastAsia="ko-KR"/>
        </w:rPr>
        <w:t>)</w:t>
      </w:r>
    </w:p>
    <w:p w:rsidR="0076781B" w:rsidRPr="00F502AA" w:rsidRDefault="0076781B" w:rsidP="0076781B">
      <w:pPr>
        <w:spacing w:line="240" w:lineRule="exact"/>
        <w:jc w:val="center"/>
        <w:rPr>
          <w:bCs/>
          <w:sz w:val="22"/>
          <w:szCs w:val="22"/>
          <w:lang w:eastAsia="ko-KR"/>
        </w:rPr>
      </w:pPr>
    </w:p>
    <w:p w:rsidR="0076781B" w:rsidRPr="00F502AA" w:rsidRDefault="0076781B" w:rsidP="0076781B">
      <w:pPr>
        <w:spacing w:line="240" w:lineRule="exact"/>
        <w:jc w:val="center"/>
        <w:rPr>
          <w:bCs/>
          <w:sz w:val="22"/>
          <w:szCs w:val="22"/>
          <w:lang w:eastAsia="ko-KR"/>
        </w:rPr>
      </w:pPr>
    </w:p>
    <w:p w:rsidR="0076781B" w:rsidRPr="00F502AA" w:rsidRDefault="0076781B" w:rsidP="0076781B">
      <w:pPr>
        <w:spacing w:line="240" w:lineRule="exact"/>
        <w:jc w:val="center"/>
        <w:rPr>
          <w:bCs/>
          <w:sz w:val="22"/>
          <w:szCs w:val="22"/>
          <w:lang w:eastAsia="ko-KR"/>
        </w:rPr>
      </w:pPr>
    </w:p>
    <w:p w:rsidR="0076781B" w:rsidRPr="00F502AA" w:rsidRDefault="0076781B" w:rsidP="0076781B">
      <w:pPr>
        <w:spacing w:line="240" w:lineRule="exact"/>
        <w:jc w:val="center"/>
        <w:rPr>
          <w:bCs/>
          <w:sz w:val="22"/>
          <w:szCs w:val="22"/>
          <w:lang w:eastAsia="ko-KR"/>
        </w:rPr>
      </w:pPr>
    </w:p>
    <w:p w:rsidR="0076781B" w:rsidRPr="00F502AA" w:rsidRDefault="0076781B" w:rsidP="0076781B">
      <w:pPr>
        <w:spacing w:line="240" w:lineRule="exact"/>
        <w:jc w:val="center"/>
        <w:rPr>
          <w:bCs/>
          <w:sz w:val="22"/>
          <w:szCs w:val="22"/>
          <w:lang w:eastAsia="ko-KR"/>
        </w:rPr>
      </w:pPr>
    </w:p>
    <w:p w:rsidR="0076781B" w:rsidRPr="00F502AA" w:rsidRDefault="0076781B" w:rsidP="0076781B">
      <w:pPr>
        <w:spacing w:line="240" w:lineRule="exact"/>
        <w:jc w:val="center"/>
        <w:rPr>
          <w:bCs/>
          <w:sz w:val="22"/>
          <w:szCs w:val="22"/>
          <w:lang w:eastAsia="ko-KR"/>
        </w:rPr>
      </w:pPr>
    </w:p>
    <w:p w:rsidR="0076781B" w:rsidRPr="00F502AA" w:rsidRDefault="0076781B" w:rsidP="0076781B">
      <w:pPr>
        <w:spacing w:line="240" w:lineRule="exact"/>
        <w:jc w:val="center"/>
        <w:rPr>
          <w:bCs/>
          <w:sz w:val="22"/>
          <w:szCs w:val="22"/>
          <w:lang w:eastAsia="ko-KR"/>
        </w:rPr>
      </w:pPr>
    </w:p>
    <w:p w:rsidR="0076781B" w:rsidRPr="00F502AA" w:rsidRDefault="0076781B" w:rsidP="0076781B">
      <w:pPr>
        <w:spacing w:line="240" w:lineRule="exact"/>
        <w:jc w:val="center"/>
        <w:rPr>
          <w:bCs/>
          <w:sz w:val="22"/>
          <w:szCs w:val="22"/>
          <w:lang w:eastAsia="ko-KR"/>
        </w:rPr>
      </w:pPr>
    </w:p>
    <w:p w:rsidR="0076781B" w:rsidRPr="00F502AA" w:rsidRDefault="0076781B" w:rsidP="0076781B">
      <w:pPr>
        <w:spacing w:line="240" w:lineRule="exact"/>
        <w:jc w:val="center"/>
        <w:rPr>
          <w:bCs/>
          <w:sz w:val="22"/>
          <w:szCs w:val="22"/>
          <w:lang w:eastAsia="ko-KR"/>
        </w:rPr>
      </w:pPr>
    </w:p>
    <w:p w:rsidR="0076781B" w:rsidRPr="00F502AA" w:rsidRDefault="0076781B" w:rsidP="0076781B">
      <w:pPr>
        <w:spacing w:line="240" w:lineRule="exact"/>
        <w:jc w:val="center"/>
        <w:rPr>
          <w:bCs/>
          <w:sz w:val="22"/>
          <w:szCs w:val="22"/>
          <w:lang w:eastAsia="ko-KR"/>
        </w:rPr>
      </w:pPr>
    </w:p>
    <w:p w:rsidR="0076781B" w:rsidRPr="00F502AA" w:rsidRDefault="0076781B" w:rsidP="0076781B">
      <w:pPr>
        <w:spacing w:line="240" w:lineRule="exact"/>
        <w:jc w:val="center"/>
        <w:rPr>
          <w:bCs/>
          <w:sz w:val="22"/>
          <w:szCs w:val="22"/>
          <w:lang w:eastAsia="ko-KR"/>
        </w:rPr>
      </w:pPr>
    </w:p>
    <w:p w:rsidR="0076781B" w:rsidRPr="00F502AA" w:rsidRDefault="0076781B" w:rsidP="0076781B">
      <w:pPr>
        <w:spacing w:line="240" w:lineRule="exact"/>
        <w:jc w:val="center"/>
        <w:rPr>
          <w:bCs/>
          <w:sz w:val="22"/>
          <w:szCs w:val="22"/>
          <w:lang w:eastAsia="ko-KR"/>
        </w:rPr>
      </w:pPr>
    </w:p>
    <w:p w:rsidR="0076781B" w:rsidRPr="00F502AA" w:rsidRDefault="0076781B" w:rsidP="0076781B">
      <w:pPr>
        <w:spacing w:line="240" w:lineRule="exact"/>
        <w:jc w:val="center"/>
        <w:rPr>
          <w:bCs/>
          <w:sz w:val="22"/>
          <w:szCs w:val="22"/>
          <w:lang w:eastAsia="ko-KR"/>
        </w:rPr>
      </w:pPr>
    </w:p>
    <w:p w:rsidR="00C124F9" w:rsidRPr="00C124F9" w:rsidRDefault="006A6F45" w:rsidP="009410B0">
      <w:pPr>
        <w:jc w:val="center"/>
        <w:rPr>
          <w:color w:val="000000"/>
        </w:rPr>
      </w:pPr>
      <w:r>
        <w:rPr>
          <w:rFonts w:eastAsia="바탕" w:hint="eastAsia"/>
          <w:b/>
          <w:bCs/>
          <w:sz w:val="22"/>
          <w:szCs w:val="22"/>
          <w:lang w:eastAsia="ko-KR" w:bidi="th-TH"/>
        </w:rPr>
        <w:t>UNITED STATES OF AMERICA</w:t>
      </w:r>
      <w:r w:rsidR="007A702C">
        <w:rPr>
          <w:rFonts w:eastAsia="바탕" w:hint="eastAsia"/>
          <w:b/>
          <w:bCs/>
          <w:sz w:val="22"/>
          <w:szCs w:val="22"/>
          <w:lang w:eastAsia="ko-KR" w:bidi="th-TH"/>
        </w:rPr>
        <w:t xml:space="preserve"> and CANADA</w:t>
      </w:r>
    </w:p>
    <w:p w:rsidR="0082664F" w:rsidRDefault="0082664F">
      <w:pPr>
        <w:rPr>
          <w:rFonts w:eastAsia="바탕"/>
          <w:b/>
          <w:bCs/>
          <w:lang w:eastAsia="ko-KR" w:bidi="th-TH"/>
        </w:rPr>
      </w:pPr>
      <w:r>
        <w:rPr>
          <w:rFonts w:eastAsia="바탕"/>
          <w:b/>
          <w:bCs/>
          <w:lang w:eastAsia="ko-KR" w:bidi="th-TH"/>
        </w:rPr>
        <w:br w:type="page"/>
      </w:r>
    </w:p>
    <w:p w:rsidR="0082664F" w:rsidRDefault="0082664F" w:rsidP="0082664F">
      <w:pPr>
        <w:autoSpaceDE w:val="0"/>
        <w:adjustRightInd w:val="0"/>
        <w:snapToGrid w:val="0"/>
        <w:jc w:val="center"/>
        <w:rPr>
          <w:rFonts w:eastAsiaTheme="minorEastAsia"/>
          <w:b/>
          <w:bCs/>
          <w:lang w:eastAsia="ko-KR"/>
        </w:rPr>
      </w:pPr>
      <w:r>
        <w:rPr>
          <w:rFonts w:eastAsiaTheme="minorEastAsia"/>
          <w:b/>
          <w:bCs/>
          <w:lang w:eastAsia="ko-KR"/>
        </w:rPr>
        <w:lastRenderedPageBreak/>
        <w:t>Proposal by the United States of America and Canada</w:t>
      </w:r>
    </w:p>
    <w:p w:rsidR="0082664F" w:rsidRDefault="0082664F" w:rsidP="0082664F">
      <w:pPr>
        <w:autoSpaceDE w:val="0"/>
        <w:adjustRightInd w:val="0"/>
        <w:snapToGrid w:val="0"/>
        <w:jc w:val="center"/>
        <w:rPr>
          <w:rFonts w:eastAsiaTheme="minorEastAsia"/>
          <w:b/>
          <w:bCs/>
          <w:lang w:eastAsia="ko-KR"/>
        </w:rPr>
      </w:pPr>
      <w:proofErr w:type="gramStart"/>
      <w:r>
        <w:rPr>
          <w:rFonts w:eastAsiaTheme="minorEastAsia"/>
          <w:b/>
          <w:bCs/>
          <w:lang w:eastAsia="ko-KR"/>
        </w:rPr>
        <w:t>to</w:t>
      </w:r>
      <w:proofErr w:type="gramEnd"/>
      <w:r>
        <w:rPr>
          <w:rFonts w:eastAsiaTheme="minorEastAsia"/>
          <w:b/>
          <w:bCs/>
          <w:lang w:eastAsia="ko-KR"/>
        </w:rPr>
        <w:t xml:space="preserve"> the </w:t>
      </w:r>
    </w:p>
    <w:p w:rsidR="0082664F" w:rsidRDefault="0082664F" w:rsidP="0082664F">
      <w:pPr>
        <w:autoSpaceDE w:val="0"/>
        <w:adjustRightInd w:val="0"/>
        <w:snapToGrid w:val="0"/>
        <w:jc w:val="center"/>
        <w:rPr>
          <w:rFonts w:eastAsiaTheme="minorEastAsia"/>
          <w:b/>
          <w:bCs/>
          <w:lang w:eastAsia="ko-KR"/>
        </w:rPr>
      </w:pPr>
      <w:r>
        <w:rPr>
          <w:rFonts w:eastAsiaTheme="minorEastAsia"/>
          <w:b/>
          <w:bCs/>
          <w:lang w:eastAsia="ko-KR"/>
        </w:rPr>
        <w:t xml:space="preserve">Thirteenth Regular Session of the Northern Committee </w:t>
      </w:r>
    </w:p>
    <w:p w:rsidR="0082664F" w:rsidRPr="007D2F5F" w:rsidRDefault="0082664F" w:rsidP="0082664F">
      <w:pPr>
        <w:autoSpaceDE w:val="0"/>
        <w:adjustRightInd w:val="0"/>
        <w:snapToGrid w:val="0"/>
        <w:jc w:val="center"/>
        <w:rPr>
          <w:rFonts w:eastAsiaTheme="minorEastAsia"/>
          <w:b/>
          <w:bCs/>
          <w:lang w:eastAsia="ko-KR"/>
        </w:rPr>
      </w:pPr>
    </w:p>
    <w:p w:rsidR="0082664F" w:rsidRPr="007D2F5F" w:rsidRDefault="0082664F" w:rsidP="0082664F">
      <w:pPr>
        <w:autoSpaceDE w:val="0"/>
        <w:adjustRightInd w:val="0"/>
        <w:snapToGrid w:val="0"/>
        <w:jc w:val="center"/>
        <w:rPr>
          <w:rFonts w:eastAsiaTheme="minorEastAsia"/>
          <w:b/>
          <w:bCs/>
          <w:lang w:eastAsia="ko-KR"/>
        </w:rPr>
      </w:pPr>
      <w:r w:rsidRPr="007D2F5F">
        <w:rPr>
          <w:rFonts w:eastAsiaTheme="minorEastAsia"/>
          <w:b/>
          <w:bCs/>
          <w:lang w:eastAsia="ko-KR"/>
        </w:rPr>
        <w:t xml:space="preserve"> Commission for the Conservation and Management of Highly Migratory Fish Stocks in the Western and Central Pacific Ocean</w:t>
      </w:r>
    </w:p>
    <w:p w:rsidR="0082664F" w:rsidRDefault="0082664F" w:rsidP="0082664F">
      <w:pPr>
        <w:autoSpaceDE w:val="0"/>
        <w:adjustRightInd w:val="0"/>
        <w:snapToGrid w:val="0"/>
        <w:jc w:val="center"/>
        <w:rPr>
          <w:rFonts w:eastAsiaTheme="minorEastAsia"/>
          <w:b/>
          <w:bCs/>
          <w:lang w:eastAsia="ko-KR"/>
        </w:rPr>
      </w:pPr>
    </w:p>
    <w:p w:rsidR="0082664F" w:rsidRDefault="0082664F" w:rsidP="0082664F">
      <w:pPr>
        <w:autoSpaceDE w:val="0"/>
        <w:adjustRightInd w:val="0"/>
        <w:snapToGrid w:val="0"/>
        <w:jc w:val="center"/>
        <w:rPr>
          <w:rFonts w:eastAsiaTheme="minorEastAsia"/>
          <w:b/>
          <w:bCs/>
          <w:lang w:eastAsia="ko-KR"/>
        </w:rPr>
      </w:pPr>
    </w:p>
    <w:p w:rsidR="0082664F" w:rsidRDefault="0082664F" w:rsidP="0082664F">
      <w:pPr>
        <w:autoSpaceDE w:val="0"/>
        <w:adjustRightInd w:val="0"/>
        <w:snapToGrid w:val="0"/>
        <w:rPr>
          <w:rFonts w:eastAsiaTheme="minorEastAsia"/>
          <w:bCs/>
          <w:lang w:eastAsia="ko-KR"/>
        </w:rPr>
      </w:pPr>
      <w:r>
        <w:rPr>
          <w:rFonts w:eastAsiaTheme="minorEastAsia"/>
          <w:bCs/>
          <w:lang w:eastAsia="ko-KR"/>
        </w:rPr>
        <w:t>The United States and Canada propose that the Northern Committee forward the following recommendations to the Commission at its 14</w:t>
      </w:r>
      <w:r w:rsidRPr="008B29CA">
        <w:rPr>
          <w:rFonts w:eastAsiaTheme="minorEastAsia"/>
          <w:bCs/>
          <w:vertAlign w:val="superscript"/>
          <w:lang w:eastAsia="ko-KR"/>
        </w:rPr>
        <w:t>th</w:t>
      </w:r>
      <w:r>
        <w:rPr>
          <w:rFonts w:eastAsiaTheme="minorEastAsia"/>
          <w:bCs/>
          <w:lang w:eastAsia="ko-KR"/>
        </w:rPr>
        <w:t xml:space="preserve"> Regular Session. </w:t>
      </w:r>
    </w:p>
    <w:p w:rsidR="0082664F" w:rsidRDefault="0082664F" w:rsidP="0082664F">
      <w:pPr>
        <w:autoSpaceDE w:val="0"/>
        <w:adjustRightInd w:val="0"/>
        <w:snapToGrid w:val="0"/>
        <w:rPr>
          <w:rFonts w:eastAsiaTheme="minorEastAsia"/>
          <w:bCs/>
          <w:lang w:eastAsia="ko-KR"/>
        </w:rPr>
      </w:pPr>
    </w:p>
    <w:p w:rsidR="0082664F" w:rsidRPr="00676F3E" w:rsidRDefault="0082664F" w:rsidP="0082664F">
      <w:pPr>
        <w:autoSpaceDE w:val="0"/>
        <w:adjustRightInd w:val="0"/>
        <w:snapToGrid w:val="0"/>
        <w:rPr>
          <w:rFonts w:eastAsiaTheme="minorEastAsia"/>
          <w:bCs/>
          <w:lang w:eastAsia="ko-KR"/>
        </w:rPr>
      </w:pPr>
      <w:r>
        <w:rPr>
          <w:rFonts w:eastAsiaTheme="minorEastAsia"/>
          <w:bCs/>
          <w:lang w:eastAsia="ko-KR"/>
        </w:rPr>
        <w:t xml:space="preserve">The Northern Committee recommends that the Commission adopt the attached revision to the title of previously adopted precautionary management framework for North Pacific albacore, so that it may be recognized as a harvest strategy. In addition, the Northern Committee recommends that the Commission direct the Secretariat to make this harvest strategy available, as a stand-alone harvest strategy document, on a web page dedicated to this and other harvest strategies, including interim harvest strategies, agreed to by the Commission. </w:t>
      </w:r>
    </w:p>
    <w:p w:rsidR="0082664F" w:rsidRPr="007D2F5F" w:rsidRDefault="0082664F" w:rsidP="0082664F">
      <w:pPr>
        <w:rPr>
          <w:rFonts w:eastAsiaTheme="minorEastAsia"/>
          <w:b/>
          <w:bCs/>
          <w:lang w:eastAsia="ko-KR"/>
        </w:rPr>
      </w:pPr>
      <w:r>
        <w:rPr>
          <w:rFonts w:eastAsiaTheme="minorEastAsia"/>
          <w:b/>
          <w:bCs/>
          <w:lang w:eastAsia="ko-KR"/>
        </w:rPr>
        <w:br w:type="page"/>
      </w:r>
    </w:p>
    <w:p w:rsidR="0082664F" w:rsidRPr="007D2F5F" w:rsidRDefault="0082664F" w:rsidP="0082664F">
      <w:pPr>
        <w:autoSpaceDE w:val="0"/>
        <w:adjustRightInd w:val="0"/>
        <w:snapToGrid w:val="0"/>
        <w:jc w:val="center"/>
        <w:rPr>
          <w:rFonts w:eastAsiaTheme="minorEastAsia"/>
          <w:b/>
          <w:bCs/>
          <w:lang w:eastAsia="ko-KR"/>
        </w:rPr>
      </w:pPr>
    </w:p>
    <w:tbl>
      <w:tblPr>
        <w:tblW w:w="0" w:type="auto"/>
        <w:tblBorders>
          <w:top w:val="single" w:sz="12" w:space="0" w:color="auto"/>
          <w:bottom w:val="single" w:sz="12" w:space="0" w:color="auto"/>
        </w:tblBorders>
        <w:tblLook w:val="00A0" w:firstRow="1" w:lastRow="0" w:firstColumn="1" w:lastColumn="0" w:noHBand="0" w:noVBand="0"/>
      </w:tblPr>
      <w:tblGrid>
        <w:gridCol w:w="9576"/>
      </w:tblGrid>
      <w:tr w:rsidR="0082664F" w:rsidRPr="007D2F5F" w:rsidTr="008F472F">
        <w:tc>
          <w:tcPr>
            <w:tcW w:w="9576" w:type="dxa"/>
            <w:tcBorders>
              <w:top w:val="single" w:sz="12" w:space="0" w:color="auto"/>
              <w:bottom w:val="single" w:sz="12" w:space="0" w:color="auto"/>
            </w:tcBorders>
          </w:tcPr>
          <w:p w:rsidR="0082664F" w:rsidRPr="007D2F5F" w:rsidRDefault="0082664F" w:rsidP="008F472F">
            <w:pPr>
              <w:autoSpaceDE w:val="0"/>
              <w:adjustRightInd w:val="0"/>
              <w:snapToGrid w:val="0"/>
              <w:jc w:val="center"/>
              <w:rPr>
                <w:rFonts w:eastAsiaTheme="minorEastAsia"/>
                <w:b/>
                <w:bCs/>
                <w:lang w:eastAsia="ko-KR"/>
              </w:rPr>
            </w:pPr>
            <w:r>
              <w:rPr>
                <w:rFonts w:eastAsiaTheme="minorEastAsia"/>
                <w:b/>
                <w:bCs/>
                <w:lang w:eastAsia="ko-KR"/>
              </w:rPr>
              <w:t xml:space="preserve">INTERIM HARVEST STRATEGY </w:t>
            </w:r>
            <w:r w:rsidRPr="007D2F5F">
              <w:rPr>
                <w:rFonts w:eastAsiaTheme="minorEastAsia"/>
                <w:b/>
                <w:bCs/>
                <w:lang w:eastAsia="ko-KR"/>
              </w:rPr>
              <w:t xml:space="preserve">FOR </w:t>
            </w:r>
          </w:p>
          <w:p w:rsidR="0082664F" w:rsidRPr="007D2F5F" w:rsidRDefault="0082664F" w:rsidP="008F472F">
            <w:pPr>
              <w:autoSpaceDE w:val="0"/>
              <w:adjustRightInd w:val="0"/>
              <w:snapToGrid w:val="0"/>
              <w:jc w:val="center"/>
              <w:rPr>
                <w:rFonts w:eastAsiaTheme="minorEastAsia"/>
                <w:b/>
                <w:bCs/>
                <w:lang w:eastAsia="ko-KR"/>
              </w:rPr>
            </w:pPr>
            <w:r w:rsidRPr="007D2F5F">
              <w:rPr>
                <w:rFonts w:eastAsiaTheme="minorEastAsia"/>
                <w:b/>
                <w:bCs/>
                <w:lang w:eastAsia="ko-KR"/>
              </w:rPr>
              <w:t>NORTH PACIFIC ALBACORE</w:t>
            </w:r>
            <w:r>
              <w:rPr>
                <w:rFonts w:eastAsiaTheme="minorEastAsia"/>
                <w:b/>
                <w:bCs/>
                <w:lang w:eastAsia="ko-KR"/>
              </w:rPr>
              <w:t xml:space="preserve"> FISHERY</w:t>
            </w:r>
          </w:p>
        </w:tc>
      </w:tr>
    </w:tbl>
    <w:p w:rsidR="0082664F" w:rsidRPr="007D2F5F" w:rsidRDefault="0082664F" w:rsidP="0082664F">
      <w:pPr>
        <w:autoSpaceDE w:val="0"/>
        <w:adjustRightInd w:val="0"/>
        <w:snapToGrid w:val="0"/>
        <w:jc w:val="center"/>
        <w:rPr>
          <w:rFonts w:eastAsiaTheme="minorEastAsia"/>
          <w:b/>
          <w:bCs/>
          <w:lang w:eastAsia="ko-KR"/>
        </w:rPr>
      </w:pPr>
    </w:p>
    <w:p w:rsidR="0082664F" w:rsidRPr="007D2F5F" w:rsidRDefault="0082664F" w:rsidP="0082664F">
      <w:pPr>
        <w:adjustRightInd w:val="0"/>
        <w:snapToGrid w:val="0"/>
        <w:jc w:val="center"/>
        <w:rPr>
          <w:rFonts w:eastAsiaTheme="minorEastAsia"/>
          <w:lang w:val="en-NZ" w:eastAsia="ko-KR"/>
        </w:rPr>
      </w:pPr>
    </w:p>
    <w:p w:rsidR="0082664F" w:rsidRPr="007D2F5F" w:rsidRDefault="0082664F" w:rsidP="0082664F">
      <w:pPr>
        <w:adjustRightInd w:val="0"/>
        <w:snapToGrid w:val="0"/>
        <w:jc w:val="both"/>
        <w:rPr>
          <w:rFonts w:eastAsiaTheme="minorEastAsia"/>
          <w:lang w:eastAsia="ko-KR"/>
        </w:rPr>
      </w:pPr>
    </w:p>
    <w:p w:rsidR="0082664F" w:rsidRPr="007D2F5F" w:rsidRDefault="0082664F" w:rsidP="0082664F">
      <w:pPr>
        <w:adjustRightInd w:val="0"/>
        <w:snapToGrid w:val="0"/>
        <w:jc w:val="both"/>
        <w:rPr>
          <w:rFonts w:eastAsiaTheme="minorEastAsia"/>
          <w:lang w:eastAsia="ko-KR"/>
        </w:rPr>
      </w:pPr>
      <w:r w:rsidRPr="007D2F5F">
        <w:rPr>
          <w:rFonts w:eastAsiaTheme="minorEastAsia"/>
          <w:lang w:eastAsia="ko-KR"/>
        </w:rPr>
        <w:t xml:space="preserve">Based on the </w:t>
      </w:r>
      <w:r>
        <w:rPr>
          <w:rFonts w:eastAsiaTheme="minorEastAsia"/>
          <w:lang w:eastAsia="ko-KR"/>
        </w:rPr>
        <w:t>recommendation of</w:t>
      </w:r>
      <w:r w:rsidRPr="007D2F5F">
        <w:rPr>
          <w:rFonts w:eastAsiaTheme="minorEastAsia"/>
          <w:lang w:eastAsia="ko-KR"/>
        </w:rPr>
        <w:t xml:space="preserve"> the Northern </w:t>
      </w:r>
      <w:proofErr w:type="gramStart"/>
      <w:r w:rsidRPr="007D2F5F">
        <w:rPr>
          <w:rFonts w:eastAsiaTheme="minorEastAsia"/>
          <w:lang w:eastAsia="ko-KR"/>
        </w:rPr>
        <w:t xml:space="preserve">Committee  </w:t>
      </w:r>
      <w:r>
        <w:rPr>
          <w:rFonts w:eastAsiaTheme="minorEastAsia"/>
          <w:lang w:eastAsia="ko-KR"/>
        </w:rPr>
        <w:t>at</w:t>
      </w:r>
      <w:proofErr w:type="gramEnd"/>
      <w:r>
        <w:rPr>
          <w:rFonts w:eastAsiaTheme="minorEastAsia"/>
          <w:lang w:eastAsia="ko-KR"/>
        </w:rPr>
        <w:t xml:space="preserve"> its 10</w:t>
      </w:r>
      <w:r w:rsidRPr="007D2F5F">
        <w:rPr>
          <w:rFonts w:eastAsiaTheme="minorEastAsia"/>
          <w:vertAlign w:val="superscript"/>
          <w:lang w:eastAsia="ko-KR"/>
        </w:rPr>
        <w:t>th</w:t>
      </w:r>
      <w:r>
        <w:rPr>
          <w:rFonts w:eastAsiaTheme="minorEastAsia"/>
          <w:lang w:eastAsia="ko-KR"/>
        </w:rPr>
        <w:t xml:space="preserve"> regular session, this harvest strategy was adopted by the Commission at its 11</w:t>
      </w:r>
      <w:r w:rsidRPr="007D2F5F">
        <w:rPr>
          <w:rFonts w:eastAsiaTheme="minorEastAsia"/>
          <w:vertAlign w:val="superscript"/>
          <w:lang w:eastAsia="ko-KR"/>
        </w:rPr>
        <w:t>th</w:t>
      </w:r>
      <w:r>
        <w:rPr>
          <w:rFonts w:eastAsiaTheme="minorEastAsia"/>
          <w:lang w:eastAsia="ko-KR"/>
        </w:rPr>
        <w:t xml:space="preserve"> regular session as a “</w:t>
      </w:r>
      <w:r w:rsidRPr="007D2F5F">
        <w:rPr>
          <w:rFonts w:eastAsiaTheme="minorEastAsia"/>
          <w:lang w:eastAsia="ko-KR"/>
        </w:rPr>
        <w:t>precautionary management framework for NP albacore</w:t>
      </w:r>
      <w:r>
        <w:rPr>
          <w:rFonts w:eastAsiaTheme="minorEastAsia"/>
          <w:lang w:eastAsia="ko-KR"/>
        </w:rPr>
        <w:t>”</w:t>
      </w:r>
      <w:r w:rsidRPr="007D2F5F">
        <w:rPr>
          <w:rFonts w:eastAsiaTheme="minorEastAsia"/>
          <w:lang w:eastAsia="ko-KR"/>
        </w:rPr>
        <w:t>.</w:t>
      </w:r>
    </w:p>
    <w:p w:rsidR="0082664F" w:rsidRPr="007D2F5F" w:rsidRDefault="0082664F" w:rsidP="0082664F">
      <w:pPr>
        <w:adjustRightInd w:val="0"/>
        <w:snapToGrid w:val="0"/>
        <w:jc w:val="both"/>
        <w:rPr>
          <w:rFonts w:eastAsiaTheme="minorEastAsia"/>
          <w:lang w:eastAsia="ko-KR"/>
        </w:rPr>
      </w:pPr>
    </w:p>
    <w:p w:rsidR="0082664F" w:rsidRPr="007D2F5F" w:rsidRDefault="0082664F" w:rsidP="0082664F">
      <w:pPr>
        <w:adjustRightInd w:val="0"/>
        <w:snapToGrid w:val="0"/>
        <w:jc w:val="both"/>
        <w:rPr>
          <w:rFonts w:eastAsiaTheme="minorEastAsia"/>
          <w:b/>
          <w:bCs/>
          <w:lang w:val="en-CA" w:eastAsia="ko-KR"/>
        </w:rPr>
      </w:pPr>
      <w:r w:rsidRPr="007D2F5F">
        <w:rPr>
          <w:rFonts w:eastAsiaTheme="minorEastAsia"/>
          <w:b/>
          <w:bCs/>
          <w:lang w:val="en-CA" w:eastAsia="ko-KR"/>
        </w:rPr>
        <w:t>1.  Management objective</w:t>
      </w:r>
    </w:p>
    <w:p w:rsidR="0082664F" w:rsidRPr="007D2F5F" w:rsidRDefault="0082664F" w:rsidP="0082664F">
      <w:pPr>
        <w:adjustRightInd w:val="0"/>
        <w:snapToGrid w:val="0"/>
        <w:jc w:val="both"/>
        <w:rPr>
          <w:rFonts w:eastAsiaTheme="minorEastAsia"/>
          <w:lang w:val="en-CA" w:eastAsia="ko-KR"/>
        </w:rPr>
      </w:pPr>
    </w:p>
    <w:p w:rsidR="0082664F" w:rsidRPr="007D2F5F" w:rsidRDefault="0082664F" w:rsidP="0082664F">
      <w:pPr>
        <w:adjustRightInd w:val="0"/>
        <w:snapToGrid w:val="0"/>
        <w:jc w:val="both"/>
        <w:rPr>
          <w:rFonts w:eastAsiaTheme="minorEastAsia"/>
          <w:lang w:val="en-CA" w:eastAsia="ko-KR"/>
        </w:rPr>
      </w:pPr>
      <w:r w:rsidRPr="007D2F5F">
        <w:rPr>
          <w:rFonts w:eastAsiaTheme="minorEastAsia"/>
          <w:lang w:val="en-CA" w:eastAsia="ko-KR"/>
        </w:rPr>
        <w:t xml:space="preserve">The management objective for the North Pacific albacore fishery is to maintain the biomass, with reasonable variability, </w:t>
      </w:r>
      <w:r w:rsidRPr="007D2F5F">
        <w:rPr>
          <w:rFonts w:eastAsiaTheme="minorEastAsia" w:hint="eastAsia"/>
          <w:lang w:val="en-CA" w:eastAsia="ja-JP"/>
        </w:rPr>
        <w:t>around</w:t>
      </w:r>
      <w:r w:rsidRPr="007D2F5F">
        <w:rPr>
          <w:rFonts w:eastAsiaTheme="minorEastAsia"/>
          <w:lang w:val="en-CA" w:eastAsia="ko-KR"/>
        </w:rPr>
        <w:t xml:space="preserve"> its current level in order to allow recent exploitation </w:t>
      </w:r>
      <w:r w:rsidRPr="007D2F5F">
        <w:rPr>
          <w:rFonts w:eastAsiaTheme="minorEastAsia" w:hint="eastAsia"/>
          <w:lang w:val="en-CA" w:eastAsia="ja-JP"/>
        </w:rPr>
        <w:t>levels</w:t>
      </w:r>
      <w:r w:rsidRPr="007D2F5F">
        <w:rPr>
          <w:rFonts w:eastAsiaTheme="minorEastAsia"/>
          <w:lang w:val="en-CA" w:eastAsia="ko-KR"/>
        </w:rPr>
        <w:t xml:space="preserve"> to continue and with a low risk of breaching the limit reference point.</w:t>
      </w:r>
    </w:p>
    <w:p w:rsidR="0082664F" w:rsidRPr="007D2F5F" w:rsidRDefault="0082664F" w:rsidP="0082664F">
      <w:pPr>
        <w:adjustRightInd w:val="0"/>
        <w:snapToGrid w:val="0"/>
        <w:jc w:val="both"/>
        <w:rPr>
          <w:rFonts w:eastAsiaTheme="minorEastAsia"/>
          <w:lang w:val="en-CA" w:eastAsia="ko-KR"/>
        </w:rPr>
      </w:pPr>
    </w:p>
    <w:p w:rsidR="0082664F" w:rsidRPr="007D2F5F" w:rsidRDefault="0082664F" w:rsidP="0082664F">
      <w:pPr>
        <w:adjustRightInd w:val="0"/>
        <w:snapToGrid w:val="0"/>
        <w:jc w:val="both"/>
        <w:rPr>
          <w:rFonts w:eastAsiaTheme="minorEastAsia"/>
          <w:b/>
          <w:bCs/>
          <w:lang w:val="en-CA" w:eastAsia="ko-KR"/>
        </w:rPr>
      </w:pPr>
      <w:r w:rsidRPr="007D2F5F">
        <w:rPr>
          <w:rFonts w:eastAsiaTheme="minorEastAsia"/>
          <w:b/>
          <w:bCs/>
          <w:lang w:val="en-CA" w:eastAsia="ko-KR"/>
        </w:rPr>
        <w:t>2.  Biological reference points</w:t>
      </w:r>
    </w:p>
    <w:p w:rsidR="0082664F" w:rsidRPr="007D2F5F" w:rsidRDefault="0082664F" w:rsidP="0082664F">
      <w:pPr>
        <w:adjustRightInd w:val="0"/>
        <w:snapToGrid w:val="0"/>
        <w:jc w:val="both"/>
        <w:rPr>
          <w:rFonts w:eastAsiaTheme="minorEastAsia"/>
          <w:lang w:val="en-CA" w:eastAsia="ko-KR"/>
        </w:rPr>
      </w:pPr>
    </w:p>
    <w:p w:rsidR="0082664F" w:rsidRPr="007D2F5F" w:rsidRDefault="0082664F" w:rsidP="0082664F">
      <w:pPr>
        <w:adjustRightInd w:val="0"/>
        <w:snapToGrid w:val="0"/>
        <w:jc w:val="both"/>
        <w:rPr>
          <w:rFonts w:eastAsiaTheme="minorEastAsia"/>
          <w:lang w:eastAsia="ko-KR"/>
        </w:rPr>
      </w:pPr>
      <w:r w:rsidRPr="007D2F5F">
        <w:rPr>
          <w:rFonts w:eastAsiaTheme="minorEastAsia"/>
          <w:lang w:val="en-CA" w:eastAsia="ko-KR"/>
        </w:rPr>
        <w:t xml:space="preserve">Based on ISC’s 2014 stock assessment advice and </w:t>
      </w:r>
      <w:r w:rsidRPr="007D2F5F">
        <w:rPr>
          <w:rFonts w:eastAsiaTheme="minorEastAsia"/>
          <w:lang w:eastAsia="ko-KR"/>
        </w:rPr>
        <w:t>following the hierarchical approach adopted by the Commission, North Pacific albacore is to be treated as a Level 2 stock. The following is based on an average recruitment scenario:</w:t>
      </w:r>
    </w:p>
    <w:p w:rsidR="0082664F" w:rsidRPr="007D2F5F" w:rsidRDefault="0082664F" w:rsidP="0082664F">
      <w:pPr>
        <w:adjustRightInd w:val="0"/>
        <w:snapToGrid w:val="0"/>
        <w:jc w:val="both"/>
        <w:rPr>
          <w:rFonts w:eastAsiaTheme="minorEastAsia"/>
          <w:lang w:eastAsia="ko-KR"/>
        </w:rPr>
      </w:pPr>
    </w:p>
    <w:p w:rsidR="0082664F" w:rsidRPr="007D2F5F" w:rsidRDefault="0082664F" w:rsidP="0082664F">
      <w:pPr>
        <w:numPr>
          <w:ilvl w:val="0"/>
          <w:numId w:val="1"/>
        </w:numPr>
        <w:adjustRightInd w:val="0"/>
        <w:snapToGrid w:val="0"/>
        <w:jc w:val="both"/>
        <w:rPr>
          <w:rFonts w:eastAsiaTheme="minorEastAsia"/>
          <w:lang w:eastAsia="ko-KR"/>
        </w:rPr>
      </w:pPr>
      <w:r w:rsidRPr="007D2F5F">
        <w:rPr>
          <w:rFonts w:eastAsiaTheme="minorEastAsia"/>
          <w:lang w:eastAsia="ko-KR"/>
        </w:rPr>
        <w:t>The</w:t>
      </w:r>
      <w:r w:rsidRPr="007D2F5F">
        <w:rPr>
          <w:rFonts w:eastAsiaTheme="minorEastAsia"/>
          <w:lang w:eastAsia="ja-JP"/>
        </w:rPr>
        <w:t xml:space="preserve"> </w:t>
      </w:r>
      <w:r w:rsidRPr="007D2F5F">
        <w:rPr>
          <w:rFonts w:eastAsiaTheme="minorEastAsia"/>
          <w:lang w:eastAsia="ko-KR"/>
        </w:rPr>
        <w:t>limit reference point (LRP) for this stock is established at 20%SSB</w:t>
      </w:r>
      <w:r w:rsidRPr="007D2F5F">
        <w:rPr>
          <w:rFonts w:eastAsiaTheme="minorEastAsia" w:hint="eastAsia"/>
          <w:lang w:eastAsia="ja-JP"/>
        </w:rPr>
        <w:t xml:space="preserve">current </w:t>
      </w:r>
      <w:r w:rsidRPr="007D2F5F">
        <w:rPr>
          <w:rFonts w:eastAsiaTheme="minorEastAsia"/>
          <w:vertAlign w:val="subscript"/>
          <w:lang w:eastAsia="ko-KR"/>
        </w:rPr>
        <w:t>F=0</w:t>
      </w:r>
      <w:r w:rsidRPr="007D2F5F">
        <w:rPr>
          <w:rFonts w:eastAsiaTheme="minorEastAsia"/>
          <w:lang w:eastAsia="ko-KR"/>
        </w:rPr>
        <w:t>.</w:t>
      </w:r>
    </w:p>
    <w:p w:rsidR="0082664F" w:rsidRPr="007D2F5F" w:rsidRDefault="0082664F" w:rsidP="0082664F">
      <w:pPr>
        <w:adjustRightInd w:val="0"/>
        <w:snapToGrid w:val="0"/>
        <w:ind w:left="720"/>
        <w:jc w:val="both"/>
        <w:rPr>
          <w:rFonts w:eastAsiaTheme="minorEastAsia"/>
          <w:lang w:eastAsia="ko-KR"/>
        </w:rPr>
      </w:pPr>
    </w:p>
    <w:p w:rsidR="0082664F" w:rsidRPr="007D2F5F" w:rsidRDefault="0082664F" w:rsidP="0082664F">
      <w:pPr>
        <w:adjustRightInd w:val="0"/>
        <w:snapToGrid w:val="0"/>
        <w:ind w:left="720"/>
        <w:jc w:val="both"/>
        <w:rPr>
          <w:rFonts w:eastAsiaTheme="minorEastAsia"/>
          <w:lang w:eastAsia="ko-KR"/>
        </w:rPr>
      </w:pPr>
      <w:r w:rsidRPr="007D2F5F">
        <w:rPr>
          <w:rFonts w:eastAsiaTheme="minorEastAsia"/>
          <w:lang w:eastAsia="ko-KR"/>
        </w:rPr>
        <w:t>This</w:t>
      </w:r>
      <w:r w:rsidRPr="007D2F5F">
        <w:rPr>
          <w:rFonts w:eastAsiaTheme="minorEastAsia"/>
          <w:lang w:eastAsia="ja-JP"/>
        </w:rPr>
        <w:t xml:space="preserve"> </w:t>
      </w:r>
      <w:r w:rsidRPr="007D2F5F">
        <w:rPr>
          <w:rFonts w:eastAsiaTheme="minorEastAsia"/>
          <w:lang w:eastAsia="ko-KR"/>
        </w:rPr>
        <w:t>LRP is consistent with the Annex II of the UN Fish Stocks Agreement (UNFSA) and recent WCPFC decisions on LRPs for the three tropical tuna species and South Pacific albacore, where 20%SSB</w:t>
      </w:r>
      <w:r w:rsidRPr="007D2F5F">
        <w:rPr>
          <w:rFonts w:eastAsiaTheme="minorEastAsia" w:hint="eastAsia"/>
          <w:lang w:eastAsia="ja-JP"/>
        </w:rPr>
        <w:t>current</w:t>
      </w:r>
      <w:r w:rsidRPr="007D2F5F">
        <w:rPr>
          <w:rFonts w:eastAsiaTheme="minorEastAsia"/>
          <w:vertAlign w:val="subscript"/>
          <w:lang w:eastAsia="ko-KR"/>
        </w:rPr>
        <w:t xml:space="preserve"> F=0</w:t>
      </w:r>
      <w:r w:rsidRPr="007D2F5F">
        <w:rPr>
          <w:rFonts w:eastAsiaTheme="minorEastAsia"/>
          <w:lang w:eastAsia="ko-KR"/>
        </w:rPr>
        <w:t xml:space="preserve"> was adopted. If this point is breached, management actions will be taken to return the stock to a predetermined level as outlined in the subsequent section on Decision Rules. </w:t>
      </w:r>
    </w:p>
    <w:p w:rsidR="0082664F" w:rsidRPr="007D2F5F" w:rsidRDefault="0082664F" w:rsidP="0082664F">
      <w:pPr>
        <w:adjustRightInd w:val="0"/>
        <w:snapToGrid w:val="0"/>
        <w:ind w:left="709"/>
        <w:jc w:val="both"/>
        <w:rPr>
          <w:rFonts w:eastAsiaTheme="minorEastAsia"/>
          <w:lang w:eastAsia="ko-KR"/>
        </w:rPr>
      </w:pPr>
    </w:p>
    <w:p w:rsidR="0082664F" w:rsidRPr="007D2F5F" w:rsidRDefault="0082664F" w:rsidP="0082664F">
      <w:pPr>
        <w:numPr>
          <w:ilvl w:val="0"/>
          <w:numId w:val="1"/>
        </w:numPr>
        <w:adjustRightInd w:val="0"/>
        <w:snapToGrid w:val="0"/>
        <w:jc w:val="both"/>
        <w:rPr>
          <w:rFonts w:eastAsiaTheme="minorEastAsia"/>
          <w:lang w:eastAsia="ko-KR"/>
        </w:rPr>
      </w:pPr>
      <w:r w:rsidRPr="007D2F5F">
        <w:rPr>
          <w:rFonts w:eastAsiaTheme="minorEastAsia"/>
          <w:lang w:eastAsia="ko-KR"/>
        </w:rPr>
        <w:t>The target reference point (</w:t>
      </w:r>
      <w:smartTag w:uri="urn:schemas-microsoft-com:office:smarttags" w:element="stockticker">
        <w:r w:rsidRPr="007D2F5F">
          <w:rPr>
            <w:rFonts w:eastAsiaTheme="minorEastAsia"/>
            <w:lang w:eastAsia="ko-KR"/>
          </w:rPr>
          <w:t>TRP</w:t>
        </w:r>
      </w:smartTag>
      <w:r w:rsidRPr="007D2F5F">
        <w:rPr>
          <w:rFonts w:eastAsiaTheme="minorEastAsia"/>
          <w:lang w:eastAsia="ko-KR"/>
        </w:rPr>
        <w:t xml:space="preserve">) for this stock will be determined following a comprehensive analysis under a management strategy evaluation (MSE) approach as outlined in section 4 on “Future Work”. Historical fishing activity, anticipated fishing activity, and the source of increased fishing mortality will also be considered when </w:t>
      </w:r>
      <w:r w:rsidRPr="007D2F5F">
        <w:rPr>
          <w:rFonts w:eastAsiaTheme="minorEastAsia" w:hint="eastAsia"/>
          <w:lang w:eastAsia="ja-JP"/>
        </w:rPr>
        <w:t>evaluating</w:t>
      </w:r>
      <w:r w:rsidRPr="007D2F5F">
        <w:rPr>
          <w:rFonts w:eastAsiaTheme="minorEastAsia"/>
          <w:lang w:eastAsia="ko-KR"/>
        </w:rPr>
        <w:t xml:space="preserve"> a suitable </w:t>
      </w:r>
      <w:smartTag w:uri="urn:schemas-microsoft-com:office:smarttags" w:element="stockticker">
        <w:r w:rsidRPr="007D2F5F">
          <w:rPr>
            <w:rFonts w:eastAsiaTheme="minorEastAsia"/>
            <w:lang w:eastAsia="ko-KR"/>
          </w:rPr>
          <w:t>TRP</w:t>
        </w:r>
      </w:smartTag>
      <w:r w:rsidRPr="007D2F5F">
        <w:rPr>
          <w:rFonts w:eastAsiaTheme="minorEastAsia"/>
          <w:lang w:eastAsia="ko-KR"/>
        </w:rPr>
        <w:t>. Socioeconomic factors, as per UNF</w:t>
      </w:r>
      <w:r w:rsidRPr="007D2F5F">
        <w:rPr>
          <w:rFonts w:eastAsia="맑은 고딕" w:hint="eastAsia"/>
          <w:lang w:eastAsia="ko-KR"/>
        </w:rPr>
        <w:t>S</w:t>
      </w:r>
      <w:r w:rsidRPr="007D2F5F">
        <w:rPr>
          <w:rFonts w:eastAsiaTheme="minorEastAsia"/>
          <w:lang w:eastAsia="ko-KR"/>
        </w:rPr>
        <w:t>A Article 6.3.c., will be further considered. The existing conservation and management measure (</w:t>
      </w:r>
      <w:smartTag w:uri="urn:schemas-microsoft-com:office:smarttags" w:element="stockticker">
        <w:r w:rsidRPr="007D2F5F">
          <w:rPr>
            <w:rFonts w:eastAsiaTheme="minorEastAsia"/>
            <w:lang w:eastAsia="ko-KR"/>
          </w:rPr>
          <w:t>CMM)</w:t>
        </w:r>
      </w:smartTag>
      <w:r w:rsidRPr="007D2F5F">
        <w:rPr>
          <w:rFonts w:eastAsiaTheme="minorEastAsia"/>
          <w:lang w:eastAsia="ko-KR"/>
        </w:rPr>
        <w:t xml:space="preserve"> for the stock (WCPFC 2005-03) establishes through limits on current effort an overall management regime for the stock.  </w:t>
      </w:r>
    </w:p>
    <w:p w:rsidR="0082664F" w:rsidRPr="007D2F5F" w:rsidRDefault="0082664F" w:rsidP="0082664F">
      <w:pPr>
        <w:adjustRightInd w:val="0"/>
        <w:snapToGrid w:val="0"/>
        <w:jc w:val="both"/>
        <w:rPr>
          <w:rFonts w:eastAsiaTheme="minorEastAsia"/>
          <w:lang w:eastAsia="ko-KR"/>
        </w:rPr>
      </w:pPr>
    </w:p>
    <w:p w:rsidR="0082664F" w:rsidRPr="007D2F5F" w:rsidRDefault="0082664F" w:rsidP="0082664F">
      <w:pPr>
        <w:adjustRightInd w:val="0"/>
        <w:snapToGrid w:val="0"/>
        <w:jc w:val="both"/>
        <w:rPr>
          <w:rFonts w:eastAsiaTheme="minorEastAsia"/>
          <w:b/>
          <w:bCs/>
          <w:lang w:eastAsia="ko-KR"/>
        </w:rPr>
      </w:pPr>
      <w:r w:rsidRPr="007D2F5F">
        <w:rPr>
          <w:rFonts w:eastAsiaTheme="minorEastAsia"/>
          <w:b/>
          <w:bCs/>
          <w:lang w:eastAsia="ko-KR"/>
        </w:rPr>
        <w:t>3.  Decision rules</w:t>
      </w:r>
    </w:p>
    <w:p w:rsidR="0082664F" w:rsidRPr="007D2F5F" w:rsidRDefault="0082664F" w:rsidP="0082664F">
      <w:pPr>
        <w:adjustRightInd w:val="0"/>
        <w:snapToGrid w:val="0"/>
        <w:jc w:val="both"/>
        <w:rPr>
          <w:rFonts w:eastAsiaTheme="minorEastAsia"/>
          <w:lang w:eastAsia="ko-KR"/>
        </w:rPr>
      </w:pPr>
    </w:p>
    <w:p w:rsidR="0082664F" w:rsidRPr="007D2F5F" w:rsidRDefault="0082664F" w:rsidP="0082664F">
      <w:pPr>
        <w:adjustRightInd w:val="0"/>
        <w:snapToGrid w:val="0"/>
        <w:jc w:val="both"/>
        <w:rPr>
          <w:rFonts w:eastAsiaTheme="minorEastAsia"/>
          <w:lang w:eastAsia="ko-KR"/>
        </w:rPr>
      </w:pPr>
      <w:r w:rsidRPr="007D2F5F">
        <w:rPr>
          <w:rFonts w:eastAsiaTheme="minorEastAsia"/>
          <w:lang w:eastAsia="ko-KR"/>
        </w:rPr>
        <w:t xml:space="preserve">NC recommends a management strategy for the stock that ensures that the risk of the biomass decreasing below the LRP is low. </w:t>
      </w:r>
    </w:p>
    <w:p w:rsidR="0082664F" w:rsidRPr="007D2F5F" w:rsidRDefault="0082664F" w:rsidP="0082664F">
      <w:pPr>
        <w:adjustRightInd w:val="0"/>
        <w:snapToGrid w:val="0"/>
        <w:ind w:right="135"/>
        <w:jc w:val="both"/>
        <w:rPr>
          <w:rFonts w:eastAsiaTheme="minorEastAsia"/>
          <w:lang w:eastAsia="ko-KR"/>
        </w:rPr>
      </w:pPr>
    </w:p>
    <w:p w:rsidR="0082664F" w:rsidRPr="007D2F5F" w:rsidRDefault="0082664F" w:rsidP="0082664F">
      <w:pPr>
        <w:adjustRightInd w:val="0"/>
        <w:snapToGrid w:val="0"/>
        <w:ind w:right="135"/>
        <w:jc w:val="both"/>
        <w:rPr>
          <w:rFonts w:eastAsiaTheme="minorEastAsia"/>
          <w:lang w:eastAsia="ko-KR"/>
        </w:rPr>
      </w:pPr>
      <w:r w:rsidRPr="007D2F5F">
        <w:rPr>
          <w:rFonts w:eastAsiaTheme="minorEastAsia"/>
          <w:lang w:eastAsia="ko-KR"/>
        </w:rPr>
        <w:t xml:space="preserve">LRP rule: In the event that, based on information from ISC, the spawning stock size decreases below the LRP at any time, NC will, at its next regular session or intersessionally if warranted, adopt a reasonable timeline, but no longer than 10 years, for rebuilding the spawning stock to at least the LRP and recommend a </w:t>
      </w:r>
      <w:smartTag w:uri="urn:schemas-microsoft-com:office:smarttags" w:element="stockticker">
        <w:r w:rsidRPr="007D2F5F">
          <w:rPr>
            <w:rFonts w:eastAsiaTheme="minorEastAsia"/>
            <w:lang w:eastAsia="ko-KR"/>
          </w:rPr>
          <w:t>CMM</w:t>
        </w:r>
      </w:smartTag>
      <w:r w:rsidRPr="007D2F5F">
        <w:rPr>
          <w:rFonts w:eastAsiaTheme="minorEastAsia"/>
          <w:lang w:eastAsia="ko-KR"/>
        </w:rPr>
        <w:t xml:space="preserve"> that can be expected to achieve such rebuilding within that timeline. NC will take into account historical fishing activity and the source of increased fishing mortality when developing management strategies to rebuild the stock, including in establishing effort reductions. NC will further consider socioeconomic factors, as per UNF</w:t>
      </w:r>
      <w:r w:rsidRPr="007D2F5F">
        <w:rPr>
          <w:rFonts w:eastAsiaTheme="minorEastAsia" w:hint="eastAsia"/>
          <w:lang w:eastAsia="ja-JP"/>
        </w:rPr>
        <w:t>S</w:t>
      </w:r>
      <w:r w:rsidRPr="007D2F5F">
        <w:rPr>
          <w:rFonts w:eastAsiaTheme="minorEastAsia"/>
          <w:lang w:eastAsia="ko-KR"/>
        </w:rPr>
        <w:t>A Article 6.</w:t>
      </w:r>
      <w:r w:rsidRPr="007D2F5F">
        <w:rPr>
          <w:rFonts w:eastAsiaTheme="minorEastAsia"/>
          <w:lang w:eastAsia="ja-JP"/>
        </w:rPr>
        <w:t>3.</w:t>
      </w:r>
      <w:r w:rsidRPr="007D2F5F">
        <w:rPr>
          <w:rFonts w:eastAsiaTheme="minorEastAsia"/>
          <w:lang w:eastAsia="ko-KR"/>
        </w:rPr>
        <w:t>c., as well as which NC members, if any, contributed to exceeding the LRP.</w:t>
      </w:r>
    </w:p>
    <w:p w:rsidR="0082664F" w:rsidRPr="007D2F5F" w:rsidRDefault="0082664F" w:rsidP="0082664F">
      <w:pPr>
        <w:adjustRightInd w:val="0"/>
        <w:snapToGrid w:val="0"/>
        <w:jc w:val="both"/>
        <w:rPr>
          <w:rFonts w:eastAsiaTheme="minorEastAsia"/>
          <w:b/>
          <w:bCs/>
          <w:lang w:eastAsia="ko-KR"/>
        </w:rPr>
      </w:pPr>
    </w:p>
    <w:p w:rsidR="0082664F" w:rsidRPr="007D2F5F" w:rsidRDefault="0082664F" w:rsidP="0082664F">
      <w:pPr>
        <w:adjustRightInd w:val="0"/>
        <w:snapToGrid w:val="0"/>
        <w:jc w:val="both"/>
        <w:rPr>
          <w:rFonts w:eastAsiaTheme="minorEastAsia"/>
          <w:b/>
          <w:bCs/>
          <w:lang w:eastAsia="ko-KR"/>
        </w:rPr>
      </w:pPr>
      <w:r w:rsidRPr="007D2F5F">
        <w:rPr>
          <w:rFonts w:eastAsiaTheme="minorEastAsia"/>
          <w:b/>
          <w:bCs/>
          <w:lang w:eastAsia="ko-KR"/>
        </w:rPr>
        <w:t>4. Future work</w:t>
      </w:r>
    </w:p>
    <w:p w:rsidR="0082664F" w:rsidRPr="007D2F5F" w:rsidRDefault="0082664F" w:rsidP="0082664F">
      <w:pPr>
        <w:adjustRightInd w:val="0"/>
        <w:snapToGrid w:val="0"/>
        <w:jc w:val="both"/>
        <w:rPr>
          <w:rFonts w:eastAsiaTheme="minorEastAsia"/>
          <w:b/>
          <w:bCs/>
          <w:lang w:eastAsia="ko-KR"/>
        </w:rPr>
      </w:pPr>
    </w:p>
    <w:p w:rsidR="0082664F" w:rsidRPr="007D2F5F" w:rsidRDefault="0082664F" w:rsidP="0082664F">
      <w:pPr>
        <w:adjustRightInd w:val="0"/>
        <w:snapToGrid w:val="0"/>
        <w:jc w:val="both"/>
        <w:rPr>
          <w:rFonts w:eastAsiaTheme="minorEastAsia"/>
          <w:lang w:eastAsia="ko-KR"/>
        </w:rPr>
      </w:pPr>
      <w:r w:rsidRPr="007D2F5F">
        <w:rPr>
          <w:rFonts w:eastAsiaTheme="minorEastAsia"/>
          <w:lang w:eastAsia="ko-KR"/>
        </w:rPr>
        <w:t xml:space="preserve">This framework </w:t>
      </w:r>
      <w:r>
        <w:rPr>
          <w:rFonts w:eastAsiaTheme="minorEastAsia"/>
          <w:lang w:eastAsia="ko-KR"/>
        </w:rPr>
        <w:t>may</w:t>
      </w:r>
      <w:r w:rsidRPr="007D2F5F">
        <w:rPr>
          <w:rFonts w:eastAsiaTheme="minorEastAsia"/>
          <w:lang w:eastAsia="ko-KR"/>
        </w:rPr>
        <w:t xml:space="preserve"> be </w:t>
      </w:r>
      <w:r>
        <w:rPr>
          <w:rFonts w:eastAsiaTheme="minorEastAsia"/>
          <w:lang w:eastAsia="ko-KR"/>
        </w:rPr>
        <w:t xml:space="preserve">periodically </w:t>
      </w:r>
      <w:r w:rsidRPr="007D2F5F">
        <w:rPr>
          <w:rFonts w:eastAsiaTheme="minorEastAsia"/>
          <w:lang w:eastAsia="ko-KR"/>
        </w:rPr>
        <w:t xml:space="preserve">reviewed </w:t>
      </w:r>
      <w:r>
        <w:rPr>
          <w:rFonts w:eastAsiaTheme="minorEastAsia"/>
          <w:lang w:eastAsia="ko-KR"/>
        </w:rPr>
        <w:t>and revised. To support such revisions</w:t>
      </w:r>
      <w:r w:rsidRPr="007D2F5F">
        <w:rPr>
          <w:rFonts w:eastAsiaTheme="minorEastAsia"/>
          <w:lang w:eastAsia="ko-KR"/>
        </w:rPr>
        <w:t xml:space="preserve">, NC </w:t>
      </w:r>
      <w:r>
        <w:rPr>
          <w:rFonts w:eastAsiaTheme="minorEastAsia"/>
          <w:lang w:eastAsia="ko-KR"/>
        </w:rPr>
        <w:t xml:space="preserve">endorses the ongoing development and implementation </w:t>
      </w:r>
      <w:proofErr w:type="gramStart"/>
      <w:r>
        <w:rPr>
          <w:rFonts w:eastAsiaTheme="minorEastAsia"/>
          <w:lang w:eastAsia="ko-KR"/>
        </w:rPr>
        <w:t xml:space="preserve">of </w:t>
      </w:r>
      <w:r w:rsidRPr="007D2F5F">
        <w:rPr>
          <w:rFonts w:eastAsiaTheme="minorEastAsia"/>
          <w:lang w:eastAsia="ko-KR"/>
        </w:rPr>
        <w:t xml:space="preserve"> an</w:t>
      </w:r>
      <w:proofErr w:type="gramEnd"/>
      <w:r w:rsidRPr="007D2F5F">
        <w:rPr>
          <w:rFonts w:eastAsiaTheme="minorEastAsia"/>
          <w:lang w:eastAsia="ko-KR"/>
        </w:rPr>
        <w:t xml:space="preserve"> MSE for the stock</w:t>
      </w:r>
      <w:r>
        <w:rPr>
          <w:rFonts w:eastAsiaTheme="minorEastAsia"/>
          <w:lang w:eastAsia="ko-KR"/>
        </w:rPr>
        <w:t xml:space="preserve"> and fishery,</w:t>
      </w:r>
      <w:r w:rsidRPr="007D2F5F">
        <w:rPr>
          <w:rFonts w:eastAsiaTheme="minorEastAsia"/>
          <w:lang w:eastAsia="ko-KR"/>
        </w:rPr>
        <w:t xml:space="preserve"> </w:t>
      </w:r>
      <w:r>
        <w:rPr>
          <w:rFonts w:eastAsiaTheme="minorEastAsia"/>
          <w:lang w:eastAsia="ko-KR"/>
        </w:rPr>
        <w:t>which would</w:t>
      </w:r>
      <w:r w:rsidRPr="007D2F5F">
        <w:rPr>
          <w:rFonts w:eastAsiaTheme="minorEastAsia"/>
          <w:lang w:eastAsia="ko-KR"/>
        </w:rPr>
        <w:t xml:space="preserve"> yield new information that would enhance the robustness of this framework.   </w:t>
      </w:r>
    </w:p>
    <w:p w:rsidR="0082664F" w:rsidRPr="007D2F5F" w:rsidRDefault="0082664F" w:rsidP="0082664F">
      <w:pPr>
        <w:spacing w:after="200" w:line="276" w:lineRule="auto"/>
        <w:rPr>
          <w:rFonts w:eastAsiaTheme="minorEastAsia"/>
          <w:lang w:eastAsia="ko-KR"/>
        </w:rPr>
      </w:pPr>
    </w:p>
    <w:p w:rsidR="0082664F" w:rsidRDefault="0082664F" w:rsidP="0082664F"/>
    <w:p w:rsidR="00C56235" w:rsidRPr="00C124F9" w:rsidRDefault="00C56235" w:rsidP="00C020BB">
      <w:pPr>
        <w:rPr>
          <w:rFonts w:eastAsia="바탕"/>
          <w:b/>
          <w:bCs/>
          <w:lang w:eastAsia="ko-KR" w:bidi="th-TH"/>
        </w:rPr>
      </w:pPr>
    </w:p>
    <w:sectPr w:rsidR="00C56235" w:rsidRPr="00C124F9" w:rsidSect="00F42F7A">
      <w:pgSz w:w="12240" w:h="15840" w:code="1"/>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64C" w:rsidRDefault="001E564C" w:rsidP="004D6428">
      <w:r>
        <w:separator/>
      </w:r>
    </w:p>
  </w:endnote>
  <w:endnote w:type="continuationSeparator" w:id="0">
    <w:p w:rsidR="001E564C" w:rsidRDefault="001E564C" w:rsidP="004D6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64C" w:rsidRDefault="001E564C" w:rsidP="004D6428">
      <w:r>
        <w:separator/>
      </w:r>
    </w:p>
  </w:footnote>
  <w:footnote w:type="continuationSeparator" w:id="0">
    <w:p w:rsidR="001E564C" w:rsidRDefault="001E564C" w:rsidP="004D6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B7116"/>
    <w:multiLevelType w:val="hybridMultilevel"/>
    <w:tmpl w:val="AB7A1412"/>
    <w:lvl w:ilvl="0" w:tplc="10090001">
      <w:start w:val="1"/>
      <w:numFmt w:val="bullet"/>
      <w:lvlText w:val=""/>
      <w:lvlJc w:val="left"/>
      <w:pPr>
        <w:tabs>
          <w:tab w:val="num" w:pos="720"/>
        </w:tabs>
        <w:ind w:left="720" w:hanging="360"/>
      </w:pPr>
      <w:rPr>
        <w:rFonts w:ascii="Symbol" w:hAnsi="Symbol" w:cs="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cs="Wingdings" w:hint="default"/>
      </w:rPr>
    </w:lvl>
    <w:lvl w:ilvl="3" w:tplc="10090001" w:tentative="1">
      <w:start w:val="1"/>
      <w:numFmt w:val="bullet"/>
      <w:lvlText w:val=""/>
      <w:lvlJc w:val="left"/>
      <w:pPr>
        <w:ind w:left="2880" w:hanging="360"/>
      </w:pPr>
      <w:rPr>
        <w:rFonts w:ascii="Symbol" w:hAnsi="Symbol" w:cs="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cs="Wingdings" w:hint="default"/>
      </w:rPr>
    </w:lvl>
    <w:lvl w:ilvl="6" w:tplc="10090001" w:tentative="1">
      <w:start w:val="1"/>
      <w:numFmt w:val="bullet"/>
      <w:lvlText w:val=""/>
      <w:lvlJc w:val="left"/>
      <w:pPr>
        <w:ind w:left="5040" w:hanging="360"/>
      </w:pPr>
      <w:rPr>
        <w:rFonts w:ascii="Symbol" w:hAnsi="Symbol" w:cs="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81B"/>
    <w:rsid w:val="000706D1"/>
    <w:rsid w:val="00084879"/>
    <w:rsid w:val="00097C88"/>
    <w:rsid w:val="000B18C1"/>
    <w:rsid w:val="000B32DB"/>
    <w:rsid w:val="000C203C"/>
    <w:rsid w:val="000F37BF"/>
    <w:rsid w:val="000F47AA"/>
    <w:rsid w:val="000F59EE"/>
    <w:rsid w:val="000F5FB5"/>
    <w:rsid w:val="00116F64"/>
    <w:rsid w:val="0013758A"/>
    <w:rsid w:val="001E45CD"/>
    <w:rsid w:val="001E564C"/>
    <w:rsid w:val="00202953"/>
    <w:rsid w:val="00217318"/>
    <w:rsid w:val="00221125"/>
    <w:rsid w:val="00262CF1"/>
    <w:rsid w:val="00263F46"/>
    <w:rsid w:val="002B7F0B"/>
    <w:rsid w:val="002E4FE0"/>
    <w:rsid w:val="00321330"/>
    <w:rsid w:val="00325C88"/>
    <w:rsid w:val="00327971"/>
    <w:rsid w:val="003572DD"/>
    <w:rsid w:val="003E533B"/>
    <w:rsid w:val="003F3F2B"/>
    <w:rsid w:val="004060F2"/>
    <w:rsid w:val="00435908"/>
    <w:rsid w:val="004442DC"/>
    <w:rsid w:val="004719AD"/>
    <w:rsid w:val="00493725"/>
    <w:rsid w:val="00494950"/>
    <w:rsid w:val="004B64C5"/>
    <w:rsid w:val="004D6428"/>
    <w:rsid w:val="004E501C"/>
    <w:rsid w:val="004F541C"/>
    <w:rsid w:val="005159AD"/>
    <w:rsid w:val="00533EE2"/>
    <w:rsid w:val="0054619B"/>
    <w:rsid w:val="00602EFC"/>
    <w:rsid w:val="00682529"/>
    <w:rsid w:val="00696AB2"/>
    <w:rsid w:val="006A6F45"/>
    <w:rsid w:val="006B4437"/>
    <w:rsid w:val="006B7449"/>
    <w:rsid w:val="006E0EEB"/>
    <w:rsid w:val="006F623D"/>
    <w:rsid w:val="0076781B"/>
    <w:rsid w:val="007929DD"/>
    <w:rsid w:val="00795121"/>
    <w:rsid w:val="007A702C"/>
    <w:rsid w:val="0082664F"/>
    <w:rsid w:val="00854477"/>
    <w:rsid w:val="008871A2"/>
    <w:rsid w:val="008B3B70"/>
    <w:rsid w:val="008D00F7"/>
    <w:rsid w:val="00905181"/>
    <w:rsid w:val="00923352"/>
    <w:rsid w:val="009410B0"/>
    <w:rsid w:val="009575A0"/>
    <w:rsid w:val="009638E9"/>
    <w:rsid w:val="009A02FF"/>
    <w:rsid w:val="009B5403"/>
    <w:rsid w:val="00A017C3"/>
    <w:rsid w:val="00A25B5A"/>
    <w:rsid w:val="00A54FE6"/>
    <w:rsid w:val="00A55E61"/>
    <w:rsid w:val="00A61A78"/>
    <w:rsid w:val="00AA6115"/>
    <w:rsid w:val="00AB6F5C"/>
    <w:rsid w:val="00AE18C4"/>
    <w:rsid w:val="00AE625B"/>
    <w:rsid w:val="00AF5F59"/>
    <w:rsid w:val="00B2638A"/>
    <w:rsid w:val="00B654A7"/>
    <w:rsid w:val="00BA6F0C"/>
    <w:rsid w:val="00BB65A9"/>
    <w:rsid w:val="00C020BB"/>
    <w:rsid w:val="00C124F9"/>
    <w:rsid w:val="00C27049"/>
    <w:rsid w:val="00C34CC4"/>
    <w:rsid w:val="00C56235"/>
    <w:rsid w:val="00C6481E"/>
    <w:rsid w:val="00C6488A"/>
    <w:rsid w:val="00C81144"/>
    <w:rsid w:val="00CA00E8"/>
    <w:rsid w:val="00CB49FF"/>
    <w:rsid w:val="00D266FB"/>
    <w:rsid w:val="00D4560C"/>
    <w:rsid w:val="00D84988"/>
    <w:rsid w:val="00D9477A"/>
    <w:rsid w:val="00DA5C4B"/>
    <w:rsid w:val="00E3627D"/>
    <w:rsid w:val="00E50887"/>
    <w:rsid w:val="00E655E3"/>
    <w:rsid w:val="00EE2ACA"/>
    <w:rsid w:val="00EE54F8"/>
    <w:rsid w:val="00F03BDA"/>
    <w:rsid w:val="00F26629"/>
    <w:rsid w:val="00F42F7A"/>
    <w:rsid w:val="00F502AA"/>
    <w:rsid w:val="00F831AA"/>
    <w:rsid w:val="00FA4FE5"/>
    <w:rsid w:val="00FD4D6E"/>
    <w:rsid w:val="00FD5DE6"/>
    <w:rsid w:val="00FF3313"/>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ko-KR"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81B"/>
    <w:rPr>
      <w:rFonts w:eastAsia="Times New Roman"/>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6781B"/>
    <w:pPr>
      <w:spacing w:after="120"/>
    </w:pPr>
    <w:rPr>
      <w:rFonts w:eastAsia="바탕"/>
      <w:sz w:val="16"/>
      <w:szCs w:val="16"/>
      <w:lang w:val="en-AU"/>
    </w:rPr>
  </w:style>
  <w:style w:type="character" w:styleId="FollowedHyperlink">
    <w:name w:val="FollowedHyperlink"/>
    <w:basedOn w:val="DefaultParagraphFont"/>
    <w:rsid w:val="008871A2"/>
    <w:rPr>
      <w:color w:val="800080"/>
      <w:u w:val="single"/>
    </w:rPr>
  </w:style>
  <w:style w:type="paragraph" w:styleId="BalloonText">
    <w:name w:val="Balloon Text"/>
    <w:basedOn w:val="Normal"/>
    <w:link w:val="BalloonTextChar"/>
    <w:rsid w:val="00D266FB"/>
    <w:rPr>
      <w:rFonts w:ascii="Tahoma" w:hAnsi="Tahoma" w:cs="Tahoma"/>
      <w:sz w:val="16"/>
      <w:szCs w:val="16"/>
    </w:rPr>
  </w:style>
  <w:style w:type="character" w:customStyle="1" w:styleId="BalloonTextChar">
    <w:name w:val="Balloon Text Char"/>
    <w:basedOn w:val="DefaultParagraphFont"/>
    <w:link w:val="BalloonText"/>
    <w:rsid w:val="00D266FB"/>
    <w:rPr>
      <w:rFonts w:ascii="Tahoma" w:eastAsia="Times New Roman" w:hAnsi="Tahoma" w:cs="Tahoma"/>
      <w:sz w:val="16"/>
      <w:szCs w:val="16"/>
      <w:lang w:eastAsia="en-US" w:bidi="ar-SA"/>
    </w:rPr>
  </w:style>
  <w:style w:type="paragraph" w:styleId="FootnoteText">
    <w:name w:val="footnote text"/>
    <w:basedOn w:val="Normal"/>
    <w:link w:val="FootnoteTextChar"/>
    <w:rsid w:val="004D6428"/>
    <w:rPr>
      <w:sz w:val="20"/>
      <w:szCs w:val="20"/>
    </w:rPr>
  </w:style>
  <w:style w:type="character" w:customStyle="1" w:styleId="FootnoteTextChar">
    <w:name w:val="Footnote Text Char"/>
    <w:basedOn w:val="DefaultParagraphFont"/>
    <w:link w:val="FootnoteText"/>
    <w:rsid w:val="004D6428"/>
    <w:rPr>
      <w:rFonts w:eastAsia="Times New Roman"/>
      <w:lang w:eastAsia="en-US" w:bidi="ar-SA"/>
    </w:rPr>
  </w:style>
  <w:style w:type="character" w:styleId="FootnoteReference">
    <w:name w:val="footnote reference"/>
    <w:basedOn w:val="DefaultParagraphFont"/>
    <w:rsid w:val="004D6428"/>
    <w:rPr>
      <w:vertAlign w:val="superscript"/>
    </w:rPr>
  </w:style>
  <w:style w:type="paragraph" w:customStyle="1" w:styleId="Default">
    <w:name w:val="Default"/>
    <w:rsid w:val="00FF3313"/>
    <w:pPr>
      <w:autoSpaceDE w:val="0"/>
      <w:autoSpaceDN w:val="0"/>
      <w:adjustRightInd w:val="0"/>
    </w:pPr>
    <w:rPr>
      <w:color w:val="000000"/>
      <w:sz w:val="24"/>
      <w:szCs w:val="24"/>
      <w:lang w:bidi="ar-SA"/>
    </w:rPr>
  </w:style>
  <w:style w:type="character" w:styleId="Hyperlink">
    <w:name w:val="Hyperlink"/>
    <w:uiPriority w:val="99"/>
    <w:unhideWhenUsed/>
    <w:rsid w:val="00C8114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ko-KR" w:bidi="th-TH"/>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81B"/>
    <w:rPr>
      <w:rFonts w:eastAsia="Times New Roman"/>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6781B"/>
    <w:pPr>
      <w:spacing w:after="120"/>
    </w:pPr>
    <w:rPr>
      <w:rFonts w:eastAsia="바탕"/>
      <w:sz w:val="16"/>
      <w:szCs w:val="16"/>
      <w:lang w:val="en-AU"/>
    </w:rPr>
  </w:style>
  <w:style w:type="character" w:styleId="FollowedHyperlink">
    <w:name w:val="FollowedHyperlink"/>
    <w:basedOn w:val="DefaultParagraphFont"/>
    <w:rsid w:val="008871A2"/>
    <w:rPr>
      <w:color w:val="800080"/>
      <w:u w:val="single"/>
    </w:rPr>
  </w:style>
  <w:style w:type="paragraph" w:styleId="BalloonText">
    <w:name w:val="Balloon Text"/>
    <w:basedOn w:val="Normal"/>
    <w:link w:val="BalloonTextChar"/>
    <w:rsid w:val="00D266FB"/>
    <w:rPr>
      <w:rFonts w:ascii="Tahoma" w:hAnsi="Tahoma" w:cs="Tahoma"/>
      <w:sz w:val="16"/>
      <w:szCs w:val="16"/>
    </w:rPr>
  </w:style>
  <w:style w:type="character" w:customStyle="1" w:styleId="BalloonTextChar">
    <w:name w:val="Balloon Text Char"/>
    <w:basedOn w:val="DefaultParagraphFont"/>
    <w:link w:val="BalloonText"/>
    <w:rsid w:val="00D266FB"/>
    <w:rPr>
      <w:rFonts w:ascii="Tahoma" w:eastAsia="Times New Roman" w:hAnsi="Tahoma" w:cs="Tahoma"/>
      <w:sz w:val="16"/>
      <w:szCs w:val="16"/>
      <w:lang w:eastAsia="en-US" w:bidi="ar-SA"/>
    </w:rPr>
  </w:style>
  <w:style w:type="paragraph" w:styleId="FootnoteText">
    <w:name w:val="footnote text"/>
    <w:basedOn w:val="Normal"/>
    <w:link w:val="FootnoteTextChar"/>
    <w:rsid w:val="004D6428"/>
    <w:rPr>
      <w:sz w:val="20"/>
      <w:szCs w:val="20"/>
    </w:rPr>
  </w:style>
  <w:style w:type="character" w:customStyle="1" w:styleId="FootnoteTextChar">
    <w:name w:val="Footnote Text Char"/>
    <w:basedOn w:val="DefaultParagraphFont"/>
    <w:link w:val="FootnoteText"/>
    <w:rsid w:val="004D6428"/>
    <w:rPr>
      <w:rFonts w:eastAsia="Times New Roman"/>
      <w:lang w:eastAsia="en-US" w:bidi="ar-SA"/>
    </w:rPr>
  </w:style>
  <w:style w:type="character" w:styleId="FootnoteReference">
    <w:name w:val="footnote reference"/>
    <w:basedOn w:val="DefaultParagraphFont"/>
    <w:rsid w:val="004D6428"/>
    <w:rPr>
      <w:vertAlign w:val="superscript"/>
    </w:rPr>
  </w:style>
  <w:style w:type="paragraph" w:customStyle="1" w:styleId="Default">
    <w:name w:val="Default"/>
    <w:rsid w:val="00FF3313"/>
    <w:pPr>
      <w:autoSpaceDE w:val="0"/>
      <w:autoSpaceDN w:val="0"/>
      <w:adjustRightInd w:val="0"/>
    </w:pPr>
    <w:rPr>
      <w:color w:val="000000"/>
      <w:sz w:val="24"/>
      <w:szCs w:val="24"/>
      <w:lang w:bidi="ar-SA"/>
    </w:rPr>
  </w:style>
  <w:style w:type="character" w:styleId="Hyperlink">
    <w:name w:val="Hyperlink"/>
    <w:uiPriority w:val="99"/>
    <w:unhideWhenUsed/>
    <w:rsid w:val="00C811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07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C366D0C-ACD1-4C86-950E-42CC4599B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Western and Central Pacific Fisheries Commission</Company>
  <LinksUpToDate>false</LinksUpToDate>
  <CharactersWithSpaces>4276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SungKwon Soh</cp:lastModifiedBy>
  <cp:revision>3</cp:revision>
  <cp:lastPrinted>2017-07-31T22:47:00Z</cp:lastPrinted>
  <dcterms:created xsi:type="dcterms:W3CDTF">2017-08-30T09:26:00Z</dcterms:created>
  <dcterms:modified xsi:type="dcterms:W3CDTF">2017-08-30T09:27:00Z</dcterms:modified>
</cp:coreProperties>
</file>