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1B" w:rsidRPr="00F502AA" w:rsidRDefault="004060F2" w:rsidP="0076781B">
      <w:pPr>
        <w:jc w:val="center"/>
        <w:rPr>
          <w:sz w:val="22"/>
          <w:szCs w:val="22"/>
          <w:lang w:val="en-NZ"/>
        </w:rPr>
      </w:pPr>
      <w:r w:rsidRPr="00F502AA">
        <w:rPr>
          <w:noProof/>
          <w:sz w:val="22"/>
          <w:szCs w:val="22"/>
          <w:lang w:eastAsia="ko-KR"/>
        </w:rPr>
        <w:drawing>
          <wp:inline distT="0" distB="0" distL="0" distR="0" wp14:anchorId="25BF0247" wp14:editId="2BC73563">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7A702C" w:rsidRDefault="007A702C" w:rsidP="00EE2ACA">
      <w:pPr>
        <w:adjustRightInd w:val="0"/>
        <w:snapToGrid w:val="0"/>
        <w:jc w:val="center"/>
        <w:rPr>
          <w:rFonts w:eastAsiaTheme="minorEastAsia" w:hint="eastAsia"/>
          <w:b/>
          <w:sz w:val="22"/>
          <w:szCs w:val="22"/>
          <w:lang w:val="en-NZ" w:eastAsia="ko-KR"/>
        </w:rPr>
      </w:pPr>
    </w:p>
    <w:p w:rsidR="00EE2ACA" w:rsidRPr="009817E2" w:rsidRDefault="00EE2ACA" w:rsidP="00EE2ACA">
      <w:pPr>
        <w:adjustRightInd w:val="0"/>
        <w:snapToGrid w:val="0"/>
        <w:jc w:val="center"/>
        <w:rPr>
          <w:b/>
          <w:sz w:val="22"/>
          <w:szCs w:val="22"/>
          <w:lang w:val="en-NZ" w:eastAsia="ja-JP"/>
        </w:rPr>
      </w:pPr>
      <w:r w:rsidRPr="009817E2">
        <w:rPr>
          <w:b/>
          <w:sz w:val="22"/>
          <w:szCs w:val="22"/>
          <w:lang w:val="en-NZ"/>
        </w:rPr>
        <w:t>NORTHERN COMMITTEE</w:t>
      </w:r>
    </w:p>
    <w:p w:rsidR="00EE2ACA" w:rsidRDefault="009410B0" w:rsidP="00EE2ACA">
      <w:pPr>
        <w:adjustRightInd w:val="0"/>
        <w:snapToGrid w:val="0"/>
        <w:jc w:val="center"/>
        <w:rPr>
          <w:rFonts w:eastAsiaTheme="minorEastAsia" w:hint="eastAsia"/>
          <w:b/>
          <w:sz w:val="22"/>
          <w:szCs w:val="22"/>
          <w:lang w:val="en-NZ" w:eastAsia="ko-KR"/>
        </w:rPr>
      </w:pPr>
      <w:r>
        <w:rPr>
          <w:rFonts w:eastAsiaTheme="minorEastAsia" w:hint="eastAsia"/>
          <w:b/>
          <w:sz w:val="22"/>
          <w:szCs w:val="22"/>
          <w:lang w:val="en-NZ" w:eastAsia="ko-KR"/>
        </w:rPr>
        <w:t>THIRTEENTH</w:t>
      </w:r>
      <w:r w:rsidR="00EE2ACA" w:rsidRPr="009817E2">
        <w:rPr>
          <w:rFonts w:eastAsiaTheme="minorEastAsia"/>
          <w:b/>
          <w:sz w:val="22"/>
          <w:szCs w:val="22"/>
          <w:lang w:val="en-NZ" w:eastAsia="ko-KR"/>
        </w:rPr>
        <w:t xml:space="preserve"> </w:t>
      </w:r>
      <w:r w:rsidR="00EE2ACA" w:rsidRPr="009817E2">
        <w:rPr>
          <w:b/>
          <w:sz w:val="22"/>
          <w:szCs w:val="22"/>
          <w:lang w:val="en-NZ" w:eastAsia="ja-JP"/>
        </w:rPr>
        <w:t>REGULAR SESSION</w:t>
      </w:r>
    </w:p>
    <w:p w:rsidR="007A702C" w:rsidRPr="007A702C" w:rsidRDefault="007A702C" w:rsidP="00EE2ACA">
      <w:pPr>
        <w:adjustRightInd w:val="0"/>
        <w:snapToGrid w:val="0"/>
        <w:jc w:val="center"/>
        <w:rPr>
          <w:rFonts w:eastAsiaTheme="minorEastAsia" w:hint="eastAsia"/>
          <w:b/>
          <w:sz w:val="22"/>
          <w:szCs w:val="22"/>
          <w:lang w:val="en-NZ" w:eastAsia="ko-KR"/>
        </w:rPr>
      </w:pPr>
    </w:p>
    <w:p w:rsidR="00EE2ACA" w:rsidRPr="009817E2" w:rsidRDefault="009410B0" w:rsidP="00EE2ACA">
      <w:pPr>
        <w:adjustRightInd w:val="0"/>
        <w:snapToGrid w:val="0"/>
        <w:jc w:val="center"/>
        <w:rPr>
          <w:sz w:val="22"/>
          <w:szCs w:val="22"/>
          <w:lang w:val="en-NZ"/>
        </w:rPr>
      </w:pPr>
      <w:r>
        <w:rPr>
          <w:rFonts w:eastAsiaTheme="minorEastAsia" w:hint="eastAsia"/>
          <w:sz w:val="22"/>
          <w:szCs w:val="22"/>
          <w:lang w:val="en-NZ" w:eastAsia="ko-KR"/>
        </w:rPr>
        <w:t>Busan, Republic of Korea</w:t>
      </w:r>
    </w:p>
    <w:p w:rsidR="003572DD" w:rsidRPr="00EE2ACA" w:rsidRDefault="009410B0" w:rsidP="00EE2ACA">
      <w:pPr>
        <w:adjustRightInd w:val="0"/>
        <w:snapToGrid w:val="0"/>
        <w:jc w:val="center"/>
        <w:rPr>
          <w:rFonts w:eastAsia="맑은 고딕"/>
          <w:b/>
          <w:sz w:val="22"/>
          <w:szCs w:val="22"/>
          <w:lang w:eastAsia="ko-KR"/>
        </w:rPr>
      </w:pPr>
      <w:r>
        <w:rPr>
          <w:rFonts w:eastAsiaTheme="minorEastAsia" w:hint="eastAsia"/>
          <w:sz w:val="22"/>
          <w:szCs w:val="22"/>
          <w:lang w:val="en-NZ" w:eastAsia="ko-KR"/>
        </w:rPr>
        <w:t>28</w:t>
      </w:r>
      <w:r w:rsidR="00EE2ACA" w:rsidRPr="009817E2">
        <w:rPr>
          <w:rFonts w:eastAsiaTheme="minorEastAsia"/>
          <w:sz w:val="22"/>
          <w:szCs w:val="22"/>
          <w:lang w:val="en-NZ" w:eastAsia="ko-KR"/>
        </w:rPr>
        <w:t xml:space="preserve"> August </w:t>
      </w:r>
      <w:r w:rsidR="00EE2ACA" w:rsidRPr="009817E2">
        <w:rPr>
          <w:sz w:val="22"/>
          <w:szCs w:val="22"/>
          <w:lang w:val="en-NZ" w:eastAsia="ja-JP"/>
        </w:rPr>
        <w:t>–</w:t>
      </w:r>
      <w:r w:rsidR="00EE2ACA" w:rsidRPr="009817E2">
        <w:rPr>
          <w:rFonts w:eastAsiaTheme="minorEastAsia"/>
          <w:sz w:val="22"/>
          <w:szCs w:val="22"/>
          <w:lang w:val="en-NZ" w:eastAsia="ko-KR"/>
        </w:rPr>
        <w:t xml:space="preserve"> </w:t>
      </w:r>
      <w:r>
        <w:rPr>
          <w:rFonts w:eastAsiaTheme="minorEastAsia" w:hint="eastAsia"/>
          <w:sz w:val="22"/>
          <w:szCs w:val="22"/>
          <w:lang w:val="en-NZ" w:eastAsia="ko-KR"/>
        </w:rPr>
        <w:t>1</w:t>
      </w:r>
      <w:r w:rsidR="00EE2ACA" w:rsidRPr="009817E2">
        <w:rPr>
          <w:sz w:val="22"/>
          <w:szCs w:val="22"/>
          <w:lang w:val="en-NZ"/>
        </w:rPr>
        <w:t xml:space="preserve"> September </w:t>
      </w:r>
      <w:r w:rsidR="00EE2ACA" w:rsidRPr="009817E2">
        <w:rPr>
          <w:sz w:val="22"/>
          <w:szCs w:val="22"/>
          <w:lang w:val="en-NZ" w:eastAsia="ja-JP"/>
        </w:rPr>
        <w:t>201</w:t>
      </w:r>
      <w:r>
        <w:rPr>
          <w:rFonts w:eastAsiaTheme="minorEastAsia" w:hint="eastAsia"/>
          <w:sz w:val="22"/>
          <w:szCs w:val="22"/>
          <w:lang w:val="en-NZ" w:eastAsia="ko-KR"/>
        </w:rPr>
        <w:t>7</w:t>
      </w:r>
    </w:p>
    <w:p w:rsidR="00FF3313" w:rsidRDefault="00FF3313" w:rsidP="00FF3313">
      <w:pPr>
        <w:pStyle w:val="Default"/>
      </w:pPr>
    </w:p>
    <w:p w:rsidR="00447A86" w:rsidRDefault="00447A86" w:rsidP="00447A86">
      <w:pPr>
        <w:pStyle w:val="BodyText3"/>
        <w:pBdr>
          <w:top w:val="single" w:sz="12" w:space="1" w:color="auto"/>
          <w:bottom w:val="single" w:sz="12" w:space="1" w:color="auto"/>
        </w:pBdr>
        <w:spacing w:after="0"/>
        <w:jc w:val="center"/>
        <w:rPr>
          <w:rFonts w:ascii="Times New Roman Bold" w:hAnsi="Times New Roman Bold" w:hint="eastAsia"/>
          <w:b/>
          <w:bCs/>
          <w:caps/>
          <w:sz w:val="22"/>
          <w:szCs w:val="22"/>
          <w:lang w:val="en-US" w:eastAsia="ko-KR"/>
        </w:rPr>
      </w:pPr>
      <w:r>
        <w:rPr>
          <w:rFonts w:ascii="Times New Roman Bold" w:hAnsi="Times New Roman Bold" w:hint="eastAsia"/>
          <w:b/>
          <w:bCs/>
          <w:caps/>
          <w:sz w:val="22"/>
          <w:szCs w:val="22"/>
          <w:lang w:val="en-US" w:eastAsia="ko-KR"/>
        </w:rPr>
        <w:t>Chair</w:t>
      </w:r>
      <w:r>
        <w:rPr>
          <w:rFonts w:ascii="Times New Roman Bold" w:hAnsi="Times New Roman Bold"/>
          <w:b/>
          <w:bCs/>
          <w:caps/>
          <w:sz w:val="22"/>
          <w:szCs w:val="22"/>
          <w:lang w:val="en-US" w:eastAsia="ko-KR"/>
        </w:rPr>
        <w:t>’</w:t>
      </w:r>
      <w:r>
        <w:rPr>
          <w:rFonts w:ascii="Times New Roman Bold" w:hAnsi="Times New Roman Bold" w:hint="eastAsia"/>
          <w:b/>
          <w:bCs/>
          <w:caps/>
          <w:sz w:val="22"/>
          <w:szCs w:val="22"/>
          <w:lang w:val="en-US" w:eastAsia="ko-KR"/>
        </w:rPr>
        <w:t>s draft</w:t>
      </w:r>
    </w:p>
    <w:p w:rsidR="00447A86" w:rsidRPr="00447A86" w:rsidRDefault="00447A86" w:rsidP="00447A86">
      <w:pPr>
        <w:pStyle w:val="BodyText3"/>
        <w:pBdr>
          <w:top w:val="single" w:sz="12" w:space="1" w:color="auto"/>
          <w:bottom w:val="single" w:sz="12" w:space="1" w:color="auto"/>
        </w:pBdr>
        <w:spacing w:after="0"/>
        <w:jc w:val="center"/>
        <w:rPr>
          <w:rFonts w:ascii="Times New Roman Bold" w:hAnsi="Times New Roman Bold"/>
          <w:b/>
          <w:bCs/>
          <w:sz w:val="22"/>
          <w:szCs w:val="22"/>
          <w:lang w:val="en-US" w:eastAsia="ko-KR"/>
        </w:rPr>
      </w:pPr>
      <w:r>
        <w:rPr>
          <w:rFonts w:hint="eastAsia"/>
          <w:sz w:val="28"/>
          <w:szCs w:val="28"/>
          <w:lang w:eastAsia="ko-KR"/>
        </w:rPr>
        <w:t xml:space="preserve">4. </w:t>
      </w:r>
      <w:r>
        <w:rPr>
          <w:sz w:val="28"/>
          <w:szCs w:val="28"/>
        </w:rPr>
        <w:t>Management after reaching 20%SSB</w:t>
      </w:r>
      <w:r>
        <w:t>F=0</w:t>
      </w:r>
    </w:p>
    <w:p w:rsidR="0076781B" w:rsidRPr="00F502AA" w:rsidRDefault="00084879" w:rsidP="0076781B">
      <w:pPr>
        <w:spacing w:before="60"/>
        <w:jc w:val="right"/>
        <w:rPr>
          <w:rFonts w:eastAsiaTheme="minorEastAsia"/>
          <w:b/>
          <w:bCs/>
          <w:sz w:val="22"/>
          <w:szCs w:val="22"/>
          <w:lang w:eastAsia="ko-KR"/>
        </w:rPr>
      </w:pPr>
      <w:r w:rsidRPr="00F502AA">
        <w:rPr>
          <w:b/>
          <w:bCs/>
          <w:sz w:val="22"/>
          <w:szCs w:val="22"/>
        </w:rPr>
        <w:t>WCPFC-</w:t>
      </w:r>
      <w:r w:rsidR="00D266FB" w:rsidRPr="00F502AA">
        <w:rPr>
          <w:b/>
          <w:bCs/>
          <w:sz w:val="22"/>
          <w:szCs w:val="22"/>
        </w:rPr>
        <w:t>NC</w:t>
      </w:r>
      <w:r w:rsidR="00F502AA" w:rsidRPr="00F502AA">
        <w:rPr>
          <w:rFonts w:eastAsiaTheme="minorEastAsia" w:hint="eastAsia"/>
          <w:b/>
          <w:bCs/>
          <w:sz w:val="22"/>
          <w:szCs w:val="22"/>
          <w:lang w:eastAsia="ko-KR"/>
        </w:rPr>
        <w:t>1</w:t>
      </w:r>
      <w:r w:rsidR="009410B0">
        <w:rPr>
          <w:rFonts w:eastAsiaTheme="minorEastAsia" w:hint="eastAsia"/>
          <w:b/>
          <w:bCs/>
          <w:sz w:val="22"/>
          <w:szCs w:val="22"/>
          <w:lang w:eastAsia="ko-KR"/>
        </w:rPr>
        <w:t>3</w:t>
      </w:r>
      <w:r w:rsidR="00D266FB" w:rsidRPr="00F502AA">
        <w:rPr>
          <w:b/>
          <w:bCs/>
          <w:sz w:val="22"/>
          <w:szCs w:val="22"/>
        </w:rPr>
        <w:t>-201</w:t>
      </w:r>
      <w:r w:rsidR="009410B0">
        <w:rPr>
          <w:rFonts w:eastAsia="바탕" w:hint="eastAsia"/>
          <w:b/>
          <w:bCs/>
          <w:sz w:val="22"/>
          <w:szCs w:val="22"/>
          <w:lang w:eastAsia="ko-KR"/>
        </w:rPr>
        <w:t>7</w:t>
      </w:r>
      <w:r w:rsidR="00E655E3" w:rsidRPr="00F502AA">
        <w:rPr>
          <w:b/>
          <w:bCs/>
          <w:sz w:val="22"/>
          <w:szCs w:val="22"/>
        </w:rPr>
        <w:t>/</w:t>
      </w:r>
      <w:r w:rsidR="00EE2ACA">
        <w:rPr>
          <w:rFonts w:eastAsiaTheme="minorEastAsia" w:hint="eastAsia"/>
          <w:b/>
          <w:bCs/>
          <w:sz w:val="22"/>
          <w:szCs w:val="22"/>
          <w:lang w:eastAsia="ko-KR"/>
        </w:rPr>
        <w:t>DP-</w:t>
      </w:r>
      <w:r w:rsidR="007A702C">
        <w:rPr>
          <w:rFonts w:eastAsiaTheme="minorEastAsia" w:hint="eastAsia"/>
          <w:b/>
          <w:bCs/>
          <w:sz w:val="22"/>
          <w:szCs w:val="22"/>
          <w:lang w:eastAsia="ko-KR"/>
        </w:rPr>
        <w:t>13</w:t>
      </w: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C124F9" w:rsidRPr="00C124F9" w:rsidRDefault="00675A53" w:rsidP="009410B0">
      <w:pPr>
        <w:jc w:val="center"/>
        <w:rPr>
          <w:color w:val="000000"/>
        </w:rPr>
      </w:pPr>
      <w:r>
        <w:rPr>
          <w:rFonts w:eastAsia="바탕" w:hint="eastAsia"/>
          <w:b/>
          <w:bCs/>
          <w:sz w:val="22"/>
          <w:szCs w:val="22"/>
          <w:lang w:eastAsia="ko-KR" w:bidi="th-TH"/>
        </w:rPr>
        <w:t>CHAIRMAN</w:t>
      </w:r>
    </w:p>
    <w:p w:rsidR="00675A53" w:rsidRDefault="00675A53">
      <w:pPr>
        <w:rPr>
          <w:rFonts w:eastAsia="바탕"/>
          <w:b/>
          <w:bCs/>
          <w:lang w:eastAsia="ko-KR" w:bidi="th-TH"/>
        </w:rPr>
      </w:pPr>
      <w:r>
        <w:rPr>
          <w:rFonts w:eastAsia="바탕"/>
          <w:b/>
          <w:bCs/>
          <w:lang w:eastAsia="ko-KR" w:bidi="th-TH"/>
        </w:rPr>
        <w:br w:type="page"/>
      </w:r>
    </w:p>
    <w:p w:rsidR="00675A53" w:rsidRPr="00187F7D" w:rsidRDefault="00675A53" w:rsidP="00675A53">
      <w:pPr>
        <w:rPr>
          <w:b/>
          <w:sz w:val="28"/>
          <w:szCs w:val="28"/>
        </w:rPr>
      </w:pPr>
      <w:r w:rsidRPr="00187F7D">
        <w:rPr>
          <w:b/>
          <w:sz w:val="28"/>
          <w:szCs w:val="28"/>
        </w:rPr>
        <w:lastRenderedPageBreak/>
        <w:t>Chair’s Draft</w:t>
      </w:r>
    </w:p>
    <w:p w:rsidR="00675A53" w:rsidRPr="00187F7D" w:rsidRDefault="00675A53" w:rsidP="00675A53">
      <w:pPr>
        <w:rPr>
          <w:b/>
          <w:sz w:val="28"/>
          <w:szCs w:val="28"/>
        </w:rPr>
      </w:pPr>
    </w:p>
    <w:p w:rsidR="00675A53" w:rsidRPr="00187F7D" w:rsidRDefault="00675A53" w:rsidP="00675A53">
      <w:pPr>
        <w:rPr>
          <w:b/>
          <w:sz w:val="28"/>
          <w:szCs w:val="28"/>
        </w:rPr>
      </w:pPr>
    </w:p>
    <w:p w:rsidR="00675A53" w:rsidRPr="00187F7D" w:rsidRDefault="00675A53" w:rsidP="00675A53">
      <w:pPr>
        <w:rPr>
          <w:b/>
          <w:sz w:val="28"/>
          <w:szCs w:val="28"/>
        </w:rPr>
      </w:pPr>
      <w:r w:rsidRPr="00187F7D">
        <w:rPr>
          <w:b/>
          <w:sz w:val="28"/>
          <w:szCs w:val="28"/>
        </w:rPr>
        <w:t>4.  Management after reaching 20%SSBF=0</w:t>
      </w:r>
    </w:p>
    <w:p w:rsidR="00675A53" w:rsidRPr="00675A53" w:rsidRDefault="00675A53" w:rsidP="00675A53">
      <w:pPr>
        <w:rPr>
          <w:sz w:val="28"/>
          <w:szCs w:val="28"/>
        </w:rPr>
      </w:pPr>
    </w:p>
    <w:p w:rsidR="00675A53" w:rsidRPr="00675A53" w:rsidRDefault="00675A53" w:rsidP="00675A53">
      <w:pPr>
        <w:rPr>
          <w:sz w:val="28"/>
          <w:szCs w:val="28"/>
        </w:rPr>
      </w:pPr>
      <w:r w:rsidRPr="00675A53">
        <w:rPr>
          <w:rFonts w:hint="eastAsia"/>
          <w:sz w:val="28"/>
          <w:szCs w:val="28"/>
        </w:rPr>
        <w:t xml:space="preserve">(1)ISC is requested to start the work to develop </w:t>
      </w:r>
      <w:r w:rsidRPr="00675A53">
        <w:rPr>
          <w:sz w:val="28"/>
          <w:szCs w:val="28"/>
        </w:rPr>
        <w:t xml:space="preserve">MSE for Pacific Bluefin Tuna from 2019 and finalize it by 2024. During this MSE development period until 2024, ISC will not be requested to conduct a benchmark assessment but to conduct an update assessment in 2018, 2020 and 2022. </w:t>
      </w:r>
    </w:p>
    <w:p w:rsidR="00675A53" w:rsidRPr="00675A53" w:rsidRDefault="00675A53" w:rsidP="00675A53">
      <w:pPr>
        <w:rPr>
          <w:sz w:val="28"/>
          <w:szCs w:val="28"/>
        </w:rPr>
      </w:pPr>
    </w:p>
    <w:p w:rsidR="00675A53" w:rsidRPr="00675A53" w:rsidRDefault="00675A53" w:rsidP="00675A53">
      <w:pPr>
        <w:rPr>
          <w:sz w:val="28"/>
          <w:szCs w:val="28"/>
        </w:rPr>
      </w:pPr>
      <w:r w:rsidRPr="00675A53">
        <w:rPr>
          <w:sz w:val="28"/>
          <w:szCs w:val="28"/>
        </w:rPr>
        <w:t>(2)The joint working group will start to discuss in 2018 and finalize no later than 2019 a guideline for MSE including</w:t>
      </w:r>
      <w:bookmarkStart w:id="0" w:name="_GoBack"/>
      <w:bookmarkEnd w:id="0"/>
      <w:r w:rsidRPr="00675A53">
        <w:rPr>
          <w:sz w:val="28"/>
          <w:szCs w:val="28"/>
        </w:rPr>
        <w:t xml:space="preserve"> one candidate Target Reference Point (TRP), two candidate Limit Reference Points (LRPs) and at least one candidate harvest control rule (HCR) to be provided to ISC.  </w:t>
      </w:r>
      <w:proofErr w:type="gramStart"/>
      <w:r w:rsidRPr="00675A53">
        <w:rPr>
          <w:sz w:val="28"/>
          <w:szCs w:val="28"/>
        </w:rPr>
        <w:t>Those candidate</w:t>
      </w:r>
      <w:proofErr w:type="gramEnd"/>
      <w:r w:rsidRPr="00675A53">
        <w:rPr>
          <w:sz w:val="28"/>
          <w:szCs w:val="28"/>
        </w:rPr>
        <w:t xml:space="preserve"> TRP, LRPs and HCR(s) will be tested and changed if appropriate during the MSE development process.</w:t>
      </w:r>
    </w:p>
    <w:p w:rsidR="00675A53" w:rsidRPr="00675A53" w:rsidRDefault="00675A53" w:rsidP="00675A53">
      <w:pPr>
        <w:rPr>
          <w:sz w:val="28"/>
          <w:szCs w:val="28"/>
        </w:rPr>
      </w:pPr>
    </w:p>
    <w:p w:rsidR="00675A53" w:rsidRPr="00675A53" w:rsidRDefault="00675A53" w:rsidP="00675A53">
      <w:pPr>
        <w:rPr>
          <w:sz w:val="28"/>
          <w:szCs w:val="28"/>
        </w:rPr>
      </w:pPr>
      <w:r w:rsidRPr="00675A53">
        <w:rPr>
          <w:sz w:val="28"/>
          <w:szCs w:val="28"/>
        </w:rPr>
        <w:t>(3)For preparation of the joint working group meeting in 2019, workshops will be scheduled in early 2018 and 2019 to identify management objectives including level of risks and timelines.  The workshops will consist of managers, scientists and stakeholders to be selected by the joint working group, which should be a relatively small number of representatives as was in the albacore WS.</w:t>
      </w:r>
    </w:p>
    <w:p w:rsidR="00675A53" w:rsidRPr="00675A53" w:rsidRDefault="00675A53" w:rsidP="00675A53">
      <w:pPr>
        <w:rPr>
          <w:sz w:val="28"/>
          <w:szCs w:val="28"/>
        </w:rPr>
      </w:pPr>
    </w:p>
    <w:p w:rsidR="00675A53" w:rsidRPr="00675A53" w:rsidRDefault="00675A53" w:rsidP="00675A53">
      <w:pPr>
        <w:rPr>
          <w:sz w:val="28"/>
          <w:szCs w:val="28"/>
        </w:rPr>
      </w:pPr>
      <w:r w:rsidRPr="00675A53">
        <w:rPr>
          <w:rFonts w:hint="eastAsia"/>
          <w:sz w:val="28"/>
          <w:szCs w:val="28"/>
        </w:rPr>
        <w:t>(4)</w:t>
      </w:r>
      <w:r w:rsidRPr="00675A53">
        <w:rPr>
          <w:sz w:val="28"/>
          <w:szCs w:val="28"/>
        </w:rPr>
        <w:t>At least two experts will be hired and additional fund will be provided for ISC MSE work for Pacific Bluefin Tuna.</w:t>
      </w:r>
    </w:p>
    <w:p w:rsidR="00675A53" w:rsidRPr="00675A53" w:rsidRDefault="00675A53" w:rsidP="00675A53">
      <w:pPr>
        <w:rPr>
          <w:sz w:val="28"/>
          <w:szCs w:val="28"/>
        </w:rPr>
      </w:pPr>
    </w:p>
    <w:p w:rsidR="00C56235" w:rsidRPr="00675A53" w:rsidRDefault="00C56235" w:rsidP="00C020BB">
      <w:pPr>
        <w:rPr>
          <w:rFonts w:eastAsia="바탕"/>
          <w:b/>
          <w:bCs/>
          <w:sz w:val="28"/>
          <w:szCs w:val="28"/>
          <w:lang w:eastAsia="ko-KR" w:bidi="th-TH"/>
        </w:rPr>
      </w:pPr>
    </w:p>
    <w:sectPr w:rsidR="00C56235" w:rsidRPr="00675A53" w:rsidSect="00F42F7A">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957" w:rsidRDefault="00EC4957" w:rsidP="004D6428">
      <w:r>
        <w:separator/>
      </w:r>
    </w:p>
  </w:endnote>
  <w:endnote w:type="continuationSeparator" w:id="0">
    <w:p w:rsidR="00EC4957" w:rsidRDefault="00EC4957" w:rsidP="004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957" w:rsidRDefault="00EC4957" w:rsidP="004D6428">
      <w:r>
        <w:separator/>
      </w:r>
    </w:p>
  </w:footnote>
  <w:footnote w:type="continuationSeparator" w:id="0">
    <w:p w:rsidR="00EC4957" w:rsidRDefault="00EC4957" w:rsidP="004D6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1B"/>
    <w:rsid w:val="000706D1"/>
    <w:rsid w:val="00084879"/>
    <w:rsid w:val="00097C88"/>
    <w:rsid w:val="000B18C1"/>
    <w:rsid w:val="000B32DB"/>
    <w:rsid w:val="000C203C"/>
    <w:rsid w:val="000F37BF"/>
    <w:rsid w:val="000F47AA"/>
    <w:rsid w:val="000F59EE"/>
    <w:rsid w:val="000F5FB5"/>
    <w:rsid w:val="00116F64"/>
    <w:rsid w:val="0013758A"/>
    <w:rsid w:val="00187F7D"/>
    <w:rsid w:val="001E45CD"/>
    <w:rsid w:val="00202953"/>
    <w:rsid w:val="00217318"/>
    <w:rsid w:val="00221125"/>
    <w:rsid w:val="00262CF1"/>
    <w:rsid w:val="00263F46"/>
    <w:rsid w:val="002B7F0B"/>
    <w:rsid w:val="002E4FE0"/>
    <w:rsid w:val="00321330"/>
    <w:rsid w:val="00325C88"/>
    <w:rsid w:val="00327971"/>
    <w:rsid w:val="003572DD"/>
    <w:rsid w:val="003E533B"/>
    <w:rsid w:val="003F3F2B"/>
    <w:rsid w:val="004060F2"/>
    <w:rsid w:val="00435908"/>
    <w:rsid w:val="004442DC"/>
    <w:rsid w:val="00447A86"/>
    <w:rsid w:val="004719AD"/>
    <w:rsid w:val="00493725"/>
    <w:rsid w:val="00494950"/>
    <w:rsid w:val="004B64C5"/>
    <w:rsid w:val="004D6428"/>
    <w:rsid w:val="004F541C"/>
    <w:rsid w:val="005159AD"/>
    <w:rsid w:val="00533EE2"/>
    <w:rsid w:val="0054619B"/>
    <w:rsid w:val="00602EFC"/>
    <w:rsid w:val="00675A53"/>
    <w:rsid w:val="00682529"/>
    <w:rsid w:val="00696AB2"/>
    <w:rsid w:val="006A6F45"/>
    <w:rsid w:val="006B4437"/>
    <w:rsid w:val="006B7449"/>
    <w:rsid w:val="006E0EEB"/>
    <w:rsid w:val="006F623D"/>
    <w:rsid w:val="0076781B"/>
    <w:rsid w:val="007929DD"/>
    <w:rsid w:val="00795121"/>
    <w:rsid w:val="007A702C"/>
    <w:rsid w:val="00854477"/>
    <w:rsid w:val="008871A2"/>
    <w:rsid w:val="008B3B70"/>
    <w:rsid w:val="008D00F7"/>
    <w:rsid w:val="00923352"/>
    <w:rsid w:val="009410B0"/>
    <w:rsid w:val="009575A0"/>
    <w:rsid w:val="009638E9"/>
    <w:rsid w:val="009A02FF"/>
    <w:rsid w:val="009B5403"/>
    <w:rsid w:val="00A017C3"/>
    <w:rsid w:val="00A25B5A"/>
    <w:rsid w:val="00A54FE6"/>
    <w:rsid w:val="00A55E61"/>
    <w:rsid w:val="00A61A78"/>
    <w:rsid w:val="00AA6115"/>
    <w:rsid w:val="00AB6F5C"/>
    <w:rsid w:val="00AE18C4"/>
    <w:rsid w:val="00AE625B"/>
    <w:rsid w:val="00AF5F59"/>
    <w:rsid w:val="00B2638A"/>
    <w:rsid w:val="00B654A7"/>
    <w:rsid w:val="00BA6F0C"/>
    <w:rsid w:val="00BB65A9"/>
    <w:rsid w:val="00C020BB"/>
    <w:rsid w:val="00C124F9"/>
    <w:rsid w:val="00C27049"/>
    <w:rsid w:val="00C34CC4"/>
    <w:rsid w:val="00C56235"/>
    <w:rsid w:val="00C6481E"/>
    <w:rsid w:val="00C6488A"/>
    <w:rsid w:val="00C81144"/>
    <w:rsid w:val="00CA00E8"/>
    <w:rsid w:val="00CB49FF"/>
    <w:rsid w:val="00D266FB"/>
    <w:rsid w:val="00D4560C"/>
    <w:rsid w:val="00D84988"/>
    <w:rsid w:val="00D9477A"/>
    <w:rsid w:val="00DA5C4B"/>
    <w:rsid w:val="00E3627D"/>
    <w:rsid w:val="00E50887"/>
    <w:rsid w:val="00E655E3"/>
    <w:rsid w:val="00EC4957"/>
    <w:rsid w:val="00EE2ACA"/>
    <w:rsid w:val="00EE54F8"/>
    <w:rsid w:val="00F03BDA"/>
    <w:rsid w:val="00F26629"/>
    <w:rsid w:val="00F42F7A"/>
    <w:rsid w:val="00F502AA"/>
    <w:rsid w:val="00F831AA"/>
    <w:rsid w:val="00FA4FE5"/>
    <w:rsid w:val="00FD4D6E"/>
    <w:rsid w:val="00FD5DE6"/>
    <w:rsid w:val="00FF331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1B"/>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6781B"/>
    <w:pPr>
      <w:spacing w:after="120"/>
    </w:pPr>
    <w:rPr>
      <w:rFonts w:eastAsia="바탕"/>
      <w:sz w:val="16"/>
      <w:szCs w:val="16"/>
      <w:lang w:val="en-AU"/>
    </w:rPr>
  </w:style>
  <w:style w:type="character" w:styleId="FollowedHyperlink">
    <w:name w:val="FollowedHyperlink"/>
    <w:basedOn w:val="DefaultParagraphFont"/>
    <w:rsid w:val="008871A2"/>
    <w:rPr>
      <w:color w:val="800080"/>
      <w:u w:val="single"/>
    </w:rPr>
  </w:style>
  <w:style w:type="paragraph" w:styleId="BalloonText">
    <w:name w:val="Balloon Text"/>
    <w:basedOn w:val="Normal"/>
    <w:link w:val="BalloonTextChar"/>
    <w:rsid w:val="00D266FB"/>
    <w:rPr>
      <w:rFonts w:ascii="Tahoma" w:hAnsi="Tahoma" w:cs="Tahoma"/>
      <w:sz w:val="16"/>
      <w:szCs w:val="16"/>
    </w:rPr>
  </w:style>
  <w:style w:type="character" w:customStyle="1" w:styleId="BalloonTextChar">
    <w:name w:val="Balloon Text Char"/>
    <w:basedOn w:val="DefaultParagraphFont"/>
    <w:link w:val="BalloonText"/>
    <w:rsid w:val="00D266FB"/>
    <w:rPr>
      <w:rFonts w:ascii="Tahoma" w:eastAsia="Times New Roman" w:hAnsi="Tahoma" w:cs="Tahoma"/>
      <w:sz w:val="16"/>
      <w:szCs w:val="16"/>
      <w:lang w:eastAsia="en-US" w:bidi="ar-SA"/>
    </w:rPr>
  </w:style>
  <w:style w:type="paragraph" w:styleId="FootnoteText">
    <w:name w:val="footnote text"/>
    <w:basedOn w:val="Normal"/>
    <w:link w:val="FootnoteTextChar"/>
    <w:rsid w:val="004D6428"/>
    <w:rPr>
      <w:sz w:val="20"/>
      <w:szCs w:val="20"/>
    </w:rPr>
  </w:style>
  <w:style w:type="character" w:customStyle="1" w:styleId="FootnoteTextChar">
    <w:name w:val="Footnote Text Char"/>
    <w:basedOn w:val="DefaultParagraphFont"/>
    <w:link w:val="FootnoteText"/>
    <w:rsid w:val="004D6428"/>
    <w:rPr>
      <w:rFonts w:eastAsia="Times New Roman"/>
      <w:lang w:eastAsia="en-US" w:bidi="ar-SA"/>
    </w:rPr>
  </w:style>
  <w:style w:type="character" w:styleId="FootnoteReference">
    <w:name w:val="footnote reference"/>
    <w:basedOn w:val="DefaultParagraphFont"/>
    <w:rsid w:val="004D6428"/>
    <w:rPr>
      <w:vertAlign w:val="superscript"/>
    </w:rPr>
  </w:style>
  <w:style w:type="paragraph" w:customStyle="1" w:styleId="Default">
    <w:name w:val="Default"/>
    <w:rsid w:val="00FF3313"/>
    <w:pPr>
      <w:autoSpaceDE w:val="0"/>
      <w:autoSpaceDN w:val="0"/>
      <w:adjustRightInd w:val="0"/>
    </w:pPr>
    <w:rPr>
      <w:color w:val="000000"/>
      <w:sz w:val="24"/>
      <w:szCs w:val="24"/>
      <w:lang w:bidi="ar-SA"/>
    </w:rPr>
  </w:style>
  <w:style w:type="character" w:styleId="Hyperlink">
    <w:name w:val="Hyperlink"/>
    <w:uiPriority w:val="99"/>
    <w:unhideWhenUsed/>
    <w:rsid w:val="00C811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1B"/>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6781B"/>
    <w:pPr>
      <w:spacing w:after="120"/>
    </w:pPr>
    <w:rPr>
      <w:rFonts w:eastAsia="바탕"/>
      <w:sz w:val="16"/>
      <w:szCs w:val="16"/>
      <w:lang w:val="en-AU"/>
    </w:rPr>
  </w:style>
  <w:style w:type="character" w:styleId="FollowedHyperlink">
    <w:name w:val="FollowedHyperlink"/>
    <w:basedOn w:val="DefaultParagraphFont"/>
    <w:rsid w:val="008871A2"/>
    <w:rPr>
      <w:color w:val="800080"/>
      <w:u w:val="single"/>
    </w:rPr>
  </w:style>
  <w:style w:type="paragraph" w:styleId="BalloonText">
    <w:name w:val="Balloon Text"/>
    <w:basedOn w:val="Normal"/>
    <w:link w:val="BalloonTextChar"/>
    <w:rsid w:val="00D266FB"/>
    <w:rPr>
      <w:rFonts w:ascii="Tahoma" w:hAnsi="Tahoma" w:cs="Tahoma"/>
      <w:sz w:val="16"/>
      <w:szCs w:val="16"/>
    </w:rPr>
  </w:style>
  <w:style w:type="character" w:customStyle="1" w:styleId="BalloonTextChar">
    <w:name w:val="Balloon Text Char"/>
    <w:basedOn w:val="DefaultParagraphFont"/>
    <w:link w:val="BalloonText"/>
    <w:rsid w:val="00D266FB"/>
    <w:rPr>
      <w:rFonts w:ascii="Tahoma" w:eastAsia="Times New Roman" w:hAnsi="Tahoma" w:cs="Tahoma"/>
      <w:sz w:val="16"/>
      <w:szCs w:val="16"/>
      <w:lang w:eastAsia="en-US" w:bidi="ar-SA"/>
    </w:rPr>
  </w:style>
  <w:style w:type="paragraph" w:styleId="FootnoteText">
    <w:name w:val="footnote text"/>
    <w:basedOn w:val="Normal"/>
    <w:link w:val="FootnoteTextChar"/>
    <w:rsid w:val="004D6428"/>
    <w:rPr>
      <w:sz w:val="20"/>
      <w:szCs w:val="20"/>
    </w:rPr>
  </w:style>
  <w:style w:type="character" w:customStyle="1" w:styleId="FootnoteTextChar">
    <w:name w:val="Footnote Text Char"/>
    <w:basedOn w:val="DefaultParagraphFont"/>
    <w:link w:val="FootnoteText"/>
    <w:rsid w:val="004D6428"/>
    <w:rPr>
      <w:rFonts w:eastAsia="Times New Roman"/>
      <w:lang w:eastAsia="en-US" w:bidi="ar-SA"/>
    </w:rPr>
  </w:style>
  <w:style w:type="character" w:styleId="FootnoteReference">
    <w:name w:val="footnote reference"/>
    <w:basedOn w:val="DefaultParagraphFont"/>
    <w:rsid w:val="004D6428"/>
    <w:rPr>
      <w:vertAlign w:val="superscript"/>
    </w:rPr>
  </w:style>
  <w:style w:type="paragraph" w:customStyle="1" w:styleId="Default">
    <w:name w:val="Default"/>
    <w:rsid w:val="00FF3313"/>
    <w:pPr>
      <w:autoSpaceDE w:val="0"/>
      <w:autoSpaceDN w:val="0"/>
      <w:adjustRightInd w:val="0"/>
    </w:pPr>
    <w:rPr>
      <w:color w:val="000000"/>
      <w:sz w:val="24"/>
      <w:szCs w:val="24"/>
      <w:lang w:bidi="ar-SA"/>
    </w:rPr>
  </w:style>
  <w:style w:type="character" w:styleId="Hyperlink">
    <w:name w:val="Hyperlink"/>
    <w:uiPriority w:val="99"/>
    <w:unhideWhenUsed/>
    <w:rsid w:val="00C81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5E7844-1E6F-45FE-A9C4-B40B4DBB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and Central Pacific Fisheries Commission</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4</cp:revision>
  <cp:lastPrinted>2017-08-29T05:13:00Z</cp:lastPrinted>
  <dcterms:created xsi:type="dcterms:W3CDTF">2017-08-29T05:27:00Z</dcterms:created>
  <dcterms:modified xsi:type="dcterms:W3CDTF">2017-08-29T05:29:00Z</dcterms:modified>
</cp:coreProperties>
</file>