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A6706" w14:textId="77777777" w:rsidR="00076D11" w:rsidRPr="00FE1EB3" w:rsidRDefault="00FE1EB3">
      <w:pPr>
        <w:rPr>
          <w:rFonts w:cstheme="minorHAnsi"/>
          <w:b/>
          <w:sz w:val="24"/>
          <w:szCs w:val="24"/>
          <w:u w:val="single"/>
        </w:rPr>
      </w:pPr>
      <w:r w:rsidRPr="00FE1EB3">
        <w:rPr>
          <w:rFonts w:cstheme="minorHAnsi"/>
          <w:b/>
          <w:sz w:val="24"/>
          <w:szCs w:val="24"/>
          <w:u w:val="single"/>
        </w:rPr>
        <w:t>Draft Bridging Measure: Rev4: Amendments to Paragraphs 1 to 11</w:t>
      </w:r>
    </w:p>
    <w:p w14:paraId="2BBF0CC0" w14:textId="77777777" w:rsidR="00FE1EB3" w:rsidRPr="00FE1EB3" w:rsidRDefault="00FE1EB3">
      <w:pPr>
        <w:rPr>
          <w:rFonts w:cstheme="minorHAnsi"/>
          <w:sz w:val="24"/>
          <w:szCs w:val="24"/>
        </w:rPr>
      </w:pPr>
    </w:p>
    <w:p w14:paraId="5B58E4BC" w14:textId="77777777" w:rsidR="005278F9" w:rsidRPr="005278F9" w:rsidRDefault="00FE1EB3">
      <w:pPr>
        <w:rPr>
          <w:rFonts w:cstheme="minorHAnsi"/>
          <w:b/>
          <w:sz w:val="24"/>
          <w:szCs w:val="24"/>
        </w:rPr>
      </w:pPr>
      <w:r w:rsidRPr="005278F9">
        <w:rPr>
          <w:rFonts w:cstheme="minorHAnsi"/>
          <w:b/>
          <w:sz w:val="24"/>
          <w:szCs w:val="24"/>
        </w:rPr>
        <w:t xml:space="preserve">Explanatory Note: </w:t>
      </w:r>
    </w:p>
    <w:p w14:paraId="34D6E372" w14:textId="77777777" w:rsidR="002E7A76" w:rsidRDefault="002E7A76">
      <w:pPr>
        <w:rPr>
          <w:rFonts w:cstheme="minorHAnsi"/>
          <w:sz w:val="24"/>
          <w:szCs w:val="24"/>
        </w:rPr>
      </w:pPr>
      <w:r>
        <w:rPr>
          <w:rFonts w:cstheme="minorHAnsi"/>
          <w:sz w:val="24"/>
          <w:szCs w:val="24"/>
        </w:rPr>
        <w:t>This document contains drafting changes and status of paragraphs 1 to 11 following discussion in plenary on 22 August 2017.</w:t>
      </w:r>
    </w:p>
    <w:p w14:paraId="073568C9" w14:textId="77777777" w:rsidR="0035628B" w:rsidRDefault="00FE1EB3">
      <w:pPr>
        <w:rPr>
          <w:rFonts w:cstheme="minorHAnsi"/>
          <w:sz w:val="24"/>
          <w:szCs w:val="24"/>
        </w:rPr>
      </w:pPr>
      <w:bookmarkStart w:id="0" w:name="_GoBack"/>
      <w:bookmarkEnd w:id="0"/>
      <w:r w:rsidRPr="00FE1EB3">
        <w:rPr>
          <w:rFonts w:cstheme="minorHAnsi"/>
          <w:sz w:val="24"/>
          <w:szCs w:val="24"/>
        </w:rPr>
        <w:t xml:space="preserve">Proposed additions are underlined, proposed deletions are in strike through. Square brackets have been included on some paragraphs following discussion.  </w:t>
      </w:r>
    </w:p>
    <w:p w14:paraId="27018FB5" w14:textId="77777777" w:rsidR="00FE1EB3" w:rsidRPr="00FE1EB3" w:rsidRDefault="00FE1EB3">
      <w:pPr>
        <w:rPr>
          <w:rFonts w:cstheme="minorHAnsi"/>
          <w:sz w:val="24"/>
          <w:szCs w:val="24"/>
        </w:rPr>
      </w:pPr>
      <w:r w:rsidRPr="00FE1EB3">
        <w:rPr>
          <w:rFonts w:cstheme="minorHAnsi"/>
          <w:sz w:val="24"/>
          <w:szCs w:val="24"/>
        </w:rPr>
        <w:t xml:space="preserve">Comments have also been included for clarification in </w:t>
      </w:r>
      <w:r w:rsidRPr="00AF09E9">
        <w:rPr>
          <w:rFonts w:cstheme="minorHAnsi"/>
          <w:color w:val="FF0000"/>
          <w:sz w:val="24"/>
          <w:szCs w:val="24"/>
        </w:rPr>
        <w:t>red</w:t>
      </w:r>
      <w:r w:rsidRPr="00FE1EB3">
        <w:rPr>
          <w:rFonts w:cstheme="minorHAnsi"/>
          <w:sz w:val="24"/>
          <w:szCs w:val="24"/>
        </w:rPr>
        <w:t>.</w:t>
      </w:r>
    </w:p>
    <w:p w14:paraId="01F2DE70" w14:textId="77777777" w:rsidR="00FE1EB3" w:rsidRDefault="00FE1EB3">
      <w:pPr>
        <w:rPr>
          <w:rFonts w:cstheme="minorHAnsi"/>
          <w:sz w:val="24"/>
          <w:szCs w:val="24"/>
        </w:rPr>
      </w:pPr>
    </w:p>
    <w:p w14:paraId="5D4C0D55" w14:textId="77777777" w:rsidR="0035628B" w:rsidRPr="00FE1EB3" w:rsidRDefault="0035628B">
      <w:pPr>
        <w:rPr>
          <w:rFonts w:cstheme="minorHAnsi"/>
          <w:sz w:val="24"/>
          <w:szCs w:val="24"/>
        </w:rPr>
      </w:pPr>
    </w:p>
    <w:p w14:paraId="49A85AE2" w14:textId="77777777" w:rsidR="00FE1EB3" w:rsidRPr="00FE1EB3" w:rsidRDefault="00FE1EB3" w:rsidP="00FE1EB3">
      <w:pPr>
        <w:jc w:val="both"/>
        <w:rPr>
          <w:rFonts w:cstheme="minorHAnsi"/>
          <w:b/>
          <w:sz w:val="24"/>
          <w:szCs w:val="24"/>
        </w:rPr>
      </w:pPr>
      <w:r w:rsidRPr="00FE1EB3">
        <w:rPr>
          <w:rFonts w:cstheme="minorHAnsi"/>
          <w:b/>
          <w:sz w:val="24"/>
          <w:szCs w:val="24"/>
        </w:rPr>
        <w:t>PURPOSE</w:t>
      </w:r>
    </w:p>
    <w:p w14:paraId="5AB37B3F" w14:textId="77777777" w:rsidR="00FE1EB3" w:rsidRPr="00FE1EB3" w:rsidRDefault="00FE1EB3" w:rsidP="00FE1EB3">
      <w:pPr>
        <w:pStyle w:val="ListParagraph"/>
        <w:numPr>
          <w:ilvl w:val="0"/>
          <w:numId w:val="1"/>
        </w:numPr>
        <w:ind w:left="0" w:firstLine="0"/>
        <w:jc w:val="both"/>
        <w:rPr>
          <w:rFonts w:cstheme="minorHAnsi"/>
          <w:lang w:val="en-NZ"/>
        </w:rPr>
      </w:pPr>
      <w:r w:rsidRPr="00FE1EB3">
        <w:rPr>
          <w:rFonts w:eastAsia="MS Mincho" w:cstheme="minorHAnsi"/>
        </w:rPr>
        <w:t>[</w:t>
      </w:r>
      <w:r w:rsidRPr="0035628B">
        <w:rPr>
          <w:rFonts w:eastAsia="MS Mincho" w:cstheme="minorHAnsi"/>
          <w:b/>
        </w:rPr>
        <w:t>China</w:t>
      </w:r>
      <w:r w:rsidRPr="00FE1EB3">
        <w:rPr>
          <w:rFonts w:eastAsia="MS Mincho" w:cstheme="minorHAnsi"/>
        </w:rPr>
        <w:t xml:space="preserve">: </w:t>
      </w:r>
      <w:r w:rsidRPr="00FE1EB3">
        <w:rPr>
          <w:rFonts w:eastAsia="MS Mincho" w:cstheme="minorHAnsi"/>
          <w:u w:val="single"/>
        </w:rPr>
        <w:t>Pending the establishment of harvest strategies</w:t>
      </w:r>
      <w:r w:rsidRPr="00FE1EB3">
        <w:rPr>
          <w:rFonts w:eastAsia="MS Mincho" w:cstheme="minorHAnsi"/>
        </w:rPr>
        <w:t xml:space="preserve">,] the purpose of this measure is to provide for a robust transitional management regime that ensures the sustainability of bigeye, skipjack, and yellowfin tuna </w:t>
      </w:r>
      <w:proofErr w:type="gramStart"/>
      <w:r w:rsidRPr="00FE1EB3">
        <w:rPr>
          <w:rFonts w:eastAsia="MS Mincho" w:cstheme="minorHAnsi"/>
        </w:rPr>
        <w:t>stocks[</w:t>
      </w:r>
      <w:proofErr w:type="gramEnd"/>
      <w:r w:rsidRPr="00FE1EB3">
        <w:rPr>
          <w:rFonts w:eastAsia="MS Mincho" w:cstheme="minorHAnsi"/>
          <w:strike/>
        </w:rPr>
        <w:t>while the Commission continues to develop and establish harvest strategies pursuant to CMM 2014-06</w:t>
      </w:r>
      <w:r w:rsidRPr="00FE1EB3">
        <w:rPr>
          <w:rFonts w:eastAsia="MS Mincho" w:cstheme="minorHAnsi"/>
        </w:rPr>
        <w:t xml:space="preserve">]. </w:t>
      </w:r>
    </w:p>
    <w:p w14:paraId="328C1659" w14:textId="77777777" w:rsidR="00FE1EB3" w:rsidRPr="0035628B" w:rsidRDefault="0035628B" w:rsidP="00FE1EB3">
      <w:pPr>
        <w:jc w:val="both"/>
        <w:rPr>
          <w:rFonts w:cstheme="minorHAnsi"/>
          <w:color w:val="FF0000"/>
          <w:sz w:val="24"/>
          <w:szCs w:val="24"/>
        </w:rPr>
      </w:pPr>
      <w:r w:rsidRPr="0035628B">
        <w:rPr>
          <w:rFonts w:cstheme="minorHAnsi"/>
          <w:b/>
          <w:color w:val="FF0000"/>
          <w:sz w:val="24"/>
          <w:szCs w:val="24"/>
        </w:rPr>
        <w:t>Comment</w:t>
      </w:r>
      <w:r w:rsidRPr="0035628B">
        <w:rPr>
          <w:rFonts w:cstheme="minorHAnsi"/>
          <w:color w:val="FF0000"/>
          <w:sz w:val="24"/>
          <w:szCs w:val="24"/>
        </w:rPr>
        <w:t>: China proposal to broaden the purpose of the CMM.</w:t>
      </w:r>
    </w:p>
    <w:p w14:paraId="434234D7" w14:textId="77777777" w:rsidR="00FE1EB3" w:rsidRPr="00FE1EB3" w:rsidRDefault="00FE1EB3" w:rsidP="00FE1EB3">
      <w:pPr>
        <w:keepNext/>
        <w:jc w:val="both"/>
        <w:rPr>
          <w:rFonts w:cstheme="minorHAnsi"/>
          <w:b/>
          <w:sz w:val="24"/>
          <w:szCs w:val="24"/>
          <w:u w:val="single"/>
        </w:rPr>
      </w:pPr>
      <w:r w:rsidRPr="00FE1EB3">
        <w:rPr>
          <w:rFonts w:cstheme="minorHAnsi"/>
          <w:b/>
          <w:sz w:val="24"/>
          <w:szCs w:val="24"/>
        </w:rPr>
        <w:t xml:space="preserve">PRINCIPLES FOR APPLICATION </w:t>
      </w:r>
      <w:r w:rsidRPr="00FE1EB3">
        <w:rPr>
          <w:rFonts w:cstheme="minorHAnsi"/>
          <w:b/>
          <w:sz w:val="24"/>
          <w:szCs w:val="24"/>
          <w:u w:val="single"/>
        </w:rPr>
        <w:t>OF THE MEASURE</w:t>
      </w:r>
    </w:p>
    <w:p w14:paraId="5DF1F425" w14:textId="77777777" w:rsidR="00FE1EB3" w:rsidRPr="00FE1EB3" w:rsidRDefault="00FE1EB3" w:rsidP="00FE1EB3">
      <w:pPr>
        <w:widowControl w:val="0"/>
        <w:autoSpaceDE w:val="0"/>
        <w:autoSpaceDN w:val="0"/>
        <w:adjustRightInd w:val="0"/>
        <w:jc w:val="both"/>
        <w:rPr>
          <w:rFonts w:eastAsia="MS Mincho" w:cstheme="minorHAnsi"/>
          <w:b/>
          <w:color w:val="000000"/>
          <w:sz w:val="24"/>
          <w:szCs w:val="24"/>
        </w:rPr>
      </w:pPr>
      <w:r w:rsidRPr="00FE1EB3">
        <w:rPr>
          <w:rFonts w:eastAsia="MS Mincho" w:cstheme="minorHAnsi"/>
          <w:b/>
          <w:color w:val="000000"/>
          <w:sz w:val="24"/>
          <w:szCs w:val="24"/>
        </w:rPr>
        <w:t>Compatibility</w:t>
      </w:r>
    </w:p>
    <w:p w14:paraId="263019B1" w14:textId="77777777" w:rsidR="00FE1EB3" w:rsidRPr="00FE1EB3" w:rsidRDefault="00FE1EB3" w:rsidP="00FE1EB3">
      <w:pPr>
        <w:pStyle w:val="ListParagraph"/>
        <w:widowControl w:val="0"/>
        <w:numPr>
          <w:ilvl w:val="0"/>
          <w:numId w:val="1"/>
        </w:numPr>
        <w:autoSpaceDE w:val="0"/>
        <w:autoSpaceDN w:val="0"/>
        <w:adjustRightInd w:val="0"/>
        <w:ind w:left="0" w:firstLine="0"/>
        <w:jc w:val="both"/>
        <w:rPr>
          <w:rFonts w:eastAsia="MS Mincho" w:cstheme="minorHAnsi"/>
        </w:rPr>
      </w:pPr>
      <w:r w:rsidRPr="00FE1EB3">
        <w:rPr>
          <w:rFonts w:eastAsia="MS Mincho" w:cstheme="minorHAnsi"/>
          <w:color w:val="000000"/>
        </w:rPr>
        <w:t xml:space="preserve">Conservation and management measures established for the high seas and those adopted for areas under national jurisdiction shall be compatible in order to ensure conservation and management of bigeye, skipjack, and yellowfin tuna stocks in their entirety. Measures shall ensure, at a minimum, that stocks are maintained at levels capable of producing maximum sustainable yield, pending agreement on target reference points as part of the harvest strategy approach, as qualified by relevant environmental and economic factors including the special requirements of </w:t>
      </w:r>
      <w:r w:rsidRPr="00FE1EB3">
        <w:rPr>
          <w:rFonts w:eastAsia="MS Mincho" w:cstheme="minorHAnsi"/>
        </w:rPr>
        <w:t>developing States in the Convention Area as expressed by Article 5 of the Convention.</w:t>
      </w:r>
    </w:p>
    <w:p w14:paraId="1E566482" w14:textId="77777777" w:rsidR="00FE1EB3" w:rsidRPr="00FE1EB3" w:rsidRDefault="00FE1EB3" w:rsidP="00FE1EB3">
      <w:pPr>
        <w:pStyle w:val="ListParagraph"/>
        <w:widowControl w:val="0"/>
        <w:autoSpaceDE w:val="0"/>
        <w:autoSpaceDN w:val="0"/>
        <w:adjustRightInd w:val="0"/>
        <w:jc w:val="both"/>
        <w:rPr>
          <w:rFonts w:eastAsia="MS Mincho" w:cstheme="minorHAnsi"/>
          <w:color w:val="000000"/>
        </w:rPr>
      </w:pPr>
    </w:p>
    <w:p w14:paraId="735A9475" w14:textId="77777777" w:rsidR="00FE1EB3" w:rsidRPr="00FE1EB3" w:rsidRDefault="00FE1EB3" w:rsidP="00FE1EB3">
      <w:pPr>
        <w:jc w:val="both"/>
        <w:rPr>
          <w:rFonts w:cstheme="minorHAnsi"/>
          <w:b/>
          <w:sz w:val="24"/>
          <w:szCs w:val="24"/>
        </w:rPr>
      </w:pPr>
      <w:r w:rsidRPr="00FE1EB3">
        <w:rPr>
          <w:rFonts w:cstheme="minorHAnsi"/>
          <w:b/>
          <w:sz w:val="24"/>
          <w:szCs w:val="24"/>
        </w:rPr>
        <w:t>Area of Application</w:t>
      </w:r>
    </w:p>
    <w:p w14:paraId="74FE4669" w14:textId="77777777" w:rsidR="00FE1EB3" w:rsidRPr="00FE1EB3" w:rsidRDefault="00FE1EB3" w:rsidP="00FE1EB3">
      <w:pPr>
        <w:pStyle w:val="ListParagraph"/>
        <w:numPr>
          <w:ilvl w:val="0"/>
          <w:numId w:val="1"/>
        </w:numPr>
        <w:ind w:left="0" w:firstLine="0"/>
        <w:jc w:val="both"/>
        <w:rPr>
          <w:rFonts w:eastAsia="MS Mincho" w:cstheme="minorHAnsi"/>
        </w:rPr>
      </w:pPr>
      <w:r w:rsidRPr="00FE1EB3">
        <w:rPr>
          <w:rFonts w:eastAsia="MS Mincho" w:cstheme="minorHAnsi"/>
        </w:rPr>
        <w:t>This Measure applies to all areas of high seas and all EEZs [</w:t>
      </w:r>
      <w:r w:rsidRPr="00FE1EB3">
        <w:rPr>
          <w:rFonts w:eastAsia="MS Mincho" w:cstheme="minorHAnsi"/>
          <w:b/>
          <w:strike/>
          <w:u w:val="single"/>
        </w:rPr>
        <w:t>EU</w:t>
      </w:r>
      <w:r w:rsidRPr="00FE1EB3">
        <w:rPr>
          <w:rFonts w:eastAsia="MS Mincho" w:cstheme="minorHAnsi"/>
          <w:strike/>
          <w:u w:val="single"/>
        </w:rPr>
        <w:t>: and archipelagic waters]</w:t>
      </w:r>
      <w:r w:rsidRPr="00FE1EB3">
        <w:rPr>
          <w:rFonts w:eastAsia="MS Mincho" w:cstheme="minorHAnsi"/>
        </w:rPr>
        <w:t xml:space="preserve"> in the Convention Area except where otherwise stated in the Measure.</w:t>
      </w:r>
    </w:p>
    <w:p w14:paraId="59E0185D" w14:textId="77777777" w:rsidR="00FE1EB3" w:rsidRPr="00FE1EB3" w:rsidRDefault="00FE1EB3" w:rsidP="00FE1EB3">
      <w:pPr>
        <w:pStyle w:val="ListParagraph"/>
        <w:ind w:left="0"/>
        <w:jc w:val="both"/>
        <w:rPr>
          <w:rFonts w:eastAsia="MS Mincho" w:cstheme="minorHAnsi"/>
          <w:color w:val="FF0000"/>
        </w:rPr>
      </w:pPr>
      <w:r w:rsidRPr="00FE1EB3">
        <w:rPr>
          <w:rFonts w:eastAsia="MS Mincho" w:cstheme="minorHAnsi"/>
          <w:b/>
          <w:color w:val="FF0000"/>
        </w:rPr>
        <w:t>Comment</w:t>
      </w:r>
      <w:r w:rsidRPr="00FE1EB3">
        <w:rPr>
          <w:rFonts w:eastAsia="MS Mincho" w:cstheme="minorHAnsi"/>
          <w:color w:val="FF0000"/>
        </w:rPr>
        <w:t>: EU proposal marked for deletion following opposition.</w:t>
      </w:r>
    </w:p>
    <w:p w14:paraId="0513891F" w14:textId="77777777" w:rsidR="00FE1EB3" w:rsidRPr="00FE1EB3" w:rsidRDefault="00FE1EB3" w:rsidP="00FE1EB3">
      <w:pPr>
        <w:pStyle w:val="ListParagraph"/>
        <w:ind w:left="0"/>
        <w:jc w:val="both"/>
        <w:rPr>
          <w:rFonts w:eastAsia="MS Mincho" w:cstheme="minorHAnsi"/>
        </w:rPr>
      </w:pPr>
      <w:r w:rsidRPr="00FE1EB3">
        <w:rPr>
          <w:rFonts w:eastAsia="MS Mincho" w:cstheme="minorHAnsi"/>
        </w:rPr>
        <w:t xml:space="preserve"> </w:t>
      </w:r>
    </w:p>
    <w:p w14:paraId="59801BDD" w14:textId="77777777" w:rsidR="00FE1EB3" w:rsidRPr="00FE1EB3" w:rsidRDefault="00FE1EB3" w:rsidP="00FE1EB3">
      <w:pPr>
        <w:pStyle w:val="ListParagraph"/>
        <w:numPr>
          <w:ilvl w:val="0"/>
          <w:numId w:val="1"/>
        </w:numPr>
        <w:ind w:left="0" w:firstLine="0"/>
        <w:jc w:val="both"/>
        <w:rPr>
          <w:rFonts w:eastAsia="MS Mincho" w:cstheme="minorHAnsi"/>
        </w:rPr>
      </w:pPr>
      <w:r w:rsidRPr="00FE1EB3">
        <w:rPr>
          <w:rFonts w:eastAsia="MS Mincho" w:cstheme="minorHAnsi"/>
        </w:rPr>
        <w:t xml:space="preserve">Coastal states are encouraged to take measures in archipelagic waters and territorial seas which are consistent with the objectives of this Measure and to inform the </w:t>
      </w:r>
      <w:r w:rsidRPr="00FE1EB3">
        <w:rPr>
          <w:rFonts w:eastAsia="MS Mincho" w:cstheme="minorHAnsi"/>
          <w:strike/>
        </w:rPr>
        <w:t xml:space="preserve">WCPFC </w:t>
      </w:r>
      <w:r w:rsidRPr="00FE1EB3">
        <w:rPr>
          <w:rFonts w:eastAsia="MS Mincho" w:cstheme="minorHAnsi"/>
          <w:u w:val="single"/>
        </w:rPr>
        <w:t>Commission</w:t>
      </w:r>
      <w:r w:rsidRPr="00FE1EB3">
        <w:rPr>
          <w:rFonts w:eastAsia="MS Mincho" w:cstheme="minorHAnsi"/>
        </w:rPr>
        <w:t xml:space="preserve"> Secretariat of the relevant measures that they will apply in these waters.</w:t>
      </w:r>
    </w:p>
    <w:p w14:paraId="22B9D091" w14:textId="77777777" w:rsidR="00FE1EB3" w:rsidRPr="00FE1EB3" w:rsidRDefault="00FE1EB3" w:rsidP="00FE1EB3">
      <w:pPr>
        <w:pStyle w:val="ListParagraph"/>
        <w:jc w:val="both"/>
        <w:rPr>
          <w:rFonts w:eastAsia="MS Mincho" w:cstheme="minorHAnsi"/>
        </w:rPr>
      </w:pPr>
    </w:p>
    <w:p w14:paraId="4D831800" w14:textId="77777777" w:rsidR="00FE1EB3" w:rsidRPr="00FE1EB3" w:rsidRDefault="00FE1EB3" w:rsidP="00FE1EB3">
      <w:pPr>
        <w:jc w:val="both"/>
        <w:rPr>
          <w:rFonts w:eastAsia="MS Mincho" w:cstheme="minorHAnsi"/>
          <w:b/>
          <w:sz w:val="24"/>
          <w:szCs w:val="24"/>
        </w:rPr>
      </w:pPr>
      <w:r w:rsidRPr="00FE1EB3">
        <w:rPr>
          <w:rFonts w:eastAsia="MS Mincho" w:cstheme="minorHAnsi"/>
          <w:b/>
          <w:sz w:val="24"/>
          <w:szCs w:val="24"/>
        </w:rPr>
        <w:t>Small Island Developing States</w:t>
      </w:r>
    </w:p>
    <w:p w14:paraId="393CA339" w14:textId="77777777" w:rsidR="00FE1EB3" w:rsidRPr="00FE1EB3" w:rsidRDefault="00FE1EB3" w:rsidP="00FE1EB3">
      <w:pPr>
        <w:pStyle w:val="ListParagraph"/>
        <w:numPr>
          <w:ilvl w:val="0"/>
          <w:numId w:val="1"/>
        </w:numPr>
        <w:ind w:left="0" w:firstLine="0"/>
        <w:jc w:val="both"/>
        <w:rPr>
          <w:rFonts w:eastAsia="MS Mincho" w:cstheme="minorHAnsi"/>
        </w:rPr>
      </w:pPr>
      <w:r w:rsidRPr="00FE1EB3">
        <w:rPr>
          <w:rFonts w:eastAsia="MS Mincho" w:cstheme="minorHAnsi"/>
          <w:strike/>
        </w:rPr>
        <w:t xml:space="preserve">Unless otherwise stated, </w:t>
      </w:r>
      <w:r w:rsidRPr="0035628B">
        <w:rPr>
          <w:rFonts w:eastAsia="MS Mincho" w:cstheme="minorHAnsi"/>
          <w:strike/>
        </w:rPr>
        <w:t>n</w:t>
      </w:r>
      <w:r w:rsidRPr="0035628B">
        <w:rPr>
          <w:rFonts w:eastAsia="MS Mincho" w:cstheme="minorHAnsi"/>
        </w:rPr>
        <w:t xml:space="preserve"> [</w:t>
      </w:r>
      <w:r w:rsidRPr="00FE1EB3">
        <w:rPr>
          <w:rFonts w:eastAsia="MS Mincho" w:cstheme="minorHAnsi"/>
          <w:u w:val="single"/>
        </w:rPr>
        <w:t>Nothing</w:t>
      </w:r>
      <w:r w:rsidRPr="00FE1EB3">
        <w:rPr>
          <w:rFonts w:eastAsia="MS Mincho" w:cstheme="minorHAnsi"/>
        </w:rPr>
        <w:t xml:space="preserve"> in this Measure shall prejudice the rights and obligations of those small island developing State Members and Participating Territories in the Convention Area seeking to develop their domestic fisheries </w:t>
      </w:r>
      <w:r w:rsidRPr="00FE1EB3">
        <w:rPr>
          <w:rFonts w:eastAsia="MS Mincho" w:cstheme="minorHAnsi"/>
          <w:u w:val="single"/>
        </w:rPr>
        <w:t>consistent with the provisions of this CMM.]</w:t>
      </w:r>
    </w:p>
    <w:p w14:paraId="664E98C6" w14:textId="77777777" w:rsidR="00FE1EB3" w:rsidRPr="00FE1EB3" w:rsidRDefault="00FE1EB3" w:rsidP="00FE1EB3">
      <w:pPr>
        <w:pStyle w:val="ListParagraph"/>
        <w:ind w:left="0"/>
        <w:jc w:val="both"/>
        <w:rPr>
          <w:rFonts w:eastAsia="MS Mincho" w:cstheme="minorHAnsi"/>
          <w:u w:val="single"/>
        </w:rPr>
      </w:pPr>
    </w:p>
    <w:p w14:paraId="7047C050" w14:textId="77777777" w:rsidR="00FE1EB3" w:rsidRPr="0035628B" w:rsidRDefault="00FE1EB3" w:rsidP="00FE1EB3">
      <w:pPr>
        <w:jc w:val="both"/>
        <w:rPr>
          <w:rFonts w:eastAsia="Times New Roman" w:cstheme="minorHAnsi"/>
          <w:sz w:val="24"/>
          <w:szCs w:val="24"/>
          <w:u w:val="single"/>
          <w:lang w:eastAsia="en-NZ"/>
        </w:rPr>
      </w:pPr>
      <w:r w:rsidRPr="00FE1EB3">
        <w:rPr>
          <w:rFonts w:eastAsia="MS Mincho" w:cstheme="minorHAnsi"/>
          <w:sz w:val="24"/>
          <w:szCs w:val="24"/>
        </w:rPr>
        <w:t>[</w:t>
      </w:r>
      <w:r w:rsidRPr="0035628B">
        <w:rPr>
          <w:rFonts w:eastAsia="MS Mincho" w:cstheme="minorHAnsi"/>
          <w:b/>
          <w:sz w:val="24"/>
          <w:szCs w:val="24"/>
          <w:u w:val="single"/>
        </w:rPr>
        <w:t>Non-PNA SIDS</w:t>
      </w:r>
      <w:r w:rsidRPr="0035628B">
        <w:rPr>
          <w:rFonts w:eastAsia="MS Mincho" w:cstheme="minorHAnsi"/>
          <w:sz w:val="24"/>
          <w:szCs w:val="24"/>
          <w:u w:val="single"/>
        </w:rPr>
        <w:t>: 5bis.</w:t>
      </w:r>
      <w:r w:rsidRPr="0035628B">
        <w:rPr>
          <w:rFonts w:eastAsia="MS Mincho" w:cstheme="minorHAnsi"/>
          <w:sz w:val="24"/>
          <w:szCs w:val="24"/>
          <w:u w:val="single"/>
        </w:rPr>
        <w:tab/>
      </w:r>
      <w:r w:rsidRPr="0035628B">
        <w:rPr>
          <w:rFonts w:eastAsia="Times New Roman" w:cstheme="minorHAnsi"/>
          <w:sz w:val="24"/>
          <w:szCs w:val="24"/>
          <w:u w:val="single"/>
          <w:lang w:eastAsia="en-NZ"/>
        </w:rPr>
        <w:t>In</w:t>
      </w:r>
      <w:r w:rsidRPr="0035628B">
        <w:rPr>
          <w:rFonts w:eastAsia="Times New Roman" w:cstheme="minorHAnsi"/>
          <w:b/>
          <w:sz w:val="24"/>
          <w:szCs w:val="24"/>
          <w:u w:val="single"/>
          <w:lang w:eastAsia="en-NZ"/>
        </w:rPr>
        <w:t xml:space="preserve"> </w:t>
      </w:r>
      <w:r w:rsidRPr="0035628B">
        <w:rPr>
          <w:rFonts w:eastAsia="Times New Roman" w:cstheme="minorHAnsi"/>
          <w:sz w:val="24"/>
          <w:szCs w:val="24"/>
          <w:u w:val="single"/>
          <w:lang w:eastAsia="en-NZ"/>
        </w:rPr>
        <w:t>giving effect to this CMM, the Commission shall note;</w:t>
      </w:r>
    </w:p>
    <w:p w14:paraId="0BA9BBD8" w14:textId="77777777" w:rsidR="00FE1EB3" w:rsidRPr="0035628B" w:rsidRDefault="00FE1EB3" w:rsidP="00FE1EB3">
      <w:pPr>
        <w:numPr>
          <w:ilvl w:val="0"/>
          <w:numId w:val="2"/>
        </w:numPr>
        <w:spacing w:after="0" w:line="240" w:lineRule="auto"/>
        <w:jc w:val="both"/>
        <w:rPr>
          <w:rFonts w:eastAsia="Times New Roman" w:cstheme="minorHAnsi"/>
          <w:sz w:val="24"/>
          <w:szCs w:val="24"/>
          <w:u w:val="single"/>
          <w:lang w:eastAsia="en-NZ"/>
        </w:rPr>
      </w:pPr>
      <w:r w:rsidRPr="0035628B">
        <w:rPr>
          <w:rFonts w:eastAsia="Times New Roman" w:cstheme="minorHAnsi"/>
          <w:sz w:val="24"/>
          <w:szCs w:val="24"/>
          <w:u w:val="single"/>
          <w:lang w:eastAsia="en-NZ"/>
        </w:rPr>
        <w:t xml:space="preserve">that Article 30(2)(b) of the Convention requires the Commission to avoid adverse impacts on subsistence, small-scale and artisanal fishers; and </w:t>
      </w:r>
    </w:p>
    <w:p w14:paraId="09980DD6" w14:textId="77777777" w:rsidR="00FE1EB3" w:rsidRPr="00FE1EB3" w:rsidRDefault="00FE1EB3" w:rsidP="00FE1EB3">
      <w:pPr>
        <w:numPr>
          <w:ilvl w:val="0"/>
          <w:numId w:val="2"/>
        </w:numPr>
        <w:spacing w:after="0" w:line="240" w:lineRule="auto"/>
        <w:jc w:val="both"/>
        <w:rPr>
          <w:rFonts w:eastAsia="Times New Roman" w:cstheme="minorHAnsi"/>
          <w:sz w:val="24"/>
          <w:szCs w:val="24"/>
          <w:lang w:eastAsia="en-NZ"/>
        </w:rPr>
      </w:pPr>
      <w:r w:rsidRPr="0035628B">
        <w:rPr>
          <w:rFonts w:eastAsia="Times New Roman" w:cstheme="minorHAnsi"/>
          <w:sz w:val="24"/>
          <w:szCs w:val="24"/>
          <w:u w:val="single"/>
          <w:lang w:eastAsia="en-NZ"/>
        </w:rPr>
        <w:t>that Article 10(3)(h) of the Convention requires the Commission to take into account, inter-alia, the special circumstances of a State which is surrounded by the exclusive economic zones of other States and has a limited exclusive economic zone of its own</w:t>
      </w:r>
      <w:r w:rsidRPr="00FE1EB3">
        <w:rPr>
          <w:rFonts w:eastAsia="Times New Roman" w:cstheme="minorHAnsi"/>
          <w:sz w:val="24"/>
          <w:szCs w:val="24"/>
          <w:lang w:eastAsia="en-NZ"/>
        </w:rPr>
        <w:t>.]</w:t>
      </w:r>
    </w:p>
    <w:p w14:paraId="29577F58" w14:textId="77777777" w:rsidR="00FE1EB3" w:rsidRPr="0035628B" w:rsidRDefault="00FE1EB3" w:rsidP="00FE1EB3">
      <w:pPr>
        <w:jc w:val="both"/>
        <w:rPr>
          <w:rFonts w:eastAsia="Times New Roman" w:cstheme="minorHAnsi"/>
          <w:color w:val="FF0000"/>
          <w:sz w:val="24"/>
          <w:szCs w:val="24"/>
          <w:lang w:eastAsia="en-NZ"/>
        </w:rPr>
      </w:pPr>
      <w:r w:rsidRPr="0035628B">
        <w:rPr>
          <w:rFonts w:eastAsia="Times New Roman" w:cstheme="minorHAnsi"/>
          <w:b/>
          <w:color w:val="FF0000"/>
          <w:sz w:val="24"/>
          <w:szCs w:val="24"/>
          <w:lang w:eastAsia="en-NZ"/>
        </w:rPr>
        <w:t>Comment</w:t>
      </w:r>
      <w:r w:rsidRPr="0035628B">
        <w:rPr>
          <w:rFonts w:eastAsia="Times New Roman" w:cstheme="minorHAnsi"/>
          <w:color w:val="FF0000"/>
          <w:sz w:val="24"/>
          <w:szCs w:val="24"/>
          <w:lang w:eastAsia="en-NZ"/>
        </w:rPr>
        <w:t>: Non-PNA SIDS proposal under discussion.</w:t>
      </w:r>
    </w:p>
    <w:p w14:paraId="1CBD1A14" w14:textId="77777777" w:rsidR="00FE1EB3" w:rsidRPr="00FE1EB3" w:rsidRDefault="00FE1EB3" w:rsidP="00FE1EB3">
      <w:pPr>
        <w:pStyle w:val="ListParagraph"/>
        <w:numPr>
          <w:ilvl w:val="0"/>
          <w:numId w:val="1"/>
        </w:numPr>
        <w:ind w:left="0" w:firstLine="0"/>
        <w:jc w:val="both"/>
        <w:rPr>
          <w:rFonts w:eastAsia="MS Mincho" w:cstheme="minorHAnsi"/>
          <w:u w:val="single"/>
        </w:rPr>
      </w:pPr>
      <w:r w:rsidRPr="00FE1EB3">
        <w:rPr>
          <w:rFonts w:eastAsia="MS Mincho" w:cstheme="minorHAnsi"/>
          <w:u w:val="single"/>
        </w:rPr>
        <w:t>[</w:t>
      </w:r>
      <w:r w:rsidRPr="00FE1EB3">
        <w:rPr>
          <w:rFonts w:eastAsia="MS Mincho" w:cstheme="minorHAnsi"/>
          <w:b/>
          <w:u w:val="single"/>
        </w:rPr>
        <w:t>PNA</w:t>
      </w:r>
      <w:r w:rsidRPr="00FE1EB3">
        <w:rPr>
          <w:rFonts w:eastAsia="MS Mincho" w:cstheme="minorHAnsi"/>
          <w:u w:val="single"/>
        </w:rPr>
        <w:t xml:space="preserve">: In giving effect to this CMM, the Commission shall pay attention to the geographical situation of a small island developing State which is made up of non-contiguous groups of islands having a distinct economic and cultural identity of their own but which are separated by areas of high seas.] </w:t>
      </w:r>
    </w:p>
    <w:p w14:paraId="1D9E3334" w14:textId="77777777" w:rsidR="00FE1EB3" w:rsidRPr="0035628B" w:rsidRDefault="00FE1EB3" w:rsidP="00FE1EB3">
      <w:pPr>
        <w:pStyle w:val="ListParagraph"/>
        <w:ind w:left="0"/>
        <w:jc w:val="both"/>
        <w:rPr>
          <w:rFonts w:eastAsia="MS Mincho" w:cstheme="minorHAnsi"/>
          <w:color w:val="FF0000"/>
        </w:rPr>
      </w:pPr>
      <w:r w:rsidRPr="0035628B">
        <w:rPr>
          <w:rFonts w:eastAsia="MS Mincho" w:cstheme="minorHAnsi"/>
          <w:b/>
          <w:color w:val="FF0000"/>
        </w:rPr>
        <w:t>Comment</w:t>
      </w:r>
      <w:r w:rsidRPr="0035628B">
        <w:rPr>
          <w:rFonts w:eastAsia="MS Mincho" w:cstheme="minorHAnsi"/>
          <w:color w:val="FF0000"/>
        </w:rPr>
        <w:t>: Kiribati to work with US on including</w:t>
      </w:r>
      <w:r w:rsidR="0035628B" w:rsidRPr="0035628B">
        <w:rPr>
          <w:rFonts w:eastAsia="MS Mincho" w:cstheme="minorHAnsi"/>
          <w:color w:val="FF0000"/>
        </w:rPr>
        <w:t xml:space="preserve"> provision</w:t>
      </w:r>
      <w:r w:rsidRPr="0035628B">
        <w:rPr>
          <w:rFonts w:eastAsia="MS Mincho" w:cstheme="minorHAnsi"/>
          <w:color w:val="FF0000"/>
        </w:rPr>
        <w:t xml:space="preserve"> in Preamble.</w:t>
      </w:r>
    </w:p>
    <w:p w14:paraId="591F25BC" w14:textId="77777777" w:rsidR="00FE1EB3" w:rsidRPr="00FE1EB3" w:rsidRDefault="00FE1EB3" w:rsidP="00FE1EB3">
      <w:pPr>
        <w:pStyle w:val="ListParagraph"/>
        <w:jc w:val="both"/>
        <w:rPr>
          <w:rFonts w:eastAsia="MS Mincho" w:cstheme="minorHAnsi"/>
        </w:rPr>
      </w:pPr>
    </w:p>
    <w:p w14:paraId="1AF780F4" w14:textId="77777777" w:rsidR="00FE1EB3" w:rsidRPr="00FE1EB3" w:rsidRDefault="00FE1EB3" w:rsidP="00FE1EB3">
      <w:pPr>
        <w:pStyle w:val="ListParagraph"/>
        <w:ind w:left="0"/>
        <w:jc w:val="both"/>
        <w:rPr>
          <w:rFonts w:eastAsia="MS Mincho" w:cstheme="minorHAnsi"/>
          <w:b/>
        </w:rPr>
      </w:pPr>
      <w:r w:rsidRPr="00FE1EB3">
        <w:rPr>
          <w:rFonts w:eastAsia="MS Mincho" w:cstheme="minorHAnsi"/>
          <w:b/>
        </w:rPr>
        <w:t>HARVEST STRATEGIES FOR BIGEYE, SKIPJACK, AND YELLOWFIN TUNA</w:t>
      </w:r>
    </w:p>
    <w:p w14:paraId="241ADA72" w14:textId="77777777" w:rsidR="00FE1EB3" w:rsidRPr="00FE1EB3" w:rsidRDefault="00FE1EB3" w:rsidP="00FE1EB3">
      <w:pPr>
        <w:pStyle w:val="ListParagraph"/>
        <w:ind w:left="0"/>
        <w:jc w:val="both"/>
        <w:rPr>
          <w:rFonts w:eastAsia="MS Mincho" w:cstheme="minorHAnsi"/>
          <w:b/>
        </w:rPr>
      </w:pPr>
    </w:p>
    <w:p w14:paraId="353B1E08" w14:textId="77777777" w:rsidR="00FE1EB3" w:rsidRDefault="00FE1EB3" w:rsidP="00FE1EB3">
      <w:pPr>
        <w:pStyle w:val="ListParagraph"/>
        <w:numPr>
          <w:ilvl w:val="0"/>
          <w:numId w:val="1"/>
        </w:numPr>
        <w:ind w:left="0" w:firstLine="0"/>
        <w:jc w:val="both"/>
        <w:rPr>
          <w:rFonts w:eastAsia="MS Mincho" w:cstheme="minorHAnsi"/>
          <w:u w:val="single"/>
        </w:rPr>
      </w:pPr>
      <w:r w:rsidRPr="00FE1EB3">
        <w:rPr>
          <w:rFonts w:eastAsia="MS Mincho" w:cstheme="minorHAnsi"/>
          <w:u w:val="single"/>
        </w:rPr>
        <w:t>This measure is to create a bridge to the adoption of a harvest strategy for bigeye, skipjack, and yellowfin tuna stocks [</w:t>
      </w:r>
      <w:r w:rsidRPr="0035628B">
        <w:rPr>
          <w:rFonts w:eastAsia="MS Mincho" w:cstheme="minorHAnsi"/>
          <w:b/>
          <w:u w:val="single"/>
        </w:rPr>
        <w:t>AUS, Japan</w:t>
      </w:r>
      <w:r w:rsidRPr="00FE1EB3">
        <w:rPr>
          <w:rFonts w:eastAsia="MS Mincho" w:cstheme="minorHAnsi"/>
          <w:u w:val="single"/>
        </w:rPr>
        <w:t>: and/or fisheries] in accordance with the work plan and indicative timeframes set out in the Agreed Work Plan for the Adoption of Harvest Strategies under CMM 2014-06 (Attachment 5).</w:t>
      </w:r>
    </w:p>
    <w:p w14:paraId="37FBF1D9" w14:textId="77777777" w:rsidR="005278F9" w:rsidRPr="005278F9" w:rsidRDefault="005278F9" w:rsidP="005278F9">
      <w:pPr>
        <w:pStyle w:val="ListParagraph"/>
        <w:ind w:left="0"/>
        <w:jc w:val="both"/>
        <w:rPr>
          <w:rFonts w:eastAsia="MS Mincho" w:cstheme="minorHAnsi"/>
          <w:color w:val="FF0000"/>
        </w:rPr>
      </w:pPr>
      <w:r w:rsidRPr="005278F9">
        <w:rPr>
          <w:rFonts w:eastAsia="MS Mincho" w:cstheme="minorHAnsi"/>
          <w:b/>
          <w:color w:val="FF0000"/>
        </w:rPr>
        <w:t>Comment</w:t>
      </w:r>
      <w:r w:rsidRPr="005278F9">
        <w:rPr>
          <w:rFonts w:eastAsia="MS Mincho" w:cstheme="minorHAnsi"/>
          <w:color w:val="FF0000"/>
        </w:rPr>
        <w:t>: Proposed extension to include possibility that the harvest strategy may be</w:t>
      </w:r>
      <w:r>
        <w:rPr>
          <w:rFonts w:eastAsia="MS Mincho" w:cstheme="minorHAnsi"/>
          <w:color w:val="FF0000"/>
        </w:rPr>
        <w:t xml:space="preserve"> fisheries</w:t>
      </w:r>
      <w:r w:rsidRPr="005278F9">
        <w:rPr>
          <w:rFonts w:eastAsia="MS Mincho" w:cstheme="minorHAnsi"/>
          <w:color w:val="FF0000"/>
        </w:rPr>
        <w:t xml:space="preserve"> based. </w:t>
      </w:r>
    </w:p>
    <w:p w14:paraId="5779DC9C" w14:textId="77777777" w:rsidR="00FE1EB3" w:rsidRPr="00FE1EB3" w:rsidRDefault="00FE1EB3" w:rsidP="00FE1EB3">
      <w:pPr>
        <w:pStyle w:val="ListParagraph"/>
        <w:ind w:left="0"/>
        <w:jc w:val="both"/>
        <w:rPr>
          <w:rFonts w:eastAsia="MS Mincho" w:cstheme="minorHAnsi"/>
        </w:rPr>
      </w:pPr>
    </w:p>
    <w:p w14:paraId="79113126" w14:textId="77777777" w:rsidR="00FE1EB3" w:rsidRPr="00FE1EB3" w:rsidRDefault="00FE1EB3" w:rsidP="00FE1EB3">
      <w:pPr>
        <w:pStyle w:val="ListParagraph"/>
        <w:numPr>
          <w:ilvl w:val="0"/>
          <w:numId w:val="1"/>
        </w:numPr>
        <w:ind w:left="0" w:firstLine="0"/>
        <w:jc w:val="both"/>
        <w:rPr>
          <w:rFonts w:eastAsia="MS Mincho" w:cstheme="minorHAnsi"/>
          <w:u w:val="single"/>
        </w:rPr>
      </w:pPr>
      <w:r w:rsidRPr="00FE1EB3">
        <w:rPr>
          <w:rFonts w:eastAsia="MS Mincho" w:cstheme="minorHAnsi"/>
        </w:rPr>
        <w:t xml:space="preserve">[Pending the adoption of stock-specific reference points, all stocks shall be managed </w:t>
      </w:r>
      <w:r w:rsidRPr="00FE1EB3">
        <w:rPr>
          <w:rFonts w:eastAsia="MS Mincho" w:cstheme="minorHAnsi"/>
          <w:u w:val="single"/>
        </w:rPr>
        <w:t>[</w:t>
      </w:r>
      <w:r w:rsidRPr="00FE1EB3">
        <w:rPr>
          <w:rFonts w:eastAsia="MS Mincho" w:cstheme="minorHAnsi"/>
          <w:b/>
          <w:u w:val="single"/>
        </w:rPr>
        <w:t>EU</w:t>
      </w:r>
      <w:r w:rsidRPr="00FE1EB3">
        <w:rPr>
          <w:rFonts w:eastAsia="MS Mincho" w:cstheme="minorHAnsi"/>
          <w:u w:val="single"/>
        </w:rPr>
        <w:t xml:space="preserve">: consistent with the Convention] </w:t>
      </w:r>
      <w:r w:rsidRPr="00FE1EB3">
        <w:rPr>
          <w:rFonts w:eastAsia="MS Mincho" w:cstheme="minorHAnsi"/>
        </w:rPr>
        <w:t>so that their adult biomass remains above the adopted Limit Reference Point of 20% of the estimated recent average spawning biomass in the absence of fishing, (SBF=</w:t>
      </w:r>
      <w:proofErr w:type="gramStart"/>
      <w:r w:rsidRPr="00FE1EB3">
        <w:rPr>
          <w:rFonts w:eastAsia="MS Mincho" w:cstheme="minorHAnsi"/>
        </w:rPr>
        <w:t>0,t</w:t>
      </w:r>
      <w:proofErr w:type="gramEnd"/>
      <w:r w:rsidRPr="00FE1EB3">
        <w:rPr>
          <w:rFonts w:eastAsia="MS Mincho" w:cstheme="minorHAnsi"/>
        </w:rPr>
        <w:t>1-t2) with [high</w:t>
      </w:r>
      <w:r w:rsidRPr="00FE1EB3">
        <w:rPr>
          <w:rFonts w:eastAsia="MS Mincho" w:cstheme="minorHAnsi"/>
          <w:u w:val="single"/>
        </w:rPr>
        <w:t>] [</w:t>
      </w:r>
      <w:r w:rsidRPr="00FE1EB3">
        <w:rPr>
          <w:rFonts w:eastAsia="MS Mincho" w:cstheme="minorHAnsi"/>
          <w:b/>
          <w:u w:val="single"/>
        </w:rPr>
        <w:t>EU</w:t>
      </w:r>
      <w:r w:rsidRPr="00FE1EB3">
        <w:rPr>
          <w:rFonts w:eastAsia="MS Mincho" w:cstheme="minorHAnsi"/>
          <w:u w:val="single"/>
        </w:rPr>
        <w:t>: 80%]</w:t>
      </w:r>
      <w:r w:rsidRPr="00FE1EB3">
        <w:rPr>
          <w:rFonts w:eastAsia="MS Mincho" w:cstheme="minorHAnsi"/>
        </w:rPr>
        <w:t xml:space="preserve"> probability], </w:t>
      </w:r>
      <w:r w:rsidRPr="00FE1EB3">
        <w:rPr>
          <w:rFonts w:eastAsia="MS Mincho" w:cstheme="minorHAnsi"/>
          <w:u w:val="single"/>
        </w:rPr>
        <w:t xml:space="preserve">other than skipjack tuna which is to be managed to the agreed target reference point.] </w:t>
      </w:r>
    </w:p>
    <w:p w14:paraId="23976EE6" w14:textId="77777777" w:rsidR="00FE1EB3" w:rsidRPr="0035628B" w:rsidRDefault="00FE1EB3" w:rsidP="00FE1EB3">
      <w:pPr>
        <w:pStyle w:val="ListParagraph"/>
        <w:ind w:left="0"/>
        <w:jc w:val="both"/>
        <w:rPr>
          <w:rFonts w:eastAsia="MS Mincho" w:cstheme="minorHAnsi"/>
          <w:color w:val="FF0000"/>
        </w:rPr>
      </w:pPr>
      <w:r w:rsidRPr="0035628B">
        <w:rPr>
          <w:rFonts w:eastAsia="MS Mincho" w:cstheme="minorHAnsi"/>
          <w:b/>
          <w:color w:val="FF0000"/>
        </w:rPr>
        <w:t>Comment</w:t>
      </w:r>
      <w:r w:rsidRPr="0035628B">
        <w:rPr>
          <w:rFonts w:eastAsia="MS Mincho" w:cstheme="minorHAnsi"/>
          <w:color w:val="FF0000"/>
        </w:rPr>
        <w:t>: Marked for deletion pending outcomes on paras 9-11.</w:t>
      </w:r>
    </w:p>
    <w:p w14:paraId="03863D35" w14:textId="77777777" w:rsidR="00FE1EB3" w:rsidRPr="00FE1EB3" w:rsidRDefault="00FE1EB3" w:rsidP="00FE1EB3">
      <w:pPr>
        <w:jc w:val="both"/>
        <w:rPr>
          <w:rFonts w:eastAsia="MS Mincho" w:cstheme="minorHAnsi"/>
          <w:sz w:val="24"/>
          <w:szCs w:val="24"/>
        </w:rPr>
      </w:pPr>
    </w:p>
    <w:p w14:paraId="4FE6D0F3" w14:textId="77777777" w:rsidR="00FE1EB3" w:rsidRPr="00FE1EB3" w:rsidRDefault="00FE1EB3" w:rsidP="00FE1EB3">
      <w:pPr>
        <w:jc w:val="both"/>
        <w:rPr>
          <w:rFonts w:eastAsia="MS Mincho" w:cstheme="minorHAnsi"/>
          <w:b/>
          <w:sz w:val="24"/>
          <w:szCs w:val="24"/>
        </w:rPr>
      </w:pPr>
      <w:r w:rsidRPr="00FE1EB3">
        <w:rPr>
          <w:rFonts w:eastAsia="MS Mincho" w:cstheme="minorHAnsi"/>
          <w:b/>
          <w:sz w:val="24"/>
          <w:szCs w:val="24"/>
        </w:rPr>
        <w:t>Bigeye</w:t>
      </w:r>
    </w:p>
    <w:p w14:paraId="64EAEB0B" w14:textId="77777777" w:rsidR="00FE1EB3" w:rsidRPr="00FE1EB3" w:rsidRDefault="00FE1EB3" w:rsidP="00FE1EB3">
      <w:pPr>
        <w:pStyle w:val="ListParagraph"/>
        <w:numPr>
          <w:ilvl w:val="0"/>
          <w:numId w:val="1"/>
        </w:numPr>
        <w:ind w:left="0" w:firstLine="0"/>
        <w:jc w:val="both"/>
        <w:rPr>
          <w:rFonts w:eastAsia="MS Mincho" w:cstheme="minorHAnsi"/>
          <w:b/>
        </w:rPr>
      </w:pPr>
      <w:r w:rsidRPr="00FE1EB3">
        <w:rPr>
          <w:rFonts w:eastAsia="MS Mincho" w:cstheme="minorHAnsi"/>
        </w:rPr>
        <w:t xml:space="preserve">[Pending agreement on a target reference point, the spawning biomass of BET is to be rebuilt to </w:t>
      </w:r>
      <w:r w:rsidRPr="00FE1EB3">
        <w:rPr>
          <w:rFonts w:eastAsia="MS Mincho" w:cstheme="minorHAnsi"/>
          <w:u w:val="single"/>
        </w:rPr>
        <w:t xml:space="preserve">the agreed Limit Reference Point of 20% of the spawning biomass in the absence of fishing within an interim timeframe of up to 10 years </w:t>
      </w:r>
      <w:r w:rsidRPr="00FE1EB3">
        <w:rPr>
          <w:rFonts w:eastAsia="MS Mincho" w:cstheme="minorHAnsi"/>
        </w:rPr>
        <w:t>[with at least xx% probability]</w:t>
      </w:r>
      <w:r w:rsidRPr="00FE1EB3">
        <w:rPr>
          <w:rFonts w:eastAsia="MS Mincho" w:cstheme="minorHAnsi"/>
          <w:u w:val="single"/>
        </w:rPr>
        <w:t xml:space="preserve"> [</w:t>
      </w:r>
      <w:r w:rsidRPr="00FE1EB3">
        <w:rPr>
          <w:rFonts w:eastAsia="MS Mincho" w:cstheme="minorHAnsi"/>
          <w:b/>
          <w:u w:val="single"/>
        </w:rPr>
        <w:t>EU</w:t>
      </w:r>
      <w:r w:rsidRPr="00FE1EB3">
        <w:rPr>
          <w:rFonts w:eastAsia="MS Mincho" w:cstheme="minorHAnsi"/>
          <w:u w:val="single"/>
        </w:rPr>
        <w:t>: to the maximum sustainable yield (MSY) of 21% spawning stock biomass (SSB</w:t>
      </w:r>
      <w:r w:rsidRPr="00FE1EB3">
        <w:rPr>
          <w:rFonts w:eastAsia="MS Mincho" w:cstheme="minorHAnsi"/>
          <w:u w:val="single"/>
          <w:vertAlign w:val="subscript"/>
        </w:rPr>
        <w:t>0</w:t>
      </w:r>
      <w:r w:rsidRPr="00FE1EB3">
        <w:rPr>
          <w:rFonts w:eastAsia="MS Mincho" w:cstheme="minorHAnsi"/>
          <w:u w:val="single"/>
        </w:rPr>
        <w:t xml:space="preserve">) within 8 to 10 years with </w:t>
      </w:r>
      <w:r w:rsidRPr="00FE1EB3">
        <w:rPr>
          <w:rFonts w:eastAsia="MS Mincho" w:cstheme="minorHAnsi"/>
          <w:u w:val="single"/>
        </w:rPr>
        <w:lastRenderedPageBreak/>
        <w:t>a 50-60% probability of exceeding the Limit Reference Point].</w:t>
      </w:r>
      <w:r w:rsidRPr="00FE1EB3">
        <w:rPr>
          <w:rFonts w:eastAsia="MS Mincho" w:cstheme="minorHAnsi"/>
        </w:rPr>
        <w:t xml:space="preserve"> In addition, the fishing mortality rate for bigeye tuna is to be reduced to a level no greater than </w:t>
      </w:r>
      <w:proofErr w:type="spellStart"/>
      <w:r w:rsidRPr="00FE1EB3">
        <w:rPr>
          <w:rFonts w:eastAsia="MS Mincho" w:cstheme="minorHAnsi"/>
        </w:rPr>
        <w:t>Fmsy</w:t>
      </w:r>
      <w:proofErr w:type="spellEnd"/>
      <w:r w:rsidRPr="00FE1EB3">
        <w:rPr>
          <w:rFonts w:eastAsia="MS Mincho" w:cstheme="minorHAnsi"/>
        </w:rPr>
        <w:t>, i.e. F/</w:t>
      </w:r>
      <w:proofErr w:type="spellStart"/>
      <w:r w:rsidRPr="00FE1EB3">
        <w:rPr>
          <w:rFonts w:eastAsia="MS Mincho" w:cstheme="minorHAnsi"/>
        </w:rPr>
        <w:t>Fmsy</w:t>
      </w:r>
      <w:proofErr w:type="spellEnd"/>
      <w:r w:rsidRPr="00FE1EB3">
        <w:rPr>
          <w:rFonts w:eastAsia="MS Mincho" w:cstheme="minorHAnsi"/>
        </w:rPr>
        <w:t xml:space="preserve"> ≤ 1.]  </w:t>
      </w:r>
    </w:p>
    <w:p w14:paraId="2347ED00" w14:textId="77777777" w:rsidR="00FE1EB3" w:rsidRPr="00FE1EB3" w:rsidRDefault="00FE1EB3" w:rsidP="00FE1EB3">
      <w:pPr>
        <w:pStyle w:val="ListParagraph"/>
        <w:ind w:left="0"/>
        <w:jc w:val="both"/>
        <w:rPr>
          <w:rFonts w:eastAsia="MS Mincho" w:cstheme="minorHAnsi"/>
          <w:b/>
        </w:rPr>
      </w:pPr>
    </w:p>
    <w:p w14:paraId="195BD0F9" w14:textId="77777777" w:rsidR="005278F9" w:rsidRDefault="00FE1EB3" w:rsidP="00FE1EB3">
      <w:pPr>
        <w:pStyle w:val="ListParagraph"/>
        <w:ind w:left="0"/>
        <w:jc w:val="both"/>
        <w:rPr>
          <w:rFonts w:eastAsia="MS Mincho" w:cstheme="minorHAnsi"/>
        </w:rPr>
      </w:pPr>
      <w:r w:rsidRPr="00FE1EB3">
        <w:rPr>
          <w:rFonts w:eastAsia="MS Mincho" w:cstheme="minorHAnsi"/>
        </w:rPr>
        <w:t>[</w:t>
      </w:r>
      <w:r w:rsidR="0035628B" w:rsidRPr="0035628B">
        <w:rPr>
          <w:rFonts w:eastAsia="MS Mincho" w:cstheme="minorHAnsi"/>
          <w:b/>
        </w:rPr>
        <w:t xml:space="preserve">ALT: </w:t>
      </w:r>
      <w:r w:rsidRPr="0035628B">
        <w:rPr>
          <w:rFonts w:eastAsia="MS Mincho" w:cstheme="minorHAnsi"/>
          <w:b/>
        </w:rPr>
        <w:t>PNA</w:t>
      </w:r>
      <w:r w:rsidRPr="00FE1EB3">
        <w:rPr>
          <w:rFonts w:eastAsia="MS Mincho" w:cstheme="minorHAnsi"/>
        </w:rPr>
        <w:t xml:space="preserve">: </w:t>
      </w:r>
      <w:r w:rsidRPr="0035628B">
        <w:rPr>
          <w:rFonts w:eastAsia="MS Mincho" w:cstheme="minorHAnsi"/>
          <w:u w:val="single"/>
        </w:rPr>
        <w:t>The spawning biomass of bigeye tuna is to be maintained at or above the most recently assessed level.</w:t>
      </w:r>
      <w:r w:rsidRPr="00FE1EB3">
        <w:rPr>
          <w:rFonts w:eastAsia="MS Mincho" w:cstheme="minorHAnsi"/>
        </w:rPr>
        <w:t xml:space="preserve">] </w:t>
      </w:r>
    </w:p>
    <w:p w14:paraId="726CAE3B" w14:textId="77777777" w:rsidR="00FE1EB3" w:rsidRPr="005278F9" w:rsidRDefault="005278F9" w:rsidP="00FE1EB3">
      <w:pPr>
        <w:pStyle w:val="ListParagraph"/>
        <w:ind w:left="0"/>
        <w:jc w:val="both"/>
        <w:rPr>
          <w:rFonts w:eastAsia="MS Mincho" w:cstheme="minorHAnsi"/>
          <w:b/>
          <w:color w:val="FF0000"/>
        </w:rPr>
      </w:pPr>
      <w:r w:rsidRPr="005278F9">
        <w:rPr>
          <w:rFonts w:eastAsia="MS Mincho" w:cstheme="minorHAnsi"/>
          <w:b/>
          <w:color w:val="FF0000"/>
        </w:rPr>
        <w:t>Comment</w:t>
      </w:r>
      <w:r w:rsidRPr="005278F9">
        <w:rPr>
          <w:rFonts w:eastAsia="MS Mincho" w:cstheme="minorHAnsi"/>
          <w:color w:val="FF0000"/>
        </w:rPr>
        <w:t>: Alternative proposed language.</w:t>
      </w:r>
      <w:r w:rsidR="00FE1EB3" w:rsidRPr="005278F9">
        <w:rPr>
          <w:rFonts w:eastAsia="MS Mincho" w:cstheme="minorHAnsi"/>
          <w:color w:val="FF0000"/>
        </w:rPr>
        <w:t xml:space="preserve"> </w:t>
      </w:r>
    </w:p>
    <w:p w14:paraId="4E64FC1A" w14:textId="77777777" w:rsidR="00FE1EB3" w:rsidRPr="00FE1EB3" w:rsidRDefault="00FE1EB3" w:rsidP="00FE1EB3">
      <w:pPr>
        <w:pStyle w:val="ListParagraph"/>
        <w:ind w:left="0"/>
        <w:jc w:val="both"/>
        <w:rPr>
          <w:rFonts w:eastAsia="MS Mincho" w:cstheme="minorHAnsi"/>
          <w:b/>
        </w:rPr>
      </w:pPr>
    </w:p>
    <w:p w14:paraId="1328563A" w14:textId="77777777" w:rsidR="00FE1EB3" w:rsidRPr="00FE1EB3" w:rsidRDefault="00FE1EB3" w:rsidP="00FE1EB3">
      <w:pPr>
        <w:jc w:val="both"/>
        <w:rPr>
          <w:rFonts w:eastAsia="MS Mincho" w:cstheme="minorHAnsi"/>
          <w:b/>
          <w:sz w:val="24"/>
          <w:szCs w:val="24"/>
        </w:rPr>
      </w:pPr>
      <w:r w:rsidRPr="00FE1EB3">
        <w:rPr>
          <w:rFonts w:eastAsia="MS Mincho" w:cstheme="minorHAnsi"/>
          <w:b/>
          <w:sz w:val="24"/>
          <w:szCs w:val="24"/>
        </w:rPr>
        <w:t>Skipjack</w:t>
      </w:r>
    </w:p>
    <w:p w14:paraId="0D80AE50" w14:textId="77777777" w:rsidR="00FE1EB3" w:rsidRPr="00FE1EB3" w:rsidRDefault="00FE1EB3" w:rsidP="00FE1EB3">
      <w:pPr>
        <w:pStyle w:val="ListParagraph"/>
        <w:numPr>
          <w:ilvl w:val="0"/>
          <w:numId w:val="1"/>
        </w:numPr>
        <w:ind w:left="0" w:firstLine="0"/>
        <w:jc w:val="both"/>
        <w:rPr>
          <w:rFonts w:eastAsia="MS Mincho" w:cstheme="minorHAnsi"/>
        </w:rPr>
      </w:pPr>
      <w:r w:rsidRPr="00FE1EB3">
        <w:rPr>
          <w:rFonts w:eastAsia="MS Mincho" w:cstheme="minorHAnsi"/>
          <w:strike/>
        </w:rPr>
        <w:t xml:space="preserve">Pending agreement on a formal target reference point, </w:t>
      </w:r>
      <w:proofErr w:type="spellStart"/>
      <w:r w:rsidRPr="00FE1EB3">
        <w:rPr>
          <w:rFonts w:eastAsia="MS Mincho" w:cstheme="minorHAnsi"/>
          <w:strike/>
        </w:rPr>
        <w:t>t</w:t>
      </w:r>
      <w:proofErr w:type="spellEnd"/>
      <w:r w:rsidRPr="00FE1EB3">
        <w:rPr>
          <w:rFonts w:eastAsia="MS Mincho" w:cstheme="minorHAnsi"/>
          <w:strike/>
        </w:rPr>
        <w:t xml:space="preserve"> </w:t>
      </w:r>
      <w:r w:rsidRPr="00FE1EB3">
        <w:rPr>
          <w:rFonts w:eastAsia="MS Mincho" w:cstheme="minorHAnsi"/>
          <w:u w:val="single"/>
        </w:rPr>
        <w:t>T</w:t>
      </w:r>
      <w:r w:rsidRPr="00FE1EB3">
        <w:rPr>
          <w:rFonts w:eastAsia="MS Mincho" w:cstheme="minorHAnsi"/>
        </w:rPr>
        <w:t>he spawning biomass of skipjack tuna is to be maintained on average at a level consistent with the interim target reference point of [50%] of the spawning biomass in the absence of fishing, adopted in accordance with CMM 2015-06.  [</w:t>
      </w:r>
      <w:r w:rsidRPr="0035628B">
        <w:rPr>
          <w:rFonts w:eastAsia="MS Mincho" w:cstheme="minorHAnsi"/>
          <w:b/>
        </w:rPr>
        <w:t>Japan</w:t>
      </w:r>
      <w:r w:rsidRPr="00FE1EB3">
        <w:rPr>
          <w:rFonts w:eastAsia="MS Mincho" w:cstheme="minorHAnsi"/>
        </w:rPr>
        <w:t xml:space="preserve">: </w:t>
      </w:r>
      <w:r w:rsidRPr="0035628B">
        <w:rPr>
          <w:rFonts w:eastAsia="MS Mincho" w:cstheme="minorHAnsi"/>
          <w:u w:val="single"/>
        </w:rPr>
        <w:t xml:space="preserve">In addition, the fishing mortality rate for skipjack is maintained at a level no greater than </w:t>
      </w:r>
      <w:proofErr w:type="spellStart"/>
      <w:r w:rsidRPr="0035628B">
        <w:rPr>
          <w:rFonts w:eastAsia="MS Mincho" w:cstheme="minorHAnsi"/>
          <w:u w:val="single"/>
        </w:rPr>
        <w:t>Fmsy</w:t>
      </w:r>
      <w:proofErr w:type="spellEnd"/>
      <w:r w:rsidRPr="0035628B">
        <w:rPr>
          <w:rFonts w:eastAsia="MS Mincho" w:cstheme="minorHAnsi"/>
          <w:u w:val="single"/>
        </w:rPr>
        <w:t>, i.e. F/</w:t>
      </w:r>
      <w:proofErr w:type="spellStart"/>
      <w:r w:rsidRPr="0035628B">
        <w:rPr>
          <w:rFonts w:eastAsia="MS Mincho" w:cstheme="minorHAnsi"/>
          <w:u w:val="single"/>
        </w:rPr>
        <w:t>Fmsy</w:t>
      </w:r>
      <w:proofErr w:type="spellEnd"/>
      <w:r w:rsidRPr="0035628B">
        <w:rPr>
          <w:rFonts w:eastAsia="MS Mincho" w:cstheme="minorHAnsi"/>
          <w:u w:val="single"/>
        </w:rPr>
        <w:t xml:space="preserve"> ≤ 1.</w:t>
      </w:r>
      <w:r w:rsidRPr="00FE1EB3">
        <w:rPr>
          <w:rFonts w:eastAsia="MS Mincho" w:cstheme="minorHAnsi"/>
        </w:rPr>
        <w:t xml:space="preserve">]  </w:t>
      </w:r>
    </w:p>
    <w:p w14:paraId="1CABF23B" w14:textId="77777777" w:rsidR="00FE1EB3" w:rsidRPr="00FE1EB3" w:rsidRDefault="00FE1EB3" w:rsidP="00FE1EB3">
      <w:pPr>
        <w:pStyle w:val="ListParagraph"/>
        <w:jc w:val="both"/>
        <w:rPr>
          <w:rFonts w:eastAsia="MS Mincho" w:cstheme="minorHAnsi"/>
        </w:rPr>
      </w:pPr>
    </w:p>
    <w:p w14:paraId="0B7879A2" w14:textId="77777777" w:rsidR="00FE1EB3" w:rsidRPr="00FE1EB3" w:rsidRDefault="00FE1EB3" w:rsidP="00FE1EB3">
      <w:pPr>
        <w:jc w:val="both"/>
        <w:rPr>
          <w:rFonts w:eastAsia="MS Mincho" w:cstheme="minorHAnsi"/>
          <w:b/>
          <w:sz w:val="24"/>
          <w:szCs w:val="24"/>
        </w:rPr>
      </w:pPr>
      <w:r w:rsidRPr="00FE1EB3">
        <w:rPr>
          <w:rFonts w:eastAsia="MS Mincho" w:cstheme="minorHAnsi"/>
          <w:b/>
          <w:sz w:val="24"/>
          <w:szCs w:val="24"/>
        </w:rPr>
        <w:t>Yellowfin</w:t>
      </w:r>
    </w:p>
    <w:p w14:paraId="27DEF82C" w14:textId="77777777" w:rsidR="00FE1EB3" w:rsidRPr="00FE1EB3" w:rsidRDefault="00FE1EB3" w:rsidP="00FE1EB3">
      <w:pPr>
        <w:pStyle w:val="ListParagraph"/>
        <w:numPr>
          <w:ilvl w:val="0"/>
          <w:numId w:val="1"/>
        </w:numPr>
        <w:ind w:left="0" w:firstLine="0"/>
        <w:jc w:val="both"/>
        <w:rPr>
          <w:rFonts w:eastAsia="MS Mincho" w:cstheme="minorHAnsi"/>
        </w:rPr>
      </w:pPr>
      <w:r w:rsidRPr="00FE1EB3">
        <w:rPr>
          <w:rFonts w:eastAsia="MS Mincho" w:cstheme="minorHAnsi"/>
        </w:rPr>
        <w:t>Pending agreement on a target reference point, the spawning biomass of yellowfin tuna is to be maintained [</w:t>
      </w:r>
      <w:r w:rsidRPr="0035628B">
        <w:rPr>
          <w:rFonts w:eastAsia="MS Mincho" w:cstheme="minorHAnsi"/>
          <w:b/>
        </w:rPr>
        <w:t>Japan</w:t>
      </w:r>
      <w:r w:rsidRPr="00FE1EB3">
        <w:rPr>
          <w:rFonts w:eastAsia="MS Mincho" w:cstheme="minorHAnsi"/>
        </w:rPr>
        <w:t xml:space="preserve">: </w:t>
      </w:r>
      <w:r w:rsidRPr="0035628B">
        <w:rPr>
          <w:rFonts w:eastAsia="MS Mincho" w:cstheme="minorHAnsi"/>
          <w:u w:val="single"/>
        </w:rPr>
        <w:t>so that the probability of exceeding the limit reference point is no greater than 20%.</w:t>
      </w:r>
      <w:r w:rsidRPr="00FE1EB3">
        <w:rPr>
          <w:rFonts w:eastAsia="MS Mincho" w:cstheme="minorHAnsi"/>
        </w:rPr>
        <w:t xml:space="preserve">] </w:t>
      </w:r>
      <w:r w:rsidR="005278F9">
        <w:rPr>
          <w:rFonts w:eastAsia="MS Mincho" w:cstheme="minorHAnsi"/>
        </w:rPr>
        <w:t>/</w:t>
      </w:r>
      <w:r w:rsidRPr="00FE1EB3">
        <w:rPr>
          <w:rFonts w:eastAsia="MS Mincho" w:cstheme="minorHAnsi"/>
        </w:rPr>
        <w:t xml:space="preserve"> [at or above the most recently assessed level (for 2012, 38% of spawning biomass in the absence of fishing.  (</w:t>
      </w:r>
      <w:r w:rsidRPr="00FE1EB3">
        <w:rPr>
          <w:rFonts w:eastAsia="MS Mincho" w:cstheme="minorHAnsi"/>
          <w:b/>
          <w:i/>
        </w:rPr>
        <w:t>Note</w:t>
      </w:r>
      <w:r w:rsidRPr="00FE1EB3">
        <w:rPr>
          <w:rFonts w:eastAsia="MS Mincho" w:cstheme="minorHAnsi"/>
          <w:i/>
        </w:rPr>
        <w:t>: to be updated in 2017</w:t>
      </w:r>
      <w:r w:rsidRPr="00FE1EB3">
        <w:rPr>
          <w:rFonts w:eastAsia="MS Mincho" w:cstheme="minorHAnsi"/>
        </w:rPr>
        <w:t xml:space="preserve">.)] In addition, the fishing mortality rate for yellowfin is maintained at a level no greater than </w:t>
      </w:r>
      <w:proofErr w:type="spellStart"/>
      <w:r w:rsidRPr="00FE1EB3">
        <w:rPr>
          <w:rFonts w:eastAsia="MS Mincho" w:cstheme="minorHAnsi"/>
        </w:rPr>
        <w:t>Fmsy</w:t>
      </w:r>
      <w:proofErr w:type="spellEnd"/>
      <w:r w:rsidRPr="00FE1EB3">
        <w:rPr>
          <w:rFonts w:eastAsia="MS Mincho" w:cstheme="minorHAnsi"/>
        </w:rPr>
        <w:t>, i.e. F/</w:t>
      </w:r>
      <w:proofErr w:type="spellStart"/>
      <w:r w:rsidRPr="00FE1EB3">
        <w:rPr>
          <w:rFonts w:eastAsia="MS Mincho" w:cstheme="minorHAnsi"/>
        </w:rPr>
        <w:t>Fmsy</w:t>
      </w:r>
      <w:proofErr w:type="spellEnd"/>
      <w:r w:rsidRPr="00FE1EB3">
        <w:rPr>
          <w:rFonts w:eastAsia="MS Mincho" w:cstheme="minorHAnsi"/>
        </w:rPr>
        <w:t xml:space="preserve"> ≤ 1.  </w:t>
      </w:r>
    </w:p>
    <w:p w14:paraId="2FE36BEE" w14:textId="77777777" w:rsidR="00FE1EB3" w:rsidRPr="00FE1EB3" w:rsidRDefault="00FE1EB3" w:rsidP="00FE1EB3">
      <w:pPr>
        <w:jc w:val="both"/>
        <w:rPr>
          <w:rFonts w:eastAsia="MS Mincho" w:cstheme="minorHAnsi"/>
          <w:b/>
          <w:sz w:val="24"/>
          <w:szCs w:val="24"/>
        </w:rPr>
      </w:pPr>
    </w:p>
    <w:p w14:paraId="42B048ED" w14:textId="77777777" w:rsidR="00FE1EB3" w:rsidRPr="00FE1EB3" w:rsidRDefault="00FE1EB3">
      <w:pPr>
        <w:rPr>
          <w:rFonts w:cstheme="minorHAnsi"/>
          <w:sz w:val="24"/>
          <w:szCs w:val="24"/>
        </w:rPr>
      </w:pPr>
    </w:p>
    <w:p w14:paraId="7FEA802A" w14:textId="77777777" w:rsidR="00FE1EB3" w:rsidRPr="00FE1EB3" w:rsidRDefault="00FE1EB3">
      <w:pPr>
        <w:rPr>
          <w:rFonts w:cstheme="minorHAnsi"/>
          <w:sz w:val="24"/>
          <w:szCs w:val="24"/>
        </w:rPr>
      </w:pPr>
    </w:p>
    <w:p w14:paraId="6243C3D1" w14:textId="77777777" w:rsidR="00FE1EB3" w:rsidRPr="00FE1EB3" w:rsidRDefault="00FE1EB3">
      <w:pPr>
        <w:rPr>
          <w:rFonts w:cstheme="minorHAnsi"/>
          <w:sz w:val="24"/>
          <w:szCs w:val="24"/>
        </w:rPr>
      </w:pPr>
    </w:p>
    <w:sectPr w:rsidR="00FE1EB3" w:rsidRPr="00FE1E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6285A"/>
    <w:multiLevelType w:val="hybridMultilevel"/>
    <w:tmpl w:val="7C648A24"/>
    <w:lvl w:ilvl="0" w:tplc="93E8A898">
      <w:start w:val="1"/>
      <w:numFmt w:val="lowerRoman"/>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 w15:restartNumberingAfterBreak="0">
    <w:nsid w:val="63673609"/>
    <w:multiLevelType w:val="hybridMultilevel"/>
    <w:tmpl w:val="0A6A030E"/>
    <w:lvl w:ilvl="0" w:tplc="7DA4707C">
      <w:start w:val="1"/>
      <w:numFmt w:val="decimal"/>
      <w:lvlText w:val="%1."/>
      <w:lvlJc w:val="left"/>
      <w:pPr>
        <w:ind w:left="1211" w:hanging="360"/>
      </w:pPr>
      <w:rPr>
        <w:rFonts w:ascii="Calibri" w:eastAsia="MS Mincho" w:hAnsi="Calibri" w:cs="Times New Roman"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B3"/>
    <w:rsid w:val="00076D11"/>
    <w:rsid w:val="002E7A76"/>
    <w:rsid w:val="0035628B"/>
    <w:rsid w:val="005278F9"/>
    <w:rsid w:val="0065192B"/>
    <w:rsid w:val="00AF09E9"/>
    <w:rsid w:val="00FE1E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3EB5"/>
  <w15:chartTrackingRefBased/>
  <w15:docId w15:val="{3544D952-C200-4D7A-A830-2EF17DC5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FO PR List Paragraph"/>
    <w:basedOn w:val="Normal"/>
    <w:link w:val="ListParagraphChar"/>
    <w:uiPriority w:val="34"/>
    <w:qFormat/>
    <w:rsid w:val="00FE1EB3"/>
    <w:pPr>
      <w:spacing w:after="0" w:line="240" w:lineRule="auto"/>
      <w:ind w:left="720"/>
      <w:contextualSpacing/>
    </w:pPr>
    <w:rPr>
      <w:rFonts w:eastAsiaTheme="minorEastAsia"/>
      <w:sz w:val="24"/>
      <w:szCs w:val="24"/>
      <w:lang w:val="en-US"/>
    </w:rPr>
  </w:style>
  <w:style w:type="character" w:customStyle="1" w:styleId="ListParagraphChar">
    <w:name w:val="List Paragraph Char"/>
    <w:aliases w:val="NAFO PR List Paragraph Char"/>
    <w:link w:val="ListParagraph"/>
    <w:uiPriority w:val="34"/>
    <w:locked/>
    <w:rsid w:val="00FE1EB3"/>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Ridings</dc:creator>
  <cp:keywords/>
  <dc:description/>
  <cp:lastModifiedBy>Penelope Ridings</cp:lastModifiedBy>
  <cp:revision>2</cp:revision>
  <dcterms:created xsi:type="dcterms:W3CDTF">2017-08-23T04:06:00Z</dcterms:created>
  <dcterms:modified xsi:type="dcterms:W3CDTF">2017-08-23T04:06:00Z</dcterms:modified>
</cp:coreProperties>
</file>