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9B0" w:rsidRDefault="009929B0" w:rsidP="00B52D13">
      <w:pPr>
        <w:pStyle w:val="Heading4"/>
        <w:snapToGrid w:val="0"/>
        <w:rPr>
          <w:rFonts w:asciiTheme="minorHAnsi" w:hAnsiTheme="minorHAnsi" w:cstheme="minorHAnsi"/>
          <w:color w:val="auto"/>
          <w:sz w:val="32"/>
          <w:szCs w:val="32"/>
        </w:rPr>
      </w:pPr>
      <w:bookmarkStart w:id="0" w:name="_GoBack"/>
      <w:bookmarkEnd w:id="0"/>
      <w:r>
        <w:rPr>
          <w:rFonts w:asciiTheme="minorHAnsi" w:hAnsiTheme="minorHAnsi" w:cstheme="minorHAnsi"/>
          <w:color w:val="auto"/>
          <w:sz w:val="32"/>
          <w:szCs w:val="32"/>
        </w:rPr>
        <w:t>4.</w:t>
      </w:r>
      <w:r w:rsidR="00944961">
        <w:rPr>
          <w:rFonts w:asciiTheme="minorHAnsi" w:hAnsiTheme="minorHAnsi" w:cstheme="minorHAnsi"/>
          <w:color w:val="auto"/>
          <w:sz w:val="32"/>
          <w:szCs w:val="32"/>
        </w:rPr>
        <w:t>1.3</w:t>
      </w:r>
      <w:r>
        <w:rPr>
          <w:rFonts w:asciiTheme="minorHAnsi" w:hAnsiTheme="minorHAnsi" w:cstheme="minorHAnsi"/>
          <w:color w:val="auto"/>
          <w:sz w:val="32"/>
          <w:szCs w:val="32"/>
        </w:rPr>
        <w:t xml:space="preserve"> </w:t>
      </w:r>
      <w:r w:rsidR="00944961">
        <w:rPr>
          <w:rFonts w:asciiTheme="minorHAnsi" w:hAnsiTheme="minorHAnsi" w:cstheme="minorHAnsi"/>
          <w:color w:val="auto"/>
          <w:sz w:val="32"/>
          <w:szCs w:val="32"/>
        </w:rPr>
        <w:t>WCPO Skipjack Tuna (</w:t>
      </w:r>
      <w:r w:rsidR="00E7696E" w:rsidRPr="00E7696E">
        <w:rPr>
          <w:rFonts w:asciiTheme="minorHAnsi" w:hAnsiTheme="minorHAnsi" w:cstheme="minorHAnsi"/>
          <w:color w:val="auto"/>
          <w:sz w:val="32"/>
          <w:szCs w:val="32"/>
        </w:rPr>
        <w:t>Katsuwonus pelamis</w:t>
      </w:r>
      <w:r w:rsidR="00944961">
        <w:rPr>
          <w:rFonts w:asciiTheme="minorHAnsi" w:hAnsiTheme="minorHAnsi" w:cstheme="minorHAnsi"/>
          <w:color w:val="auto"/>
          <w:sz w:val="32"/>
          <w:szCs w:val="32"/>
        </w:rPr>
        <w:t>)</w:t>
      </w:r>
    </w:p>
    <w:p w:rsidR="0024472E" w:rsidRDefault="00B52D13" w:rsidP="00B52D13">
      <w:pPr>
        <w:pStyle w:val="Heading4"/>
        <w:snapToGrid w:val="0"/>
        <w:rPr>
          <w:rFonts w:asciiTheme="minorHAnsi" w:hAnsiTheme="minorHAnsi" w:cstheme="minorHAnsi"/>
          <w:color w:val="auto"/>
          <w:sz w:val="32"/>
          <w:szCs w:val="32"/>
        </w:rPr>
      </w:pPr>
      <w:r w:rsidRPr="0047656C">
        <w:rPr>
          <w:rFonts w:asciiTheme="minorHAnsi" w:hAnsiTheme="minorHAnsi" w:cstheme="minorHAnsi"/>
          <w:color w:val="auto"/>
          <w:sz w:val="32"/>
          <w:szCs w:val="32"/>
        </w:rPr>
        <w:t>Provision of scientific information</w:t>
      </w:r>
    </w:p>
    <w:p w:rsidR="00AD7277" w:rsidRDefault="00AD7277" w:rsidP="00AD7277"/>
    <w:p w:rsidR="00AD7277" w:rsidRDefault="00AD7277" w:rsidP="00AD7277">
      <w:pPr>
        <w:rPr>
          <w:sz w:val="24"/>
          <w:szCs w:val="24"/>
        </w:rPr>
      </w:pPr>
      <w:r w:rsidRPr="00AD7277">
        <w:rPr>
          <w:sz w:val="24"/>
          <w:szCs w:val="24"/>
        </w:rPr>
        <w:t xml:space="preserve">S. Mckechnie presented SC12-SA-WP-04 (stock assessment of skipjack tuna in the western and central Pacific Ocean) that assessed the stock of skipjack tuna in the WCPO up to the end of 2015. New developments to the assessment include addressing the recommendations of the previous assessment (2014), exploration of uncertainties in the assessment model, particularly in response to the inclusion of additional years of data, and to improve diagnostic weakness of previous assessments. Other key papers </w:t>
      </w:r>
      <w:r>
        <w:rPr>
          <w:sz w:val="24"/>
          <w:szCs w:val="24"/>
        </w:rPr>
        <w:t xml:space="preserve">were </w:t>
      </w:r>
      <w:r w:rsidRPr="00AD7277">
        <w:rPr>
          <w:sz w:val="24"/>
          <w:szCs w:val="24"/>
        </w:rPr>
        <w:t xml:space="preserve">presented </w:t>
      </w:r>
      <w:r>
        <w:rPr>
          <w:sz w:val="24"/>
          <w:szCs w:val="24"/>
        </w:rPr>
        <w:t xml:space="preserve">to </w:t>
      </w:r>
      <w:r w:rsidRPr="00AD7277">
        <w:rPr>
          <w:sz w:val="24"/>
          <w:szCs w:val="24"/>
        </w:rPr>
        <w:t xml:space="preserve">document: 1) </w:t>
      </w:r>
      <w:r>
        <w:rPr>
          <w:sz w:val="24"/>
          <w:szCs w:val="24"/>
        </w:rPr>
        <w:t>methods of estimating standardiz</w:t>
      </w:r>
      <w:r w:rsidRPr="00AD7277">
        <w:rPr>
          <w:sz w:val="24"/>
          <w:szCs w:val="24"/>
        </w:rPr>
        <w:t>ed catch per unit effort indices, 2) construction of the tagging data input file, 3) revisions and summaries of fisheries definitions, and the guidance of the Pre-assessment workshop.</w:t>
      </w:r>
    </w:p>
    <w:p w:rsidR="00E11CD6" w:rsidRDefault="00E11CD6" w:rsidP="00AD7277">
      <w:pPr>
        <w:rPr>
          <w:sz w:val="24"/>
          <w:szCs w:val="24"/>
        </w:rPr>
      </w:pPr>
    </w:p>
    <w:p w:rsidR="00E11CD6" w:rsidRPr="00E11CD6" w:rsidRDefault="00E11CD6" w:rsidP="00E11CD6">
      <w:pPr>
        <w:pStyle w:val="ListParagraph"/>
        <w:numPr>
          <w:ilvl w:val="0"/>
          <w:numId w:val="18"/>
        </w:numPr>
        <w:autoSpaceDE w:val="0"/>
        <w:autoSpaceDN w:val="0"/>
        <w:adjustRightInd w:val="0"/>
        <w:jc w:val="both"/>
        <w:rPr>
          <w:rFonts w:cs="Times New Roman"/>
          <w:sz w:val="24"/>
          <w:szCs w:val="24"/>
        </w:rPr>
      </w:pPr>
      <w:r w:rsidRPr="00E11CD6">
        <w:rPr>
          <w:rFonts w:cs="Times New Roman"/>
          <w:sz w:val="24"/>
          <w:szCs w:val="24"/>
        </w:rPr>
        <w:t>SC12 noted that the skipjack catch in 2015 was 1,827,750 mt, was a 9% decrease over 2014 and a 3% increase over the average for 2010-14.</w:t>
      </w:r>
    </w:p>
    <w:p w:rsidR="00E11CD6" w:rsidRPr="00E11CD6" w:rsidRDefault="00E11CD6" w:rsidP="00E11CD6">
      <w:pPr>
        <w:pStyle w:val="ListParagraph"/>
        <w:autoSpaceDE w:val="0"/>
        <w:autoSpaceDN w:val="0"/>
        <w:adjustRightInd w:val="0"/>
        <w:ind w:left="720"/>
        <w:jc w:val="both"/>
        <w:rPr>
          <w:rFonts w:cs="Times New Roman"/>
          <w:sz w:val="24"/>
          <w:szCs w:val="24"/>
        </w:rPr>
      </w:pPr>
    </w:p>
    <w:p w:rsidR="00E11CD6" w:rsidRPr="00E11CD6" w:rsidRDefault="00E11CD6" w:rsidP="00E11CD6">
      <w:pPr>
        <w:pStyle w:val="ListParagraph"/>
        <w:numPr>
          <w:ilvl w:val="0"/>
          <w:numId w:val="18"/>
        </w:numPr>
        <w:autoSpaceDE w:val="0"/>
        <w:autoSpaceDN w:val="0"/>
        <w:adjustRightInd w:val="0"/>
        <w:jc w:val="both"/>
        <w:rPr>
          <w:rFonts w:cs="Times New Roman"/>
          <w:sz w:val="24"/>
          <w:szCs w:val="24"/>
        </w:rPr>
      </w:pPr>
      <w:r w:rsidRPr="00E11CD6">
        <w:rPr>
          <w:rFonts w:cs="Times New Roman"/>
          <w:sz w:val="24"/>
          <w:szCs w:val="24"/>
        </w:rPr>
        <w:t>Purse seine skipjack catch in 2015 was 13% lower than that in 2014 and effort 21% lower.</w:t>
      </w:r>
    </w:p>
    <w:p w:rsidR="006F7742" w:rsidRPr="00E11CD6" w:rsidRDefault="006F7742" w:rsidP="00E11CD6">
      <w:pPr>
        <w:pStyle w:val="ListParagraph"/>
        <w:ind w:left="720"/>
        <w:rPr>
          <w:sz w:val="24"/>
          <w:szCs w:val="24"/>
        </w:rPr>
      </w:pPr>
    </w:p>
    <w:p w:rsidR="006F7742" w:rsidRPr="009642E7" w:rsidRDefault="006F7742" w:rsidP="009642E7">
      <w:pPr>
        <w:pStyle w:val="ListParagraph"/>
        <w:numPr>
          <w:ilvl w:val="0"/>
          <w:numId w:val="18"/>
        </w:numPr>
        <w:rPr>
          <w:sz w:val="24"/>
          <w:szCs w:val="24"/>
        </w:rPr>
      </w:pPr>
      <w:r w:rsidRPr="009642E7">
        <w:rPr>
          <w:sz w:val="24"/>
          <w:szCs w:val="24"/>
        </w:rPr>
        <w:t xml:space="preserve">The SC12 was unable to reach consensus on the description of stock status based on the 2016 stock assessment. </w:t>
      </w:r>
    </w:p>
    <w:p w:rsidR="006F7742" w:rsidRPr="006F7742" w:rsidRDefault="006F7742" w:rsidP="006F7742">
      <w:pPr>
        <w:rPr>
          <w:sz w:val="24"/>
          <w:szCs w:val="24"/>
        </w:rPr>
      </w:pPr>
    </w:p>
    <w:p w:rsidR="003B4FCB" w:rsidRPr="009642E7" w:rsidRDefault="006F7742" w:rsidP="009642E7">
      <w:pPr>
        <w:pStyle w:val="ListParagraph"/>
        <w:numPr>
          <w:ilvl w:val="0"/>
          <w:numId w:val="18"/>
        </w:numPr>
        <w:rPr>
          <w:sz w:val="24"/>
          <w:szCs w:val="24"/>
        </w:rPr>
      </w:pPr>
      <w:r w:rsidRPr="009642E7">
        <w:rPr>
          <w:sz w:val="24"/>
          <w:szCs w:val="24"/>
        </w:rPr>
        <w:t>SC12 notes that the majority of member countries agreed on the following description of WCPO skipjack tuna status and trends.</w:t>
      </w:r>
    </w:p>
    <w:p w:rsidR="00FB5D7C" w:rsidRDefault="00FB5D7C" w:rsidP="006F7742">
      <w:pPr>
        <w:rPr>
          <w:sz w:val="24"/>
          <w:szCs w:val="24"/>
        </w:rPr>
      </w:pPr>
    </w:p>
    <w:p w:rsidR="00675A9A" w:rsidRDefault="009642E7" w:rsidP="00675A9A">
      <w:pPr>
        <w:pStyle w:val="Heading5"/>
        <w:snapToGrid w:val="0"/>
        <w:rPr>
          <w:rFonts w:asciiTheme="minorHAnsi" w:hAnsiTheme="minorHAnsi" w:cstheme="minorHAnsi"/>
          <w:color w:val="auto"/>
          <w:sz w:val="32"/>
          <w:szCs w:val="32"/>
        </w:rPr>
      </w:pPr>
      <w:r>
        <w:rPr>
          <w:rFonts w:asciiTheme="minorHAnsi" w:hAnsiTheme="minorHAnsi" w:cstheme="minorHAnsi"/>
          <w:color w:val="auto"/>
          <w:sz w:val="32"/>
          <w:szCs w:val="32"/>
        </w:rPr>
        <w:t>M</w:t>
      </w:r>
      <w:r w:rsidR="005A2325">
        <w:rPr>
          <w:rFonts w:asciiTheme="minorHAnsi" w:hAnsiTheme="minorHAnsi" w:cstheme="minorHAnsi"/>
          <w:color w:val="auto"/>
          <w:sz w:val="32"/>
          <w:szCs w:val="32"/>
        </w:rPr>
        <w:t>ajority v</w:t>
      </w:r>
      <w:r w:rsidR="00600469">
        <w:rPr>
          <w:rFonts w:asciiTheme="minorHAnsi" w:hAnsiTheme="minorHAnsi" w:cstheme="minorHAnsi"/>
          <w:color w:val="auto"/>
          <w:sz w:val="32"/>
          <w:szCs w:val="32"/>
        </w:rPr>
        <w:t xml:space="preserve">iew of </w:t>
      </w:r>
      <w:r w:rsidR="005A2325">
        <w:rPr>
          <w:rFonts w:asciiTheme="minorHAnsi" w:hAnsiTheme="minorHAnsi" w:cstheme="minorHAnsi"/>
          <w:color w:val="auto"/>
          <w:sz w:val="32"/>
          <w:szCs w:val="32"/>
        </w:rPr>
        <w:t>s</w:t>
      </w:r>
      <w:r w:rsidR="00B52D13" w:rsidRPr="00A27E65">
        <w:rPr>
          <w:rFonts w:asciiTheme="minorHAnsi" w:hAnsiTheme="minorHAnsi" w:cstheme="minorHAnsi"/>
          <w:color w:val="auto"/>
          <w:sz w:val="32"/>
          <w:szCs w:val="32"/>
        </w:rPr>
        <w:t>tatus and trends</w:t>
      </w:r>
    </w:p>
    <w:p w:rsidR="00675A9A" w:rsidRPr="006C4579" w:rsidRDefault="00675A9A" w:rsidP="00675A9A">
      <w:pPr>
        <w:rPr>
          <w:sz w:val="24"/>
          <w:szCs w:val="24"/>
        </w:rPr>
      </w:pPr>
    </w:p>
    <w:p w:rsidR="006C4579" w:rsidRPr="006C4579" w:rsidRDefault="00FB5D7C" w:rsidP="006C4579">
      <w:pPr>
        <w:pStyle w:val="ListParagraph"/>
        <w:numPr>
          <w:ilvl w:val="0"/>
          <w:numId w:val="12"/>
        </w:numPr>
        <w:rPr>
          <w:rFonts w:eastAsia="Batang" w:cs="Times New Roman"/>
          <w:b/>
          <w:bCs/>
        </w:rPr>
      </w:pPr>
      <w:r>
        <w:rPr>
          <w:rFonts w:eastAsia="MS Mincho" w:cs="Times New Roman"/>
          <w:sz w:val="24"/>
          <w:szCs w:val="24"/>
        </w:rPr>
        <w:t xml:space="preserve">A majority of </w:t>
      </w:r>
      <w:r w:rsidR="00675A9A" w:rsidRPr="006C4579">
        <w:rPr>
          <w:rFonts w:eastAsia="MS Mincho" w:cs="Times New Roman"/>
          <w:sz w:val="24"/>
          <w:szCs w:val="24"/>
        </w:rPr>
        <w:t xml:space="preserve">SC12 </w:t>
      </w:r>
      <w:r>
        <w:rPr>
          <w:rFonts w:eastAsia="MS Mincho" w:cs="Times New Roman"/>
          <w:sz w:val="24"/>
          <w:szCs w:val="24"/>
        </w:rPr>
        <w:t xml:space="preserve">CCMs </w:t>
      </w:r>
      <w:r w:rsidR="00675A9A" w:rsidRPr="006C4579">
        <w:rPr>
          <w:rFonts w:eastAsia="MS Mincho" w:cs="Times New Roman"/>
          <w:sz w:val="24"/>
          <w:szCs w:val="24"/>
        </w:rPr>
        <w:t xml:space="preserve">selected the reference case model as the base case to represent the stock status of skipjack tuna. To characterize uncertainty, </w:t>
      </w:r>
      <w:r>
        <w:rPr>
          <w:rFonts w:eastAsia="MS Mincho" w:cs="Times New Roman"/>
          <w:sz w:val="24"/>
          <w:szCs w:val="24"/>
        </w:rPr>
        <w:t>those CCMs</w:t>
      </w:r>
      <w:r w:rsidRPr="006C4579">
        <w:rPr>
          <w:rFonts w:eastAsia="MS Mincho" w:cs="Times New Roman"/>
          <w:sz w:val="24"/>
          <w:szCs w:val="24"/>
        </w:rPr>
        <w:t xml:space="preserve"> </w:t>
      </w:r>
      <w:r w:rsidR="00675A9A" w:rsidRPr="006C4579">
        <w:rPr>
          <w:rFonts w:eastAsia="MS Mincho" w:cs="Times New Roman"/>
          <w:sz w:val="24"/>
          <w:szCs w:val="24"/>
        </w:rPr>
        <w:t>chose the structural uncertainty grid. Summaries of important model quantities for these models are shown in Table SKJ1.</w:t>
      </w:r>
      <w:r w:rsidR="00675A9A" w:rsidRPr="006C4579">
        <w:rPr>
          <w:rFonts w:eastAsia="Batang" w:cs="Times New Roman"/>
          <w:b/>
          <w:bCs/>
        </w:rPr>
        <w:t xml:space="preserve"> </w:t>
      </w:r>
      <w:r w:rsidR="00675A9A" w:rsidRPr="006C4579">
        <w:rPr>
          <w:rFonts w:eastAsia="Batang" w:cs="Times New Roman"/>
          <w:b/>
          <w:bCs/>
        </w:rPr>
        <w:br/>
      </w:r>
      <w:r w:rsidR="00675A9A" w:rsidRPr="006C4579">
        <w:rPr>
          <w:rFonts w:eastAsia="Batang" w:cs="Times New Roman"/>
          <w:b/>
          <w:bCs/>
        </w:rPr>
        <w:br/>
      </w:r>
    </w:p>
    <w:p w:rsidR="00675A9A" w:rsidRDefault="00675A9A" w:rsidP="00675A9A">
      <w:pPr>
        <w:rPr>
          <w:rFonts w:eastAsia="Batang" w:cs="Times New Roman"/>
          <w:bCs/>
        </w:rPr>
      </w:pPr>
      <w:r w:rsidRPr="006C4579">
        <w:rPr>
          <w:rFonts w:eastAsia="Batang" w:cs="Times New Roman"/>
          <w:b/>
          <w:bCs/>
          <w:sz w:val="24"/>
          <w:szCs w:val="24"/>
        </w:rPr>
        <w:t xml:space="preserve">Table SKJ1: </w:t>
      </w:r>
      <w:r w:rsidRPr="006C4579">
        <w:rPr>
          <w:rFonts w:eastAsia="Batang" w:cs="Times New Roman"/>
          <w:bCs/>
          <w:sz w:val="24"/>
          <w:szCs w:val="24"/>
        </w:rPr>
        <w:t>Estimates of management quantities for the selected stock assessment models. For the purpose of this assessment, “recent” is the average over the period 2011–2014 and “latest” is 2015.</w:t>
      </w:r>
      <w:r>
        <w:rPr>
          <w:rFonts w:eastAsia="Batang" w:cs="Times New Roman"/>
          <w:bCs/>
        </w:rPr>
        <w:t xml:space="preserve"> </w:t>
      </w:r>
      <w:r w:rsidRPr="00C06D64">
        <w:rPr>
          <w:highlight w:val="yellow"/>
        </w:rPr>
        <w:t>(INSERT TABLE 6 FROM THE ASSESSMENT</w:t>
      </w:r>
      <w:r w:rsidRPr="00FB5D7C">
        <w:rPr>
          <w:highlight w:val="yellow"/>
        </w:rPr>
        <w:t>)</w:t>
      </w:r>
      <w:r w:rsidR="00FB5D7C" w:rsidRPr="00E11CD6">
        <w:rPr>
          <w:highlight w:val="yellow"/>
        </w:rPr>
        <w:t xml:space="preserve">  add Table 5 from SKJ Assessment as well</w:t>
      </w:r>
    </w:p>
    <w:p w:rsidR="00675A9A" w:rsidRDefault="00675A9A" w:rsidP="00675A9A">
      <w:pPr>
        <w:rPr>
          <w:rFonts w:eastAsia="Batang" w:cs="Times New Roman"/>
          <w:bCs/>
        </w:rPr>
      </w:pPr>
      <w:r>
        <w:rPr>
          <w:noProof/>
        </w:rPr>
        <w:lastRenderedPageBreak/>
        <w:drawing>
          <wp:inline distT="0" distB="0" distL="0" distR="0" wp14:anchorId="772DACE1" wp14:editId="2E4E25C8">
            <wp:extent cx="5731510" cy="1282700"/>
            <wp:effectExtent l="0" t="0" r="254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282700"/>
                    </a:xfrm>
                    <a:prstGeom prst="rect">
                      <a:avLst/>
                    </a:prstGeom>
                  </pic:spPr>
                </pic:pic>
              </a:graphicData>
            </a:graphic>
          </wp:inline>
        </w:drawing>
      </w:r>
    </w:p>
    <w:p w:rsidR="00675A9A" w:rsidRPr="0062079C" w:rsidRDefault="00675A9A" w:rsidP="00675A9A">
      <w:r>
        <w:t xml:space="preserve">Trends in estimated recruitment, spawning biomass, fishing mortality and depletion are shown in </w:t>
      </w:r>
      <w:r w:rsidRPr="00A3563E">
        <w:t>Figures SKJ 1-4</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44"/>
        <w:gridCol w:w="4570"/>
      </w:tblGrid>
      <w:tr w:rsidR="00675A9A" w:rsidRPr="00737053" w:rsidTr="003B428C">
        <w:tc>
          <w:tcPr>
            <w:tcW w:w="4644" w:type="dxa"/>
          </w:tcPr>
          <w:p w:rsidR="00675A9A" w:rsidRPr="00737053" w:rsidRDefault="00675A9A" w:rsidP="003B428C">
            <w:pPr>
              <w:adjustRightInd w:val="0"/>
              <w:snapToGrid w:val="0"/>
              <w:jc w:val="both"/>
              <w:rPr>
                <w:rFonts w:eastAsia="Malgun Gothic" w:cs="Times New Roman"/>
                <w:b/>
                <w:lang w:val="en-US" w:eastAsia="ko-KR"/>
              </w:rPr>
            </w:pPr>
            <w:r>
              <w:rPr>
                <w:noProof/>
              </w:rPr>
              <w:drawing>
                <wp:inline distT="0" distB="0" distL="0" distR="0" wp14:anchorId="070C2EAB" wp14:editId="796714C2">
                  <wp:extent cx="2686050" cy="2063750"/>
                  <wp:effectExtent l="0" t="0" r="0" b="0"/>
                  <wp:docPr id="11" name="Picture 7" descr="C:\skj\2016\Writeup\Figures\Stepwise\plot_recruitment_compare_2016_Sensitivities2.png"/>
                  <wp:cNvGraphicFramePr/>
                  <a:graphic xmlns:a="http://schemas.openxmlformats.org/drawingml/2006/main">
                    <a:graphicData uri="http://schemas.openxmlformats.org/drawingml/2006/picture">
                      <pic:pic xmlns:pic="http://schemas.openxmlformats.org/drawingml/2006/picture">
                        <pic:nvPicPr>
                          <pic:cNvPr id="7" name="Picture 7" descr="C:\skj\2016\Writeup\Figures\Stepwise\plot_recruitment_compare_2016_Sensitivities2.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86050" cy="2063750"/>
                          </a:xfrm>
                          <a:prstGeom prst="rect">
                            <a:avLst/>
                          </a:prstGeom>
                          <a:noFill/>
                          <a:ln>
                            <a:noFill/>
                          </a:ln>
                        </pic:spPr>
                      </pic:pic>
                    </a:graphicData>
                  </a:graphic>
                </wp:inline>
              </w:drawing>
            </w:r>
          </w:p>
        </w:tc>
        <w:tc>
          <w:tcPr>
            <w:tcW w:w="4536" w:type="dxa"/>
          </w:tcPr>
          <w:p w:rsidR="00675A9A" w:rsidRPr="00737053" w:rsidRDefault="00675A9A" w:rsidP="003B428C">
            <w:pPr>
              <w:adjustRightInd w:val="0"/>
              <w:snapToGrid w:val="0"/>
              <w:jc w:val="both"/>
              <w:rPr>
                <w:rFonts w:eastAsia="Malgun Gothic" w:cs="Times New Roman"/>
                <w:b/>
                <w:lang w:val="en-US" w:eastAsia="ko-KR"/>
              </w:rPr>
            </w:pPr>
            <w:r>
              <w:rPr>
                <w:noProof/>
              </w:rPr>
              <w:drawing>
                <wp:inline distT="0" distB="0" distL="0" distR="0" wp14:anchorId="029450FD" wp14:editId="0EF3ACCA">
                  <wp:extent cx="2686050" cy="2146300"/>
                  <wp:effectExtent l="0" t="0" r="0" b="6350"/>
                  <wp:docPr id="15" name="Picture 8" descr="C:\skj\2016\Writeup\Figures\Stepwise\plot_biomass_compare_2016_Sensitivities2.png"/>
                  <wp:cNvGraphicFramePr/>
                  <a:graphic xmlns:a="http://schemas.openxmlformats.org/drawingml/2006/main">
                    <a:graphicData uri="http://schemas.openxmlformats.org/drawingml/2006/picture">
                      <pic:pic xmlns:pic="http://schemas.openxmlformats.org/drawingml/2006/picture">
                        <pic:nvPicPr>
                          <pic:cNvPr id="8" name="Picture 8" descr="C:\skj\2016\Writeup\Figures\Stepwise\plot_biomass_compare_2016_Sensitivities2.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050" cy="2146300"/>
                          </a:xfrm>
                          <a:prstGeom prst="rect">
                            <a:avLst/>
                          </a:prstGeom>
                          <a:noFill/>
                          <a:ln>
                            <a:noFill/>
                          </a:ln>
                        </pic:spPr>
                      </pic:pic>
                    </a:graphicData>
                  </a:graphic>
                </wp:inline>
              </w:drawing>
            </w:r>
          </w:p>
        </w:tc>
      </w:tr>
      <w:tr w:rsidR="00675A9A" w:rsidRPr="00737053" w:rsidTr="003B428C">
        <w:tc>
          <w:tcPr>
            <w:tcW w:w="4644" w:type="dxa"/>
          </w:tcPr>
          <w:p w:rsidR="00675A9A" w:rsidRPr="00737053" w:rsidRDefault="00675A9A" w:rsidP="003B428C">
            <w:pPr>
              <w:adjustRightInd w:val="0"/>
              <w:snapToGrid w:val="0"/>
              <w:rPr>
                <w:rFonts w:eastAsia="Malgun Gothic" w:cs="Times New Roman"/>
                <w:b/>
                <w:sz w:val="18"/>
                <w:szCs w:val="18"/>
                <w:lang w:val="en-US" w:eastAsia="ko-KR"/>
              </w:rPr>
            </w:pPr>
            <w:r w:rsidRPr="00737053">
              <w:rPr>
                <w:rFonts w:eastAsia="MS Mincho" w:cs="Times New Roman"/>
                <w:b/>
                <w:bCs/>
                <w:sz w:val="18"/>
                <w:szCs w:val="18"/>
                <w:lang w:val="en-US" w:eastAsia="ja-JP"/>
              </w:rPr>
              <w:t xml:space="preserve">Figure SKJ1: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Pr>
                <w:rFonts w:eastAsia="MS Mincho" w:cs="Times New Roman"/>
                <w:sz w:val="18"/>
                <w:szCs w:val="18"/>
                <w:lang w:val="en-US" w:eastAsia="ja-JP"/>
              </w:rPr>
              <w:t xml:space="preserve"> reference </w:t>
            </w:r>
            <w:r>
              <w:rPr>
                <w:rFonts w:eastAsia="MS Mincho" w:cs="Times New Roman"/>
                <w:bCs/>
                <w:sz w:val="18"/>
                <w:szCs w:val="18"/>
                <w:lang w:val="en-US" w:eastAsia="ja-JP"/>
              </w:rPr>
              <w:t>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c>
          <w:tcPr>
            <w:tcW w:w="4536" w:type="dxa"/>
          </w:tcPr>
          <w:p w:rsidR="00675A9A" w:rsidRPr="00737053" w:rsidRDefault="00675A9A" w:rsidP="003B428C">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SKJ2: </w:t>
            </w:r>
            <w:r w:rsidRPr="00737053">
              <w:rPr>
                <w:rFonts w:eastAsia="MS Mincho" w:cs="Times New Roman"/>
                <w:sz w:val="18"/>
                <w:szCs w:val="18"/>
                <w:lang w:val="en-US" w:eastAsia="ja-JP"/>
              </w:rPr>
              <w:t xml:space="preserve">Estimated annual average spawning potential for the WCPO obtained from </w:t>
            </w:r>
            <w:r>
              <w:rPr>
                <w:rFonts w:eastAsia="MS Mincho" w:cs="Times New Roman"/>
                <w:bCs/>
                <w:sz w:val="18"/>
                <w:szCs w:val="18"/>
                <w:lang w:val="en-US" w:eastAsia="ja-JP"/>
              </w:rPr>
              <w:t>the reference case model and six</w:t>
            </w:r>
            <w:r w:rsidRPr="00737053">
              <w:rPr>
                <w:rFonts w:eastAsia="MS Mincho" w:cs="Times New Roman"/>
                <w:bCs/>
                <w:sz w:val="18"/>
                <w:szCs w:val="18"/>
                <w:lang w:val="en-US" w:eastAsia="ja-JP"/>
              </w:rPr>
              <w:t xml:space="preserve"> additional runs.</w:t>
            </w:r>
            <w:r w:rsidRPr="00737053">
              <w:rPr>
                <w:rFonts w:eastAsia="MS Mincho" w:cs="Times New Roman"/>
                <w:sz w:val="18"/>
                <w:szCs w:val="18"/>
                <w:lang w:val="en-US" w:eastAsia="ja-JP"/>
              </w:rPr>
              <w:t xml:space="preserve"> </w:t>
            </w:r>
          </w:p>
        </w:tc>
      </w:tr>
      <w:tr w:rsidR="00675A9A" w:rsidRPr="00737053" w:rsidTr="003B428C">
        <w:tc>
          <w:tcPr>
            <w:tcW w:w="4644" w:type="dxa"/>
            <w:vAlign w:val="center"/>
          </w:tcPr>
          <w:p w:rsidR="00675A9A" w:rsidRPr="00737053" w:rsidRDefault="00675A9A" w:rsidP="003B428C">
            <w:pPr>
              <w:adjustRightInd w:val="0"/>
              <w:snapToGrid w:val="0"/>
              <w:rPr>
                <w:rFonts w:eastAsia="Malgun Gothic" w:cs="Times New Roman"/>
                <w:b/>
                <w:bCs/>
                <w:lang w:val="en-US" w:eastAsia="ko-KR"/>
              </w:rPr>
            </w:pPr>
            <w:r>
              <w:rPr>
                <w:rFonts w:ascii="Calibri" w:eastAsia="MS Mincho" w:hAnsi="Calibri"/>
                <w:noProof/>
                <w:color w:val="000000"/>
              </w:rPr>
              <w:drawing>
                <wp:inline distT="0" distB="0" distL="0" distR="0" wp14:anchorId="353881AD" wp14:editId="53D38E7B">
                  <wp:extent cx="2577948" cy="1733550"/>
                  <wp:effectExtent l="0" t="0" r="0" b="0"/>
                  <wp:docPr id="16" name="Picture 4" descr="C:\skj\2016\Writeup\Figures\Reference_Case\plot_temporal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j\2016\Writeup\Figures\Reference_Case\plot_temporal_F.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0423" cy="1741939"/>
                          </a:xfrm>
                          <a:prstGeom prst="rect">
                            <a:avLst/>
                          </a:prstGeom>
                          <a:noFill/>
                          <a:ln>
                            <a:noFill/>
                          </a:ln>
                        </pic:spPr>
                      </pic:pic>
                    </a:graphicData>
                  </a:graphic>
                </wp:inline>
              </w:drawing>
            </w:r>
          </w:p>
        </w:tc>
        <w:tc>
          <w:tcPr>
            <w:tcW w:w="4536" w:type="dxa"/>
            <w:vAlign w:val="center"/>
          </w:tcPr>
          <w:p w:rsidR="00675A9A" w:rsidRPr="00737053" w:rsidRDefault="00675A9A" w:rsidP="003B428C">
            <w:pPr>
              <w:adjustRightInd w:val="0"/>
              <w:snapToGrid w:val="0"/>
              <w:jc w:val="center"/>
              <w:rPr>
                <w:rFonts w:eastAsia="Malgun Gothic" w:cs="Times New Roman"/>
                <w:b/>
                <w:bCs/>
                <w:lang w:val="en-US" w:eastAsia="ko-KR"/>
              </w:rPr>
            </w:pPr>
            <w:r>
              <w:rPr>
                <w:rFonts w:ascii="Calibri" w:eastAsia="MS Mincho" w:hAnsi="Calibri"/>
                <w:noProof/>
                <w:color w:val="000000"/>
              </w:rPr>
              <w:drawing>
                <wp:inline distT="0" distB="0" distL="0" distR="0" wp14:anchorId="760DED35" wp14:editId="0F51F302">
                  <wp:extent cx="2635250" cy="2635250"/>
                  <wp:effectExtent l="0" t="0" r="0" b="0"/>
                  <wp:docPr id="5" name="Picture 5" descr="C:\skj\2016\Writeup\Figures\Reference_Case\plot_fishery_impact_SKJ-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kj\2016\Writeup\Figures\Reference_Case\plot_fishery_impact_SKJ-SS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5250" cy="2635250"/>
                          </a:xfrm>
                          <a:prstGeom prst="rect">
                            <a:avLst/>
                          </a:prstGeom>
                          <a:noFill/>
                          <a:ln>
                            <a:noFill/>
                          </a:ln>
                        </pic:spPr>
                      </pic:pic>
                    </a:graphicData>
                  </a:graphic>
                </wp:inline>
              </w:drawing>
            </w:r>
          </w:p>
        </w:tc>
      </w:tr>
      <w:tr w:rsidR="00675A9A" w:rsidRPr="00737053" w:rsidTr="003B428C">
        <w:tc>
          <w:tcPr>
            <w:tcW w:w="4644" w:type="dxa"/>
          </w:tcPr>
          <w:p w:rsidR="00675A9A" w:rsidRPr="00737053" w:rsidRDefault="00675A9A" w:rsidP="003B428C">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SKJ3: </w:t>
            </w:r>
            <w:r w:rsidRPr="00737053">
              <w:rPr>
                <w:rFonts w:eastAsia="MS Mincho" w:cs="Times New Roman"/>
                <w:sz w:val="18"/>
                <w:szCs w:val="18"/>
                <w:lang w:val="en-US" w:eastAsia="ja-JP"/>
              </w:rPr>
              <w:t xml:space="preserve">Estimated annual average juvenile and adult fishing mortality for the WCPO obtained from </w:t>
            </w:r>
            <w:r>
              <w:rPr>
                <w:rFonts w:eastAsia="MS Mincho" w:cs="Times New Roman"/>
                <w:bCs/>
                <w:sz w:val="18"/>
                <w:szCs w:val="18"/>
                <w:lang w:val="en-US" w:eastAsia="ja-JP"/>
              </w:rPr>
              <w:t>the reference</w:t>
            </w:r>
            <w:r w:rsidRPr="00737053">
              <w:rPr>
                <w:rFonts w:eastAsia="MS Mincho" w:cs="Times New Roman"/>
                <w:bCs/>
                <w:sz w:val="18"/>
                <w:szCs w:val="18"/>
                <w:lang w:val="en-US" w:eastAsia="ja-JP"/>
              </w:rPr>
              <w:t xml:space="preserve"> case model.</w:t>
            </w:r>
          </w:p>
        </w:tc>
        <w:tc>
          <w:tcPr>
            <w:tcW w:w="4536" w:type="dxa"/>
          </w:tcPr>
          <w:p w:rsidR="00675A9A" w:rsidRPr="00737053" w:rsidRDefault="00675A9A" w:rsidP="003B428C">
            <w:pPr>
              <w:adjustRightInd w:val="0"/>
              <w:snapToGrid w:val="0"/>
              <w:jc w:val="both"/>
              <w:rPr>
                <w:rFonts w:eastAsia="Malgun Gothic" w:cs="Times New Roman"/>
                <w:b/>
                <w:bCs/>
                <w:sz w:val="18"/>
                <w:szCs w:val="18"/>
                <w:lang w:val="en-US" w:eastAsia="ko-KR"/>
              </w:rPr>
            </w:pPr>
            <w:r w:rsidRPr="00737053">
              <w:rPr>
                <w:rFonts w:eastAsia="MS Mincho" w:cs="Times New Roman"/>
                <w:b/>
                <w:bCs/>
                <w:sz w:val="18"/>
                <w:szCs w:val="18"/>
                <w:lang w:val="en-US" w:eastAsia="ja-JP"/>
              </w:rPr>
              <w:t xml:space="preserve">Figure SKJ4: </w:t>
            </w:r>
            <w:r w:rsidRPr="00737053">
              <w:rPr>
                <w:rFonts w:eastAsia="MS Mincho" w:cs="Times New Roman"/>
                <w:sz w:val="18"/>
                <w:szCs w:val="18"/>
                <w:lang w:val="en-US" w:eastAsia="ja-JP"/>
              </w:rPr>
              <w:t xml:space="preserve">Estimates of reduction in spawning potential due to fishing (fishery impact = </w:t>
            </w:r>
            <w:r w:rsidRPr="001B06D6">
              <w:rPr>
                <w:rFonts w:eastAsia="MS Mincho" w:cs="Times New Roman"/>
                <w:i/>
                <w:sz w:val="18"/>
                <w:szCs w:val="18"/>
                <w:lang w:val="en-US" w:eastAsia="ja-JP"/>
              </w:rPr>
              <w:t>1-SB</w:t>
            </w:r>
            <w:r w:rsidRPr="001B06D6">
              <w:rPr>
                <w:rFonts w:eastAsia="MS Mincho" w:cs="Times New Roman"/>
                <w:i/>
                <w:sz w:val="18"/>
                <w:szCs w:val="18"/>
                <w:vertAlign w:val="subscript"/>
                <w:lang w:val="en-US" w:eastAsia="ja-JP"/>
              </w:rPr>
              <w:t>t</w:t>
            </w:r>
            <w:r w:rsidRPr="001B06D6">
              <w:rPr>
                <w:rFonts w:eastAsia="MS Mincho" w:cs="Times New Roman"/>
                <w:i/>
                <w:sz w:val="18"/>
                <w:szCs w:val="18"/>
                <w:lang w:val="en-US" w:eastAsia="ja-JP"/>
              </w:rPr>
              <w:t>/SB</w:t>
            </w:r>
            <w:r w:rsidRPr="001B06D6">
              <w:rPr>
                <w:rFonts w:eastAsia="MS Mincho" w:cs="Times New Roman"/>
                <w:i/>
                <w:sz w:val="18"/>
                <w:szCs w:val="18"/>
                <w:vertAlign w:val="subscript"/>
                <w:lang w:val="en-US" w:eastAsia="ja-JP"/>
              </w:rPr>
              <w:t>t</w:t>
            </w:r>
            <w:r w:rsidRPr="001B06D6">
              <w:rPr>
                <w:rFonts w:eastAsia="Malgun Gothic" w:cs="Times New Roman"/>
                <w:i/>
                <w:sz w:val="18"/>
                <w:szCs w:val="18"/>
                <w:vertAlign w:val="subscript"/>
                <w:lang w:val="en-US" w:eastAsia="ko-KR"/>
              </w:rPr>
              <w:t>,</w:t>
            </w:r>
            <w:r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by region and for the WCPO attributed to var</w:t>
            </w:r>
            <w:r>
              <w:rPr>
                <w:rFonts w:eastAsia="MS Mincho" w:cs="Times New Roman"/>
                <w:sz w:val="18"/>
                <w:szCs w:val="18"/>
                <w:lang w:val="en-US" w:eastAsia="ja-JP"/>
              </w:rPr>
              <w:t>ious fishery groups for the reference</w:t>
            </w:r>
            <w:r w:rsidRPr="00737053">
              <w:rPr>
                <w:rFonts w:eastAsia="MS Mincho" w:cs="Times New Roman"/>
                <w:sz w:val="18"/>
                <w:szCs w:val="18"/>
                <w:lang w:val="en-US" w:eastAsia="ja-JP"/>
              </w:rPr>
              <w:t xml:space="preserve"> case model. </w:t>
            </w:r>
          </w:p>
        </w:tc>
      </w:tr>
      <w:tr w:rsidR="00675A9A" w:rsidRPr="00737053" w:rsidTr="003B428C">
        <w:tc>
          <w:tcPr>
            <w:tcW w:w="4644" w:type="dxa"/>
          </w:tcPr>
          <w:p w:rsidR="00675A9A" w:rsidRDefault="00675A9A" w:rsidP="003B428C">
            <w:pPr>
              <w:adjustRightInd w:val="0"/>
              <w:snapToGrid w:val="0"/>
              <w:jc w:val="both"/>
              <w:rPr>
                <w:rFonts w:eastAsia="MS Mincho" w:cs="Times New Roman"/>
                <w:b/>
                <w:bCs/>
                <w:sz w:val="18"/>
                <w:szCs w:val="18"/>
                <w:lang w:val="en-US" w:eastAsia="ja-JP"/>
              </w:rPr>
            </w:pPr>
            <w:r>
              <w:rPr>
                <w:rFonts w:ascii="Calibri" w:eastAsia="MS Mincho" w:hAnsi="Calibri"/>
                <w:noProof/>
                <w:color w:val="000000"/>
              </w:rPr>
              <w:lastRenderedPageBreak/>
              <w:drawing>
                <wp:inline distT="0" distB="0" distL="0" distR="0" wp14:anchorId="55E444A7" wp14:editId="312AABF6">
                  <wp:extent cx="2597150" cy="1854200"/>
                  <wp:effectExtent l="0" t="0" r="0" b="0"/>
                  <wp:docPr id="18" name="Picture 1" descr="C:\skj\2016\Writeup\Figures\Reference_Case\plot_Majuro_Temp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j\2016\Writeup\Figures\Reference_Case\plot_Majuro_Tempora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7150" cy="1854200"/>
                          </a:xfrm>
                          <a:prstGeom prst="rect">
                            <a:avLst/>
                          </a:prstGeom>
                          <a:noFill/>
                          <a:ln>
                            <a:noFill/>
                          </a:ln>
                        </pic:spPr>
                      </pic:pic>
                    </a:graphicData>
                  </a:graphic>
                </wp:inline>
              </w:drawing>
            </w:r>
          </w:p>
          <w:p w:rsidR="00675A9A" w:rsidRDefault="00675A9A" w:rsidP="003B428C">
            <w:pPr>
              <w:adjustRightInd w:val="0"/>
              <w:snapToGrid w:val="0"/>
              <w:jc w:val="both"/>
              <w:rPr>
                <w:rFonts w:eastAsia="MS Mincho" w:cs="Times New Roman"/>
                <w:b/>
                <w:bCs/>
                <w:sz w:val="18"/>
                <w:szCs w:val="18"/>
                <w:lang w:val="en-US" w:eastAsia="ja-JP"/>
              </w:rPr>
            </w:pPr>
          </w:p>
          <w:p w:rsidR="00675A9A" w:rsidRPr="00737053" w:rsidRDefault="00675A9A" w:rsidP="003B428C">
            <w:pPr>
              <w:adjustRightInd w:val="0"/>
              <w:snapToGrid w:val="0"/>
              <w:jc w:val="both"/>
              <w:rPr>
                <w:rFonts w:eastAsia="MS Mincho" w:cs="Times New Roman"/>
                <w:b/>
                <w:bCs/>
                <w:sz w:val="18"/>
                <w:szCs w:val="18"/>
                <w:lang w:val="en-US" w:eastAsia="ja-JP"/>
              </w:rPr>
            </w:pPr>
            <w:r>
              <w:rPr>
                <w:rFonts w:ascii="Calibri" w:eastAsia="MS Mincho" w:hAnsi="Calibri"/>
                <w:noProof/>
                <w:color w:val="000000"/>
              </w:rPr>
              <w:drawing>
                <wp:inline distT="0" distB="0" distL="0" distR="0" wp14:anchorId="4D13C86B" wp14:editId="0AFC98BA">
                  <wp:extent cx="2514600" cy="1898650"/>
                  <wp:effectExtent l="0" t="0" r="0" b="6350"/>
                  <wp:docPr id="2" name="Picture 2" descr="C:\skj\2016\Writeup\Figures\Grid\plot_Majuro_grid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j\2016\Writeup\Figures\Grid\plot_Majuro_grid_compar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4600" cy="1898650"/>
                          </a:xfrm>
                          <a:prstGeom prst="rect">
                            <a:avLst/>
                          </a:prstGeom>
                          <a:noFill/>
                          <a:ln>
                            <a:noFill/>
                          </a:ln>
                        </pic:spPr>
                      </pic:pic>
                    </a:graphicData>
                  </a:graphic>
                </wp:inline>
              </w:drawing>
            </w:r>
          </w:p>
        </w:tc>
        <w:tc>
          <w:tcPr>
            <w:tcW w:w="4536" w:type="dxa"/>
          </w:tcPr>
          <w:p w:rsidR="00675A9A" w:rsidRPr="00737053" w:rsidRDefault="00675A9A" w:rsidP="003B428C">
            <w:pPr>
              <w:adjustRightInd w:val="0"/>
              <w:snapToGrid w:val="0"/>
              <w:jc w:val="both"/>
              <w:rPr>
                <w:rFonts w:eastAsia="Batang" w:cs="Times New Roman"/>
                <w:b/>
                <w:bCs/>
                <w:sz w:val="18"/>
                <w:szCs w:val="18"/>
                <w:lang w:val="en-US"/>
              </w:rPr>
            </w:pPr>
            <w:r>
              <w:rPr>
                <w:rFonts w:ascii="Calibri" w:eastAsia="MS Mincho" w:hAnsi="Calibri"/>
                <w:noProof/>
                <w:color w:val="000000"/>
              </w:rPr>
              <w:drawing>
                <wp:inline distT="0" distB="0" distL="0" distR="0" wp14:anchorId="177BC19C" wp14:editId="01BF2D55">
                  <wp:extent cx="2764790" cy="1816100"/>
                  <wp:effectExtent l="0" t="0" r="0" b="0"/>
                  <wp:docPr id="3" name="Picture 3" descr="C:\skj\2016\Writeup\Figures\Reference_Case\plot_temporal_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j\2016\Writeup\Figures\Reference_Case\plot_temporal_MSY.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1804" cy="1820707"/>
                          </a:xfrm>
                          <a:prstGeom prst="rect">
                            <a:avLst/>
                          </a:prstGeom>
                          <a:noFill/>
                          <a:ln>
                            <a:noFill/>
                          </a:ln>
                        </pic:spPr>
                      </pic:pic>
                    </a:graphicData>
                  </a:graphic>
                </wp:inline>
              </w:drawing>
            </w:r>
          </w:p>
        </w:tc>
      </w:tr>
      <w:tr w:rsidR="00675A9A" w:rsidRPr="00737053" w:rsidTr="003B428C">
        <w:tc>
          <w:tcPr>
            <w:tcW w:w="4644" w:type="dxa"/>
          </w:tcPr>
          <w:p w:rsidR="00675A9A" w:rsidRPr="00737053" w:rsidRDefault="00675A9A" w:rsidP="003B428C">
            <w:pPr>
              <w:adjustRightInd w:val="0"/>
              <w:snapToGrid w:val="0"/>
              <w:jc w:val="both"/>
              <w:rPr>
                <w:rFonts w:eastAsia="MS Mincho" w:cs="Times New Roman"/>
                <w:b/>
                <w:bCs/>
                <w:sz w:val="18"/>
                <w:szCs w:val="18"/>
                <w:lang w:val="en-US" w:eastAsia="ja-JP"/>
              </w:rPr>
            </w:pPr>
            <w:r w:rsidRPr="00737053">
              <w:rPr>
                <w:rFonts w:eastAsia="Batang" w:cs="Times New Roman"/>
                <w:b/>
                <w:bCs/>
                <w:sz w:val="18"/>
                <w:szCs w:val="18"/>
                <w:lang w:val="en-US"/>
              </w:rPr>
              <w:t xml:space="preserve">Figure SKJ5: </w:t>
            </w:r>
            <w:r>
              <w:rPr>
                <w:rFonts w:eastAsia="Batang" w:cs="Times New Roman"/>
                <w:bCs/>
                <w:sz w:val="18"/>
                <w:szCs w:val="18"/>
                <w:lang w:val="en-US"/>
              </w:rPr>
              <w:t>Temporal trend for the reference</w:t>
            </w:r>
            <w:r w:rsidRPr="00737053">
              <w:rPr>
                <w:rFonts w:eastAsia="Batang" w:cs="Times New Roman"/>
                <w:bCs/>
                <w:sz w:val="18"/>
                <w:szCs w:val="18"/>
                <w:lang w:val="en-US"/>
              </w:rPr>
              <w:t xml:space="preserve"> case model (top) and </w:t>
            </w:r>
            <w:r w:rsidRPr="00EF37EA">
              <w:rPr>
                <w:rFonts w:eastAsia="Batang" w:cs="Times New Roman"/>
                <w:bCs/>
                <w:sz w:val="18"/>
                <w:szCs w:val="18"/>
                <w:lang w:val="en-US"/>
              </w:rPr>
              <w:t xml:space="preserve"> the structural uncertainty grid (bottom panel)</w:t>
            </w:r>
            <w:r w:rsidRPr="00737053">
              <w:rPr>
                <w:rFonts w:eastAsia="Batang" w:cs="Times New Roman"/>
                <w:bCs/>
                <w:sz w:val="18"/>
                <w:szCs w:val="18"/>
                <w:lang w:val="en-US"/>
              </w:rPr>
              <w:t xml:space="preserve"> in stock status relative to </w:t>
            </w:r>
            <w:r w:rsidRPr="001B06D6">
              <w:rPr>
                <w:rFonts w:eastAsia="Batang" w:cs="Times New Roman"/>
                <w:bCs/>
                <w:i/>
                <w:sz w:val="18"/>
                <w:szCs w:val="18"/>
                <w:lang w:val="en-US"/>
              </w:rPr>
              <w:t>SB</w:t>
            </w:r>
            <w:r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(x-axis) and </w:t>
            </w:r>
            <w:r w:rsidRPr="001B06D6">
              <w:rPr>
                <w:rFonts w:eastAsia="Batang" w:cs="Times New Roman"/>
                <w:bCs/>
                <w:i/>
                <w:sz w:val="18"/>
                <w:szCs w:val="18"/>
                <w:lang w:val="en-US"/>
              </w:rPr>
              <w:t>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w:t>
            </w:r>
            <w:r>
              <w:rPr>
                <w:rFonts w:eastAsia="Batang" w:cs="Times New Roman"/>
                <w:bCs/>
                <w:sz w:val="18"/>
                <w:szCs w:val="18"/>
                <w:lang w:val="en-US"/>
              </w:rPr>
              <w:t xml:space="preserve"> </w:t>
            </w:r>
            <w:r w:rsidRPr="00737053">
              <w:rPr>
                <w:rFonts w:eastAsia="Batang" w:cs="Times New Roman"/>
                <w:bCs/>
                <w:sz w:val="18"/>
                <w:szCs w:val="18"/>
                <w:lang w:val="en-US" w:eastAsia="ko-KR"/>
              </w:rPr>
              <w:t>LRP</w:t>
            </w:r>
            <w:r>
              <w:rPr>
                <w:rFonts w:eastAsia="Batang" w:cs="Times New Roman"/>
                <w:bCs/>
                <w:sz w:val="18"/>
                <w:szCs w:val="18"/>
                <w:lang w:val="en-US" w:eastAsia="ko-KR"/>
              </w:rPr>
              <w:t>,</w:t>
            </w:r>
            <w:r w:rsidRPr="00737053">
              <w:rPr>
                <w:rFonts w:eastAsia="Batang" w:cs="Times New Roman"/>
                <w:bCs/>
                <w:sz w:val="18"/>
                <w:szCs w:val="18"/>
                <w:lang w:val="en-US"/>
              </w:rPr>
              <w:t xml:space="preserve"> which is marked with the solid black line (</w:t>
            </w:r>
            <w:r w:rsidRPr="001B06D6">
              <w:rPr>
                <w:rFonts w:eastAsia="Batang" w:cs="Times New Roman"/>
                <w:bCs/>
                <w:i/>
                <w:sz w:val="18"/>
                <w:szCs w:val="18"/>
                <w:lang w:val="en-US"/>
              </w:rPr>
              <w:t>0.2SB</w:t>
            </w:r>
            <w:r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The orange region is for fishing mortality greater than </w:t>
            </w:r>
            <w:r w:rsidRPr="001B06D6">
              <w:rPr>
                <w:rFonts w:eastAsia="Batang" w:cs="Times New Roman"/>
                <w:bCs/>
                <w:i/>
                <w:sz w:val="18"/>
                <w:szCs w:val="18"/>
                <w:lang w:val="en-US"/>
              </w:rPr>
              <w:t>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w:t>
            </w:r>
            <w:r w:rsidRPr="001B06D6">
              <w:rPr>
                <w:rFonts w:eastAsia="Batang" w:cs="Times New Roman"/>
                <w:bCs/>
                <w:i/>
                <w:sz w:val="18"/>
                <w:szCs w:val="18"/>
                <w:lang w:val="en-US"/>
              </w:rPr>
              <w:t>F=F</w:t>
            </w:r>
            <w:r w:rsidRPr="001B06D6">
              <w:rPr>
                <w:rFonts w:eastAsia="Batang" w:cs="Times New Roman"/>
                <w:bCs/>
                <w:i/>
                <w:sz w:val="18"/>
                <w:szCs w:val="18"/>
                <w:vertAlign w:val="subscript"/>
                <w:lang w:val="en-US"/>
              </w:rPr>
              <w:t>MSY</w:t>
            </w:r>
            <w:r w:rsidRPr="00737053">
              <w:rPr>
                <w:rFonts w:eastAsia="Batang" w:cs="Times New Roman"/>
                <w:bCs/>
                <w:sz w:val="18"/>
                <w:szCs w:val="18"/>
                <w:lang w:val="en-US"/>
              </w:rPr>
              <w:t>; marked with the black d</w:t>
            </w:r>
            <w:r>
              <w:rPr>
                <w:rFonts w:eastAsia="Batang" w:cs="Times New Roman"/>
                <w:bCs/>
                <w:sz w:val="18"/>
                <w:szCs w:val="18"/>
                <w:lang w:val="en-US"/>
              </w:rPr>
              <w:t xml:space="preserve">ashed line). The green line indicates the </w:t>
            </w:r>
            <w:r w:rsidR="00BE23A8">
              <w:rPr>
                <w:rFonts w:eastAsia="Batang" w:cs="Times New Roman"/>
                <w:bCs/>
                <w:sz w:val="18"/>
                <w:szCs w:val="18"/>
                <w:lang w:val="en-US"/>
              </w:rPr>
              <w:t>interim</w:t>
            </w:r>
            <w:r>
              <w:rPr>
                <w:rFonts w:eastAsia="Batang" w:cs="Times New Roman"/>
                <w:bCs/>
                <w:sz w:val="18"/>
                <w:szCs w:val="18"/>
                <w:lang w:val="en-US"/>
              </w:rPr>
              <w:t xml:space="preserve"> target reference point 50%</w:t>
            </w:r>
            <w:r w:rsidRPr="00EF37EA">
              <w:rPr>
                <w:rFonts w:eastAsia="Batang" w:cs="Times New Roman"/>
                <w:bCs/>
                <w:i/>
                <w:sz w:val="18"/>
                <w:szCs w:val="18"/>
                <w:lang w:val="en-US"/>
              </w:rPr>
              <w:t>SB</w:t>
            </w:r>
            <w:r w:rsidRPr="00EF37EA">
              <w:rPr>
                <w:rFonts w:eastAsia="Batang" w:cs="Times New Roman"/>
                <w:bCs/>
                <w:i/>
                <w:sz w:val="16"/>
                <w:szCs w:val="18"/>
                <w:lang w:val="en-US"/>
              </w:rPr>
              <w:t>F=0</w:t>
            </w:r>
            <w:r w:rsidRPr="00EF37EA">
              <w:rPr>
                <w:rFonts w:eastAsia="Batang" w:cs="Times New Roman"/>
                <w:bCs/>
                <w:sz w:val="16"/>
                <w:szCs w:val="18"/>
                <w:lang w:val="en-US"/>
              </w:rPr>
              <w:t>.</w:t>
            </w:r>
          </w:p>
        </w:tc>
        <w:tc>
          <w:tcPr>
            <w:tcW w:w="4536" w:type="dxa"/>
          </w:tcPr>
          <w:p w:rsidR="00675A9A" w:rsidRPr="00737053" w:rsidRDefault="00675A9A" w:rsidP="003B428C">
            <w:pPr>
              <w:adjustRightInd w:val="0"/>
              <w:snapToGrid w:val="0"/>
              <w:jc w:val="both"/>
              <w:rPr>
                <w:rFonts w:eastAsia="Batang" w:cs="Times New Roman"/>
                <w:b/>
                <w:bCs/>
                <w:sz w:val="18"/>
                <w:szCs w:val="18"/>
                <w:lang w:val="en-US"/>
              </w:rPr>
            </w:pPr>
            <w:r w:rsidRPr="00737053">
              <w:rPr>
                <w:rFonts w:eastAsia="Batang" w:cs="Times New Roman"/>
                <w:b/>
                <w:bCs/>
                <w:sz w:val="18"/>
                <w:szCs w:val="18"/>
                <w:lang w:val="en-US"/>
              </w:rPr>
              <w:t xml:space="preserve">Figure SKJ6: </w:t>
            </w:r>
            <w:r w:rsidRPr="00737053">
              <w:rPr>
                <w:rFonts w:eastAsia="Batang" w:cs="Times New Roman"/>
                <w:bCs/>
                <w:sz w:val="18"/>
                <w:szCs w:val="18"/>
                <w:lang w:val="en-US"/>
              </w:rPr>
              <w:t>History of annual estimates of MSY compared with catches of th</w:t>
            </w:r>
            <w:r>
              <w:rPr>
                <w:rFonts w:eastAsia="Batang" w:cs="Times New Roman"/>
                <w:bCs/>
                <w:sz w:val="18"/>
                <w:szCs w:val="18"/>
                <w:lang w:val="en-US"/>
              </w:rPr>
              <w:t>ree major fisheries for the reference</w:t>
            </w:r>
            <w:r w:rsidRPr="00737053">
              <w:rPr>
                <w:rFonts w:eastAsia="Batang" w:cs="Times New Roman"/>
                <w:bCs/>
                <w:sz w:val="18"/>
                <w:szCs w:val="18"/>
                <w:lang w:val="en-US"/>
              </w:rPr>
              <w:t xml:space="preserve"> case model.</w:t>
            </w:r>
          </w:p>
        </w:tc>
      </w:tr>
    </w:tbl>
    <w:p w:rsidR="00675A9A" w:rsidRDefault="00675A9A" w:rsidP="00675A9A"/>
    <w:p w:rsidR="00675A9A" w:rsidRDefault="00675A9A" w:rsidP="006C4579">
      <w:pPr>
        <w:pStyle w:val="ListParagraph"/>
        <w:numPr>
          <w:ilvl w:val="0"/>
          <w:numId w:val="12"/>
        </w:numPr>
        <w:rPr>
          <w:sz w:val="24"/>
          <w:szCs w:val="24"/>
        </w:rPr>
      </w:pPr>
      <w:r w:rsidRPr="006C4579">
        <w:rPr>
          <w:sz w:val="24"/>
          <w:szCs w:val="24"/>
        </w:rPr>
        <w:t>Dynamics of most model quantities are relatively consistent with the results of the 2014 stock assessment, although there has been a period of several subsequent years with high recruitments and increased spawning biomass.</w:t>
      </w:r>
    </w:p>
    <w:p w:rsidR="006C4579" w:rsidRPr="006C4579" w:rsidRDefault="006C4579" w:rsidP="006C4579">
      <w:pPr>
        <w:ind w:left="360"/>
        <w:rPr>
          <w:sz w:val="24"/>
          <w:szCs w:val="24"/>
        </w:rPr>
      </w:pPr>
    </w:p>
    <w:p w:rsidR="00675A9A" w:rsidRPr="006C4579" w:rsidRDefault="00675A9A" w:rsidP="006C4579">
      <w:pPr>
        <w:pStyle w:val="ListParagraph"/>
        <w:numPr>
          <w:ilvl w:val="0"/>
          <w:numId w:val="12"/>
        </w:numPr>
        <w:rPr>
          <w:sz w:val="24"/>
          <w:szCs w:val="24"/>
        </w:rPr>
      </w:pPr>
      <w:r w:rsidRPr="006C4579">
        <w:rPr>
          <w:sz w:val="24"/>
          <w:szCs w:val="24"/>
        </w:rPr>
        <w:t>Fishing mortality of all age-classes is estimated to have increased significantly since the beginning of industrial tuna fishing, but fishing mortality still remains below the level that would result in the MSY (</w:t>
      </w:r>
      <w:r w:rsidRPr="006C4579">
        <w:rPr>
          <w:rFonts w:eastAsia="MS Mincho" w:cs="Times New Roman"/>
          <w:i/>
          <w:sz w:val="24"/>
          <w:szCs w:val="24"/>
        </w:rPr>
        <w:t>F</w:t>
      </w:r>
      <w:r w:rsidRPr="006C4579">
        <w:rPr>
          <w:rFonts w:eastAsia="MS Mincho" w:cs="Times New Roman"/>
          <w:i/>
          <w:sz w:val="24"/>
          <w:szCs w:val="24"/>
          <w:vertAlign w:val="subscript"/>
        </w:rPr>
        <w:t>recent</w:t>
      </w:r>
      <w:r w:rsidRPr="006C4579">
        <w:rPr>
          <w:rFonts w:eastAsia="MS Mincho" w:cs="Times New Roman"/>
          <w:i/>
          <w:sz w:val="24"/>
          <w:szCs w:val="24"/>
        </w:rPr>
        <w:t>/F</w:t>
      </w:r>
      <w:r w:rsidRPr="006C4579">
        <w:rPr>
          <w:rFonts w:eastAsia="MS Mincho" w:cs="Times New Roman"/>
          <w:i/>
          <w:sz w:val="24"/>
          <w:szCs w:val="24"/>
          <w:vertAlign w:val="subscript"/>
        </w:rPr>
        <w:t>MSY</w:t>
      </w:r>
      <w:r w:rsidRPr="006C4579">
        <w:rPr>
          <w:rFonts w:eastAsia="MS Mincho" w:cs="Times New Roman"/>
          <w:sz w:val="24"/>
          <w:szCs w:val="24"/>
        </w:rPr>
        <w:t xml:space="preserve"> = </w:t>
      </w:r>
      <w:r w:rsidRPr="006C4579">
        <w:rPr>
          <w:sz w:val="24"/>
          <w:szCs w:val="24"/>
        </w:rPr>
        <w:t xml:space="preserve"> 0.45 for the reference case), and is estimated to have decreased moderately in the last several years.</w:t>
      </w:r>
      <w:r w:rsidRPr="006C4579">
        <w:rPr>
          <w:rFonts w:eastAsia="MS Mincho" w:cs="Times New Roman"/>
          <w:sz w:val="24"/>
          <w:szCs w:val="24"/>
        </w:rPr>
        <w:t xml:space="preserve"> Across the reference case and the structural uncertainty grid </w:t>
      </w:r>
      <w:r w:rsidRPr="006C4579">
        <w:rPr>
          <w:rFonts w:eastAsia="MS Mincho" w:cs="Times New Roman"/>
          <w:i/>
          <w:sz w:val="24"/>
          <w:szCs w:val="24"/>
        </w:rPr>
        <w:t>F</w:t>
      </w:r>
      <w:r w:rsidRPr="006C4579">
        <w:rPr>
          <w:rFonts w:eastAsia="MS Mincho" w:cs="Times New Roman"/>
          <w:i/>
          <w:sz w:val="24"/>
          <w:szCs w:val="24"/>
          <w:vertAlign w:val="subscript"/>
        </w:rPr>
        <w:t>recent</w:t>
      </w:r>
      <w:r w:rsidRPr="006C4579">
        <w:rPr>
          <w:rFonts w:eastAsia="MS Mincho" w:cs="Times New Roman"/>
          <w:i/>
          <w:sz w:val="24"/>
          <w:szCs w:val="24"/>
        </w:rPr>
        <w:t>/F</w:t>
      </w:r>
      <w:r w:rsidRPr="006C4579">
        <w:rPr>
          <w:rFonts w:eastAsia="MS Mincho" w:cs="Times New Roman"/>
          <w:i/>
          <w:sz w:val="24"/>
          <w:szCs w:val="24"/>
          <w:vertAlign w:val="subscript"/>
        </w:rPr>
        <w:t>MSY</w:t>
      </w:r>
      <w:r w:rsidRPr="006C4579">
        <w:rPr>
          <w:rFonts w:eastAsia="MS Mincho" w:cs="Times New Roman"/>
          <w:sz w:val="24"/>
          <w:szCs w:val="24"/>
        </w:rPr>
        <w:t xml:space="preserve"> varied between 0.38 (5% quantile) to 0.64 (95% quantile). This indicates that overfishing is not occurring for the WCPO skipjack tuna stock (Figure SKJ 5).</w:t>
      </w:r>
    </w:p>
    <w:p w:rsidR="006C4579" w:rsidRPr="006C4579" w:rsidRDefault="006C4579" w:rsidP="006C4579">
      <w:pPr>
        <w:pStyle w:val="ListParagraph"/>
        <w:rPr>
          <w:sz w:val="24"/>
          <w:szCs w:val="24"/>
        </w:rPr>
      </w:pPr>
    </w:p>
    <w:p w:rsidR="00675A9A" w:rsidRDefault="00675A9A" w:rsidP="00675A9A">
      <w:pPr>
        <w:pStyle w:val="ListParagraph"/>
        <w:numPr>
          <w:ilvl w:val="0"/>
          <w:numId w:val="12"/>
        </w:numPr>
        <w:rPr>
          <w:sz w:val="24"/>
          <w:szCs w:val="24"/>
        </w:rPr>
      </w:pPr>
      <w:r w:rsidRPr="006C4579">
        <w:rPr>
          <w:sz w:val="24"/>
          <w:szCs w:val="24"/>
        </w:rPr>
        <w:t>The estimated MSY of 1,891,600 mt is moderately higher than the 2014 estimate due to the adoption of an annual, rather than quarterly, stock-recruitment relationship. Recent catches are lower than, but approaching, this MSY value (Figure SKJ 6).</w:t>
      </w:r>
    </w:p>
    <w:p w:rsidR="006C4579" w:rsidRPr="006C4579" w:rsidRDefault="006C4579" w:rsidP="006C4579">
      <w:pPr>
        <w:pStyle w:val="ListParagraph"/>
        <w:rPr>
          <w:sz w:val="24"/>
          <w:szCs w:val="24"/>
        </w:rPr>
      </w:pPr>
    </w:p>
    <w:p w:rsidR="00675A9A" w:rsidRPr="006C4579" w:rsidRDefault="00675A9A" w:rsidP="00675A9A">
      <w:pPr>
        <w:pStyle w:val="ListParagraph"/>
        <w:numPr>
          <w:ilvl w:val="0"/>
          <w:numId w:val="12"/>
        </w:numPr>
        <w:rPr>
          <w:sz w:val="24"/>
          <w:szCs w:val="24"/>
        </w:rPr>
      </w:pPr>
      <w:r w:rsidRPr="006C4579">
        <w:rPr>
          <w:sz w:val="24"/>
          <w:szCs w:val="24"/>
        </w:rPr>
        <w:lastRenderedPageBreak/>
        <w:t>The latest (2015) estimate of spawning biomass is well above both the level that will support MSY (SB</w:t>
      </w:r>
      <w:r w:rsidRPr="006C4579">
        <w:rPr>
          <w:sz w:val="24"/>
          <w:szCs w:val="24"/>
          <w:vertAlign w:val="subscript"/>
        </w:rPr>
        <w:t>latest</w:t>
      </w:r>
      <w:r w:rsidRPr="006C4579">
        <w:rPr>
          <w:sz w:val="24"/>
          <w:szCs w:val="24"/>
        </w:rPr>
        <w:t>/SB</w:t>
      </w:r>
      <w:r w:rsidRPr="006C4579">
        <w:rPr>
          <w:sz w:val="24"/>
          <w:szCs w:val="24"/>
          <w:vertAlign w:val="subscript"/>
        </w:rPr>
        <w:t>MSY</w:t>
      </w:r>
      <w:r w:rsidRPr="006C4579">
        <w:rPr>
          <w:sz w:val="24"/>
          <w:szCs w:val="24"/>
        </w:rPr>
        <w:t xml:space="preserve"> = 2.56, for the reference case model) and the adopted LRP of 0.2 SB</w:t>
      </w:r>
      <w:r w:rsidRPr="006C4579">
        <w:rPr>
          <w:sz w:val="24"/>
          <w:szCs w:val="24"/>
          <w:vertAlign w:val="subscript"/>
        </w:rPr>
        <w:t xml:space="preserve">F=0 </w:t>
      </w:r>
      <w:r w:rsidRPr="006C4579">
        <w:rPr>
          <w:sz w:val="24"/>
          <w:szCs w:val="24"/>
        </w:rPr>
        <w:t>(SB</w:t>
      </w:r>
      <w:r w:rsidRPr="006C4579">
        <w:rPr>
          <w:sz w:val="24"/>
          <w:szCs w:val="24"/>
          <w:vertAlign w:val="subscript"/>
        </w:rPr>
        <w:t>latest</w:t>
      </w:r>
      <w:r w:rsidRPr="006C4579">
        <w:rPr>
          <w:sz w:val="24"/>
          <w:szCs w:val="24"/>
        </w:rPr>
        <w:t>/SB</w:t>
      </w:r>
      <w:r w:rsidRPr="006C4579">
        <w:rPr>
          <w:sz w:val="24"/>
          <w:szCs w:val="24"/>
          <w:vertAlign w:val="subscript"/>
        </w:rPr>
        <w:t xml:space="preserve">F=0 </w:t>
      </w:r>
      <w:r w:rsidRPr="006C4579">
        <w:rPr>
          <w:sz w:val="24"/>
          <w:szCs w:val="24"/>
        </w:rPr>
        <w:t>= 0.58, for the reference case model), and SB</w:t>
      </w:r>
      <w:r w:rsidRPr="006C4579">
        <w:rPr>
          <w:sz w:val="24"/>
          <w:szCs w:val="24"/>
          <w:vertAlign w:val="subscript"/>
        </w:rPr>
        <w:t>latest</w:t>
      </w:r>
      <w:r w:rsidRPr="006C4579">
        <w:rPr>
          <w:sz w:val="24"/>
          <w:szCs w:val="24"/>
        </w:rPr>
        <w:t>/SB</w:t>
      </w:r>
      <w:r w:rsidRPr="006C4579">
        <w:rPr>
          <w:sz w:val="24"/>
          <w:szCs w:val="24"/>
          <w:vertAlign w:val="subscript"/>
        </w:rPr>
        <w:t xml:space="preserve">F=0 </w:t>
      </w:r>
      <w:r w:rsidRPr="006C4579">
        <w:rPr>
          <w:sz w:val="24"/>
          <w:szCs w:val="24"/>
        </w:rPr>
        <w:t>was relatively close to the adopted interim target reference point (0.5 SB</w:t>
      </w:r>
      <w:r w:rsidRPr="006C4579">
        <w:rPr>
          <w:sz w:val="24"/>
          <w:szCs w:val="24"/>
          <w:vertAlign w:val="subscript"/>
        </w:rPr>
        <w:t>F=0</w:t>
      </w:r>
      <w:r w:rsidRPr="006C4579">
        <w:rPr>
          <w:sz w:val="24"/>
          <w:szCs w:val="24"/>
        </w:rPr>
        <w:t>) for all models explored in the assessment (structural uncertainty grid: median = 0.51, 95% quantiles =  0.39 and 0.67).</w:t>
      </w:r>
    </w:p>
    <w:p w:rsidR="005A2325" w:rsidRDefault="002A5666" w:rsidP="005A2325">
      <w:pPr>
        <w:pStyle w:val="Heading5"/>
        <w:snapToGrid w:val="0"/>
        <w:rPr>
          <w:rFonts w:asciiTheme="minorHAnsi" w:hAnsiTheme="minorHAnsi" w:cstheme="minorHAnsi"/>
          <w:color w:val="auto"/>
          <w:sz w:val="32"/>
          <w:szCs w:val="32"/>
        </w:rPr>
      </w:pPr>
      <w:r>
        <w:rPr>
          <w:rFonts w:asciiTheme="minorHAnsi" w:hAnsiTheme="minorHAnsi" w:cstheme="minorHAnsi"/>
          <w:color w:val="auto"/>
          <w:sz w:val="32"/>
          <w:szCs w:val="32"/>
        </w:rPr>
        <w:t>Alternative</w:t>
      </w:r>
      <w:r w:rsidR="005A2325">
        <w:rPr>
          <w:rFonts w:asciiTheme="minorHAnsi" w:hAnsiTheme="minorHAnsi" w:cstheme="minorHAnsi"/>
          <w:color w:val="auto"/>
          <w:sz w:val="32"/>
          <w:szCs w:val="32"/>
        </w:rPr>
        <w:t xml:space="preserve"> view of s</w:t>
      </w:r>
      <w:r w:rsidR="005A2325" w:rsidRPr="00A27E65">
        <w:rPr>
          <w:rFonts w:asciiTheme="minorHAnsi" w:hAnsiTheme="minorHAnsi" w:cstheme="minorHAnsi"/>
          <w:color w:val="auto"/>
          <w:sz w:val="32"/>
          <w:szCs w:val="32"/>
        </w:rPr>
        <w:t>tatus and trends</w:t>
      </w:r>
    </w:p>
    <w:p w:rsidR="00E23F40" w:rsidRPr="00B107D9" w:rsidRDefault="00E23F40" w:rsidP="00E23F40">
      <w:pPr>
        <w:rPr>
          <w:sz w:val="24"/>
          <w:szCs w:val="24"/>
        </w:rPr>
      </w:pPr>
    </w:p>
    <w:p w:rsidR="00E23F40" w:rsidRPr="00A153AB" w:rsidRDefault="00BF1F4F" w:rsidP="00A153AB">
      <w:pPr>
        <w:pStyle w:val="ListParagraph"/>
        <w:numPr>
          <w:ilvl w:val="0"/>
          <w:numId w:val="20"/>
        </w:numPr>
        <w:jc w:val="both"/>
        <w:rPr>
          <w:sz w:val="24"/>
          <w:szCs w:val="24"/>
        </w:rPr>
      </w:pPr>
      <w:r w:rsidRPr="00A153AB">
        <w:rPr>
          <w:sz w:val="24"/>
          <w:szCs w:val="24"/>
        </w:rPr>
        <w:t>China, Japan and Chinese Taipei</w:t>
      </w:r>
      <w:r w:rsidR="00FB5D7C" w:rsidRPr="00A153AB">
        <w:rPr>
          <w:sz w:val="24"/>
          <w:szCs w:val="24"/>
        </w:rPr>
        <w:t xml:space="preserve"> </w:t>
      </w:r>
      <w:r w:rsidR="00E23F40" w:rsidRPr="00A153AB">
        <w:rPr>
          <w:sz w:val="24"/>
          <w:szCs w:val="24"/>
        </w:rPr>
        <w:t xml:space="preserve">considered it is not possible to select a base-case model from various sensitivity models in the 2016 assessment, given the advice from the Scientific Service Provider that </w:t>
      </w:r>
      <w:r w:rsidR="00E036D8" w:rsidRPr="00A153AB">
        <w:rPr>
          <w:sz w:val="24"/>
          <w:szCs w:val="24"/>
        </w:rPr>
        <w:t>a suite of</w:t>
      </w:r>
      <w:r w:rsidR="00E23F40" w:rsidRPr="00A153AB">
        <w:rPr>
          <w:sz w:val="24"/>
          <w:szCs w:val="24"/>
        </w:rPr>
        <w:t xml:space="preserve"> the sensitivity models were plausible. Therefore, </w:t>
      </w:r>
      <w:r w:rsidR="00FB5D7C" w:rsidRPr="00A153AB">
        <w:rPr>
          <w:sz w:val="24"/>
          <w:szCs w:val="24"/>
        </w:rPr>
        <w:t xml:space="preserve">these </w:t>
      </w:r>
      <w:r w:rsidR="00E23F40" w:rsidRPr="00A153AB">
        <w:rPr>
          <w:sz w:val="24"/>
          <w:szCs w:val="24"/>
        </w:rPr>
        <w:t>members considered that it would be more appropriate to provide advice to WCPFC13 on skipjack stock status based on the range of uncertainty expressed by the alternative model runs in the sensitivity analysis rather than based on the single base case model</w:t>
      </w:r>
      <w:r w:rsidR="00FB5D7C" w:rsidRPr="00A153AB">
        <w:rPr>
          <w:sz w:val="24"/>
          <w:szCs w:val="24"/>
        </w:rPr>
        <w:t>.</w:t>
      </w:r>
      <w:r w:rsidR="00FB5D7C" w:rsidRPr="00A153AB" w:rsidDel="00FB5D7C">
        <w:rPr>
          <w:sz w:val="24"/>
          <w:szCs w:val="24"/>
        </w:rPr>
        <w:t xml:space="preserve"> </w:t>
      </w:r>
    </w:p>
    <w:p w:rsidR="00D53679" w:rsidRPr="00B107D9" w:rsidRDefault="00D53679" w:rsidP="00E23F40">
      <w:pPr>
        <w:pStyle w:val="ListParagraph"/>
        <w:ind w:left="720"/>
        <w:jc w:val="both"/>
        <w:rPr>
          <w:sz w:val="24"/>
          <w:szCs w:val="24"/>
        </w:rPr>
      </w:pPr>
    </w:p>
    <w:p w:rsidR="00E036D8" w:rsidRPr="00E11CD6" w:rsidRDefault="00E23F40" w:rsidP="00E036D8">
      <w:pPr>
        <w:pStyle w:val="ListParagraph"/>
        <w:numPr>
          <w:ilvl w:val="0"/>
          <w:numId w:val="17"/>
        </w:numPr>
        <w:jc w:val="both"/>
        <w:rPr>
          <w:strike/>
          <w:sz w:val="24"/>
          <w:szCs w:val="24"/>
        </w:rPr>
      </w:pPr>
      <w:r w:rsidRPr="00B107D9">
        <w:rPr>
          <w:sz w:val="24"/>
          <w:szCs w:val="24"/>
        </w:rPr>
        <w:t xml:space="preserve">The estimated MSY of WCPO skipjack stock ranges from 1,641,200 to 2,076,800 mt across the alternative </w:t>
      </w:r>
      <w:r w:rsidR="003D6FD6" w:rsidRPr="00B107D9">
        <w:rPr>
          <w:sz w:val="24"/>
          <w:szCs w:val="24"/>
        </w:rPr>
        <w:t xml:space="preserve">skipjack stock assessment </w:t>
      </w:r>
      <w:r w:rsidRPr="00B107D9">
        <w:rPr>
          <w:sz w:val="24"/>
          <w:szCs w:val="24"/>
        </w:rPr>
        <w:t>models</w:t>
      </w:r>
      <w:r w:rsidR="003D6FD6" w:rsidRPr="00B107D9">
        <w:rPr>
          <w:sz w:val="24"/>
          <w:szCs w:val="24"/>
        </w:rPr>
        <w:t xml:space="preserve"> represented in the sensitivity grid</w:t>
      </w:r>
      <w:r w:rsidRPr="00B107D9">
        <w:rPr>
          <w:sz w:val="24"/>
          <w:szCs w:val="24"/>
        </w:rPr>
        <w:t>.</w:t>
      </w:r>
      <w:r w:rsidR="00E036D8">
        <w:rPr>
          <w:sz w:val="24"/>
          <w:szCs w:val="24"/>
        </w:rPr>
        <w:t xml:space="preserve">  </w:t>
      </w:r>
      <w:r w:rsidR="00251339">
        <w:rPr>
          <w:sz w:val="24"/>
          <w:szCs w:val="24"/>
        </w:rPr>
        <w:t>These CCMs</w:t>
      </w:r>
      <w:r w:rsidR="00E036D8" w:rsidRPr="007A1E3B">
        <w:rPr>
          <w:sz w:val="24"/>
          <w:szCs w:val="24"/>
        </w:rPr>
        <w:t xml:space="preserve"> also note</w:t>
      </w:r>
      <w:r w:rsidR="00251339">
        <w:rPr>
          <w:sz w:val="24"/>
          <w:szCs w:val="24"/>
        </w:rPr>
        <w:t>d</w:t>
      </w:r>
      <w:r w:rsidR="00E036D8" w:rsidRPr="007A1E3B">
        <w:rPr>
          <w:sz w:val="24"/>
          <w:szCs w:val="24"/>
        </w:rPr>
        <w:t xml:space="preserve"> that some alternative models</w:t>
      </w:r>
      <w:r w:rsidR="00EE3543">
        <w:rPr>
          <w:sz w:val="24"/>
          <w:szCs w:val="24"/>
        </w:rPr>
        <w:t xml:space="preserve"> </w:t>
      </w:r>
      <w:r w:rsidR="00E036D8" w:rsidRPr="007A1E3B">
        <w:rPr>
          <w:sz w:val="24"/>
          <w:szCs w:val="24"/>
        </w:rPr>
        <w:t xml:space="preserve">indicate that the 2015 biomass is </w:t>
      </w:r>
      <w:r w:rsidR="00E036D8" w:rsidRPr="00251339">
        <w:rPr>
          <w:sz w:val="24"/>
          <w:szCs w:val="24"/>
        </w:rPr>
        <w:t>below</w:t>
      </w:r>
      <w:r w:rsidR="00E036D8" w:rsidRPr="007A1E3B">
        <w:rPr>
          <w:sz w:val="24"/>
          <w:szCs w:val="24"/>
        </w:rPr>
        <w:t xml:space="preserve"> the adopted TRP of 0.5SB</w:t>
      </w:r>
      <w:r w:rsidR="00E036D8" w:rsidRPr="007A1E3B">
        <w:rPr>
          <w:sz w:val="24"/>
          <w:szCs w:val="24"/>
          <w:vertAlign w:val="subscript"/>
        </w:rPr>
        <w:t>F=0</w:t>
      </w:r>
      <w:r w:rsidR="00E036D8" w:rsidRPr="007A1E3B">
        <w:rPr>
          <w:sz w:val="24"/>
          <w:szCs w:val="24"/>
        </w:rPr>
        <w:t>.</w:t>
      </w:r>
    </w:p>
    <w:p w:rsidR="00E23F40" w:rsidRPr="00B107D9" w:rsidRDefault="00E23F40" w:rsidP="00E11CD6">
      <w:pPr>
        <w:pStyle w:val="ListParagraph"/>
        <w:ind w:left="720"/>
        <w:rPr>
          <w:sz w:val="24"/>
          <w:szCs w:val="24"/>
        </w:rPr>
      </w:pPr>
    </w:p>
    <w:p w:rsidR="00E23F40" w:rsidRDefault="00E23F40" w:rsidP="00E23F40">
      <w:r w:rsidRPr="00D56C22">
        <w:rPr>
          <w:rFonts w:hint="eastAsia"/>
          <w:noProof/>
        </w:rPr>
        <w:drawing>
          <wp:inline distT="0" distB="0" distL="0" distR="0" wp14:anchorId="17E27193" wp14:editId="652BDC42">
            <wp:extent cx="5831840" cy="3588196"/>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1840" cy="3588196"/>
                    </a:xfrm>
                    <a:prstGeom prst="rect">
                      <a:avLst/>
                    </a:prstGeom>
                    <a:noFill/>
                    <a:ln>
                      <a:noFill/>
                    </a:ln>
                  </pic:spPr>
                </pic:pic>
              </a:graphicData>
            </a:graphic>
          </wp:inline>
        </w:drawing>
      </w:r>
    </w:p>
    <w:p w:rsidR="00E23F40" w:rsidRPr="00E23F40" w:rsidRDefault="00E23F40" w:rsidP="00E23F40">
      <w:pPr>
        <w:pStyle w:val="ListParagraph"/>
        <w:ind w:left="960"/>
        <w:rPr>
          <w:rFonts w:cstheme="minorHAnsi"/>
        </w:rPr>
      </w:pPr>
      <w:r w:rsidRPr="00E23F40">
        <w:rPr>
          <w:rFonts w:cstheme="minorHAnsi"/>
        </w:rPr>
        <w:t>Figure SKJ 5. Estimated fisheries depletion SB/SB</w:t>
      </w:r>
      <w:r w:rsidRPr="00E23F40">
        <w:rPr>
          <w:rFonts w:cstheme="minorHAnsi"/>
          <w:sz w:val="16"/>
          <w:szCs w:val="16"/>
        </w:rPr>
        <w:t>F=0</w:t>
      </w:r>
      <w:r w:rsidRPr="00E23F40">
        <w:rPr>
          <w:rFonts w:cstheme="minorHAnsi"/>
        </w:rPr>
        <w:t>, for each of the sensitivity models.</w:t>
      </w:r>
    </w:p>
    <w:p w:rsidR="00675A9A" w:rsidRDefault="00675A9A" w:rsidP="00675A9A">
      <w:pPr>
        <w:pStyle w:val="Default"/>
        <w:snapToGrid w:val="0"/>
        <w:spacing w:before="44" w:line="242" w:lineRule="auto"/>
        <w:ind w:right="103"/>
        <w:jc w:val="both"/>
        <w:rPr>
          <w:rFonts w:asciiTheme="minorHAnsi" w:hAnsiTheme="minorHAnsi" w:cstheme="minorHAnsi"/>
        </w:rPr>
      </w:pPr>
    </w:p>
    <w:p w:rsidR="005A2325" w:rsidRPr="009929B0" w:rsidRDefault="005A2325" w:rsidP="00675A9A">
      <w:pPr>
        <w:pStyle w:val="Default"/>
        <w:snapToGrid w:val="0"/>
        <w:spacing w:before="44" w:line="242" w:lineRule="auto"/>
        <w:ind w:right="103"/>
        <w:jc w:val="both"/>
        <w:rPr>
          <w:rFonts w:asciiTheme="minorHAnsi" w:hAnsiTheme="minorHAnsi" w:cstheme="minorHAnsi"/>
        </w:rPr>
      </w:pPr>
    </w:p>
    <w:p w:rsidR="006C4579" w:rsidRPr="004645E6" w:rsidRDefault="0047656C" w:rsidP="004645E6">
      <w:pPr>
        <w:pStyle w:val="Default"/>
        <w:snapToGrid w:val="0"/>
        <w:spacing w:before="44" w:line="242" w:lineRule="auto"/>
        <w:ind w:right="103"/>
        <w:jc w:val="both"/>
        <w:rPr>
          <w:rFonts w:asciiTheme="minorHAnsi" w:hAnsiTheme="minorHAnsi" w:cstheme="minorHAnsi"/>
          <w:color w:val="auto"/>
          <w:sz w:val="32"/>
          <w:szCs w:val="32"/>
        </w:rPr>
      </w:pPr>
      <w:r w:rsidRPr="00845F2F">
        <w:rPr>
          <w:rFonts w:asciiTheme="minorHAnsi" w:hAnsiTheme="minorHAnsi" w:cstheme="minorHAnsi"/>
          <w:color w:val="auto"/>
          <w:sz w:val="32"/>
          <w:szCs w:val="32"/>
        </w:rPr>
        <w:lastRenderedPageBreak/>
        <w:t>Management advice and implications</w:t>
      </w:r>
    </w:p>
    <w:p w:rsidR="006C4579" w:rsidRDefault="006C4579" w:rsidP="006C4579">
      <w:pPr>
        <w:rPr>
          <w:rFonts w:cstheme="minorHAnsi"/>
          <w:sz w:val="24"/>
          <w:szCs w:val="24"/>
        </w:rPr>
      </w:pPr>
    </w:p>
    <w:p w:rsidR="006C4579" w:rsidRPr="006C4579" w:rsidRDefault="00F64BB8" w:rsidP="006C4579">
      <w:pPr>
        <w:pStyle w:val="ListParagraph"/>
        <w:numPr>
          <w:ilvl w:val="0"/>
          <w:numId w:val="13"/>
        </w:numPr>
        <w:rPr>
          <w:rFonts w:cstheme="minorHAnsi"/>
          <w:sz w:val="24"/>
          <w:szCs w:val="24"/>
        </w:rPr>
      </w:pPr>
      <w:r>
        <w:rPr>
          <w:rFonts w:cstheme="minorHAnsi"/>
          <w:sz w:val="24"/>
          <w:szCs w:val="24"/>
        </w:rPr>
        <w:t>SC12 noted that the skipjack</w:t>
      </w:r>
      <w:r w:rsidR="006C4579" w:rsidRPr="006C4579">
        <w:rPr>
          <w:rFonts w:cstheme="minorHAnsi"/>
          <w:sz w:val="24"/>
          <w:szCs w:val="24"/>
        </w:rPr>
        <w:t xml:space="preserve"> assessment continues to show that the stock is currently moderately exploited and fishing mortality level is sustainable. </w:t>
      </w:r>
      <w:r w:rsidR="00DE1521" w:rsidRPr="00980A5E">
        <w:rPr>
          <w:rFonts w:cstheme="minorHAnsi"/>
          <w:sz w:val="24"/>
          <w:szCs w:val="24"/>
        </w:rPr>
        <w:t>T</w:t>
      </w:r>
      <w:r w:rsidR="006C4579" w:rsidRPr="00980A5E">
        <w:rPr>
          <w:rFonts w:cstheme="minorHAnsi"/>
          <w:sz w:val="24"/>
          <w:szCs w:val="24"/>
        </w:rPr>
        <w:t xml:space="preserve">he recent catches are </w:t>
      </w:r>
      <w:r w:rsidR="00DE1521" w:rsidRPr="00980A5E">
        <w:rPr>
          <w:rFonts w:cstheme="minorHAnsi"/>
          <w:sz w:val="24"/>
          <w:szCs w:val="24"/>
        </w:rPr>
        <w:t xml:space="preserve">fluctuating around </w:t>
      </w:r>
      <w:r w:rsidR="006C4579" w:rsidRPr="00980A5E">
        <w:rPr>
          <w:rFonts w:cstheme="minorHAnsi"/>
          <w:sz w:val="24"/>
          <w:szCs w:val="24"/>
        </w:rPr>
        <w:t>and some models</w:t>
      </w:r>
      <w:r w:rsidR="00DE1521" w:rsidRPr="00980A5E">
        <w:rPr>
          <w:rFonts w:cstheme="minorHAnsi"/>
          <w:sz w:val="24"/>
          <w:szCs w:val="24"/>
        </w:rPr>
        <w:t xml:space="preserve"> </w:t>
      </w:r>
      <w:r w:rsidR="006C4579" w:rsidRPr="00980A5E">
        <w:rPr>
          <w:rFonts w:cstheme="minorHAnsi"/>
          <w:sz w:val="24"/>
          <w:szCs w:val="24"/>
        </w:rPr>
        <w:t>also indicate that the stock is currently under the TRP.</w:t>
      </w:r>
    </w:p>
    <w:p w:rsidR="000F0EF9" w:rsidRDefault="000F0EF9" w:rsidP="000F0EF9">
      <w:pPr>
        <w:pStyle w:val="ListParagraph"/>
        <w:ind w:left="720"/>
        <w:rPr>
          <w:rFonts w:cstheme="minorHAnsi"/>
          <w:sz w:val="24"/>
          <w:szCs w:val="24"/>
        </w:rPr>
      </w:pPr>
    </w:p>
    <w:p w:rsidR="006C4579" w:rsidRPr="006C4579" w:rsidRDefault="002C3442" w:rsidP="006C4579">
      <w:pPr>
        <w:pStyle w:val="ListParagraph"/>
        <w:numPr>
          <w:ilvl w:val="0"/>
          <w:numId w:val="13"/>
        </w:numPr>
        <w:rPr>
          <w:rFonts w:cstheme="minorHAnsi"/>
          <w:sz w:val="24"/>
          <w:szCs w:val="24"/>
        </w:rPr>
      </w:pPr>
      <w:r>
        <w:rPr>
          <w:rFonts w:cstheme="minorHAnsi"/>
          <w:sz w:val="24"/>
          <w:szCs w:val="24"/>
        </w:rPr>
        <w:t>SC12 noted that f</w:t>
      </w:r>
      <w:r w:rsidR="006C4579" w:rsidRPr="006C4579">
        <w:rPr>
          <w:rFonts w:cstheme="minorHAnsi"/>
          <w:sz w:val="24"/>
          <w:szCs w:val="24"/>
        </w:rPr>
        <w:t>ishing is having a significant impact on stock size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tuna catches and may result in a corresponding increase in fishing mortality for bigeye and yellowfin tunas. The management of total effort in the WCPO should recognize this.</w:t>
      </w:r>
    </w:p>
    <w:p w:rsidR="006C4579" w:rsidRDefault="006C4579" w:rsidP="006C4579">
      <w:pPr>
        <w:rPr>
          <w:rFonts w:cstheme="minorHAnsi"/>
          <w:sz w:val="24"/>
          <w:szCs w:val="24"/>
        </w:rPr>
      </w:pPr>
    </w:p>
    <w:p w:rsidR="006C4579" w:rsidRDefault="002C3442" w:rsidP="006C4579">
      <w:pPr>
        <w:pStyle w:val="ListParagraph"/>
        <w:numPr>
          <w:ilvl w:val="0"/>
          <w:numId w:val="13"/>
        </w:numPr>
        <w:rPr>
          <w:rFonts w:cstheme="minorHAnsi"/>
          <w:sz w:val="24"/>
          <w:szCs w:val="24"/>
        </w:rPr>
      </w:pPr>
      <w:r>
        <w:rPr>
          <w:rFonts w:cstheme="minorHAnsi"/>
          <w:sz w:val="24"/>
          <w:szCs w:val="24"/>
        </w:rPr>
        <w:t>SC12 noted that skipjack</w:t>
      </w:r>
      <w:r w:rsidR="006C4579" w:rsidRPr="006C4579">
        <w:rPr>
          <w:rFonts w:cstheme="minorHAnsi"/>
          <w:sz w:val="24"/>
          <w:szCs w:val="24"/>
        </w:rPr>
        <w:t xml:space="preserve"> spawning biomass is now around the adopted TRP and SC12 recommends that the Commission take action to keep the </w:t>
      </w:r>
      <w:r>
        <w:rPr>
          <w:rFonts w:cstheme="minorHAnsi"/>
          <w:sz w:val="24"/>
          <w:szCs w:val="24"/>
        </w:rPr>
        <w:t>spawning biomass near</w:t>
      </w:r>
      <w:r w:rsidR="006C4579" w:rsidRPr="006C4579">
        <w:rPr>
          <w:rFonts w:cstheme="minorHAnsi"/>
          <w:sz w:val="24"/>
          <w:szCs w:val="24"/>
        </w:rPr>
        <w:t xml:space="preserve"> </w:t>
      </w:r>
      <w:r w:rsidR="00B64981">
        <w:rPr>
          <w:rFonts w:cstheme="minorHAnsi"/>
          <w:sz w:val="24"/>
          <w:szCs w:val="24"/>
        </w:rPr>
        <w:t xml:space="preserve">the </w:t>
      </w:r>
      <w:r w:rsidR="006C4579" w:rsidRPr="006C4579">
        <w:rPr>
          <w:rFonts w:cstheme="minorHAnsi"/>
          <w:sz w:val="24"/>
          <w:szCs w:val="24"/>
        </w:rPr>
        <w:t xml:space="preserve">TRP and </w:t>
      </w:r>
      <w:r>
        <w:rPr>
          <w:rFonts w:cstheme="minorHAnsi"/>
          <w:sz w:val="24"/>
          <w:szCs w:val="24"/>
        </w:rPr>
        <w:t xml:space="preserve">also </w:t>
      </w:r>
      <w:r w:rsidR="006C4579" w:rsidRPr="006C4579">
        <w:rPr>
          <w:rFonts w:cstheme="minorHAnsi"/>
          <w:sz w:val="24"/>
          <w:szCs w:val="24"/>
        </w:rPr>
        <w:t>advocates for the adoption of harvest control rules based on the information provided.</w:t>
      </w:r>
    </w:p>
    <w:p w:rsidR="00B64981" w:rsidRPr="000F0EF9" w:rsidRDefault="00B64981" w:rsidP="000F0EF9">
      <w:pPr>
        <w:pStyle w:val="ListParagraph"/>
        <w:rPr>
          <w:rFonts w:cstheme="minorHAnsi"/>
          <w:sz w:val="24"/>
          <w:szCs w:val="24"/>
        </w:rPr>
      </w:pPr>
    </w:p>
    <w:p w:rsidR="00B64981" w:rsidRDefault="00B64981" w:rsidP="006C4579">
      <w:pPr>
        <w:pStyle w:val="ListParagraph"/>
        <w:numPr>
          <w:ilvl w:val="0"/>
          <w:numId w:val="13"/>
        </w:numPr>
        <w:rPr>
          <w:rFonts w:cstheme="minorHAnsi"/>
          <w:sz w:val="24"/>
          <w:szCs w:val="24"/>
        </w:rPr>
      </w:pPr>
      <w:r>
        <w:rPr>
          <w:rFonts w:cstheme="minorHAnsi"/>
          <w:sz w:val="24"/>
          <w:szCs w:val="24"/>
        </w:rPr>
        <w:t xml:space="preserve">In order to maintain the quality of stock assessments for this important stock, SC12 recommends 1) continued work on developing an index of abundance based on purse seine data; 2) regular large scale tagging cruises and complementary tagging work continue to be undertaken in a way that provides the best possible data </w:t>
      </w:r>
      <w:r w:rsidR="0000482E">
        <w:rPr>
          <w:rFonts w:cstheme="minorHAnsi"/>
          <w:sz w:val="24"/>
          <w:szCs w:val="24"/>
        </w:rPr>
        <w:t xml:space="preserve">for stock assessment purposes. </w:t>
      </w:r>
    </w:p>
    <w:p w:rsidR="002A5666" w:rsidRPr="002A5666" w:rsidRDefault="002A5666" w:rsidP="002A5666">
      <w:pPr>
        <w:pStyle w:val="ListParagraph"/>
        <w:rPr>
          <w:rFonts w:cstheme="minorHAnsi"/>
          <w:sz w:val="24"/>
          <w:szCs w:val="24"/>
        </w:rPr>
      </w:pPr>
    </w:p>
    <w:p w:rsidR="002A5666" w:rsidRPr="008B5DBA" w:rsidRDefault="002A5666" w:rsidP="002A5666">
      <w:pPr>
        <w:pStyle w:val="ListParagraph"/>
        <w:numPr>
          <w:ilvl w:val="0"/>
          <w:numId w:val="13"/>
        </w:numPr>
        <w:jc w:val="both"/>
        <w:rPr>
          <w:sz w:val="24"/>
          <w:szCs w:val="24"/>
        </w:rPr>
      </w:pPr>
      <w:r w:rsidRPr="008B5DBA">
        <w:rPr>
          <w:sz w:val="24"/>
          <w:szCs w:val="24"/>
        </w:rPr>
        <w:t xml:space="preserve">SC12 also </w:t>
      </w:r>
      <w:r w:rsidR="008B5DBA">
        <w:rPr>
          <w:sz w:val="24"/>
          <w:szCs w:val="24"/>
        </w:rPr>
        <w:t>notes that the</w:t>
      </w:r>
      <w:r w:rsidRPr="008B5DBA">
        <w:rPr>
          <w:sz w:val="24"/>
          <w:szCs w:val="24"/>
        </w:rPr>
        <w:t xml:space="preserve"> current method of calculating the TRP is based on the most recent 10 year</w:t>
      </w:r>
      <w:r w:rsidR="008B5DBA">
        <w:rPr>
          <w:sz w:val="24"/>
          <w:szCs w:val="24"/>
        </w:rPr>
        <w:t>s of</w:t>
      </w:r>
      <w:r w:rsidRPr="008B5DBA">
        <w:rPr>
          <w:sz w:val="24"/>
          <w:szCs w:val="24"/>
        </w:rPr>
        <w:t xml:space="preserve"> recruitment information. However, the </w:t>
      </w:r>
      <w:r w:rsidR="008B5DBA">
        <w:rPr>
          <w:sz w:val="24"/>
          <w:szCs w:val="24"/>
        </w:rPr>
        <w:t>information on spawning potential, S</w:t>
      </w:r>
      <w:r w:rsidRPr="008B5DBA">
        <w:rPr>
          <w:sz w:val="24"/>
          <w:szCs w:val="24"/>
        </w:rPr>
        <w:t>B</w:t>
      </w:r>
      <w:r w:rsidR="008B5DBA" w:rsidRPr="008B5DBA">
        <w:rPr>
          <w:sz w:val="24"/>
          <w:szCs w:val="24"/>
          <w:vertAlign w:val="subscript"/>
        </w:rPr>
        <w:t>2015</w:t>
      </w:r>
      <w:r w:rsidRPr="008B5DBA">
        <w:rPr>
          <w:sz w:val="24"/>
          <w:szCs w:val="24"/>
        </w:rPr>
        <w:t xml:space="preserve">, which is used to evaluate current </w:t>
      </w:r>
      <w:r w:rsidR="008B5DBA">
        <w:rPr>
          <w:sz w:val="24"/>
          <w:szCs w:val="24"/>
        </w:rPr>
        <w:t xml:space="preserve">stock </w:t>
      </w:r>
      <w:r w:rsidRPr="008B5DBA">
        <w:rPr>
          <w:sz w:val="24"/>
          <w:szCs w:val="24"/>
        </w:rPr>
        <w:t xml:space="preserve">status </w:t>
      </w:r>
      <w:r w:rsidR="008B5DBA">
        <w:rPr>
          <w:sz w:val="24"/>
          <w:szCs w:val="24"/>
        </w:rPr>
        <w:t>relative to</w:t>
      </w:r>
      <w:r w:rsidRPr="008B5DBA">
        <w:rPr>
          <w:sz w:val="24"/>
          <w:szCs w:val="24"/>
        </w:rPr>
        <w:t xml:space="preserve"> the TRP </w:t>
      </w:r>
      <w:r w:rsidR="008B5DBA">
        <w:rPr>
          <w:sz w:val="24"/>
          <w:szCs w:val="24"/>
        </w:rPr>
        <w:t>can change</w:t>
      </w:r>
      <w:r w:rsidRPr="008B5DBA">
        <w:rPr>
          <w:sz w:val="24"/>
          <w:szCs w:val="24"/>
        </w:rPr>
        <w:t xml:space="preserve"> </w:t>
      </w:r>
      <w:r w:rsidR="008B5DBA">
        <w:rPr>
          <w:sz w:val="24"/>
          <w:szCs w:val="24"/>
        </w:rPr>
        <w:t xml:space="preserve">very rapidly for skipjack which mature at age 1 and this rapid maturation may provide an </w:t>
      </w:r>
      <w:r w:rsidRPr="008B5DBA">
        <w:rPr>
          <w:sz w:val="24"/>
          <w:szCs w:val="24"/>
        </w:rPr>
        <w:t>optimistic status</w:t>
      </w:r>
      <w:r w:rsidR="008B5DBA">
        <w:rPr>
          <w:sz w:val="24"/>
          <w:szCs w:val="24"/>
        </w:rPr>
        <w:t xml:space="preserve"> evaluation</w:t>
      </w:r>
      <w:r w:rsidRPr="008B5DBA">
        <w:rPr>
          <w:sz w:val="24"/>
          <w:szCs w:val="24"/>
        </w:rPr>
        <w:t xml:space="preserve"> when recruitment is </w:t>
      </w:r>
      <w:r w:rsidR="008B5DBA">
        <w:rPr>
          <w:sz w:val="24"/>
          <w:szCs w:val="24"/>
        </w:rPr>
        <w:t xml:space="preserve">estimated have an </w:t>
      </w:r>
      <w:r w:rsidRPr="008B5DBA">
        <w:rPr>
          <w:sz w:val="24"/>
          <w:szCs w:val="24"/>
        </w:rPr>
        <w:t>increasing trend</w:t>
      </w:r>
      <w:r w:rsidR="008B5DBA">
        <w:rPr>
          <w:sz w:val="24"/>
          <w:szCs w:val="24"/>
        </w:rPr>
        <w:t xml:space="preserve"> but is estimated with substantial uncertainty</w:t>
      </w:r>
      <w:r w:rsidRPr="008B5DBA">
        <w:rPr>
          <w:sz w:val="24"/>
          <w:szCs w:val="24"/>
        </w:rPr>
        <w:t xml:space="preserve">, as </w:t>
      </w:r>
      <w:r w:rsidR="008B5DBA">
        <w:rPr>
          <w:sz w:val="24"/>
          <w:szCs w:val="24"/>
        </w:rPr>
        <w:t xml:space="preserve">is </w:t>
      </w:r>
      <w:r w:rsidRPr="008B5DBA">
        <w:rPr>
          <w:sz w:val="24"/>
          <w:szCs w:val="24"/>
        </w:rPr>
        <w:t>currently ob</w:t>
      </w:r>
      <w:r w:rsidR="008B5DBA">
        <w:rPr>
          <w:sz w:val="24"/>
          <w:szCs w:val="24"/>
        </w:rPr>
        <w:t>served in the case of skipjack which does not have a fishery-independent index of recruitment strength.</w:t>
      </w:r>
    </w:p>
    <w:p w:rsidR="002A5666" w:rsidRPr="00295DE3" w:rsidRDefault="002A5666" w:rsidP="00295DE3">
      <w:pPr>
        <w:rPr>
          <w:sz w:val="24"/>
          <w:szCs w:val="24"/>
        </w:rPr>
      </w:pPr>
    </w:p>
    <w:p w:rsidR="009047EB" w:rsidRPr="009047EB" w:rsidRDefault="009047EB" w:rsidP="009047EB">
      <w:pPr>
        <w:pStyle w:val="ListParagraph"/>
        <w:numPr>
          <w:ilvl w:val="0"/>
          <w:numId w:val="13"/>
        </w:numPr>
        <w:jc w:val="both"/>
        <w:rPr>
          <w:sz w:val="24"/>
          <w:szCs w:val="24"/>
        </w:rPr>
      </w:pPr>
      <w:r>
        <w:rPr>
          <w:sz w:val="24"/>
          <w:szCs w:val="24"/>
        </w:rPr>
        <w:t>T</w:t>
      </w:r>
      <w:r w:rsidRPr="008B5DBA">
        <w:rPr>
          <w:sz w:val="24"/>
          <w:szCs w:val="24"/>
        </w:rPr>
        <w:t xml:space="preserve">here </w:t>
      </w:r>
      <w:r w:rsidR="002A5666" w:rsidRPr="008B5DBA">
        <w:rPr>
          <w:sz w:val="24"/>
          <w:szCs w:val="24"/>
        </w:rPr>
        <w:t xml:space="preserve">is </w:t>
      </w:r>
      <w:r w:rsidR="00EE2C95">
        <w:rPr>
          <w:sz w:val="24"/>
          <w:szCs w:val="24"/>
        </w:rPr>
        <w:t>ongoing</w:t>
      </w:r>
      <w:r w:rsidR="002A5666" w:rsidRPr="008B5DBA">
        <w:rPr>
          <w:sz w:val="24"/>
          <w:szCs w:val="24"/>
        </w:rPr>
        <w:t xml:space="preserve"> concern by a</w:t>
      </w:r>
      <w:r w:rsidR="00EE2C95">
        <w:rPr>
          <w:sz w:val="24"/>
          <w:szCs w:val="24"/>
        </w:rPr>
        <w:t>t least one</w:t>
      </w:r>
      <w:r w:rsidR="002A5666" w:rsidRPr="008B5DBA">
        <w:rPr>
          <w:sz w:val="24"/>
          <w:szCs w:val="24"/>
        </w:rPr>
        <w:t xml:space="preserve"> CCM that high catches in the equatorial region </w:t>
      </w:r>
      <w:r w:rsidR="00EE2C95">
        <w:rPr>
          <w:sz w:val="24"/>
          <w:szCs w:val="24"/>
        </w:rPr>
        <w:t>may be causing</w:t>
      </w:r>
      <w:r w:rsidR="002A5666" w:rsidRPr="008B5DBA">
        <w:rPr>
          <w:sz w:val="24"/>
          <w:szCs w:val="24"/>
        </w:rPr>
        <w:t xml:space="preserve"> </w:t>
      </w:r>
      <w:r w:rsidR="00EE2C95">
        <w:rPr>
          <w:sz w:val="24"/>
          <w:szCs w:val="24"/>
        </w:rPr>
        <w:t>a range contraction</w:t>
      </w:r>
      <w:r w:rsidR="002A5666" w:rsidRPr="008B5DBA">
        <w:rPr>
          <w:sz w:val="24"/>
          <w:szCs w:val="24"/>
        </w:rPr>
        <w:t xml:space="preserve"> </w:t>
      </w:r>
      <w:r w:rsidR="00EE2C95">
        <w:rPr>
          <w:sz w:val="24"/>
          <w:szCs w:val="24"/>
        </w:rPr>
        <w:t>of WCPO skipjack tuna</w:t>
      </w:r>
      <w:r w:rsidR="002A5666" w:rsidRPr="008B5DBA">
        <w:rPr>
          <w:sz w:val="24"/>
          <w:szCs w:val="24"/>
        </w:rPr>
        <w:t>, thus reducing skipjack tuna availability to fisheries</w:t>
      </w:r>
      <w:r w:rsidR="00EE2C95">
        <w:rPr>
          <w:sz w:val="24"/>
          <w:szCs w:val="24"/>
        </w:rPr>
        <w:t xml:space="preserve"> conducted at higher latitudes than the Pacific equatorial region</w:t>
      </w:r>
      <w:r w:rsidR="002A5666" w:rsidRPr="008B5DBA">
        <w:rPr>
          <w:sz w:val="24"/>
          <w:szCs w:val="24"/>
        </w:rPr>
        <w:t xml:space="preserve">. </w:t>
      </w:r>
      <w:r w:rsidRPr="009047EB">
        <w:rPr>
          <w:sz w:val="24"/>
          <w:szCs w:val="24"/>
        </w:rPr>
        <w:t xml:space="preserve">SC12 reiterates the </w:t>
      </w:r>
      <w:r w:rsidR="0029400F">
        <w:rPr>
          <w:sz w:val="24"/>
          <w:szCs w:val="24"/>
        </w:rPr>
        <w:t xml:space="preserve">advice of SC11 </w:t>
      </w:r>
      <w:r w:rsidRPr="009047EB">
        <w:rPr>
          <w:sz w:val="24"/>
          <w:szCs w:val="24"/>
        </w:rPr>
        <w:t>whereby there is no demonstrated statistical evidence for SKJ range contraction.</w:t>
      </w:r>
      <w:r>
        <w:rPr>
          <w:sz w:val="24"/>
          <w:szCs w:val="24"/>
        </w:rPr>
        <w:t xml:space="preserve">  </w:t>
      </w:r>
      <w:r w:rsidR="00EE2C95">
        <w:rPr>
          <w:sz w:val="24"/>
          <w:szCs w:val="24"/>
        </w:rPr>
        <w:t xml:space="preserve">As a result, </w:t>
      </w:r>
      <w:r w:rsidR="002A5666" w:rsidRPr="008B5DBA">
        <w:rPr>
          <w:sz w:val="24"/>
          <w:szCs w:val="24"/>
        </w:rPr>
        <w:t xml:space="preserve">SC12 recommends that </w:t>
      </w:r>
      <w:r w:rsidR="00EE2C95">
        <w:rPr>
          <w:sz w:val="24"/>
          <w:szCs w:val="24"/>
        </w:rPr>
        <w:t>ongoing</w:t>
      </w:r>
      <w:r w:rsidR="002A5666" w:rsidRPr="008B5DBA">
        <w:rPr>
          <w:sz w:val="24"/>
          <w:szCs w:val="24"/>
        </w:rPr>
        <w:t xml:space="preserve"> research on range contraction of skipjack tuna be </w:t>
      </w:r>
      <w:r w:rsidR="00EE2C95">
        <w:rPr>
          <w:sz w:val="24"/>
          <w:szCs w:val="24"/>
        </w:rPr>
        <w:t>continued</w:t>
      </w:r>
      <w:r w:rsidR="002A5666" w:rsidRPr="008B5DBA">
        <w:rPr>
          <w:sz w:val="24"/>
          <w:szCs w:val="24"/>
        </w:rPr>
        <w:t xml:space="preserve"> in the framework of Project 67.</w:t>
      </w:r>
    </w:p>
    <w:p w:rsidR="002A5666" w:rsidRPr="00295DE3" w:rsidRDefault="002A5666" w:rsidP="00295DE3">
      <w:pPr>
        <w:jc w:val="both"/>
        <w:rPr>
          <w:sz w:val="24"/>
          <w:szCs w:val="24"/>
        </w:rPr>
      </w:pPr>
    </w:p>
    <w:p w:rsidR="002A5666" w:rsidRPr="002A5666" w:rsidRDefault="002A5666" w:rsidP="002A5666">
      <w:pPr>
        <w:ind w:left="360"/>
        <w:rPr>
          <w:rFonts w:cstheme="minorHAnsi"/>
          <w:sz w:val="24"/>
          <w:szCs w:val="24"/>
        </w:rPr>
      </w:pPr>
    </w:p>
    <w:p w:rsidR="00642BD5" w:rsidRDefault="00642BD5" w:rsidP="00642BD5"/>
    <w:sectPr w:rsidR="00642BD5" w:rsidSect="00E270A7">
      <w:footerReference w:type="default" r:id="rId18"/>
      <w:pgSz w:w="11900" w:h="16840"/>
      <w:pgMar w:top="1600" w:right="1280" w:bottom="1880" w:left="1300" w:header="0" w:footer="16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62A" w:rsidRDefault="00F0662A">
      <w:r>
        <w:separator/>
      </w:r>
    </w:p>
  </w:endnote>
  <w:endnote w:type="continuationSeparator" w:id="0">
    <w:p w:rsidR="00F0662A" w:rsidRDefault="00F0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algun Gothic">
    <w:altName w:val="맑은 고딕"/>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56" w:rsidRDefault="0079271F">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382320A5" wp14:editId="36A82878">
              <wp:simplePos x="0" y="0"/>
              <wp:positionH relativeFrom="page">
                <wp:posOffset>5253355</wp:posOffset>
              </wp:positionH>
              <wp:positionV relativeFrom="page">
                <wp:posOffset>6800850</wp:posOffset>
              </wp:positionV>
              <wp:extent cx="190500" cy="16192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F01730">
                            <w:rPr>
                              <w:noProof/>
                              <w:w w:val="10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3.65pt;margin-top:535.5pt;width:1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" filled="f" stroked="f">
              <v:textbox inset="0,0,0,0">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F01730">
                      <w:rPr>
                        <w:noProof/>
                        <w:w w:val="102"/>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62A" w:rsidRDefault="00F0662A">
      <w:r>
        <w:separator/>
      </w:r>
    </w:p>
  </w:footnote>
  <w:footnote w:type="continuationSeparator" w:id="0">
    <w:p w:rsidR="00F0662A" w:rsidRDefault="00F06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D1FD0"/>
    <w:multiLevelType w:val="hybridMultilevel"/>
    <w:tmpl w:val="5B8C9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2992699"/>
    <w:multiLevelType w:val="hybridMultilevel"/>
    <w:tmpl w:val="B52E3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B3CFB"/>
    <w:multiLevelType w:val="hybridMultilevel"/>
    <w:tmpl w:val="BD6A0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D00232"/>
    <w:multiLevelType w:val="hybridMultilevel"/>
    <w:tmpl w:val="CDEA143E"/>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
    <w:nsid w:val="23F47B1D"/>
    <w:multiLevelType w:val="hybridMultilevel"/>
    <w:tmpl w:val="7AC8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86F69"/>
    <w:multiLevelType w:val="hybridMultilevel"/>
    <w:tmpl w:val="CB02B61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6">
    <w:nsid w:val="28673936"/>
    <w:multiLevelType w:val="hybridMultilevel"/>
    <w:tmpl w:val="76B6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0C34F3"/>
    <w:multiLevelType w:val="hybridMultilevel"/>
    <w:tmpl w:val="4CD8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03EC1"/>
    <w:multiLevelType w:val="hybridMultilevel"/>
    <w:tmpl w:val="A5BEFCF4"/>
    <w:lvl w:ilvl="0" w:tplc="03041C4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21B33"/>
    <w:multiLevelType w:val="hybridMultilevel"/>
    <w:tmpl w:val="E6E4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A41AAF"/>
    <w:multiLevelType w:val="hybridMultilevel"/>
    <w:tmpl w:val="F9BC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2403CB"/>
    <w:multiLevelType w:val="hybridMultilevel"/>
    <w:tmpl w:val="400440E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2">
    <w:nsid w:val="48814AAC"/>
    <w:multiLevelType w:val="hybridMultilevel"/>
    <w:tmpl w:val="F922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0C0A68"/>
    <w:multiLevelType w:val="hybridMultilevel"/>
    <w:tmpl w:val="CED8E5E8"/>
    <w:lvl w:ilvl="0" w:tplc="2A2E6B24">
      <w:numFmt w:val="bullet"/>
      <w:lvlText w:val="•"/>
      <w:lvlJc w:val="left"/>
      <w:pPr>
        <w:ind w:left="360" w:hanging="360"/>
      </w:pPr>
      <w:rPr>
        <w:rFonts w:ascii="MS PGothic" w:eastAsia="MS PGothic" w:hAnsi="MS PGothic"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4B02526D"/>
    <w:multiLevelType w:val="hybridMultilevel"/>
    <w:tmpl w:val="E4089AFE"/>
    <w:lvl w:ilvl="0" w:tplc="7138DFDC">
      <w:start w:val="1"/>
      <w:numFmt w:val="decimal"/>
      <w:lvlText w:val="%1."/>
      <w:lvlJc w:val="left"/>
      <w:pPr>
        <w:ind w:left="116" w:hanging="214"/>
      </w:pPr>
      <w:rPr>
        <w:rFonts w:ascii="Calibri" w:eastAsia="Calibri" w:hAnsi="Calibri" w:hint="default"/>
        <w:spacing w:val="1"/>
        <w:w w:val="102"/>
        <w:sz w:val="21"/>
        <w:szCs w:val="21"/>
      </w:rPr>
    </w:lvl>
    <w:lvl w:ilvl="1" w:tplc="910E4268">
      <w:start w:val="1"/>
      <w:numFmt w:val="bullet"/>
      <w:lvlText w:val="•"/>
      <w:lvlJc w:val="left"/>
      <w:pPr>
        <w:ind w:left="1452" w:hanging="214"/>
      </w:pPr>
      <w:rPr>
        <w:rFonts w:hint="default"/>
      </w:rPr>
    </w:lvl>
    <w:lvl w:ilvl="2" w:tplc="1A3270B2">
      <w:start w:val="1"/>
      <w:numFmt w:val="bullet"/>
      <w:lvlText w:val="•"/>
      <w:lvlJc w:val="left"/>
      <w:pPr>
        <w:ind w:left="2784" w:hanging="214"/>
      </w:pPr>
      <w:rPr>
        <w:rFonts w:hint="default"/>
      </w:rPr>
    </w:lvl>
    <w:lvl w:ilvl="3" w:tplc="E8D6F8E0">
      <w:start w:val="1"/>
      <w:numFmt w:val="bullet"/>
      <w:lvlText w:val="•"/>
      <w:lvlJc w:val="left"/>
      <w:pPr>
        <w:ind w:left="4116" w:hanging="214"/>
      </w:pPr>
      <w:rPr>
        <w:rFonts w:hint="default"/>
      </w:rPr>
    </w:lvl>
    <w:lvl w:ilvl="4" w:tplc="6C382FE6">
      <w:start w:val="1"/>
      <w:numFmt w:val="bullet"/>
      <w:lvlText w:val="•"/>
      <w:lvlJc w:val="left"/>
      <w:pPr>
        <w:ind w:left="5448" w:hanging="214"/>
      </w:pPr>
      <w:rPr>
        <w:rFonts w:hint="default"/>
      </w:rPr>
    </w:lvl>
    <w:lvl w:ilvl="5" w:tplc="D74C247E">
      <w:start w:val="1"/>
      <w:numFmt w:val="bullet"/>
      <w:lvlText w:val="•"/>
      <w:lvlJc w:val="left"/>
      <w:pPr>
        <w:ind w:left="6780" w:hanging="214"/>
      </w:pPr>
      <w:rPr>
        <w:rFonts w:hint="default"/>
      </w:rPr>
    </w:lvl>
    <w:lvl w:ilvl="6" w:tplc="68641DC8">
      <w:start w:val="1"/>
      <w:numFmt w:val="bullet"/>
      <w:lvlText w:val="•"/>
      <w:lvlJc w:val="left"/>
      <w:pPr>
        <w:ind w:left="8112" w:hanging="214"/>
      </w:pPr>
      <w:rPr>
        <w:rFonts w:hint="default"/>
      </w:rPr>
    </w:lvl>
    <w:lvl w:ilvl="7" w:tplc="DEB693F6">
      <w:start w:val="1"/>
      <w:numFmt w:val="bullet"/>
      <w:lvlText w:val="•"/>
      <w:lvlJc w:val="left"/>
      <w:pPr>
        <w:ind w:left="9444" w:hanging="214"/>
      </w:pPr>
      <w:rPr>
        <w:rFonts w:hint="default"/>
      </w:rPr>
    </w:lvl>
    <w:lvl w:ilvl="8" w:tplc="D9B46A7E">
      <w:start w:val="1"/>
      <w:numFmt w:val="bullet"/>
      <w:lvlText w:val="•"/>
      <w:lvlJc w:val="left"/>
      <w:pPr>
        <w:ind w:left="10776" w:hanging="214"/>
      </w:pPr>
      <w:rPr>
        <w:rFonts w:hint="default"/>
      </w:rPr>
    </w:lvl>
  </w:abstractNum>
  <w:abstractNum w:abstractNumId="15">
    <w:nsid w:val="4D207FBD"/>
    <w:multiLevelType w:val="hybridMultilevel"/>
    <w:tmpl w:val="63AA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B84A6F"/>
    <w:multiLevelType w:val="hybridMultilevel"/>
    <w:tmpl w:val="9C5286C4"/>
    <w:lvl w:ilvl="0" w:tplc="BCD2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106A60"/>
    <w:multiLevelType w:val="hybridMultilevel"/>
    <w:tmpl w:val="6B92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7C0D2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nsid w:val="7A671027"/>
    <w:multiLevelType w:val="hybridMultilevel"/>
    <w:tmpl w:val="CDA01BB6"/>
    <w:lvl w:ilvl="0" w:tplc="99526142">
      <w:start w:val="1"/>
      <w:numFmt w:val="bullet"/>
      <w:lvlText w:val=""/>
      <w:lvlJc w:val="left"/>
      <w:pPr>
        <w:ind w:left="802" w:hanging="351"/>
      </w:pPr>
      <w:rPr>
        <w:rFonts w:ascii="Symbol" w:eastAsia="Symbol" w:hAnsi="Symbol" w:hint="default"/>
        <w:w w:val="102"/>
        <w:sz w:val="21"/>
        <w:szCs w:val="21"/>
      </w:rPr>
    </w:lvl>
    <w:lvl w:ilvl="1" w:tplc="ACFA5EB8">
      <w:start w:val="1"/>
      <w:numFmt w:val="bullet"/>
      <w:lvlText w:val=""/>
      <w:lvlJc w:val="left"/>
      <w:pPr>
        <w:ind w:left="1156" w:hanging="351"/>
      </w:pPr>
      <w:rPr>
        <w:rFonts w:ascii="Symbol" w:eastAsia="Symbol" w:hAnsi="Symbol" w:hint="default"/>
        <w:w w:val="102"/>
        <w:sz w:val="21"/>
        <w:szCs w:val="21"/>
      </w:rPr>
    </w:lvl>
    <w:lvl w:ilvl="2" w:tplc="2EF0FDB6">
      <w:start w:val="1"/>
      <w:numFmt w:val="bullet"/>
      <w:lvlText w:val="•"/>
      <w:lvlJc w:val="left"/>
      <w:pPr>
        <w:ind w:left="2066" w:hanging="351"/>
      </w:pPr>
      <w:rPr>
        <w:rFonts w:hint="default"/>
      </w:rPr>
    </w:lvl>
    <w:lvl w:ilvl="3" w:tplc="F6441DB2">
      <w:start w:val="1"/>
      <w:numFmt w:val="bullet"/>
      <w:lvlText w:val="•"/>
      <w:lvlJc w:val="left"/>
      <w:pPr>
        <w:ind w:left="2973" w:hanging="351"/>
      </w:pPr>
      <w:rPr>
        <w:rFonts w:hint="default"/>
      </w:rPr>
    </w:lvl>
    <w:lvl w:ilvl="4" w:tplc="BB1E0050">
      <w:start w:val="1"/>
      <w:numFmt w:val="bullet"/>
      <w:lvlText w:val="•"/>
      <w:lvlJc w:val="left"/>
      <w:pPr>
        <w:ind w:left="3880" w:hanging="351"/>
      </w:pPr>
      <w:rPr>
        <w:rFonts w:hint="default"/>
      </w:rPr>
    </w:lvl>
    <w:lvl w:ilvl="5" w:tplc="748207C0">
      <w:start w:val="1"/>
      <w:numFmt w:val="bullet"/>
      <w:lvlText w:val="•"/>
      <w:lvlJc w:val="left"/>
      <w:pPr>
        <w:ind w:left="4786" w:hanging="351"/>
      </w:pPr>
      <w:rPr>
        <w:rFonts w:hint="default"/>
      </w:rPr>
    </w:lvl>
    <w:lvl w:ilvl="6" w:tplc="9A50878C">
      <w:start w:val="1"/>
      <w:numFmt w:val="bullet"/>
      <w:lvlText w:val="•"/>
      <w:lvlJc w:val="left"/>
      <w:pPr>
        <w:ind w:left="5693" w:hanging="351"/>
      </w:pPr>
      <w:rPr>
        <w:rFonts w:hint="default"/>
      </w:rPr>
    </w:lvl>
    <w:lvl w:ilvl="7" w:tplc="714C0CAA">
      <w:start w:val="1"/>
      <w:numFmt w:val="bullet"/>
      <w:lvlText w:val="•"/>
      <w:lvlJc w:val="left"/>
      <w:pPr>
        <w:ind w:left="6600" w:hanging="351"/>
      </w:pPr>
      <w:rPr>
        <w:rFonts w:hint="default"/>
      </w:rPr>
    </w:lvl>
    <w:lvl w:ilvl="8" w:tplc="2E54BA1E">
      <w:start w:val="1"/>
      <w:numFmt w:val="bullet"/>
      <w:lvlText w:val="•"/>
      <w:lvlJc w:val="left"/>
      <w:pPr>
        <w:ind w:left="7506" w:hanging="351"/>
      </w:pPr>
      <w:rPr>
        <w:rFonts w:hint="default"/>
      </w:rPr>
    </w:lvl>
  </w:abstractNum>
  <w:num w:numId="1">
    <w:abstractNumId w:val="14"/>
  </w:num>
  <w:num w:numId="2">
    <w:abstractNumId w:val="19"/>
  </w:num>
  <w:num w:numId="3">
    <w:abstractNumId w:val="11"/>
  </w:num>
  <w:num w:numId="4">
    <w:abstractNumId w:val="3"/>
  </w:num>
  <w:num w:numId="5">
    <w:abstractNumId w:val="18"/>
  </w:num>
  <w:num w:numId="6">
    <w:abstractNumId w:val="9"/>
  </w:num>
  <w:num w:numId="7">
    <w:abstractNumId w:val="5"/>
  </w:num>
  <w:num w:numId="8">
    <w:abstractNumId w:val="15"/>
  </w:num>
  <w:num w:numId="9">
    <w:abstractNumId w:val="16"/>
  </w:num>
  <w:num w:numId="10">
    <w:abstractNumId w:val="8"/>
  </w:num>
  <w:num w:numId="11">
    <w:abstractNumId w:val="12"/>
  </w:num>
  <w:num w:numId="12">
    <w:abstractNumId w:val="1"/>
  </w:num>
  <w:num w:numId="13">
    <w:abstractNumId w:val="7"/>
  </w:num>
  <w:num w:numId="14">
    <w:abstractNumId w:val="2"/>
  </w:num>
  <w:num w:numId="15">
    <w:abstractNumId w:val="4"/>
  </w:num>
  <w:num w:numId="16">
    <w:abstractNumId w:val="13"/>
  </w:num>
  <w:num w:numId="17">
    <w:abstractNumId w:val="10"/>
  </w:num>
  <w:num w:numId="18">
    <w:abstractNumId w:val="6"/>
  </w:num>
  <w:num w:numId="19">
    <w:abstractNumId w:val="0"/>
  </w:num>
  <w:num w:numId="2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CPFC Presenter">
    <w15:presenceInfo w15:providerId="None" w15:userId="WCPFC Prese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markup="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56"/>
    <w:rsid w:val="0000482E"/>
    <w:rsid w:val="000118C8"/>
    <w:rsid w:val="00076FA8"/>
    <w:rsid w:val="0008315D"/>
    <w:rsid w:val="00097FE3"/>
    <w:rsid w:val="000B34ED"/>
    <w:rsid w:val="000B53DC"/>
    <w:rsid w:val="000F0EF9"/>
    <w:rsid w:val="00125274"/>
    <w:rsid w:val="0016567F"/>
    <w:rsid w:val="001F570F"/>
    <w:rsid w:val="00200D18"/>
    <w:rsid w:val="00201018"/>
    <w:rsid w:val="00241C65"/>
    <w:rsid w:val="0024472E"/>
    <w:rsid w:val="00251339"/>
    <w:rsid w:val="002625B9"/>
    <w:rsid w:val="00264C7E"/>
    <w:rsid w:val="0027639E"/>
    <w:rsid w:val="0029400F"/>
    <w:rsid w:val="00295DE3"/>
    <w:rsid w:val="002A5666"/>
    <w:rsid w:val="002C3442"/>
    <w:rsid w:val="002F17EF"/>
    <w:rsid w:val="003035DC"/>
    <w:rsid w:val="00305DD9"/>
    <w:rsid w:val="00340770"/>
    <w:rsid w:val="00391DA4"/>
    <w:rsid w:val="003B4FCB"/>
    <w:rsid w:val="003C1CA2"/>
    <w:rsid w:val="003C465A"/>
    <w:rsid w:val="003D6FD6"/>
    <w:rsid w:val="00410B9B"/>
    <w:rsid w:val="004645E6"/>
    <w:rsid w:val="0047656C"/>
    <w:rsid w:val="004B04B4"/>
    <w:rsid w:val="004C70C6"/>
    <w:rsid w:val="004C7765"/>
    <w:rsid w:val="004D1DC1"/>
    <w:rsid w:val="004E594C"/>
    <w:rsid w:val="005567D3"/>
    <w:rsid w:val="005639AF"/>
    <w:rsid w:val="00567949"/>
    <w:rsid w:val="00586432"/>
    <w:rsid w:val="005A2325"/>
    <w:rsid w:val="005A6842"/>
    <w:rsid w:val="00600469"/>
    <w:rsid w:val="00642BD5"/>
    <w:rsid w:val="00675A9A"/>
    <w:rsid w:val="006B2388"/>
    <w:rsid w:val="006B738E"/>
    <w:rsid w:val="006C057D"/>
    <w:rsid w:val="006C4579"/>
    <w:rsid w:val="006C5E52"/>
    <w:rsid w:val="006D47AC"/>
    <w:rsid w:val="006E7983"/>
    <w:rsid w:val="006F7742"/>
    <w:rsid w:val="00713F04"/>
    <w:rsid w:val="007425FA"/>
    <w:rsid w:val="00742B26"/>
    <w:rsid w:val="0079271F"/>
    <w:rsid w:val="00797618"/>
    <w:rsid w:val="007D128D"/>
    <w:rsid w:val="007F4712"/>
    <w:rsid w:val="00805567"/>
    <w:rsid w:val="00837D93"/>
    <w:rsid w:val="00845F2F"/>
    <w:rsid w:val="00891CE7"/>
    <w:rsid w:val="008943E3"/>
    <w:rsid w:val="008A70E3"/>
    <w:rsid w:val="008B35DE"/>
    <w:rsid w:val="008B5DBA"/>
    <w:rsid w:val="008E62AC"/>
    <w:rsid w:val="00901085"/>
    <w:rsid w:val="009047EB"/>
    <w:rsid w:val="00920F33"/>
    <w:rsid w:val="00944961"/>
    <w:rsid w:val="00963753"/>
    <w:rsid w:val="009642E7"/>
    <w:rsid w:val="0097359A"/>
    <w:rsid w:val="00980A5E"/>
    <w:rsid w:val="0098655B"/>
    <w:rsid w:val="009929B0"/>
    <w:rsid w:val="009B1C50"/>
    <w:rsid w:val="00A153AB"/>
    <w:rsid w:val="00A27E65"/>
    <w:rsid w:val="00AD7277"/>
    <w:rsid w:val="00AE47BE"/>
    <w:rsid w:val="00AF352B"/>
    <w:rsid w:val="00AF65B5"/>
    <w:rsid w:val="00AF6D6F"/>
    <w:rsid w:val="00B019F3"/>
    <w:rsid w:val="00B107D9"/>
    <w:rsid w:val="00B11E3A"/>
    <w:rsid w:val="00B1591F"/>
    <w:rsid w:val="00B3292E"/>
    <w:rsid w:val="00B52D13"/>
    <w:rsid w:val="00B57F61"/>
    <w:rsid w:val="00B64981"/>
    <w:rsid w:val="00B9536B"/>
    <w:rsid w:val="00B97550"/>
    <w:rsid w:val="00BB294E"/>
    <w:rsid w:val="00BE23A8"/>
    <w:rsid w:val="00BF1F4F"/>
    <w:rsid w:val="00C04EFE"/>
    <w:rsid w:val="00C31251"/>
    <w:rsid w:val="00C43705"/>
    <w:rsid w:val="00C51CB0"/>
    <w:rsid w:val="00C53C6B"/>
    <w:rsid w:val="00C570B6"/>
    <w:rsid w:val="00C61CCB"/>
    <w:rsid w:val="00C715D7"/>
    <w:rsid w:val="00CE3AE7"/>
    <w:rsid w:val="00CF326D"/>
    <w:rsid w:val="00D07CE4"/>
    <w:rsid w:val="00D30AAE"/>
    <w:rsid w:val="00D40768"/>
    <w:rsid w:val="00D444AD"/>
    <w:rsid w:val="00D53679"/>
    <w:rsid w:val="00D5582A"/>
    <w:rsid w:val="00DA2BFA"/>
    <w:rsid w:val="00DA3048"/>
    <w:rsid w:val="00DD7279"/>
    <w:rsid w:val="00DE1521"/>
    <w:rsid w:val="00DF55D3"/>
    <w:rsid w:val="00E036D8"/>
    <w:rsid w:val="00E075F1"/>
    <w:rsid w:val="00E11CD6"/>
    <w:rsid w:val="00E23F40"/>
    <w:rsid w:val="00E270A7"/>
    <w:rsid w:val="00E3204C"/>
    <w:rsid w:val="00E7696E"/>
    <w:rsid w:val="00EA2A56"/>
    <w:rsid w:val="00EC7C14"/>
    <w:rsid w:val="00ED3309"/>
    <w:rsid w:val="00EE2C95"/>
    <w:rsid w:val="00EE2E97"/>
    <w:rsid w:val="00EE3543"/>
    <w:rsid w:val="00F01730"/>
    <w:rsid w:val="00F0662A"/>
    <w:rsid w:val="00F64BB8"/>
    <w:rsid w:val="00FB5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semiHidden/>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semiHidden/>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 w:type="table" w:styleId="TableGrid">
    <w:name w:val="Table Grid"/>
    <w:basedOn w:val="TableNormal"/>
    <w:uiPriority w:val="59"/>
    <w:rsid w:val="00675A9A"/>
    <w:pPr>
      <w:widowControl/>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53AB"/>
    <w:pPr>
      <w:tabs>
        <w:tab w:val="center" w:pos="4680"/>
        <w:tab w:val="right" w:pos="9360"/>
      </w:tabs>
    </w:pPr>
  </w:style>
  <w:style w:type="character" w:customStyle="1" w:styleId="HeaderChar">
    <w:name w:val="Header Char"/>
    <w:basedOn w:val="DefaultParagraphFont"/>
    <w:link w:val="Header"/>
    <w:uiPriority w:val="99"/>
    <w:rsid w:val="00A153AB"/>
  </w:style>
  <w:style w:type="paragraph" w:styleId="Footer">
    <w:name w:val="footer"/>
    <w:basedOn w:val="Normal"/>
    <w:link w:val="FooterChar"/>
    <w:uiPriority w:val="99"/>
    <w:unhideWhenUsed/>
    <w:rsid w:val="00A153AB"/>
    <w:pPr>
      <w:tabs>
        <w:tab w:val="center" w:pos="4680"/>
        <w:tab w:val="right" w:pos="9360"/>
      </w:tabs>
    </w:pPr>
  </w:style>
  <w:style w:type="character" w:customStyle="1" w:styleId="FooterChar">
    <w:name w:val="Footer Char"/>
    <w:basedOn w:val="DefaultParagraphFont"/>
    <w:link w:val="Footer"/>
    <w:uiPriority w:val="99"/>
    <w:rsid w:val="00A153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semiHidden/>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semiHidden/>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 w:type="table" w:styleId="TableGrid">
    <w:name w:val="Table Grid"/>
    <w:basedOn w:val="TableNormal"/>
    <w:uiPriority w:val="59"/>
    <w:rsid w:val="00675A9A"/>
    <w:pPr>
      <w:widowControl/>
    </w:pPr>
    <w:rPr>
      <w:rFonts w:eastAsiaTheme="minorEastAsia"/>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53AB"/>
    <w:pPr>
      <w:tabs>
        <w:tab w:val="center" w:pos="4680"/>
        <w:tab w:val="right" w:pos="9360"/>
      </w:tabs>
    </w:pPr>
  </w:style>
  <w:style w:type="character" w:customStyle="1" w:styleId="HeaderChar">
    <w:name w:val="Header Char"/>
    <w:basedOn w:val="DefaultParagraphFont"/>
    <w:link w:val="Header"/>
    <w:uiPriority w:val="99"/>
    <w:rsid w:val="00A153AB"/>
  </w:style>
  <w:style w:type="paragraph" w:styleId="Footer">
    <w:name w:val="footer"/>
    <w:basedOn w:val="Normal"/>
    <w:link w:val="FooterChar"/>
    <w:uiPriority w:val="99"/>
    <w:unhideWhenUsed/>
    <w:rsid w:val="00A153AB"/>
    <w:pPr>
      <w:tabs>
        <w:tab w:val="center" w:pos="4680"/>
        <w:tab w:val="right" w:pos="9360"/>
      </w:tabs>
    </w:pPr>
  </w:style>
  <w:style w:type="character" w:customStyle="1" w:styleId="FooterChar">
    <w:name w:val="Footer Char"/>
    <w:basedOn w:val="DefaultParagraphFont"/>
    <w:link w:val="Footer"/>
    <w:uiPriority w:val="99"/>
    <w:rsid w:val="00A153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1C047-7EC4-4720-840C-EAD37195F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S12-SA-WP-06 SP Albacore trends paper - FINAL</vt:lpstr>
    </vt:vector>
  </TitlesOfParts>
  <Company>National Marine Fisheries Svc</Company>
  <LinksUpToDate>false</LinksUpToDate>
  <CharactersWithSpaces>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S12-SA-WP-06 SP Albacore trends paper - FINAL</dc:title>
  <dc:creator>grahamp</dc:creator>
  <cp:lastModifiedBy>Anthony J. Beeching</cp:lastModifiedBy>
  <cp:revision>2</cp:revision>
  <dcterms:created xsi:type="dcterms:W3CDTF">2016-08-11T07:08:00Z</dcterms:created>
  <dcterms:modified xsi:type="dcterms:W3CDTF">2016-08-11T07:08:00Z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2016-07-12T00:00:00Z</vt:filetime>
  </property>
  <property fmtid="{D5CDD505-2E9C-101B-9397-08002B2CF9AE}" pid="3" name="Creator">
    <vt:lpwstr>PDFCreator 2.3.0.103</vt:lpwstr>
  </property>
  <property fmtid="{D5CDD505-2E9C-101B-9397-08002B2CF9AE}" pid="4" name="LastSaved">
    <vt:filetime>2016-08-05T00:00:00Z</vt:filetime>
  </property>
</Properties>
</file>