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9F5" w:rsidRPr="00074F76" w:rsidRDefault="003929F5" w:rsidP="003929F5">
      <w:pPr>
        <w:rPr>
          <w:rFonts w:cstheme="minorHAnsi"/>
          <w:b/>
          <w:i/>
          <w:sz w:val="32"/>
          <w:szCs w:val="32"/>
        </w:rPr>
      </w:pPr>
      <w:bookmarkStart w:id="0" w:name="_GoBack"/>
      <w:bookmarkEnd w:id="0"/>
      <w:r w:rsidRPr="00074F76">
        <w:rPr>
          <w:rFonts w:cstheme="minorHAnsi"/>
          <w:b/>
          <w:i/>
          <w:sz w:val="32"/>
          <w:szCs w:val="32"/>
        </w:rPr>
        <w:t xml:space="preserve">Pacific </w:t>
      </w:r>
      <w:r w:rsidR="00D2367D">
        <w:rPr>
          <w:rFonts w:cstheme="minorHAnsi"/>
          <w:b/>
          <w:i/>
          <w:sz w:val="32"/>
          <w:szCs w:val="32"/>
        </w:rPr>
        <w:t>Blue</w:t>
      </w:r>
      <w:r w:rsidR="00FF5847" w:rsidRPr="00074F76">
        <w:rPr>
          <w:rFonts w:cstheme="minorHAnsi"/>
          <w:b/>
          <w:i/>
          <w:sz w:val="32"/>
          <w:szCs w:val="32"/>
        </w:rPr>
        <w:t xml:space="preserve"> </w:t>
      </w:r>
      <w:r w:rsidR="004309C7">
        <w:rPr>
          <w:rFonts w:cstheme="minorHAnsi"/>
          <w:b/>
          <w:i/>
          <w:sz w:val="32"/>
          <w:szCs w:val="32"/>
        </w:rPr>
        <w:t>Marlin</w:t>
      </w:r>
      <w:r w:rsidR="00FF5847" w:rsidRPr="00074F76">
        <w:rPr>
          <w:rFonts w:cstheme="minorHAnsi"/>
          <w:b/>
          <w:i/>
          <w:sz w:val="32"/>
          <w:szCs w:val="32"/>
        </w:rPr>
        <w:t xml:space="preserve"> (</w:t>
      </w:r>
      <w:r w:rsidR="004309C7">
        <w:rPr>
          <w:rFonts w:cstheme="minorHAnsi"/>
          <w:b/>
          <w:i/>
          <w:sz w:val="32"/>
          <w:szCs w:val="32"/>
        </w:rPr>
        <w:t>Makaira nigricans</w:t>
      </w:r>
      <w:r w:rsidR="00FF5847" w:rsidRPr="00074F76">
        <w:rPr>
          <w:rFonts w:cstheme="minorHAnsi"/>
          <w:b/>
          <w:i/>
          <w:sz w:val="32"/>
          <w:szCs w:val="32"/>
        </w:rPr>
        <w:t>)</w:t>
      </w:r>
    </w:p>
    <w:p w:rsidR="003929F5" w:rsidRPr="00074F76" w:rsidRDefault="003929F5" w:rsidP="003929F5">
      <w:pPr>
        <w:rPr>
          <w:rFonts w:cstheme="minorHAnsi"/>
          <w:b/>
          <w:i/>
          <w:sz w:val="32"/>
          <w:szCs w:val="32"/>
        </w:rPr>
      </w:pPr>
      <w:r w:rsidRPr="00074F76">
        <w:rPr>
          <w:rFonts w:cstheme="minorHAnsi"/>
          <w:b/>
          <w:i/>
          <w:sz w:val="32"/>
          <w:szCs w:val="32"/>
        </w:rPr>
        <w:t>Provision of scientific information</w:t>
      </w:r>
    </w:p>
    <w:p w:rsidR="003929F5" w:rsidRPr="003929F5" w:rsidRDefault="00DF3DFA" w:rsidP="00E66DBB">
      <w:pPr>
        <w:ind w:left="216"/>
        <w:rPr>
          <w:rFonts w:cstheme="minorHAnsi"/>
          <w:lang w:eastAsia="ja-JP"/>
        </w:rPr>
      </w:pPr>
      <w:r>
        <w:rPr>
          <w:rFonts w:cstheme="minorHAnsi"/>
          <w:lang w:eastAsia="ja-JP"/>
        </w:rPr>
        <w:t>ISC presented SC1</w:t>
      </w:r>
      <w:r>
        <w:rPr>
          <w:rFonts w:cstheme="minorHAnsi" w:hint="eastAsia"/>
          <w:lang w:eastAsia="ja-JP"/>
        </w:rPr>
        <w:t>2</w:t>
      </w:r>
      <w:r>
        <w:rPr>
          <w:rFonts w:cstheme="minorHAnsi"/>
          <w:lang w:eastAsia="ja-JP"/>
        </w:rPr>
        <w:t>-SA-WP-11</w:t>
      </w:r>
      <w:r w:rsidR="00E66DBB">
        <w:rPr>
          <w:rFonts w:cstheme="minorHAnsi"/>
          <w:lang w:eastAsia="ja-JP"/>
        </w:rPr>
        <w:t xml:space="preserve">. </w:t>
      </w:r>
      <w:r w:rsidR="00441F63">
        <w:rPr>
          <w:rFonts w:cstheme="minorHAnsi"/>
          <w:lang w:eastAsia="ja-JP"/>
        </w:rPr>
        <w:t>(</w:t>
      </w:r>
      <w:r w:rsidR="00E66DBB">
        <w:rPr>
          <w:rFonts w:cstheme="minorHAnsi"/>
          <w:lang w:eastAsia="ja-JP"/>
        </w:rPr>
        <w:t>Stock Assessment Update for Blue Marlin (</w:t>
      </w:r>
      <w:r w:rsidR="00534B1C">
        <w:rPr>
          <w:rFonts w:cstheme="minorHAnsi"/>
          <w:i/>
          <w:lang w:eastAsia="ja-JP"/>
        </w:rPr>
        <w:t>Makaira n</w:t>
      </w:r>
      <w:r w:rsidR="00E66DBB" w:rsidRPr="00E66DBB">
        <w:rPr>
          <w:rFonts w:cstheme="minorHAnsi"/>
          <w:i/>
          <w:lang w:eastAsia="ja-JP"/>
        </w:rPr>
        <w:t>igricans</w:t>
      </w:r>
      <w:r w:rsidR="00E66DBB">
        <w:rPr>
          <w:rFonts w:cstheme="minorHAnsi"/>
          <w:lang w:eastAsia="ja-JP"/>
        </w:rPr>
        <w:t>) in the Pacific Ocean through 2014</w:t>
      </w:r>
      <w:r w:rsidRPr="00B10709">
        <w:rPr>
          <w:rFonts w:cstheme="minorHAnsi"/>
          <w:lang w:eastAsia="ja-JP"/>
        </w:rPr>
        <w:t>).</w:t>
      </w:r>
    </w:p>
    <w:p w:rsidR="003929F5" w:rsidRPr="00993766" w:rsidRDefault="00993766" w:rsidP="003929F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Status and trends</w:t>
      </w:r>
    </w:p>
    <w:p w:rsidR="00A059AB" w:rsidRPr="002E51DD" w:rsidRDefault="00993766" w:rsidP="002E51DD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SC12</w:t>
      </w:r>
      <w:r w:rsidR="003929F5" w:rsidRPr="00993766">
        <w:rPr>
          <w:rFonts w:asciiTheme="minorHAnsi" w:hAnsiTheme="minorHAnsi" w:cstheme="minorHAnsi"/>
        </w:rPr>
        <w:t xml:space="preserve"> noted the stock status for Pacific </w:t>
      </w:r>
      <w:r w:rsidR="004309C7">
        <w:rPr>
          <w:rFonts w:asciiTheme="minorHAnsi" w:hAnsiTheme="minorHAnsi" w:cstheme="minorHAnsi"/>
        </w:rPr>
        <w:t>blue marlin</w:t>
      </w:r>
      <w:r>
        <w:rPr>
          <w:rFonts w:asciiTheme="minorHAnsi" w:hAnsiTheme="minorHAnsi" w:cstheme="minorHAnsi"/>
        </w:rPr>
        <w:t xml:space="preserve"> provided by ISC in </w:t>
      </w:r>
      <w:r w:rsidR="004309C7">
        <w:rPr>
          <w:rFonts w:asciiTheme="minorHAnsi" w:hAnsiTheme="minorHAnsi" w:cstheme="minorHAnsi"/>
        </w:rPr>
        <w:t>GN</w:t>
      </w:r>
      <w:r>
        <w:rPr>
          <w:rFonts w:asciiTheme="minorHAnsi" w:hAnsiTheme="minorHAnsi" w:cstheme="minorHAnsi"/>
        </w:rPr>
        <w:t>-</w:t>
      </w:r>
      <w:r w:rsidR="004309C7">
        <w:rPr>
          <w:rFonts w:asciiTheme="minorHAnsi" w:hAnsiTheme="minorHAnsi" w:cstheme="minorHAnsi"/>
        </w:rPr>
        <w:t>IP</w:t>
      </w:r>
      <w:r>
        <w:rPr>
          <w:rFonts w:asciiTheme="minorHAnsi" w:hAnsiTheme="minorHAnsi" w:cstheme="minorHAnsi"/>
        </w:rPr>
        <w:t>-</w:t>
      </w:r>
      <w:r w:rsidR="004309C7">
        <w:rPr>
          <w:rFonts w:asciiTheme="minorHAnsi" w:hAnsiTheme="minorHAnsi" w:cstheme="minorHAnsi"/>
        </w:rPr>
        <w:t>02 and SA-WP-12</w:t>
      </w:r>
      <w:r w:rsidR="003929F5" w:rsidRPr="00993766">
        <w:rPr>
          <w:rFonts w:asciiTheme="minorHAnsi" w:hAnsiTheme="minorHAnsi" w:cstheme="minorHAnsi"/>
        </w:rPr>
        <w:t>:</w:t>
      </w:r>
    </w:p>
    <w:p w:rsidR="002E51DD" w:rsidRPr="002E51DD" w:rsidRDefault="002E51DD" w:rsidP="002E51DD">
      <w:pPr>
        <w:widowControl w:val="0"/>
        <w:spacing w:before="5" w:after="0" w:line="240" w:lineRule="auto"/>
        <w:rPr>
          <w:rFonts w:eastAsia="Times New Roman" w:cstheme="minorHAnsi"/>
          <w:b/>
          <w:bCs/>
          <w:sz w:val="20"/>
          <w:szCs w:val="20"/>
          <w:lang w:val="en-US"/>
        </w:rPr>
      </w:pPr>
    </w:p>
    <w:p w:rsidR="002E51DD" w:rsidRPr="00893E56" w:rsidRDefault="002E51DD" w:rsidP="00893E56">
      <w:pPr>
        <w:widowControl w:val="0"/>
        <w:spacing w:after="0" w:line="240" w:lineRule="auto"/>
        <w:ind w:left="100" w:right="121"/>
        <w:rPr>
          <w:rFonts w:eastAsia="Times New Roman" w:cstheme="minorHAnsi"/>
          <w:position w:val="2"/>
          <w:sz w:val="24"/>
          <w:szCs w:val="24"/>
          <w:lang w:val="en-US"/>
        </w:rPr>
      </w:pPr>
      <w:r>
        <w:rPr>
          <w:rFonts w:eastAsia="Times New Roman" w:cstheme="minorHAnsi"/>
          <w:sz w:val="24"/>
          <w:szCs w:val="24"/>
          <w:lang w:val="en-US"/>
        </w:rPr>
        <w:t>“</w:t>
      </w:r>
      <w:r w:rsidRPr="002E51DD">
        <w:rPr>
          <w:rFonts w:eastAsia="Times New Roman" w:cstheme="minorHAnsi"/>
          <w:sz w:val="24"/>
          <w:szCs w:val="24"/>
          <w:lang w:val="en-US"/>
        </w:rPr>
        <w:t>Estimates of total BUM stock biomass show a long term decline. Population biomass (age-1</w:t>
      </w:r>
      <w:r w:rsidRPr="002E51DD">
        <w:rPr>
          <w:rFonts w:eastAsia="Times New Roman" w:cstheme="minorHAnsi"/>
          <w:spacing w:val="-16"/>
          <w:sz w:val="24"/>
          <w:szCs w:val="24"/>
          <w:lang w:val="en-US"/>
        </w:rPr>
        <w:t xml:space="preserve"> </w:t>
      </w:r>
      <w:r w:rsidRPr="002E51DD">
        <w:rPr>
          <w:rFonts w:eastAsia="Times New Roman" w:cstheme="minorHAnsi"/>
          <w:sz w:val="24"/>
          <w:szCs w:val="24"/>
          <w:lang w:val="en-US"/>
        </w:rPr>
        <w:t>and older) averaged roughly 130,965 t in 1971-1975, the first 5 years of the assessment time</w:t>
      </w:r>
      <w:r w:rsidRPr="002E51DD">
        <w:rPr>
          <w:rFonts w:eastAsia="Times New Roman" w:cstheme="minorHAnsi"/>
          <w:spacing w:val="-18"/>
          <w:sz w:val="24"/>
          <w:szCs w:val="24"/>
          <w:lang w:val="en-US"/>
        </w:rPr>
        <w:t xml:space="preserve"> </w:t>
      </w:r>
      <w:r w:rsidRPr="002E51DD">
        <w:rPr>
          <w:rFonts w:eastAsia="Times New Roman" w:cstheme="minorHAnsi"/>
          <w:sz w:val="24"/>
          <w:szCs w:val="24"/>
          <w:lang w:val="en-US"/>
        </w:rPr>
        <w:t>frame,</w:t>
      </w:r>
      <w:r w:rsidRPr="002E51DD">
        <w:rPr>
          <w:rFonts w:eastAsia="Times New Roman" w:cstheme="minorHAnsi"/>
          <w:w w:val="99"/>
          <w:sz w:val="24"/>
          <w:szCs w:val="24"/>
          <w:lang w:val="en-US"/>
        </w:rPr>
        <w:t xml:space="preserve"> </w:t>
      </w:r>
      <w:r w:rsidRPr="002E51DD">
        <w:rPr>
          <w:rFonts w:eastAsia="Times New Roman" w:cstheme="minorHAnsi"/>
          <w:sz w:val="24"/>
          <w:szCs w:val="24"/>
          <w:lang w:val="en-US"/>
        </w:rPr>
        <w:t>and has declined by approximately 40% to 78,082 t in 2014 (Figure 7-11). Female</w:t>
      </w:r>
      <w:r w:rsidRPr="002E51DD">
        <w:rPr>
          <w:rFonts w:eastAsia="Times New Roman" w:cstheme="minorHAnsi"/>
          <w:spacing w:val="-15"/>
          <w:sz w:val="24"/>
          <w:szCs w:val="24"/>
          <w:lang w:val="en-US"/>
        </w:rPr>
        <w:t xml:space="preserve"> </w:t>
      </w:r>
      <w:r w:rsidRPr="002E51DD">
        <w:rPr>
          <w:rFonts w:eastAsia="Times New Roman" w:cstheme="minorHAnsi"/>
          <w:sz w:val="24"/>
          <w:szCs w:val="24"/>
          <w:lang w:val="en-US"/>
        </w:rPr>
        <w:t xml:space="preserve">spawning </w:t>
      </w:r>
      <w:r w:rsidRPr="002E51DD">
        <w:rPr>
          <w:rFonts w:eastAsia="Times New Roman" w:cstheme="minorHAnsi"/>
          <w:position w:val="2"/>
          <w:sz w:val="24"/>
          <w:szCs w:val="24"/>
          <w:lang w:val="en-US"/>
        </w:rPr>
        <w:t>biomass was estimated to be 24,809 t in 2014, or about 25% above SSB</w:t>
      </w:r>
      <w:r w:rsidRPr="002E51DD">
        <w:rPr>
          <w:rFonts w:eastAsia="Times New Roman" w:cstheme="minorHAnsi"/>
          <w:sz w:val="16"/>
          <w:szCs w:val="24"/>
          <w:lang w:val="en-US"/>
        </w:rPr>
        <w:t xml:space="preserve">MSY </w:t>
      </w:r>
      <w:r w:rsidRPr="002E51DD">
        <w:rPr>
          <w:rFonts w:eastAsia="Times New Roman" w:cstheme="minorHAnsi"/>
          <w:position w:val="2"/>
          <w:sz w:val="24"/>
          <w:szCs w:val="24"/>
          <w:lang w:val="en-US"/>
        </w:rPr>
        <w:t>(Table 7-3 and</w:t>
      </w:r>
      <w:r w:rsidRPr="002E51DD">
        <w:rPr>
          <w:rFonts w:eastAsia="Times New Roman" w:cstheme="minorHAnsi"/>
          <w:spacing w:val="2"/>
          <w:position w:val="2"/>
          <w:sz w:val="24"/>
          <w:szCs w:val="24"/>
          <w:lang w:val="en-US"/>
        </w:rPr>
        <w:t xml:space="preserve"> </w:t>
      </w:r>
      <w:r w:rsidRPr="002E51DD">
        <w:rPr>
          <w:rFonts w:eastAsia="Times New Roman" w:cstheme="minorHAnsi"/>
          <w:position w:val="2"/>
          <w:sz w:val="24"/>
          <w:szCs w:val="24"/>
          <w:lang w:val="en-US"/>
        </w:rPr>
        <w:t>Table</w:t>
      </w:r>
      <w:r w:rsidRPr="002E51DD">
        <w:rPr>
          <w:rFonts w:eastAsia="Times New Roman" w:cstheme="minorHAnsi"/>
          <w:w w:val="99"/>
          <w:position w:val="2"/>
          <w:sz w:val="24"/>
          <w:szCs w:val="24"/>
          <w:lang w:val="en-US"/>
        </w:rPr>
        <w:t xml:space="preserve"> </w:t>
      </w:r>
      <w:r w:rsidRPr="002E51DD">
        <w:rPr>
          <w:rFonts w:eastAsia="Times New Roman" w:cstheme="minorHAnsi"/>
          <w:sz w:val="24"/>
          <w:szCs w:val="24"/>
          <w:lang w:val="en-US"/>
        </w:rPr>
        <w:t>7-4). Fishing mortality on the stock (average F, ages 2 and older) averaged roughly F =</w:t>
      </w:r>
      <w:r w:rsidRPr="002E51DD">
        <w:rPr>
          <w:rFonts w:eastAsia="Times New Roman" w:cstheme="minorHAnsi"/>
          <w:spacing w:val="-19"/>
          <w:sz w:val="24"/>
          <w:szCs w:val="24"/>
          <w:lang w:val="en-US"/>
        </w:rPr>
        <w:t xml:space="preserve"> </w:t>
      </w:r>
      <w:r w:rsidRPr="002E51DD">
        <w:rPr>
          <w:rFonts w:eastAsia="Times New Roman" w:cstheme="minorHAnsi"/>
          <w:sz w:val="24"/>
          <w:szCs w:val="24"/>
          <w:lang w:val="en-US"/>
        </w:rPr>
        <w:t xml:space="preserve">0.28 </w:t>
      </w:r>
      <w:r w:rsidRPr="002E51DD">
        <w:rPr>
          <w:rFonts w:eastAsia="Times New Roman" w:cstheme="minorHAnsi"/>
          <w:position w:val="2"/>
          <w:sz w:val="24"/>
          <w:szCs w:val="24"/>
          <w:lang w:val="en-US"/>
        </w:rPr>
        <w:t>during 2012-2014, or about 12% below F</w:t>
      </w:r>
      <w:r w:rsidRPr="002E51DD">
        <w:rPr>
          <w:rFonts w:eastAsia="Times New Roman" w:cstheme="minorHAnsi"/>
          <w:sz w:val="16"/>
          <w:szCs w:val="24"/>
          <w:lang w:val="en-US"/>
        </w:rPr>
        <w:t>MSY</w:t>
      </w:r>
      <w:r w:rsidRPr="002E51DD">
        <w:rPr>
          <w:rFonts w:eastAsia="Times New Roman" w:cstheme="minorHAnsi"/>
          <w:position w:val="2"/>
          <w:sz w:val="24"/>
          <w:szCs w:val="24"/>
          <w:lang w:val="en-US"/>
        </w:rPr>
        <w:t>. The estimated spawning potential ratio of the</w:t>
      </w:r>
      <w:r w:rsidRPr="002E51DD">
        <w:rPr>
          <w:rFonts w:eastAsia="Times New Roman" w:cstheme="minorHAnsi"/>
          <w:spacing w:val="-27"/>
          <w:position w:val="2"/>
          <w:sz w:val="24"/>
          <w:szCs w:val="24"/>
          <w:lang w:val="en-US"/>
        </w:rPr>
        <w:t xml:space="preserve"> </w:t>
      </w:r>
      <w:r w:rsidRPr="002E51DD">
        <w:rPr>
          <w:rFonts w:eastAsia="Times New Roman" w:cstheme="minorHAnsi"/>
          <w:position w:val="2"/>
          <w:sz w:val="24"/>
          <w:szCs w:val="24"/>
          <w:lang w:val="en-US"/>
        </w:rPr>
        <w:t>stock</w:t>
      </w:r>
      <w:r w:rsidRPr="002E51DD">
        <w:rPr>
          <w:rFonts w:eastAsia="Times New Roman" w:cstheme="minorHAnsi"/>
          <w:spacing w:val="-1"/>
          <w:position w:val="2"/>
          <w:sz w:val="24"/>
          <w:szCs w:val="24"/>
          <w:lang w:val="en-US"/>
        </w:rPr>
        <w:t xml:space="preserve"> </w:t>
      </w:r>
      <w:r w:rsidRPr="002E51DD">
        <w:rPr>
          <w:rFonts w:eastAsia="Times New Roman" w:cstheme="minorHAnsi"/>
          <w:sz w:val="24"/>
          <w:szCs w:val="24"/>
          <w:lang w:val="en-US"/>
        </w:rPr>
        <w:t>(SPR, the predicted spawning output at the current F as a fraction of unfished spawning</w:t>
      </w:r>
      <w:r w:rsidRPr="002E51DD">
        <w:rPr>
          <w:rFonts w:eastAsia="Times New Roman" w:cstheme="minorHAnsi"/>
          <w:spacing w:val="40"/>
          <w:sz w:val="24"/>
          <w:szCs w:val="24"/>
          <w:lang w:val="en-US"/>
        </w:rPr>
        <w:t xml:space="preserve"> </w:t>
      </w:r>
      <w:r w:rsidRPr="002E51DD">
        <w:rPr>
          <w:rFonts w:eastAsia="Times New Roman" w:cstheme="minorHAnsi"/>
          <w:sz w:val="24"/>
          <w:szCs w:val="24"/>
          <w:lang w:val="en-US"/>
        </w:rPr>
        <w:t>output)</w:t>
      </w:r>
      <w:r>
        <w:rPr>
          <w:rFonts w:eastAsia="Times New Roman" w:cstheme="minorHAnsi"/>
          <w:sz w:val="24"/>
          <w:szCs w:val="24"/>
          <w:lang w:val="en-US"/>
        </w:rPr>
        <w:t xml:space="preserve"> </w:t>
      </w:r>
      <w:r w:rsidRPr="002E51DD">
        <w:rPr>
          <w:rFonts w:eastAsia="Times New Roman" w:cstheme="minorHAnsi"/>
          <w:position w:val="2"/>
          <w:sz w:val="24"/>
          <w:szCs w:val="24"/>
          <w:lang w:val="en-US"/>
        </w:rPr>
        <w:t>is currently SPR</w:t>
      </w:r>
      <w:r w:rsidRPr="002E51DD">
        <w:rPr>
          <w:rFonts w:eastAsia="Times New Roman" w:cstheme="minorHAnsi"/>
          <w:sz w:val="16"/>
          <w:szCs w:val="24"/>
          <w:lang w:val="en-US"/>
        </w:rPr>
        <w:t xml:space="preserve">2012-2014 </w:t>
      </w:r>
      <w:r w:rsidRPr="002E51DD">
        <w:rPr>
          <w:rFonts w:eastAsia="Times New Roman" w:cstheme="minorHAnsi"/>
          <w:position w:val="2"/>
          <w:sz w:val="24"/>
          <w:szCs w:val="24"/>
          <w:lang w:val="en-US"/>
        </w:rPr>
        <w:t>= 21%. Annual recruitment averaged about 897,000 recruits during</w:t>
      </w:r>
      <w:r>
        <w:rPr>
          <w:rFonts w:eastAsia="Times New Roman" w:cstheme="minorHAnsi"/>
          <w:sz w:val="24"/>
          <w:szCs w:val="24"/>
          <w:lang w:val="en-US"/>
        </w:rPr>
        <w:t xml:space="preserve"> </w:t>
      </w:r>
      <w:r w:rsidRPr="002E51DD">
        <w:rPr>
          <w:rFonts w:eastAsia="Times New Roman" w:cstheme="minorHAnsi"/>
          <w:sz w:val="24"/>
          <w:szCs w:val="24"/>
          <w:lang w:val="en-US"/>
        </w:rPr>
        <w:t>2008-2014, and no long-term trend in recruitment was apparent. Overall, the time series</w:t>
      </w:r>
      <w:r w:rsidRPr="002E51DD">
        <w:rPr>
          <w:rFonts w:eastAsia="Times New Roman" w:cstheme="minorHAnsi"/>
          <w:spacing w:val="-14"/>
          <w:sz w:val="24"/>
          <w:szCs w:val="24"/>
          <w:lang w:val="en-US"/>
        </w:rPr>
        <w:t xml:space="preserve"> </w:t>
      </w:r>
      <w:r w:rsidRPr="002E51DD">
        <w:rPr>
          <w:rFonts w:eastAsia="Times New Roman" w:cstheme="minorHAnsi"/>
          <w:sz w:val="24"/>
          <w:szCs w:val="24"/>
          <w:lang w:val="en-US"/>
        </w:rPr>
        <w:t>of spawning stock biomass and recruitment estimates indicate a long-term decline in</w:t>
      </w:r>
      <w:r w:rsidRPr="002E51DD">
        <w:rPr>
          <w:rFonts w:eastAsia="Times New Roman" w:cstheme="minorHAnsi"/>
          <w:spacing w:val="3"/>
          <w:sz w:val="24"/>
          <w:szCs w:val="24"/>
          <w:lang w:val="en-US"/>
        </w:rPr>
        <w:t xml:space="preserve"> </w:t>
      </w:r>
      <w:r w:rsidRPr="002E51DD">
        <w:rPr>
          <w:rFonts w:eastAsia="Times New Roman" w:cstheme="minorHAnsi"/>
          <w:sz w:val="24"/>
          <w:szCs w:val="24"/>
          <w:lang w:val="en-US"/>
        </w:rPr>
        <w:t>spawning</w:t>
      </w:r>
      <w:r w:rsidRPr="002E51DD">
        <w:rPr>
          <w:rFonts w:eastAsia="Times New Roman" w:cstheme="minorHAnsi"/>
          <w:spacing w:val="-1"/>
          <w:sz w:val="24"/>
          <w:szCs w:val="24"/>
          <w:lang w:val="en-US"/>
        </w:rPr>
        <w:t xml:space="preserve"> </w:t>
      </w:r>
      <w:r w:rsidRPr="002E51DD">
        <w:rPr>
          <w:rFonts w:eastAsia="Times New Roman" w:cstheme="minorHAnsi"/>
          <w:sz w:val="24"/>
          <w:szCs w:val="24"/>
          <w:lang w:val="en-US"/>
        </w:rPr>
        <w:t>stock biomass and suggest a fluctuating pattern without trend for recruitment (Figure 7-11).</w:t>
      </w:r>
      <w:r w:rsidRPr="002E51DD">
        <w:rPr>
          <w:rFonts w:eastAsia="Times New Roman" w:cstheme="minorHAnsi"/>
          <w:spacing w:val="38"/>
          <w:sz w:val="24"/>
          <w:szCs w:val="24"/>
          <w:lang w:val="en-US"/>
        </w:rPr>
        <w:t xml:space="preserve"> </w:t>
      </w:r>
    </w:p>
    <w:p w:rsidR="00DE74C7" w:rsidRDefault="00DE74C7" w:rsidP="002E51DD">
      <w:pPr>
        <w:widowControl w:val="0"/>
        <w:spacing w:after="0" w:line="240" w:lineRule="auto"/>
        <w:ind w:left="100" w:right="121"/>
        <w:rPr>
          <w:rFonts w:eastAsia="Times New Roman" w:cstheme="minorHAnsi"/>
          <w:spacing w:val="38"/>
          <w:sz w:val="24"/>
          <w:szCs w:val="24"/>
          <w:lang w:val="en-US"/>
        </w:rPr>
      </w:pPr>
    </w:p>
    <w:p w:rsidR="002E51DD" w:rsidRDefault="002E51DD" w:rsidP="002E51DD">
      <w:pPr>
        <w:spacing w:before="73"/>
        <w:ind w:left="220" w:right="68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Table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7-3.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Reported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catch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(t)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used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in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stock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assessment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along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with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annual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estimates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population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biomass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(age-1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older,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t),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female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spawning</w:t>
      </w:r>
      <w:r>
        <w:rPr>
          <w:rFonts w:ascii="Times New Roman"/>
          <w:b/>
          <w:w w:val="99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biomass</w:t>
      </w:r>
      <w:r>
        <w:rPr>
          <w:rFonts w:ascii="Times New Roman"/>
          <w:b/>
          <w:spacing w:val="-4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(t),</w:t>
      </w:r>
      <w:r>
        <w:rPr>
          <w:rFonts w:ascii="Times New Roman"/>
          <w:b/>
          <w:spacing w:val="-3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relative</w:t>
      </w:r>
      <w:r>
        <w:rPr>
          <w:rFonts w:ascii="Times New Roman"/>
          <w:b/>
          <w:spacing w:val="-3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female</w:t>
      </w:r>
      <w:r>
        <w:rPr>
          <w:rFonts w:ascii="Times New Roman"/>
          <w:b/>
          <w:spacing w:val="-3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spawning</w:t>
      </w:r>
      <w:r>
        <w:rPr>
          <w:rFonts w:ascii="Times New Roman"/>
          <w:b/>
          <w:spacing w:val="-2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biomass</w:t>
      </w:r>
      <w:r>
        <w:rPr>
          <w:rFonts w:ascii="Times New Roman"/>
          <w:b/>
          <w:spacing w:val="-4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(SSB/SSB</w:t>
      </w:r>
      <w:r>
        <w:rPr>
          <w:rFonts w:ascii="Times New Roman"/>
          <w:b/>
          <w:sz w:val="13"/>
        </w:rPr>
        <w:t>MSY</w:t>
      </w:r>
      <w:r>
        <w:rPr>
          <w:rFonts w:ascii="Times New Roman"/>
          <w:b/>
          <w:position w:val="1"/>
          <w:sz w:val="20"/>
        </w:rPr>
        <w:t>),</w:t>
      </w:r>
      <w:r>
        <w:rPr>
          <w:rFonts w:ascii="Times New Roman"/>
          <w:b/>
          <w:spacing w:val="-3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recruitment</w:t>
      </w:r>
      <w:r>
        <w:rPr>
          <w:rFonts w:ascii="Times New Roman"/>
          <w:b/>
          <w:spacing w:val="-3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(thousands</w:t>
      </w:r>
      <w:r>
        <w:rPr>
          <w:rFonts w:ascii="Times New Roman"/>
          <w:b/>
          <w:spacing w:val="-4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of</w:t>
      </w:r>
      <w:r>
        <w:rPr>
          <w:rFonts w:ascii="Times New Roman"/>
          <w:b/>
          <w:spacing w:val="-3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age-0</w:t>
      </w:r>
      <w:r>
        <w:rPr>
          <w:rFonts w:ascii="Times New Roman"/>
          <w:b/>
          <w:spacing w:val="-2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fish),</w:t>
      </w:r>
      <w:r>
        <w:rPr>
          <w:rFonts w:ascii="Times New Roman"/>
          <w:b/>
          <w:spacing w:val="-2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fishing</w:t>
      </w:r>
      <w:r>
        <w:rPr>
          <w:rFonts w:ascii="Times New Roman"/>
          <w:b/>
          <w:spacing w:val="-1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mortality</w:t>
      </w:r>
      <w:r>
        <w:rPr>
          <w:rFonts w:ascii="Times New Roman"/>
          <w:b/>
          <w:spacing w:val="-2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(average</w:t>
      </w:r>
      <w:r>
        <w:rPr>
          <w:rFonts w:ascii="Times New Roman"/>
          <w:b/>
          <w:spacing w:val="-5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F,</w:t>
      </w:r>
      <w:r>
        <w:rPr>
          <w:rFonts w:ascii="Times New Roman"/>
          <w:b/>
          <w:spacing w:val="-3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ages-2</w:t>
      </w:r>
      <w:r>
        <w:rPr>
          <w:rFonts w:ascii="Times New Roman"/>
          <w:b/>
          <w:spacing w:val="-2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and</w:t>
      </w:r>
      <w:r>
        <w:rPr>
          <w:rFonts w:ascii="Times New Roman"/>
          <w:b/>
          <w:spacing w:val="-6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older),</w:t>
      </w:r>
      <w:r>
        <w:rPr>
          <w:rFonts w:ascii="Times New Roman"/>
          <w:b/>
          <w:w w:val="99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relative fishing mortality (F/F</w:t>
      </w:r>
      <w:r>
        <w:rPr>
          <w:rFonts w:ascii="Times New Roman"/>
          <w:b/>
          <w:sz w:val="13"/>
        </w:rPr>
        <w:t>MSY</w:t>
      </w:r>
      <w:r>
        <w:rPr>
          <w:rFonts w:ascii="Times New Roman"/>
          <w:b/>
          <w:position w:val="1"/>
          <w:sz w:val="20"/>
        </w:rPr>
        <w:t>), and spawning potential ratio of Pacific</w:t>
      </w:r>
      <w:r>
        <w:rPr>
          <w:rFonts w:ascii="Times New Roman"/>
          <w:b/>
          <w:spacing w:val="-25"/>
          <w:position w:val="1"/>
          <w:sz w:val="20"/>
        </w:rPr>
        <w:t xml:space="preserve"> </w:t>
      </w:r>
      <w:r>
        <w:rPr>
          <w:rFonts w:ascii="Times New Roman"/>
          <w:b/>
          <w:position w:val="1"/>
          <w:sz w:val="20"/>
        </w:rPr>
        <w:t>BUM.</w:t>
      </w:r>
    </w:p>
    <w:p w:rsidR="002E51DD" w:rsidRDefault="002E51DD" w:rsidP="002E51DD">
      <w:pPr>
        <w:spacing w:before="9"/>
        <w:rPr>
          <w:rFonts w:ascii="Times New Roman" w:eastAsia="Times New Roman" w:hAnsi="Times New Roman" w:cs="Times New Roman"/>
          <w:b/>
          <w:bCs/>
          <w:sz w:val="3"/>
          <w:szCs w:val="3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4"/>
        <w:gridCol w:w="1078"/>
        <w:gridCol w:w="1071"/>
        <w:gridCol w:w="1072"/>
        <w:gridCol w:w="1072"/>
        <w:gridCol w:w="1071"/>
        <w:gridCol w:w="1070"/>
        <w:gridCol w:w="1039"/>
        <w:gridCol w:w="1109"/>
        <w:gridCol w:w="1053"/>
        <w:gridCol w:w="973"/>
      </w:tblGrid>
      <w:tr w:rsidR="002E51DD" w:rsidTr="00044F6C">
        <w:trPr>
          <w:trHeight w:hRule="exact" w:val="332"/>
        </w:trPr>
        <w:tc>
          <w:tcPr>
            <w:tcW w:w="253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E51DD" w:rsidRDefault="002E51DD" w:rsidP="00044F6C">
            <w:pPr>
              <w:pStyle w:val="TableParagraph"/>
              <w:spacing w:before="76"/>
              <w:ind w:right="10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Year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E51DD" w:rsidRDefault="002E51DD" w:rsidP="00044F6C">
            <w:pPr>
              <w:pStyle w:val="TableParagraph"/>
              <w:spacing w:before="76"/>
              <w:ind w:left="2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2008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E51DD" w:rsidRDefault="002E51DD" w:rsidP="00044F6C">
            <w:pPr>
              <w:pStyle w:val="TableParagraph"/>
              <w:spacing w:before="76"/>
              <w:ind w:left="2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2009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E51DD" w:rsidRDefault="002E51DD" w:rsidP="00044F6C">
            <w:pPr>
              <w:pStyle w:val="TableParagraph"/>
              <w:spacing w:before="76"/>
              <w:ind w:left="2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2010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E51DD" w:rsidRDefault="002E51DD" w:rsidP="00044F6C">
            <w:pPr>
              <w:pStyle w:val="TableParagraph"/>
              <w:spacing w:before="76"/>
              <w:ind w:left="2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2011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E51DD" w:rsidRDefault="002E51DD" w:rsidP="00044F6C">
            <w:pPr>
              <w:pStyle w:val="TableParagraph"/>
              <w:spacing w:before="76"/>
              <w:ind w:left="2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2012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E51DD" w:rsidRDefault="002E51DD" w:rsidP="00044F6C">
            <w:pPr>
              <w:pStyle w:val="TableParagraph"/>
              <w:spacing w:before="76"/>
              <w:ind w:left="2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2013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E51DD" w:rsidRDefault="002E51DD" w:rsidP="00044F6C">
            <w:pPr>
              <w:pStyle w:val="TableParagraph"/>
              <w:spacing w:before="76"/>
              <w:ind w:left="2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2014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E51DD" w:rsidRDefault="002E51DD" w:rsidP="00044F6C">
            <w:pPr>
              <w:pStyle w:val="TableParagraph"/>
              <w:spacing w:before="73"/>
              <w:ind w:left="189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z w:val="20"/>
              </w:rPr>
              <w:t>Mean</w:t>
            </w:r>
            <w:r>
              <w:rPr>
                <w:rFonts w:ascii="Calibri"/>
                <w:position w:val="7"/>
                <w:sz w:val="13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E51DD" w:rsidRDefault="002E51DD" w:rsidP="00044F6C">
            <w:pPr>
              <w:pStyle w:val="TableParagraph"/>
              <w:spacing w:before="73"/>
              <w:ind w:left="22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z w:val="20"/>
              </w:rPr>
              <w:t>Min</w:t>
            </w:r>
            <w:r>
              <w:rPr>
                <w:rFonts w:ascii="Calibri"/>
                <w:position w:val="7"/>
                <w:sz w:val="13"/>
              </w:rPr>
              <w:t>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2E51DD" w:rsidRDefault="002E51DD" w:rsidP="00044F6C">
            <w:pPr>
              <w:pStyle w:val="TableParagraph"/>
              <w:spacing w:before="73"/>
              <w:ind w:left="226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/>
                <w:sz w:val="20"/>
              </w:rPr>
              <w:t>Max</w:t>
            </w:r>
            <w:r>
              <w:rPr>
                <w:rFonts w:ascii="Calibri"/>
                <w:position w:val="7"/>
                <w:sz w:val="13"/>
              </w:rPr>
              <w:t>1</w:t>
            </w:r>
          </w:p>
        </w:tc>
      </w:tr>
      <w:tr w:rsidR="002E51DD" w:rsidTr="00044F6C">
        <w:trPr>
          <w:trHeight w:hRule="exact" w:val="273"/>
        </w:trPr>
        <w:tc>
          <w:tcPr>
            <w:tcW w:w="253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before="1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Reported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Catch</w:t>
            </w: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before="1"/>
              <w:ind w:left="3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17,828</w:t>
            </w:r>
          </w:p>
        </w:tc>
        <w:tc>
          <w:tcPr>
            <w:tcW w:w="107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before="1"/>
              <w:ind w:left="2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18,282</w:t>
            </w:r>
          </w:p>
        </w:tc>
        <w:tc>
          <w:tcPr>
            <w:tcW w:w="10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before="1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20,086</w:t>
            </w:r>
          </w:p>
        </w:tc>
        <w:tc>
          <w:tcPr>
            <w:tcW w:w="107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before="1"/>
              <w:ind w:left="2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18,165</w:t>
            </w:r>
          </w:p>
        </w:tc>
        <w:tc>
          <w:tcPr>
            <w:tcW w:w="107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before="1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19,407</w:t>
            </w:r>
          </w:p>
        </w:tc>
        <w:tc>
          <w:tcPr>
            <w:tcW w:w="107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before="1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20,727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before="1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20,356</w:t>
            </w:r>
          </w:p>
        </w:tc>
        <w:tc>
          <w:tcPr>
            <w:tcW w:w="110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before="1"/>
              <w:ind w:left="3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18,232</w:t>
            </w:r>
          </w:p>
        </w:tc>
        <w:tc>
          <w:tcPr>
            <w:tcW w:w="10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before="1"/>
              <w:ind w:left="39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9,160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before="1"/>
              <w:ind w:left="3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25,589</w:t>
            </w:r>
          </w:p>
        </w:tc>
      </w:tr>
      <w:tr w:rsidR="002E51DD" w:rsidTr="00044F6C">
        <w:trPr>
          <w:trHeight w:hRule="exact" w:val="244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Population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Biomass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3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71,768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2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69,720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72,696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2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72,995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76,697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78,761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78,082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2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101,149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2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69,720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2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135,623</w:t>
            </w:r>
          </w:p>
        </w:tc>
      </w:tr>
      <w:tr w:rsidR="002E51DD" w:rsidTr="00044F6C">
        <w:trPr>
          <w:trHeight w:hRule="exact" w:val="245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Spawning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Biomass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3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22,706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29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23,065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22,392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2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23,182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23,432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24,771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2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24,809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32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41,717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2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20,972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3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71,807</w:t>
            </w:r>
          </w:p>
        </w:tc>
      </w:tr>
      <w:tr w:rsidR="002E51DD" w:rsidTr="00044F6C">
        <w:trPr>
          <w:trHeight w:hRule="exact" w:val="244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Relative Spawning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Biomass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5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1.14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1.16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1.13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1.17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1.18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1.25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1.25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5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2.10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1.06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5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3.62</w:t>
            </w:r>
          </w:p>
        </w:tc>
      </w:tr>
      <w:tr w:rsidR="002E51DD" w:rsidTr="00044F6C">
        <w:trPr>
          <w:trHeight w:hRule="exact" w:val="244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Recruitment (age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5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687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4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1031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5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702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44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1061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54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763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5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909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5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839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5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897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5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589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5" w:lineRule="exact"/>
              <w:ind w:left="4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1181</w:t>
            </w:r>
          </w:p>
        </w:tc>
      </w:tr>
      <w:tr w:rsidR="002E51DD" w:rsidTr="00044F6C">
        <w:trPr>
          <w:trHeight w:hRule="exact" w:val="245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Fishing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Mortality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5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0.27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0.29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0.30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0.26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0.27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0.28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0.28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5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0.22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0.09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5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0.38</w:t>
            </w:r>
          </w:p>
        </w:tc>
      </w:tr>
      <w:tr w:rsidR="002E51DD" w:rsidTr="00044F6C">
        <w:trPr>
          <w:trHeight w:hRule="exact" w:val="370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Relative Fishing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Mortality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5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0.82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0.88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0.92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0.82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0.83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0.87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0.87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5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0.67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4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0.26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line="226" w:lineRule="exact"/>
              <w:ind w:left="5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1.17</w:t>
            </w:r>
          </w:p>
        </w:tc>
      </w:tr>
      <w:tr w:rsidR="002E51DD" w:rsidTr="00044F6C">
        <w:trPr>
          <w:trHeight w:hRule="exact" w:val="439"/>
        </w:trPr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>
            <w:pPr>
              <w:pStyle w:val="TableParagraph"/>
              <w:spacing w:before="132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position w:val="6"/>
                <w:sz w:val="12"/>
              </w:rPr>
              <w:t xml:space="preserve">1 </w:t>
            </w:r>
            <w:r>
              <w:rPr>
                <w:rFonts w:ascii="Times New Roman"/>
                <w:sz w:val="18"/>
              </w:rPr>
              <w:t>During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1971-2014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/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/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/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/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/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/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/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/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:rsidR="002E51DD" w:rsidRDefault="002E51DD" w:rsidP="00044F6C"/>
        </w:tc>
      </w:tr>
    </w:tbl>
    <w:p w:rsidR="002E51DD" w:rsidRDefault="002E51DD" w:rsidP="002E51DD">
      <w:pPr>
        <w:sectPr w:rsidR="002E51DD">
          <w:footerReference w:type="default" r:id="rId8"/>
          <w:pgSz w:w="15840" w:h="12240" w:orient="landscape"/>
          <w:pgMar w:top="1140" w:right="1220" w:bottom="1200" w:left="1220" w:header="0" w:footer="1011" w:gutter="0"/>
          <w:cols w:space="720"/>
        </w:sectPr>
      </w:pPr>
    </w:p>
    <w:p w:rsidR="002E51DD" w:rsidRDefault="002E51DD" w:rsidP="002E51DD">
      <w:pPr>
        <w:spacing w:before="58"/>
        <w:ind w:left="100" w:right="1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Table 7-4 Estimates of biological reference points along with estimates of fishing mortality (F),</w:t>
      </w:r>
      <w:r>
        <w:rPr>
          <w:rFonts w:ascii="Times New Roman" w:eastAsia="Times New Roman" w:hAnsi="Times New Roman" w:cs="Times New Roman"/>
          <w:b/>
          <w:bCs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female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spawning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stock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biomass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(SSB),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recent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average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yield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(C),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spawning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potential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ratio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(SPR)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BUM,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derived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from the base case model assessment model, where “MSY” and “20%” indicate reference points based</w:t>
      </w:r>
      <w:r>
        <w:rPr>
          <w:rFonts w:ascii="Times New Roman" w:eastAsia="Times New Roman" w:hAnsi="Times New Roman" w:cs="Times New Roman"/>
          <w:b/>
          <w:bCs/>
          <w:spacing w:val="-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maximum sustainable yield and a spawning potential ratio of 20%,</w:t>
      </w:r>
      <w:r>
        <w:rPr>
          <w:rFonts w:ascii="Times New Roman" w:eastAsia="Times New Roman" w:hAnsi="Times New Roman" w:cs="Times New Roman"/>
          <w:b/>
          <w:bCs/>
          <w:spacing w:val="-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respectively.</w:t>
      </w:r>
    </w:p>
    <w:p w:rsidR="002E51DD" w:rsidRDefault="002E51DD" w:rsidP="002E51DD">
      <w:pPr>
        <w:spacing w:before="7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1"/>
        <w:gridCol w:w="3272"/>
      </w:tblGrid>
      <w:tr w:rsidR="002E51DD" w:rsidTr="00044F6C">
        <w:trPr>
          <w:trHeight w:hRule="exact" w:val="305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line="292" w:lineRule="exact"/>
              <w:ind w:left="8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Reference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Point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line="292" w:lineRule="exact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Estimate</w:t>
            </w:r>
          </w:p>
        </w:tc>
      </w:tr>
      <w:tr w:rsidR="002E51DD" w:rsidTr="00044F6C">
        <w:trPr>
          <w:trHeight w:hRule="exact" w:val="302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line="292" w:lineRule="exact"/>
              <w:ind w:left="10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position w:val="2"/>
                <w:sz w:val="24"/>
              </w:rPr>
              <w:t>F</w:t>
            </w:r>
            <w:r>
              <w:rPr>
                <w:rFonts w:ascii="Calibri"/>
                <w:sz w:val="16"/>
              </w:rPr>
              <w:t xml:space="preserve">MSY </w:t>
            </w:r>
            <w:r>
              <w:rPr>
                <w:rFonts w:ascii="Calibri"/>
                <w:position w:val="2"/>
                <w:sz w:val="24"/>
              </w:rPr>
              <w:t>(age</w:t>
            </w:r>
            <w:r>
              <w:rPr>
                <w:rFonts w:ascii="Calibri"/>
                <w:spacing w:val="14"/>
                <w:position w:val="2"/>
                <w:sz w:val="24"/>
              </w:rPr>
              <w:t xml:space="preserve"> </w:t>
            </w:r>
            <w:r>
              <w:rPr>
                <w:rFonts w:ascii="Calibri"/>
                <w:position w:val="2"/>
                <w:sz w:val="24"/>
              </w:rPr>
              <w:t>2+)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line="292" w:lineRule="exact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0.32</w:t>
            </w:r>
          </w:p>
        </w:tc>
      </w:tr>
      <w:tr w:rsidR="002E51DD" w:rsidTr="00044F6C">
        <w:trPr>
          <w:trHeight w:hRule="exact" w:val="302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line="292" w:lineRule="exact"/>
              <w:ind w:left="105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position w:val="2"/>
                <w:sz w:val="24"/>
              </w:rPr>
              <w:t>F</w:t>
            </w:r>
            <w:r>
              <w:rPr>
                <w:rFonts w:ascii="Calibri"/>
                <w:sz w:val="16"/>
              </w:rPr>
              <w:t xml:space="preserve">20%  </w:t>
            </w:r>
            <w:r>
              <w:rPr>
                <w:rFonts w:ascii="Calibri"/>
                <w:position w:val="2"/>
                <w:sz w:val="24"/>
              </w:rPr>
              <w:t>(age</w:t>
            </w:r>
            <w:r>
              <w:rPr>
                <w:rFonts w:ascii="Calibri"/>
                <w:spacing w:val="-19"/>
                <w:position w:val="2"/>
                <w:sz w:val="24"/>
              </w:rPr>
              <w:t xml:space="preserve"> </w:t>
            </w:r>
            <w:r>
              <w:rPr>
                <w:rFonts w:ascii="Calibri"/>
                <w:position w:val="2"/>
                <w:sz w:val="24"/>
              </w:rPr>
              <w:t>2+)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line="292" w:lineRule="exact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0.30</w:t>
            </w:r>
          </w:p>
        </w:tc>
      </w:tr>
      <w:tr w:rsidR="002E51DD" w:rsidTr="00044F6C">
        <w:trPr>
          <w:trHeight w:hRule="exact" w:val="302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line="292" w:lineRule="exact"/>
              <w:ind w:left="82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position w:val="2"/>
                <w:sz w:val="24"/>
              </w:rPr>
              <w:t>F</w:t>
            </w:r>
            <w:r>
              <w:rPr>
                <w:rFonts w:ascii="Calibri"/>
                <w:sz w:val="16"/>
              </w:rPr>
              <w:t xml:space="preserve">2012-2014  </w:t>
            </w:r>
            <w:r>
              <w:rPr>
                <w:rFonts w:ascii="Calibri"/>
                <w:position w:val="2"/>
                <w:sz w:val="24"/>
              </w:rPr>
              <w:t>(age</w:t>
            </w:r>
            <w:r>
              <w:rPr>
                <w:rFonts w:ascii="Calibri"/>
                <w:spacing w:val="15"/>
                <w:position w:val="2"/>
                <w:sz w:val="24"/>
              </w:rPr>
              <w:t xml:space="preserve"> </w:t>
            </w:r>
            <w:r>
              <w:rPr>
                <w:rFonts w:ascii="Calibri"/>
                <w:position w:val="2"/>
                <w:sz w:val="24"/>
              </w:rPr>
              <w:t>2+)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line="292" w:lineRule="exact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0.28</w:t>
            </w:r>
          </w:p>
        </w:tc>
      </w:tr>
      <w:tr w:rsidR="002E51DD" w:rsidTr="00044F6C">
        <w:trPr>
          <w:trHeight w:hRule="exact" w:val="302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line="292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position w:val="2"/>
                <w:sz w:val="24"/>
              </w:rPr>
              <w:t>SSB</w:t>
            </w:r>
            <w:r>
              <w:rPr>
                <w:rFonts w:ascii="Calibri"/>
                <w:sz w:val="16"/>
              </w:rPr>
              <w:t>MSY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line="292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19,853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mt</w:t>
            </w:r>
          </w:p>
        </w:tc>
      </w:tr>
      <w:tr w:rsidR="002E51DD" w:rsidTr="00044F6C">
        <w:trPr>
          <w:trHeight w:hRule="exact" w:val="305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position w:val="2"/>
                <w:sz w:val="24"/>
              </w:rPr>
              <w:t>SSB</w:t>
            </w:r>
            <w:r>
              <w:rPr>
                <w:rFonts w:ascii="Calibri"/>
                <w:sz w:val="16"/>
              </w:rPr>
              <w:t>20%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before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22,727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mt</w:t>
            </w:r>
          </w:p>
        </w:tc>
      </w:tr>
      <w:tr w:rsidR="002E51DD" w:rsidTr="00044F6C">
        <w:trPr>
          <w:trHeight w:hRule="exact" w:val="302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line="292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position w:val="2"/>
                <w:sz w:val="24"/>
              </w:rPr>
              <w:t>SSB</w:t>
            </w:r>
            <w:r>
              <w:rPr>
                <w:rFonts w:ascii="Calibri"/>
                <w:sz w:val="16"/>
              </w:rPr>
              <w:t>2014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line="292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24,809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mt</w:t>
            </w:r>
          </w:p>
        </w:tc>
      </w:tr>
      <w:tr w:rsidR="002E51DD" w:rsidTr="00044F6C">
        <w:trPr>
          <w:trHeight w:hRule="exact" w:val="302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line="292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MSY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line="292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19,901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mt</w:t>
            </w:r>
          </w:p>
        </w:tc>
      </w:tr>
      <w:tr w:rsidR="002E51DD" w:rsidTr="00044F6C">
        <w:trPr>
          <w:trHeight w:hRule="exact" w:val="303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line="292" w:lineRule="exact"/>
              <w:ind w:left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position w:val="2"/>
                <w:sz w:val="24"/>
              </w:rPr>
              <w:t>C</w:t>
            </w:r>
            <w:r>
              <w:rPr>
                <w:rFonts w:ascii="Calibri"/>
                <w:sz w:val="16"/>
              </w:rPr>
              <w:t>2012-2014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20,163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mt</w:t>
            </w:r>
          </w:p>
        </w:tc>
      </w:tr>
      <w:tr w:rsidR="002E51DD" w:rsidTr="00044F6C">
        <w:trPr>
          <w:trHeight w:hRule="exact" w:val="305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before="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position w:val="2"/>
                <w:sz w:val="24"/>
              </w:rPr>
              <w:t>SPR</w:t>
            </w:r>
            <w:r>
              <w:rPr>
                <w:rFonts w:ascii="Calibri"/>
                <w:sz w:val="16"/>
              </w:rPr>
              <w:t>MSY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before="2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0.18</w:t>
            </w:r>
          </w:p>
        </w:tc>
      </w:tr>
      <w:tr w:rsidR="002E51DD" w:rsidTr="00044F6C">
        <w:trPr>
          <w:trHeight w:hRule="exact" w:val="302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line="292" w:lineRule="exact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position w:val="2"/>
                <w:sz w:val="24"/>
              </w:rPr>
              <w:t>SPR</w:t>
            </w:r>
            <w:r>
              <w:rPr>
                <w:rFonts w:ascii="Calibri"/>
                <w:sz w:val="16"/>
              </w:rPr>
              <w:t>2012-2014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1DD" w:rsidRDefault="002E51DD" w:rsidP="00044F6C">
            <w:pPr>
              <w:pStyle w:val="TableParagraph"/>
              <w:spacing w:line="292" w:lineRule="exact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0.21</w:t>
            </w:r>
          </w:p>
        </w:tc>
      </w:tr>
    </w:tbl>
    <w:p w:rsidR="002E51DD" w:rsidRDefault="002E51DD" w:rsidP="002E51DD">
      <w:pPr>
        <w:spacing w:line="223" w:lineRule="exact"/>
        <w:ind w:left="100" w:right="79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Note:  SSB values represent female spawning biomass</w:t>
      </w:r>
      <w:r>
        <w:rPr>
          <w:rFonts w:ascii="Times New Roman"/>
          <w:spacing w:val="-21"/>
          <w:sz w:val="20"/>
        </w:rPr>
        <w:t xml:space="preserve"> </w:t>
      </w:r>
      <w:r>
        <w:rPr>
          <w:rFonts w:ascii="Times New Roman"/>
          <w:sz w:val="20"/>
        </w:rPr>
        <w:t>only.</w:t>
      </w:r>
    </w:p>
    <w:p w:rsidR="002E51DD" w:rsidRDefault="002E51DD" w:rsidP="002E51DD">
      <w:pPr>
        <w:widowControl w:val="0"/>
        <w:spacing w:after="0" w:line="240" w:lineRule="auto"/>
        <w:ind w:left="100" w:right="121"/>
        <w:rPr>
          <w:rFonts w:eastAsia="Times New Roman" w:cstheme="minorHAnsi"/>
          <w:spacing w:val="38"/>
          <w:sz w:val="24"/>
          <w:szCs w:val="24"/>
          <w:lang w:val="en-US"/>
        </w:rPr>
      </w:pPr>
    </w:p>
    <w:p w:rsidR="002E51DD" w:rsidRPr="002E51DD" w:rsidRDefault="002E51DD" w:rsidP="002E51DD">
      <w:pPr>
        <w:widowControl w:val="0"/>
        <w:spacing w:after="0" w:line="240" w:lineRule="auto"/>
        <w:ind w:left="100" w:right="121"/>
        <w:rPr>
          <w:rFonts w:eastAsia="Times New Roman" w:cstheme="minorHAnsi"/>
          <w:sz w:val="24"/>
          <w:szCs w:val="24"/>
          <w:lang w:val="en-US"/>
        </w:rPr>
      </w:pPr>
      <w:r w:rsidRPr="002E51DD">
        <w:rPr>
          <w:rFonts w:eastAsia="Times New Roman" w:cstheme="minorHAnsi"/>
          <w:sz w:val="24"/>
          <w:szCs w:val="24"/>
          <w:lang w:val="en-US"/>
        </w:rPr>
        <w:t>The</w:t>
      </w:r>
      <w:r w:rsidRPr="002E51DD">
        <w:rPr>
          <w:rFonts w:eastAsia="Times New Roman" w:cstheme="minorHAnsi"/>
          <w:w w:val="99"/>
          <w:sz w:val="24"/>
          <w:szCs w:val="24"/>
          <w:lang w:val="en-US"/>
        </w:rPr>
        <w:t xml:space="preserve"> </w:t>
      </w:r>
      <w:r w:rsidRPr="002E51DD">
        <w:rPr>
          <w:rFonts w:eastAsia="Times New Roman" w:cstheme="minorHAnsi"/>
          <w:sz w:val="24"/>
          <w:szCs w:val="24"/>
          <w:lang w:val="en-US"/>
        </w:rPr>
        <w:t>Kobe plot depicts the stock status relative to MSY-based reference points for the base</w:t>
      </w:r>
      <w:r w:rsidRPr="002E51DD">
        <w:rPr>
          <w:rFonts w:eastAsia="Times New Roman" w:cstheme="minorHAnsi"/>
          <w:spacing w:val="37"/>
          <w:sz w:val="24"/>
          <w:szCs w:val="24"/>
          <w:lang w:val="en-US"/>
        </w:rPr>
        <w:t xml:space="preserve"> </w:t>
      </w:r>
      <w:r w:rsidRPr="002E51DD">
        <w:rPr>
          <w:rFonts w:eastAsia="Times New Roman" w:cstheme="minorHAnsi"/>
          <w:sz w:val="24"/>
          <w:szCs w:val="24"/>
          <w:lang w:val="en-US"/>
        </w:rPr>
        <w:t>case</w:t>
      </w:r>
      <w:r w:rsidRPr="002E51DD">
        <w:rPr>
          <w:rFonts w:eastAsia="Times New Roman" w:cstheme="minorHAnsi"/>
          <w:spacing w:val="-1"/>
          <w:sz w:val="24"/>
          <w:szCs w:val="24"/>
          <w:lang w:val="en-US"/>
        </w:rPr>
        <w:t xml:space="preserve">  </w:t>
      </w:r>
      <w:r w:rsidRPr="002E51DD">
        <w:rPr>
          <w:rFonts w:eastAsia="Times New Roman" w:cstheme="minorHAnsi"/>
          <w:sz w:val="24"/>
          <w:szCs w:val="24"/>
          <w:lang w:val="en-US"/>
        </w:rPr>
        <w:t>model (Figure 7-12) and shows that spawning stock biomass decreased to roughly the MSY</w:t>
      </w:r>
      <w:r w:rsidRPr="002E51DD">
        <w:rPr>
          <w:rFonts w:eastAsia="Times New Roman" w:cstheme="minorHAnsi"/>
          <w:spacing w:val="-37"/>
          <w:sz w:val="24"/>
          <w:szCs w:val="24"/>
          <w:lang w:val="en-US"/>
        </w:rPr>
        <w:t xml:space="preserve"> </w:t>
      </w:r>
      <w:r w:rsidRPr="002E51DD">
        <w:rPr>
          <w:rFonts w:eastAsia="Times New Roman" w:cstheme="minorHAnsi"/>
          <w:sz w:val="24"/>
          <w:szCs w:val="24"/>
          <w:lang w:val="en-US"/>
        </w:rPr>
        <w:t>level</w:t>
      </w:r>
      <w:r w:rsidRPr="002E51DD">
        <w:rPr>
          <w:rFonts w:eastAsia="Times New Roman" w:cstheme="minorHAnsi"/>
          <w:w w:val="99"/>
          <w:sz w:val="24"/>
          <w:szCs w:val="24"/>
          <w:lang w:val="en-US"/>
        </w:rPr>
        <w:t xml:space="preserve"> </w:t>
      </w:r>
      <w:r w:rsidRPr="002E51DD">
        <w:rPr>
          <w:rFonts w:eastAsia="Times New Roman" w:cstheme="minorHAnsi"/>
          <w:sz w:val="24"/>
          <w:szCs w:val="24"/>
          <w:lang w:val="en-US"/>
        </w:rPr>
        <w:t>in the mid-2000s, and has increased slightly in recent years (Table 7-4 and Figure</w:t>
      </w:r>
      <w:r w:rsidRPr="002E51DD">
        <w:rPr>
          <w:rFonts w:eastAsia="Times New Roman" w:cstheme="minorHAnsi"/>
          <w:spacing w:val="-20"/>
          <w:sz w:val="24"/>
          <w:szCs w:val="24"/>
          <w:lang w:val="en-US"/>
        </w:rPr>
        <w:t xml:space="preserve"> </w:t>
      </w:r>
      <w:r w:rsidR="007E3977">
        <w:rPr>
          <w:rFonts w:eastAsia="Times New Roman" w:cstheme="minorHAnsi"/>
          <w:sz w:val="24"/>
          <w:szCs w:val="24"/>
          <w:lang w:val="en-US"/>
        </w:rPr>
        <w:t>7-11</w:t>
      </w:r>
      <w:r w:rsidRPr="002E51DD">
        <w:rPr>
          <w:rFonts w:eastAsia="Times New Roman" w:cstheme="minorHAnsi"/>
          <w:sz w:val="24"/>
          <w:szCs w:val="24"/>
          <w:lang w:val="en-US"/>
        </w:rPr>
        <w:t>).</w:t>
      </w:r>
    </w:p>
    <w:p w:rsidR="002E51DD" w:rsidRPr="002E51DD" w:rsidRDefault="002E51DD" w:rsidP="002E51DD">
      <w:pPr>
        <w:widowControl w:val="0"/>
        <w:spacing w:before="6" w:after="0" w:line="240" w:lineRule="auto"/>
        <w:rPr>
          <w:rFonts w:eastAsia="Times New Roman" w:cstheme="minorHAnsi"/>
          <w:sz w:val="21"/>
          <w:szCs w:val="21"/>
          <w:lang w:val="en-US"/>
        </w:rPr>
      </w:pPr>
    </w:p>
    <w:p w:rsidR="002E51DD" w:rsidRPr="002E51DD" w:rsidRDefault="002E51DD" w:rsidP="002E51DD">
      <w:pPr>
        <w:widowControl w:val="0"/>
        <w:spacing w:after="0" w:line="237" w:lineRule="auto"/>
        <w:ind w:left="100" w:right="125"/>
        <w:rPr>
          <w:rFonts w:eastAsia="Times New Roman" w:cstheme="minorHAnsi"/>
          <w:sz w:val="24"/>
          <w:szCs w:val="24"/>
          <w:lang w:val="en-US"/>
        </w:rPr>
      </w:pPr>
      <w:r w:rsidRPr="002E51DD">
        <w:rPr>
          <w:rFonts w:eastAsia="Calibri" w:cstheme="minorHAnsi"/>
          <w:sz w:val="24"/>
          <w:lang w:val="en-US"/>
        </w:rPr>
        <w:t>Based on the results of this 2016 stock assessment update, the Pacific blue marlin stock</w:t>
      </w:r>
      <w:r w:rsidRPr="002E51DD">
        <w:rPr>
          <w:rFonts w:eastAsia="Calibri" w:cstheme="minorHAnsi"/>
          <w:spacing w:val="-22"/>
          <w:sz w:val="24"/>
          <w:lang w:val="en-US"/>
        </w:rPr>
        <w:t xml:space="preserve"> </w:t>
      </w:r>
      <w:r w:rsidRPr="002E51DD">
        <w:rPr>
          <w:rFonts w:eastAsia="Calibri" w:cstheme="minorHAnsi"/>
          <w:sz w:val="24"/>
          <w:lang w:val="en-US"/>
        </w:rPr>
        <w:t>is not currently overfished and is not experiencing overfishing.</w:t>
      </w:r>
      <w:r w:rsidRPr="002E51DD">
        <w:rPr>
          <w:rFonts w:eastAsia="Calibri" w:cstheme="minorHAnsi"/>
          <w:b/>
          <w:sz w:val="24"/>
          <w:lang w:val="en-US"/>
        </w:rPr>
        <w:t xml:space="preserve"> </w:t>
      </w:r>
      <w:r w:rsidRPr="002E51DD">
        <w:rPr>
          <w:rFonts w:eastAsia="Calibri" w:cstheme="minorHAnsi"/>
          <w:sz w:val="24"/>
          <w:lang w:val="en-US"/>
        </w:rPr>
        <w:t>Because Pacific blue marlin</w:t>
      </w:r>
      <w:r w:rsidRPr="002E51DD">
        <w:rPr>
          <w:rFonts w:eastAsia="Calibri" w:cstheme="minorHAnsi"/>
          <w:spacing w:val="-13"/>
          <w:sz w:val="24"/>
          <w:lang w:val="en-US"/>
        </w:rPr>
        <w:t xml:space="preserve"> </w:t>
      </w:r>
      <w:r w:rsidRPr="002E51DD">
        <w:rPr>
          <w:rFonts w:eastAsia="Calibri" w:cstheme="minorHAnsi"/>
          <w:sz w:val="24"/>
          <w:lang w:val="en-US"/>
        </w:rPr>
        <w:t>is mainly caught as bycatch, direct control of the annual catch amount through the setting of a</w:t>
      </w:r>
      <w:r w:rsidRPr="002E51DD">
        <w:rPr>
          <w:rFonts w:eastAsia="Calibri" w:cstheme="minorHAnsi"/>
          <w:spacing w:val="-20"/>
          <w:sz w:val="24"/>
          <w:lang w:val="en-US"/>
        </w:rPr>
        <w:t xml:space="preserve"> </w:t>
      </w:r>
      <w:r w:rsidRPr="002E51DD">
        <w:rPr>
          <w:rFonts w:eastAsia="Calibri" w:cstheme="minorHAnsi"/>
          <w:sz w:val="24"/>
          <w:lang w:val="en-US"/>
        </w:rPr>
        <w:t>total</w:t>
      </w:r>
      <w:r w:rsidRPr="002E51DD">
        <w:rPr>
          <w:rFonts w:eastAsia="Calibri" w:cstheme="minorHAnsi"/>
          <w:w w:val="99"/>
          <w:sz w:val="24"/>
          <w:lang w:val="en-US"/>
        </w:rPr>
        <w:t xml:space="preserve"> </w:t>
      </w:r>
      <w:r w:rsidRPr="002E51DD">
        <w:rPr>
          <w:rFonts w:eastAsia="Calibri" w:cstheme="minorHAnsi"/>
          <w:sz w:val="24"/>
          <w:lang w:val="en-US"/>
        </w:rPr>
        <w:t>allowable catch may be</w:t>
      </w:r>
      <w:r w:rsidRPr="002E51DD">
        <w:rPr>
          <w:rFonts w:eastAsia="Calibri" w:cstheme="minorHAnsi"/>
          <w:spacing w:val="-8"/>
          <w:sz w:val="24"/>
          <w:lang w:val="en-US"/>
        </w:rPr>
        <w:t xml:space="preserve"> </w:t>
      </w:r>
      <w:r w:rsidRPr="002E51DD">
        <w:rPr>
          <w:rFonts w:eastAsia="Calibri" w:cstheme="minorHAnsi"/>
          <w:sz w:val="24"/>
          <w:lang w:val="en-US"/>
        </w:rPr>
        <w:t>difficult.</w:t>
      </w:r>
      <w:r>
        <w:rPr>
          <w:rFonts w:eastAsia="Calibri" w:cstheme="minorHAnsi"/>
          <w:sz w:val="24"/>
          <w:lang w:val="en-US"/>
        </w:rPr>
        <w:t>”</w:t>
      </w:r>
    </w:p>
    <w:p w:rsidR="00152483" w:rsidRDefault="00152483" w:rsidP="00794EFB">
      <w:pPr>
        <w:pStyle w:val="Best2"/>
        <w:numPr>
          <w:ilvl w:val="0"/>
          <w:numId w:val="0"/>
        </w:numPr>
        <w:adjustRightInd w:val="0"/>
        <w:snapToGrid w:val="0"/>
        <w:spacing w:after="0" w:line="240" w:lineRule="auto"/>
        <w:rPr>
          <w:rFonts w:asciiTheme="minorHAnsi" w:eastAsia="MS Mincho" w:hAnsiTheme="minorHAnsi" w:cstheme="minorHAnsi"/>
          <w:color w:val="000000"/>
          <w:lang w:val="en-US"/>
        </w:rPr>
      </w:pPr>
    </w:p>
    <w:p w:rsidR="00DE74C7" w:rsidRDefault="00DE74C7" w:rsidP="00DE74C7">
      <w:pPr>
        <w:spacing w:before="1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E74C7" w:rsidRDefault="00DE74C7" w:rsidP="00DE74C7">
      <w:pPr>
        <w:spacing w:line="7768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54"/>
          <w:sz w:val="20"/>
          <w:szCs w:val="20"/>
          <w:lang w:val="en-US"/>
        </w:rPr>
        <w:lastRenderedPageBreak/>
        <w:drawing>
          <wp:inline distT="0" distB="0" distL="0" distR="0" wp14:anchorId="2806FBA4" wp14:editId="2EF084BE">
            <wp:extent cx="5950596" cy="4932807"/>
            <wp:effectExtent l="0" t="0" r="0" b="0"/>
            <wp:docPr id="2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0596" cy="4932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4C7" w:rsidRDefault="00DE74C7" w:rsidP="00DE74C7">
      <w:pPr>
        <w:spacing w:before="41"/>
        <w:ind w:left="100" w:right="1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Figure 7-11. Time series of estimates of (a) population biomass (age 1+), (b) female spawning biomass,</w:t>
      </w:r>
      <w:r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(c)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recruitment (age-0 fish), and (d) instantaneous fishing mortality (average for age 2+, year-1) for</w:t>
      </w:r>
      <w:r>
        <w:rPr>
          <w:rFonts w:ascii="Times New Roman" w:eastAsia="Times New Roman" w:hAnsi="Times New Roman" w:cs="Times New Roman"/>
          <w:b/>
          <w:bCs/>
          <w:spacing w:val="-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BUM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derived from the 2016 stock assessment update. The solid circles represents the maximum</w:t>
      </w:r>
      <w:r>
        <w:rPr>
          <w:rFonts w:ascii="Times New Roman" w:eastAsia="Times New Roman" w:hAnsi="Times New Roman" w:cs="Times New Roman"/>
          <w:b/>
          <w:bCs/>
          <w:spacing w:val="-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likelihood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estimates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year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each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quantity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shadowed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area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represents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uncertainty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estimates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(±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standard deviation), except for the total biomass time series. The solid horizontal lines indicate the</w:t>
      </w:r>
      <w:r>
        <w:rPr>
          <w:rFonts w:ascii="Times New Roman" w:eastAsia="Times New Roman" w:hAnsi="Times New Roman" w:cs="Times New Roman"/>
          <w:b/>
          <w:bCs/>
          <w:spacing w:val="-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MSY-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based reference points for spawning biomass and fishing</w:t>
      </w:r>
      <w:r>
        <w:rPr>
          <w:rFonts w:ascii="Times New Roman" w:eastAsia="Times New Roman" w:hAnsi="Times New Roman" w:cs="Times New Roman"/>
          <w:b/>
          <w:bCs/>
          <w:spacing w:val="-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mortality.</w:t>
      </w:r>
    </w:p>
    <w:p w:rsidR="00DE74C7" w:rsidRDefault="00DE74C7" w:rsidP="00DE74C7">
      <w:pPr>
        <w:rPr>
          <w:rFonts w:ascii="Times New Roman" w:eastAsia="Times New Roman" w:hAnsi="Times New Roman" w:cs="Times New Roman"/>
          <w:sz w:val="20"/>
          <w:szCs w:val="20"/>
        </w:rPr>
        <w:sectPr w:rsidR="00DE74C7">
          <w:pgSz w:w="12240" w:h="15840"/>
          <w:pgMar w:top="1360" w:right="1420" w:bottom="840" w:left="1340" w:header="0" w:footer="631" w:gutter="0"/>
          <w:cols w:space="720"/>
        </w:sectPr>
      </w:pPr>
    </w:p>
    <w:p w:rsidR="00DE74C7" w:rsidRDefault="00DE74C7" w:rsidP="00DE74C7">
      <w:pPr>
        <w:spacing w:before="1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DE74C7" w:rsidRDefault="00DE74C7" w:rsidP="00DE74C7">
      <w:pPr>
        <w:spacing w:line="8160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62"/>
          <w:sz w:val="20"/>
          <w:szCs w:val="20"/>
          <w:lang w:val="en-US"/>
        </w:rPr>
        <w:drawing>
          <wp:inline distT="0" distB="0" distL="0" distR="0" wp14:anchorId="5C212F69" wp14:editId="0024A671">
            <wp:extent cx="4830604" cy="5181600"/>
            <wp:effectExtent l="0" t="0" r="0" b="0"/>
            <wp:docPr id="27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0604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4C7" w:rsidRDefault="00DE74C7" w:rsidP="00DE74C7">
      <w:pPr>
        <w:spacing w:before="2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:rsidR="00DE74C7" w:rsidRDefault="00DE74C7" w:rsidP="00DE74C7">
      <w:pPr>
        <w:spacing w:before="73"/>
        <w:ind w:left="100" w:right="19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Figure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7-12.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Kobe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plot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time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series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estimates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relative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fishing mortality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(average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of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age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2+)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-1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relative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spawning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stock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biomass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of BUM during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1971-2014.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dashed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lines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denote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95%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confidence</w:t>
      </w:r>
      <w:r>
        <w:rPr>
          <w:rFonts w:ascii="Times New Roman"/>
          <w:b/>
          <w:spacing w:val="-1"/>
          <w:w w:val="99"/>
          <w:sz w:val="20"/>
        </w:rPr>
        <w:t xml:space="preserve"> </w:t>
      </w:r>
      <w:r>
        <w:rPr>
          <w:rFonts w:ascii="Times New Roman"/>
          <w:b/>
          <w:sz w:val="20"/>
        </w:rPr>
        <w:t>intervals for the estimates in the year</w:t>
      </w:r>
      <w:r>
        <w:rPr>
          <w:rFonts w:ascii="Times New Roman"/>
          <w:b/>
          <w:spacing w:val="-16"/>
          <w:sz w:val="20"/>
        </w:rPr>
        <w:t xml:space="preserve"> </w:t>
      </w:r>
      <w:r>
        <w:rPr>
          <w:rFonts w:ascii="Times New Roman"/>
          <w:b/>
          <w:sz w:val="20"/>
        </w:rPr>
        <w:t>2014.</w:t>
      </w:r>
    </w:p>
    <w:p w:rsidR="00DE74C7" w:rsidRDefault="00DE74C7" w:rsidP="00DE74C7">
      <w:pPr>
        <w:jc w:val="both"/>
        <w:rPr>
          <w:rFonts w:ascii="Times New Roman" w:eastAsia="Times New Roman" w:hAnsi="Times New Roman" w:cs="Times New Roman"/>
          <w:sz w:val="20"/>
          <w:szCs w:val="20"/>
        </w:rPr>
        <w:sectPr w:rsidR="00DE74C7">
          <w:pgSz w:w="12240" w:h="15840"/>
          <w:pgMar w:top="1360" w:right="1720" w:bottom="840" w:left="1340" w:header="0" w:footer="631" w:gutter="0"/>
          <w:cols w:space="720"/>
        </w:sectPr>
      </w:pPr>
    </w:p>
    <w:p w:rsidR="00DE74C7" w:rsidRDefault="00DE74C7" w:rsidP="00794EFB">
      <w:pPr>
        <w:pStyle w:val="Best2"/>
        <w:numPr>
          <w:ilvl w:val="0"/>
          <w:numId w:val="0"/>
        </w:numPr>
        <w:adjustRightInd w:val="0"/>
        <w:snapToGrid w:val="0"/>
        <w:spacing w:after="0" w:line="240" w:lineRule="auto"/>
        <w:rPr>
          <w:rFonts w:asciiTheme="minorHAnsi" w:eastAsia="MS Mincho" w:hAnsiTheme="minorHAnsi" w:cstheme="minorHAnsi"/>
          <w:color w:val="000000"/>
          <w:lang w:val="en-US"/>
        </w:rPr>
      </w:pPr>
    </w:p>
    <w:p w:rsidR="00993766" w:rsidRPr="00993766" w:rsidRDefault="00993766" w:rsidP="00993766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Management advice and implications</w:t>
      </w:r>
    </w:p>
    <w:p w:rsidR="00960554" w:rsidRDefault="00960554" w:rsidP="00960554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SC12</w:t>
      </w:r>
      <w:r w:rsidRPr="00993766">
        <w:rPr>
          <w:rFonts w:asciiTheme="minorHAnsi" w:hAnsiTheme="minorHAnsi" w:cstheme="minorHAnsi"/>
        </w:rPr>
        <w:t xml:space="preserve"> noted the </w:t>
      </w:r>
      <w:r>
        <w:rPr>
          <w:rFonts w:asciiTheme="minorHAnsi" w:hAnsiTheme="minorHAnsi" w:cstheme="minorHAnsi"/>
        </w:rPr>
        <w:t>conservation advice</w:t>
      </w:r>
      <w:r w:rsidRPr="00993766">
        <w:rPr>
          <w:rFonts w:asciiTheme="minorHAnsi" w:hAnsiTheme="minorHAnsi" w:cstheme="minorHAnsi"/>
        </w:rPr>
        <w:t xml:space="preserve"> for Pacific </w:t>
      </w:r>
      <w:r w:rsidR="00D2367D">
        <w:rPr>
          <w:rFonts w:asciiTheme="minorHAnsi" w:hAnsiTheme="minorHAnsi" w:cstheme="minorHAnsi"/>
        </w:rPr>
        <w:t xml:space="preserve">blue marlin </w:t>
      </w:r>
      <w:r>
        <w:rPr>
          <w:rFonts w:asciiTheme="minorHAnsi" w:hAnsiTheme="minorHAnsi" w:cstheme="minorHAnsi"/>
        </w:rPr>
        <w:t>provided by ISC in GN-IP-02 and SA-WP-12</w:t>
      </w:r>
      <w:r w:rsidRPr="00993766">
        <w:rPr>
          <w:rFonts w:asciiTheme="minorHAnsi" w:hAnsiTheme="minorHAnsi" w:cstheme="minorHAnsi"/>
        </w:rPr>
        <w:t>:</w:t>
      </w:r>
    </w:p>
    <w:p w:rsidR="00210EA2" w:rsidRPr="00210EA2" w:rsidRDefault="00210EA2" w:rsidP="00210EA2">
      <w:pPr>
        <w:rPr>
          <w:rFonts w:cstheme="minorHAnsi"/>
        </w:rPr>
      </w:pPr>
    </w:p>
    <w:p w:rsidR="00F21CD0" w:rsidRPr="00210EA2" w:rsidRDefault="00210EA2">
      <w:r>
        <w:rPr>
          <w:rFonts w:cstheme="minorHAnsi"/>
        </w:rPr>
        <w:t>“</w:t>
      </w:r>
      <w:r w:rsidRPr="00210EA2">
        <w:rPr>
          <w:rFonts w:cstheme="minorHAnsi"/>
        </w:rPr>
        <w:t>Since the stock is nearly full exploited, the ISC recommends that fishing mortality remain at or below current levels (2012-2014).</w:t>
      </w:r>
      <w:r>
        <w:rPr>
          <w:rFonts w:cstheme="minorHAnsi"/>
        </w:rPr>
        <w:t>”</w:t>
      </w:r>
    </w:p>
    <w:sectPr w:rsidR="00F21CD0" w:rsidRPr="00210E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C00" w:rsidRDefault="00E76C00">
      <w:pPr>
        <w:spacing w:after="0" w:line="240" w:lineRule="auto"/>
      </w:pPr>
      <w:r>
        <w:separator/>
      </w:r>
    </w:p>
  </w:endnote>
  <w:endnote w:type="continuationSeparator" w:id="0">
    <w:p w:rsidR="00E76C00" w:rsidRDefault="00E7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485" w:rsidRDefault="00E76C00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7.05pt;margin-top:550.45pt;width:14pt;height:14pt;z-index:-251658752;mso-position-horizontal-relative:page;mso-position-vertical-relative:page" filled="f" stroked="f">
          <v:textbox inset="0,0,0,0">
            <w:txbxContent>
              <w:p w:rsidR="00314485" w:rsidRDefault="00210EA2">
                <w:pPr>
                  <w:pStyle w:val="BodyText"/>
                  <w:spacing w:line="265" w:lineRule="exact"/>
                  <w:ind w:left="20"/>
                </w:pPr>
                <w:r>
                  <w:t>47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C00" w:rsidRDefault="00E76C00">
      <w:pPr>
        <w:spacing w:after="0" w:line="240" w:lineRule="auto"/>
      </w:pPr>
      <w:r>
        <w:separator/>
      </w:r>
    </w:p>
  </w:footnote>
  <w:footnote w:type="continuationSeparator" w:id="0">
    <w:p w:rsidR="00E76C00" w:rsidRDefault="00E76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70362"/>
    <w:multiLevelType w:val="hybridMultilevel"/>
    <w:tmpl w:val="5B321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D58C0"/>
    <w:multiLevelType w:val="hybridMultilevel"/>
    <w:tmpl w:val="C1405ADA"/>
    <w:lvl w:ilvl="0" w:tplc="DF1E1408">
      <w:start w:val="1"/>
      <w:numFmt w:val="decimal"/>
      <w:pStyle w:val="Best2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720" w:hanging="360"/>
      </w:pPr>
    </w:lvl>
    <w:lvl w:ilvl="2" w:tplc="0C09001B">
      <w:start w:val="1"/>
      <w:numFmt w:val="lowerRoman"/>
      <w:lvlText w:val="%3."/>
      <w:lvlJc w:val="right"/>
      <w:pPr>
        <w:ind w:left="1440" w:hanging="180"/>
      </w:pPr>
    </w:lvl>
    <w:lvl w:ilvl="3" w:tplc="0C09000F">
      <w:start w:val="1"/>
      <w:numFmt w:val="decimal"/>
      <w:lvlText w:val="%4."/>
      <w:lvlJc w:val="left"/>
      <w:pPr>
        <w:ind w:left="2160" w:hanging="360"/>
      </w:pPr>
    </w:lvl>
    <w:lvl w:ilvl="4" w:tplc="0C090019">
      <w:start w:val="1"/>
      <w:numFmt w:val="lowerLetter"/>
      <w:lvlText w:val="%5."/>
      <w:lvlJc w:val="left"/>
      <w:pPr>
        <w:ind w:left="2880" w:hanging="360"/>
      </w:pPr>
    </w:lvl>
    <w:lvl w:ilvl="5" w:tplc="0C09001B">
      <w:start w:val="1"/>
      <w:numFmt w:val="lowerRoman"/>
      <w:lvlText w:val="%6."/>
      <w:lvlJc w:val="right"/>
      <w:pPr>
        <w:ind w:left="3600" w:hanging="180"/>
      </w:pPr>
    </w:lvl>
    <w:lvl w:ilvl="6" w:tplc="0C09000F">
      <w:start w:val="1"/>
      <w:numFmt w:val="decimal"/>
      <w:lvlText w:val="%7."/>
      <w:lvlJc w:val="left"/>
      <w:pPr>
        <w:ind w:left="4320" w:hanging="360"/>
      </w:pPr>
    </w:lvl>
    <w:lvl w:ilvl="7" w:tplc="0C090019">
      <w:start w:val="1"/>
      <w:numFmt w:val="lowerLetter"/>
      <w:lvlText w:val="%8."/>
      <w:lvlJc w:val="left"/>
      <w:pPr>
        <w:ind w:left="5040" w:hanging="360"/>
      </w:pPr>
    </w:lvl>
    <w:lvl w:ilvl="8" w:tplc="0C09001B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CD0"/>
    <w:rsid w:val="00074F76"/>
    <w:rsid w:val="000B4154"/>
    <w:rsid w:val="000D33CA"/>
    <w:rsid w:val="000E3B56"/>
    <w:rsid w:val="00125B1F"/>
    <w:rsid w:val="00152483"/>
    <w:rsid w:val="001F0887"/>
    <w:rsid w:val="00210EA2"/>
    <w:rsid w:val="00271BA0"/>
    <w:rsid w:val="002E51DD"/>
    <w:rsid w:val="00316B96"/>
    <w:rsid w:val="003929F5"/>
    <w:rsid w:val="003A0640"/>
    <w:rsid w:val="004309C7"/>
    <w:rsid w:val="00441F63"/>
    <w:rsid w:val="004431BA"/>
    <w:rsid w:val="0047468B"/>
    <w:rsid w:val="004779D6"/>
    <w:rsid w:val="00534B1C"/>
    <w:rsid w:val="0060555F"/>
    <w:rsid w:val="006114B7"/>
    <w:rsid w:val="00784598"/>
    <w:rsid w:val="00794EFB"/>
    <w:rsid w:val="007E3977"/>
    <w:rsid w:val="0088206F"/>
    <w:rsid w:val="00893E56"/>
    <w:rsid w:val="009008E0"/>
    <w:rsid w:val="00953A5D"/>
    <w:rsid w:val="00960554"/>
    <w:rsid w:val="00983C1C"/>
    <w:rsid w:val="00993766"/>
    <w:rsid w:val="00A059AB"/>
    <w:rsid w:val="00A97FA0"/>
    <w:rsid w:val="00AC7D13"/>
    <w:rsid w:val="00AF7EC2"/>
    <w:rsid w:val="00B20861"/>
    <w:rsid w:val="00D2367D"/>
    <w:rsid w:val="00DE74C7"/>
    <w:rsid w:val="00DF3DFA"/>
    <w:rsid w:val="00E00A32"/>
    <w:rsid w:val="00E66DBB"/>
    <w:rsid w:val="00E76C00"/>
    <w:rsid w:val="00F21CD0"/>
    <w:rsid w:val="00F56F32"/>
    <w:rsid w:val="00FD2D2E"/>
    <w:rsid w:val="00FF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794EFB"/>
    <w:rPr>
      <w:rFonts w:ascii="Times New Roman" w:eastAsiaTheme="minorEastAsia" w:hAnsi="Times New Roman" w:cs="Times New Roman"/>
      <w:lang w:val="en-NZ" w:eastAsia="en-NZ"/>
    </w:rPr>
  </w:style>
  <w:style w:type="paragraph" w:styleId="ListParagraph">
    <w:name w:val="List Paragraph"/>
    <w:basedOn w:val="Normal"/>
    <w:link w:val="ListParagraphChar"/>
    <w:uiPriority w:val="34"/>
    <w:qFormat/>
    <w:rsid w:val="00794EFB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val="en-NZ" w:eastAsia="en-NZ"/>
    </w:rPr>
  </w:style>
  <w:style w:type="character" w:customStyle="1" w:styleId="Best2Char">
    <w:name w:val="Best2 Char"/>
    <w:basedOn w:val="DefaultParagraphFont"/>
    <w:link w:val="Best2"/>
    <w:locked/>
    <w:rsid w:val="00794EFB"/>
    <w:rPr>
      <w:rFonts w:ascii="Times New Roman" w:eastAsiaTheme="minorEastAsia" w:hAnsi="Times New Roman" w:cs="Times New Roman"/>
      <w:lang w:val="en-NZ" w:eastAsia="en-NZ"/>
    </w:rPr>
  </w:style>
  <w:style w:type="paragraph" w:customStyle="1" w:styleId="Best2">
    <w:name w:val="Best2"/>
    <w:basedOn w:val="Normal"/>
    <w:link w:val="Best2Char"/>
    <w:qFormat/>
    <w:rsid w:val="00794EFB"/>
    <w:pPr>
      <w:numPr>
        <w:numId w:val="1"/>
      </w:numPr>
      <w:spacing w:after="120" w:line="300" w:lineRule="exact"/>
      <w:jc w:val="both"/>
    </w:pPr>
    <w:rPr>
      <w:rFonts w:ascii="Times New Roman" w:eastAsiaTheme="minorEastAsia" w:hAnsi="Times New Roman" w:cs="Times New Roman"/>
      <w:lang w:val="en-NZ" w:eastAsia="en-NZ"/>
    </w:rPr>
  </w:style>
  <w:style w:type="paragraph" w:styleId="BodyText">
    <w:name w:val="Body Text"/>
    <w:basedOn w:val="Normal"/>
    <w:link w:val="BodyTextChar"/>
    <w:uiPriority w:val="1"/>
    <w:qFormat/>
    <w:rsid w:val="002E51DD"/>
    <w:pPr>
      <w:widowControl w:val="0"/>
      <w:spacing w:after="0" w:line="240" w:lineRule="auto"/>
      <w:ind w:left="10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E51DD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2E51DD"/>
    <w:pPr>
      <w:widowControl w:val="0"/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4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0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640"/>
  </w:style>
  <w:style w:type="paragraph" w:styleId="Footer">
    <w:name w:val="footer"/>
    <w:basedOn w:val="Normal"/>
    <w:link w:val="FooterChar"/>
    <w:uiPriority w:val="99"/>
    <w:unhideWhenUsed/>
    <w:rsid w:val="003A0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6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794EFB"/>
    <w:rPr>
      <w:rFonts w:ascii="Times New Roman" w:eastAsiaTheme="minorEastAsia" w:hAnsi="Times New Roman" w:cs="Times New Roman"/>
      <w:lang w:val="en-NZ" w:eastAsia="en-NZ"/>
    </w:rPr>
  </w:style>
  <w:style w:type="paragraph" w:styleId="ListParagraph">
    <w:name w:val="List Paragraph"/>
    <w:basedOn w:val="Normal"/>
    <w:link w:val="ListParagraphChar"/>
    <w:uiPriority w:val="34"/>
    <w:qFormat/>
    <w:rsid w:val="00794EFB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val="en-NZ" w:eastAsia="en-NZ"/>
    </w:rPr>
  </w:style>
  <w:style w:type="character" w:customStyle="1" w:styleId="Best2Char">
    <w:name w:val="Best2 Char"/>
    <w:basedOn w:val="DefaultParagraphFont"/>
    <w:link w:val="Best2"/>
    <w:locked/>
    <w:rsid w:val="00794EFB"/>
    <w:rPr>
      <w:rFonts w:ascii="Times New Roman" w:eastAsiaTheme="minorEastAsia" w:hAnsi="Times New Roman" w:cs="Times New Roman"/>
      <w:lang w:val="en-NZ" w:eastAsia="en-NZ"/>
    </w:rPr>
  </w:style>
  <w:style w:type="paragraph" w:customStyle="1" w:styleId="Best2">
    <w:name w:val="Best2"/>
    <w:basedOn w:val="Normal"/>
    <w:link w:val="Best2Char"/>
    <w:qFormat/>
    <w:rsid w:val="00794EFB"/>
    <w:pPr>
      <w:numPr>
        <w:numId w:val="1"/>
      </w:numPr>
      <w:spacing w:after="120" w:line="300" w:lineRule="exact"/>
      <w:jc w:val="both"/>
    </w:pPr>
    <w:rPr>
      <w:rFonts w:ascii="Times New Roman" w:eastAsiaTheme="minorEastAsia" w:hAnsi="Times New Roman" w:cs="Times New Roman"/>
      <w:lang w:val="en-NZ" w:eastAsia="en-NZ"/>
    </w:rPr>
  </w:style>
  <w:style w:type="paragraph" w:styleId="BodyText">
    <w:name w:val="Body Text"/>
    <w:basedOn w:val="Normal"/>
    <w:link w:val="BodyTextChar"/>
    <w:uiPriority w:val="1"/>
    <w:qFormat/>
    <w:rsid w:val="002E51DD"/>
    <w:pPr>
      <w:widowControl w:val="0"/>
      <w:spacing w:after="0" w:line="240" w:lineRule="auto"/>
      <w:ind w:left="10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E51DD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2E51DD"/>
    <w:pPr>
      <w:widowControl w:val="0"/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4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0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640"/>
  </w:style>
  <w:style w:type="paragraph" w:styleId="Footer">
    <w:name w:val="footer"/>
    <w:basedOn w:val="Normal"/>
    <w:link w:val="FooterChar"/>
    <w:uiPriority w:val="99"/>
    <w:unhideWhenUsed/>
    <w:rsid w:val="003A0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Marine Fisheries Svc</Company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Adams</dc:creator>
  <cp:lastModifiedBy>Anthony J. Beeching</cp:lastModifiedBy>
  <cp:revision>2</cp:revision>
  <dcterms:created xsi:type="dcterms:W3CDTF">2016-08-11T06:56:00Z</dcterms:created>
  <dcterms:modified xsi:type="dcterms:W3CDTF">2016-08-11T06:56:00Z</dcterms:modified>
</cp:coreProperties>
</file>