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r w:rsidRPr="00074F76">
        <w:rPr>
          <w:rFonts w:cstheme="minorHAnsi"/>
          <w:b/>
          <w:i/>
          <w:sz w:val="32"/>
          <w:szCs w:val="32"/>
        </w:rPr>
        <w:t xml:space="preserve">Pacific </w:t>
      </w:r>
      <w:r w:rsidR="00D2367D">
        <w:rPr>
          <w:rFonts w:cstheme="minorHAnsi"/>
          <w:b/>
          <w:i/>
          <w:sz w:val="32"/>
          <w:szCs w:val="32"/>
        </w:rPr>
        <w:t>Blue</w:t>
      </w:r>
      <w:r w:rsidR="00FF5847" w:rsidRPr="00074F76">
        <w:rPr>
          <w:rFonts w:cstheme="minorHAnsi"/>
          <w:b/>
          <w:i/>
          <w:sz w:val="32"/>
          <w:szCs w:val="32"/>
        </w:rPr>
        <w:t xml:space="preserve"> </w:t>
      </w:r>
      <w:r w:rsidR="004309C7">
        <w:rPr>
          <w:rFonts w:cstheme="minorHAnsi"/>
          <w:b/>
          <w:i/>
          <w:sz w:val="32"/>
          <w:szCs w:val="32"/>
        </w:rPr>
        <w:t>Marlin</w:t>
      </w:r>
      <w:r w:rsidR="00FF5847" w:rsidRPr="00074F76">
        <w:rPr>
          <w:rFonts w:cstheme="minorHAnsi"/>
          <w:b/>
          <w:i/>
          <w:sz w:val="32"/>
          <w:szCs w:val="32"/>
        </w:rPr>
        <w:t xml:space="preserve"> (</w:t>
      </w:r>
      <w:proofErr w:type="spellStart"/>
      <w:r w:rsidR="004309C7">
        <w:rPr>
          <w:rFonts w:cstheme="minorHAnsi"/>
          <w:b/>
          <w:i/>
          <w:sz w:val="32"/>
          <w:szCs w:val="32"/>
        </w:rPr>
        <w:t>Makaira</w:t>
      </w:r>
      <w:proofErr w:type="spellEnd"/>
      <w:r w:rsidR="004309C7">
        <w:rPr>
          <w:rFonts w:cstheme="minorHAnsi"/>
          <w:b/>
          <w:i/>
          <w:sz w:val="32"/>
          <w:szCs w:val="32"/>
        </w:rPr>
        <w:t xml:space="preserve"> </w:t>
      </w:r>
      <w:proofErr w:type="spellStart"/>
      <w:r w:rsidR="004309C7">
        <w:rPr>
          <w:rFonts w:cstheme="minorHAnsi"/>
          <w:b/>
          <w:i/>
          <w:sz w:val="32"/>
          <w:szCs w:val="32"/>
        </w:rPr>
        <w:t>nigricans</w:t>
      </w:r>
      <w:proofErr w:type="spellEnd"/>
      <w:r w:rsidR="00FF5847" w:rsidRPr="00074F76">
        <w:rPr>
          <w:rFonts w:cstheme="minorHAnsi"/>
          <w:b/>
          <w:i/>
          <w:sz w:val="32"/>
          <w:szCs w:val="32"/>
        </w:rPr>
        <w:t>)</w:t>
      </w:r>
    </w:p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r w:rsidRPr="00074F76">
        <w:rPr>
          <w:rFonts w:cstheme="minorHAnsi"/>
          <w:b/>
          <w:i/>
          <w:sz w:val="32"/>
          <w:szCs w:val="32"/>
        </w:rPr>
        <w:t>Provision of scientific information</w:t>
      </w:r>
    </w:p>
    <w:p w:rsidR="003929F5" w:rsidRPr="003929F5" w:rsidRDefault="00DF3DFA" w:rsidP="00E66DBB">
      <w:pPr>
        <w:ind w:left="216"/>
        <w:rPr>
          <w:rFonts w:cstheme="minorHAnsi"/>
          <w:lang w:eastAsia="ja-JP"/>
        </w:rPr>
      </w:pPr>
      <w:r>
        <w:rPr>
          <w:rFonts w:cstheme="minorHAnsi"/>
          <w:lang w:eastAsia="ja-JP"/>
        </w:rPr>
        <w:t>ISC presented SC1</w:t>
      </w:r>
      <w:r>
        <w:rPr>
          <w:rFonts w:cstheme="minorHAnsi" w:hint="eastAsia"/>
          <w:lang w:eastAsia="ja-JP"/>
        </w:rPr>
        <w:t>2</w:t>
      </w:r>
      <w:r>
        <w:rPr>
          <w:rFonts w:cstheme="minorHAnsi"/>
          <w:lang w:eastAsia="ja-JP"/>
        </w:rPr>
        <w:t>-SA-WP-11</w:t>
      </w:r>
      <w:r w:rsidR="00E66DBB">
        <w:rPr>
          <w:rFonts w:cstheme="minorHAnsi"/>
          <w:lang w:eastAsia="ja-JP"/>
        </w:rPr>
        <w:t xml:space="preserve">. </w:t>
      </w:r>
      <w:r w:rsidR="00441F63">
        <w:rPr>
          <w:rFonts w:cstheme="minorHAnsi"/>
          <w:lang w:eastAsia="ja-JP"/>
        </w:rPr>
        <w:t>(</w:t>
      </w:r>
      <w:r w:rsidR="00E66DBB">
        <w:rPr>
          <w:rFonts w:cstheme="minorHAnsi"/>
          <w:lang w:eastAsia="ja-JP"/>
        </w:rPr>
        <w:t>Stock Assessment Update for Blue Marlin (</w:t>
      </w:r>
      <w:proofErr w:type="spellStart"/>
      <w:r w:rsidR="00534B1C">
        <w:rPr>
          <w:rFonts w:cstheme="minorHAnsi"/>
          <w:i/>
          <w:lang w:eastAsia="ja-JP"/>
        </w:rPr>
        <w:t>Makaira</w:t>
      </w:r>
      <w:proofErr w:type="spellEnd"/>
      <w:r w:rsidR="00534B1C">
        <w:rPr>
          <w:rFonts w:cstheme="minorHAnsi"/>
          <w:i/>
          <w:lang w:eastAsia="ja-JP"/>
        </w:rPr>
        <w:t xml:space="preserve"> </w:t>
      </w:r>
      <w:proofErr w:type="spellStart"/>
      <w:r w:rsidR="00534B1C">
        <w:rPr>
          <w:rFonts w:cstheme="minorHAnsi"/>
          <w:i/>
          <w:lang w:eastAsia="ja-JP"/>
        </w:rPr>
        <w:t>n</w:t>
      </w:r>
      <w:r w:rsidR="00E66DBB" w:rsidRPr="00E66DBB">
        <w:rPr>
          <w:rFonts w:cstheme="minorHAnsi"/>
          <w:i/>
          <w:lang w:eastAsia="ja-JP"/>
        </w:rPr>
        <w:t>igricans</w:t>
      </w:r>
      <w:proofErr w:type="spellEnd"/>
      <w:r w:rsidR="00E66DBB">
        <w:rPr>
          <w:rFonts w:cstheme="minorHAnsi"/>
          <w:lang w:eastAsia="ja-JP"/>
        </w:rPr>
        <w:t>) in the Pacific Ocean through 2014</w:t>
      </w:r>
      <w:r w:rsidRPr="00B10709">
        <w:rPr>
          <w:rFonts w:cstheme="minorHAnsi"/>
          <w:lang w:eastAsia="ja-JP"/>
        </w:rPr>
        <w:t>).</w:t>
      </w:r>
    </w:p>
    <w:p w:rsidR="003929F5" w:rsidRPr="00993766" w:rsidRDefault="00993766" w:rsidP="003929F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Status and trends</w:t>
      </w:r>
    </w:p>
    <w:p w:rsidR="00A059AB" w:rsidRPr="002E51DD" w:rsidRDefault="00993766" w:rsidP="002E51D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</w:t>
      </w:r>
      <w:r w:rsidR="003929F5" w:rsidRPr="00993766">
        <w:rPr>
          <w:rFonts w:asciiTheme="minorHAnsi" w:hAnsiTheme="minorHAnsi" w:cstheme="minorHAnsi"/>
        </w:rPr>
        <w:t xml:space="preserve"> noted the stock status for Pacific </w:t>
      </w:r>
      <w:r w:rsidR="004309C7">
        <w:rPr>
          <w:rFonts w:asciiTheme="minorHAnsi" w:hAnsiTheme="minorHAnsi" w:cstheme="minorHAnsi"/>
        </w:rPr>
        <w:t>blue marlin</w:t>
      </w:r>
      <w:r>
        <w:rPr>
          <w:rFonts w:asciiTheme="minorHAnsi" w:hAnsiTheme="minorHAnsi" w:cstheme="minorHAnsi"/>
        </w:rPr>
        <w:t xml:space="preserve"> provided by ISC in </w:t>
      </w:r>
      <w:r w:rsidR="004309C7">
        <w:rPr>
          <w:rFonts w:asciiTheme="minorHAnsi" w:hAnsiTheme="minorHAnsi" w:cstheme="minorHAnsi"/>
        </w:rPr>
        <w:t>GN</w:t>
      </w:r>
      <w:r>
        <w:rPr>
          <w:rFonts w:asciiTheme="minorHAnsi" w:hAnsiTheme="minorHAnsi" w:cstheme="minorHAnsi"/>
        </w:rPr>
        <w:t>-</w:t>
      </w:r>
      <w:r w:rsidR="004309C7">
        <w:rPr>
          <w:rFonts w:asciiTheme="minorHAnsi" w:hAnsiTheme="minorHAnsi" w:cstheme="minorHAnsi"/>
        </w:rPr>
        <w:t>IP</w:t>
      </w:r>
      <w:r>
        <w:rPr>
          <w:rFonts w:asciiTheme="minorHAnsi" w:hAnsiTheme="minorHAnsi" w:cstheme="minorHAnsi"/>
        </w:rPr>
        <w:t>-</w:t>
      </w:r>
      <w:r w:rsidR="004309C7">
        <w:rPr>
          <w:rFonts w:asciiTheme="minorHAnsi" w:hAnsiTheme="minorHAnsi" w:cstheme="minorHAnsi"/>
        </w:rPr>
        <w:t>02 and SA-WP-12</w:t>
      </w:r>
      <w:r w:rsidR="003929F5" w:rsidRPr="00993766">
        <w:rPr>
          <w:rFonts w:asciiTheme="minorHAnsi" w:hAnsiTheme="minorHAnsi" w:cstheme="minorHAnsi"/>
        </w:rPr>
        <w:t>:</w:t>
      </w:r>
    </w:p>
    <w:p w:rsidR="002E51DD" w:rsidRPr="002E51DD" w:rsidRDefault="002E51DD" w:rsidP="002E51DD">
      <w:pPr>
        <w:widowControl w:val="0"/>
        <w:spacing w:before="5"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2E51DD" w:rsidRPr="00893E56" w:rsidRDefault="002E51DD" w:rsidP="00893E56">
      <w:pPr>
        <w:widowControl w:val="0"/>
        <w:spacing w:after="0" w:line="240" w:lineRule="auto"/>
        <w:ind w:left="100" w:right="121"/>
        <w:rPr>
          <w:rFonts w:eastAsia="Times New Roman" w:cstheme="minorHAnsi"/>
          <w:position w:val="2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“</w:t>
      </w:r>
      <w:r w:rsidRPr="002E51DD">
        <w:rPr>
          <w:rFonts w:eastAsia="Times New Roman" w:cstheme="minorHAnsi"/>
          <w:sz w:val="24"/>
          <w:szCs w:val="24"/>
          <w:lang w:val="en-US"/>
        </w:rPr>
        <w:t>Estimates of total BUM stock biomass show a long term decline. Population biomass (age-1</w:t>
      </w:r>
      <w:r w:rsidRPr="002E51DD">
        <w:rPr>
          <w:rFonts w:eastAsia="Times New Roman" w:cstheme="minorHAnsi"/>
          <w:spacing w:val="-16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and older) averaged roughly 130,965 t in 1971-1975, the first 5 years of the assessment time</w:t>
      </w:r>
      <w:r w:rsidRPr="002E51DD">
        <w:rPr>
          <w:rFonts w:eastAsia="Times New Roman" w:cstheme="minorHAnsi"/>
          <w:spacing w:val="-18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frame,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and has declined by approximately 40% to 78,082 t in 2014 (Figure 7-11). Female</w:t>
      </w:r>
      <w:r w:rsidRPr="002E51DD">
        <w:rPr>
          <w:rFonts w:eastAsia="Times New Roman" w:cstheme="minorHAnsi"/>
          <w:spacing w:val="-15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 xml:space="preserve">spawning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biomass was estimated to be 24,809 t in 2014, or about 25% above SSB</w:t>
      </w:r>
      <w:r w:rsidRPr="002E51DD">
        <w:rPr>
          <w:rFonts w:eastAsia="Times New Roman" w:cstheme="minorHAnsi"/>
          <w:sz w:val="16"/>
          <w:szCs w:val="24"/>
          <w:lang w:val="en-US"/>
        </w:rPr>
        <w:t xml:space="preserve">MSY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(Table 7-3 and</w:t>
      </w:r>
      <w:r w:rsidRPr="002E51DD">
        <w:rPr>
          <w:rFonts w:eastAsia="Times New Roman" w:cstheme="minorHAnsi"/>
          <w:spacing w:val="2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Table</w:t>
      </w:r>
      <w:r w:rsidRPr="002E51DD">
        <w:rPr>
          <w:rFonts w:eastAsia="Times New Roman" w:cstheme="minorHAnsi"/>
          <w:w w:val="99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7-4). Fishing mortality on the stock (average F, ages 2 and older) averaged roughly F =</w:t>
      </w:r>
      <w:r w:rsidRPr="002E51DD">
        <w:rPr>
          <w:rFonts w:eastAsia="Times New Roman" w:cstheme="minorHAnsi"/>
          <w:spacing w:val="-1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 xml:space="preserve">0.28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during 2012-2014, or about 12% below F</w:t>
      </w:r>
      <w:r w:rsidRPr="002E51DD">
        <w:rPr>
          <w:rFonts w:eastAsia="Times New Roman" w:cstheme="minorHAnsi"/>
          <w:sz w:val="16"/>
          <w:szCs w:val="24"/>
          <w:lang w:val="en-US"/>
        </w:rPr>
        <w:t>MSY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. The estimated spawning potential ratio of the</w:t>
      </w:r>
      <w:r w:rsidRPr="002E51DD">
        <w:rPr>
          <w:rFonts w:eastAsia="Times New Roman" w:cstheme="minorHAnsi"/>
          <w:spacing w:val="-27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stock</w:t>
      </w:r>
      <w:r w:rsidRPr="002E51DD">
        <w:rPr>
          <w:rFonts w:eastAsia="Times New Roman" w:cstheme="minorHAnsi"/>
          <w:spacing w:val="-1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(SPR, the predicted spawning output at the current F as a fraction of unfished spawning</w:t>
      </w:r>
      <w:r w:rsidRPr="002E51DD">
        <w:rPr>
          <w:rFonts w:eastAsia="Times New Roman" w:cstheme="minorHAnsi"/>
          <w:spacing w:val="40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output)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is currently SPR</w:t>
      </w:r>
      <w:r w:rsidRPr="002E51DD">
        <w:rPr>
          <w:rFonts w:eastAsia="Times New Roman" w:cstheme="minorHAnsi"/>
          <w:sz w:val="16"/>
          <w:szCs w:val="24"/>
          <w:lang w:val="en-US"/>
        </w:rPr>
        <w:t xml:space="preserve">2012-2014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= 21%. Annual recruitment averaged about 897,000 recruits during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2008-2014, and no long-term trend in recruitment was apparent. Overall, the time series</w:t>
      </w:r>
      <w:r w:rsidRPr="002E51DD">
        <w:rPr>
          <w:rFonts w:eastAsia="Times New Roman" w:cstheme="minorHAnsi"/>
          <w:spacing w:val="-14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of spawning stock biomass and recruitment estimates indicate a long-term decline in</w:t>
      </w:r>
      <w:r w:rsidRPr="002E51DD">
        <w:rPr>
          <w:rFonts w:eastAsia="Times New Roman" w:cstheme="minorHAnsi"/>
          <w:spacing w:val="3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spawning</w:t>
      </w:r>
      <w:r w:rsidRPr="002E51DD">
        <w:rPr>
          <w:rFonts w:eastAsia="Times New Roman" w:cstheme="minorHAnsi"/>
          <w:spacing w:val="-1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stock biomass and suggest a fluctuating pattern without trend for recruitment (Figure 7-11).</w:t>
      </w:r>
      <w:r w:rsidRPr="002E51DD">
        <w:rPr>
          <w:rFonts w:eastAsia="Times New Roman" w:cstheme="minorHAnsi"/>
          <w:spacing w:val="38"/>
          <w:sz w:val="24"/>
          <w:szCs w:val="24"/>
          <w:lang w:val="en-US"/>
        </w:rPr>
        <w:t xml:space="preserve"> </w:t>
      </w:r>
    </w:p>
    <w:p w:rsidR="00DE74C7" w:rsidRDefault="00DE74C7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pacing w:val="38"/>
          <w:sz w:val="24"/>
          <w:szCs w:val="24"/>
          <w:lang w:val="en-US"/>
        </w:rPr>
      </w:pPr>
    </w:p>
    <w:p w:rsidR="002E51DD" w:rsidRDefault="002E51DD" w:rsidP="002E51DD">
      <w:pPr>
        <w:spacing w:before="73"/>
        <w:ind w:left="220" w:right="68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b/>
          <w:sz w:val="20"/>
        </w:rPr>
        <w:t>Table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7-3.</w:t>
      </w:r>
      <w:proofErr w:type="gramEnd"/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Reported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(t)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used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stock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assessment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along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annual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estimates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population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biomass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(age-1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older,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t),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female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spawning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biomass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(t),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relative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female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spawning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biomass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(SSB/SSB</w:t>
      </w:r>
      <w:r>
        <w:rPr>
          <w:rFonts w:ascii="Times New Roman"/>
          <w:b/>
          <w:sz w:val="13"/>
        </w:rPr>
        <w:t>MSY</w:t>
      </w:r>
      <w:r>
        <w:rPr>
          <w:rFonts w:ascii="Times New Roman"/>
          <w:b/>
          <w:position w:val="1"/>
          <w:sz w:val="20"/>
        </w:rPr>
        <w:t>),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recruitment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(thousands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of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age-0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fish),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fishing</w:t>
      </w:r>
      <w:r>
        <w:rPr>
          <w:rFonts w:ascii="Times New Roman"/>
          <w:b/>
          <w:spacing w:val="-1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mortality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(average</w:t>
      </w:r>
      <w:r>
        <w:rPr>
          <w:rFonts w:ascii="Times New Roman"/>
          <w:b/>
          <w:spacing w:val="-5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ages-2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and</w:t>
      </w:r>
      <w:r>
        <w:rPr>
          <w:rFonts w:ascii="Times New Roman"/>
          <w:b/>
          <w:spacing w:val="-6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older),</w:t>
      </w:r>
      <w:r>
        <w:rPr>
          <w:rFonts w:ascii="Times New Roman"/>
          <w:b/>
          <w:w w:val="99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relative fishing mortality (F/F</w:t>
      </w:r>
      <w:r>
        <w:rPr>
          <w:rFonts w:ascii="Times New Roman"/>
          <w:b/>
          <w:sz w:val="13"/>
        </w:rPr>
        <w:t>MSY</w:t>
      </w:r>
      <w:r>
        <w:rPr>
          <w:rFonts w:ascii="Times New Roman"/>
          <w:b/>
          <w:position w:val="1"/>
          <w:sz w:val="20"/>
        </w:rPr>
        <w:t>), and spawning potential ratio of Pacific</w:t>
      </w:r>
      <w:r>
        <w:rPr>
          <w:rFonts w:ascii="Times New Roman"/>
          <w:b/>
          <w:spacing w:val="-25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BUM.</w:t>
      </w:r>
    </w:p>
    <w:p w:rsidR="002E51DD" w:rsidRDefault="002E51DD" w:rsidP="002E51DD">
      <w:pPr>
        <w:spacing w:before="9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1078"/>
        <w:gridCol w:w="1071"/>
        <w:gridCol w:w="1072"/>
        <w:gridCol w:w="1072"/>
        <w:gridCol w:w="1071"/>
        <w:gridCol w:w="1070"/>
        <w:gridCol w:w="1039"/>
        <w:gridCol w:w="1109"/>
        <w:gridCol w:w="1053"/>
        <w:gridCol w:w="973"/>
      </w:tblGrid>
      <w:tr w:rsidR="002E51DD" w:rsidTr="00044F6C">
        <w:trPr>
          <w:trHeight w:hRule="exact" w:val="332"/>
        </w:trPr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Year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18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Mean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2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Min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22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Max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</w:tr>
      <w:tr w:rsidR="002E51DD" w:rsidTr="00044F6C">
        <w:trPr>
          <w:trHeight w:hRule="exact" w:val="273"/>
        </w:trPr>
        <w:tc>
          <w:tcPr>
            <w:tcW w:w="25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Reported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Catch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17,828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18,282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20,086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18,165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19,407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20,727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20,356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18,232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9,160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25,589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Population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71,768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69,720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72,696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72,995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76,697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78,761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78,082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101,149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69,720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135,623</w:t>
            </w:r>
          </w:p>
        </w:tc>
      </w:tr>
      <w:tr w:rsidR="002E51DD" w:rsidTr="00044F6C">
        <w:trPr>
          <w:trHeight w:hRule="exact" w:val="245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Spawning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22,706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23,065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22,392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23,182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23,432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24,771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24,809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41,717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20,972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71,807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Relative Spawning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3.62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Recruitment (age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589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1181</w:t>
            </w:r>
          </w:p>
        </w:tc>
      </w:tr>
      <w:tr w:rsidR="002E51DD" w:rsidTr="00044F6C">
        <w:trPr>
          <w:trHeight w:hRule="exact" w:val="245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Fishing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Mortality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0.38</w:t>
            </w:r>
          </w:p>
        </w:tc>
      </w:tr>
      <w:tr w:rsidR="002E51DD" w:rsidTr="00044F6C">
        <w:trPr>
          <w:trHeight w:hRule="exact" w:val="370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Relative Fishing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Mortality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1.17</w:t>
            </w:r>
          </w:p>
        </w:tc>
      </w:tr>
      <w:tr w:rsidR="002E51DD" w:rsidTr="00044F6C">
        <w:trPr>
          <w:trHeight w:hRule="exact" w:val="439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3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6"/>
                <w:sz w:val="12"/>
              </w:rPr>
              <w:t xml:space="preserve">1 </w:t>
            </w:r>
            <w:r>
              <w:rPr>
                <w:rFonts w:ascii="Times New Roman"/>
                <w:sz w:val="18"/>
              </w:rPr>
              <w:t>During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1971-2014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</w:tr>
    </w:tbl>
    <w:p w:rsidR="002E51DD" w:rsidRDefault="002E51DD" w:rsidP="002E51DD">
      <w:pPr>
        <w:sectPr w:rsidR="002E51DD">
          <w:footerReference w:type="default" r:id="rId8"/>
          <w:pgSz w:w="15840" w:h="12240" w:orient="landscape"/>
          <w:pgMar w:top="1140" w:right="1220" w:bottom="1200" w:left="1220" w:header="0" w:footer="1011" w:gutter="0"/>
          <w:cols w:space="720"/>
        </w:sectPr>
      </w:pPr>
    </w:p>
    <w:p w:rsidR="002E51DD" w:rsidRDefault="002E51DD" w:rsidP="002E51DD">
      <w:pPr>
        <w:spacing w:before="58"/>
        <w:ind w:left="100" w:righ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7-4 Estimates of biological reference points along with estimates of fishing mortality (F),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female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spawning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stock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biomass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(SSB),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(C),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spawning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potential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(SPR)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BUM,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derived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from the base case model assessment model, where “MSY” and “20%” indicate reference points based</w:t>
      </w:r>
      <w:r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maximum sustainable yield and a spawning potential ratio of 20%,</w:t>
      </w:r>
      <w:r>
        <w:rPr>
          <w:rFonts w:ascii="Times New Roman" w:eastAsia="Times New Roman" w:hAnsi="Times New Roman" w:cs="Times New Roman"/>
          <w:b/>
          <w:bCs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respectively.</w:t>
      </w:r>
    </w:p>
    <w:p w:rsidR="002E51DD" w:rsidRDefault="002E51DD" w:rsidP="002E51D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3272"/>
      </w:tblGrid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8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Reference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Estimate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0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MSY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14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0.32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0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20% 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-19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0.30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8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2012-2014 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15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0.28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19,853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20%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22,727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24,809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19,901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3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C</w:t>
            </w:r>
            <w:r>
              <w:rPr>
                <w:rFonts w:ascii="Calibri"/>
                <w:sz w:val="16"/>
              </w:rPr>
              <w:t>2012-2014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20,163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SPR</w:t>
            </w:r>
            <w:r>
              <w:rPr>
                <w:rFonts w:ascii="Calibri"/>
                <w:sz w:val="16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0.18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SPR</w:t>
            </w:r>
            <w:r>
              <w:rPr>
                <w:rFonts w:ascii="Calibri"/>
                <w:sz w:val="16"/>
              </w:rPr>
              <w:t>2012-2014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0.21</w:t>
            </w:r>
          </w:p>
        </w:tc>
      </w:tr>
    </w:tbl>
    <w:p w:rsidR="002E51DD" w:rsidRDefault="002E51DD" w:rsidP="002E51DD">
      <w:pPr>
        <w:spacing w:line="223" w:lineRule="exact"/>
        <w:ind w:left="100" w:right="7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  SSB values represent female spawning biomass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z w:val="20"/>
        </w:rPr>
        <w:t>only.</w:t>
      </w:r>
    </w:p>
    <w:p w:rsidR="002E51DD" w:rsidRDefault="002E51DD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pacing w:val="38"/>
          <w:sz w:val="24"/>
          <w:szCs w:val="24"/>
          <w:lang w:val="en-US"/>
        </w:rPr>
      </w:pPr>
    </w:p>
    <w:p w:rsidR="002E51DD" w:rsidRPr="002E51DD" w:rsidRDefault="002E51DD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z w:val="24"/>
          <w:szCs w:val="24"/>
          <w:lang w:val="en-US"/>
        </w:rPr>
      </w:pPr>
      <w:r w:rsidRPr="002E51DD">
        <w:rPr>
          <w:rFonts w:eastAsia="Times New Roman" w:cstheme="minorHAnsi"/>
          <w:sz w:val="24"/>
          <w:szCs w:val="24"/>
          <w:lang w:val="en-US"/>
        </w:rPr>
        <w:t>The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Kobe plot depicts the stock status relative to MSY-based reference points for the base</w:t>
      </w:r>
      <w:r w:rsidRPr="002E51DD">
        <w:rPr>
          <w:rFonts w:eastAsia="Times New Roman" w:cstheme="minorHAnsi"/>
          <w:spacing w:val="37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case</w:t>
      </w:r>
      <w:r w:rsidRPr="002E51DD">
        <w:rPr>
          <w:rFonts w:eastAsia="Times New Roman" w:cstheme="minorHAnsi"/>
          <w:spacing w:val="-1"/>
          <w:sz w:val="24"/>
          <w:szCs w:val="24"/>
          <w:lang w:val="en-US"/>
        </w:rPr>
        <w:t xml:space="preserve">  </w:t>
      </w:r>
      <w:r w:rsidRPr="002E51DD">
        <w:rPr>
          <w:rFonts w:eastAsia="Times New Roman" w:cstheme="minorHAnsi"/>
          <w:sz w:val="24"/>
          <w:szCs w:val="24"/>
          <w:lang w:val="en-US"/>
        </w:rPr>
        <w:t>model (Figure 7-12) and shows that spawning stock biomass decreased to roughly the MSY</w:t>
      </w:r>
      <w:r w:rsidRPr="002E51DD">
        <w:rPr>
          <w:rFonts w:eastAsia="Times New Roman" w:cstheme="minorHAnsi"/>
          <w:spacing w:val="-37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level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in the mid-2000s, and has increased slightly in recent years (Table 7-4 and Figure</w:t>
      </w:r>
      <w:r w:rsidRPr="002E51DD">
        <w:rPr>
          <w:rFonts w:eastAsia="Times New Roman" w:cstheme="minorHAnsi"/>
          <w:spacing w:val="-20"/>
          <w:sz w:val="24"/>
          <w:szCs w:val="24"/>
          <w:lang w:val="en-US"/>
        </w:rPr>
        <w:t xml:space="preserve"> </w:t>
      </w:r>
      <w:r w:rsidR="007E3977">
        <w:rPr>
          <w:rFonts w:eastAsia="Times New Roman" w:cstheme="minorHAnsi"/>
          <w:sz w:val="24"/>
          <w:szCs w:val="24"/>
          <w:lang w:val="en-US"/>
        </w:rPr>
        <w:t>7-11</w:t>
      </w:r>
      <w:r w:rsidRPr="002E51DD">
        <w:rPr>
          <w:rFonts w:eastAsia="Times New Roman" w:cstheme="minorHAnsi"/>
          <w:sz w:val="24"/>
          <w:szCs w:val="24"/>
          <w:lang w:val="en-US"/>
        </w:rPr>
        <w:t>).</w:t>
      </w:r>
    </w:p>
    <w:p w:rsidR="002E51DD" w:rsidRPr="002E51DD" w:rsidRDefault="002E51DD" w:rsidP="002E51DD">
      <w:pPr>
        <w:widowControl w:val="0"/>
        <w:spacing w:before="6" w:after="0" w:line="240" w:lineRule="auto"/>
        <w:rPr>
          <w:rFonts w:eastAsia="Times New Roman" w:cstheme="minorHAnsi"/>
          <w:sz w:val="21"/>
          <w:szCs w:val="21"/>
          <w:lang w:val="en-US"/>
        </w:rPr>
      </w:pPr>
    </w:p>
    <w:p w:rsidR="002E51DD" w:rsidRPr="002E51DD" w:rsidRDefault="002E51DD" w:rsidP="002E51DD">
      <w:pPr>
        <w:widowControl w:val="0"/>
        <w:spacing w:after="0" w:line="237" w:lineRule="auto"/>
        <w:ind w:left="100" w:right="125"/>
        <w:rPr>
          <w:rFonts w:eastAsia="Times New Roman" w:cstheme="minorHAnsi"/>
          <w:sz w:val="24"/>
          <w:szCs w:val="24"/>
          <w:lang w:val="en-US"/>
        </w:rPr>
      </w:pPr>
      <w:r w:rsidRPr="002E51DD">
        <w:rPr>
          <w:rFonts w:eastAsia="Calibri" w:cstheme="minorHAnsi"/>
          <w:sz w:val="24"/>
          <w:lang w:val="en-US"/>
        </w:rPr>
        <w:t>Based on the results of this 2016 stock assessment update, the Pacific blue marlin stock</w:t>
      </w:r>
      <w:r w:rsidRPr="002E51DD">
        <w:rPr>
          <w:rFonts w:eastAsia="Calibri" w:cstheme="minorHAnsi"/>
          <w:spacing w:val="-22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is not currently overfished and is not experiencing overfishing.</w:t>
      </w:r>
      <w:r w:rsidRPr="002E51DD">
        <w:rPr>
          <w:rFonts w:eastAsia="Calibri" w:cstheme="minorHAnsi"/>
          <w:b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Because Pacific blue marlin</w:t>
      </w:r>
      <w:r w:rsidRPr="002E51DD">
        <w:rPr>
          <w:rFonts w:eastAsia="Calibri" w:cstheme="minorHAnsi"/>
          <w:spacing w:val="-13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is mainly caught as bycatch, direct control of the annual catch amount through the setting of a</w:t>
      </w:r>
      <w:r w:rsidRPr="002E51DD">
        <w:rPr>
          <w:rFonts w:eastAsia="Calibri" w:cstheme="minorHAnsi"/>
          <w:spacing w:val="-20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total</w:t>
      </w:r>
      <w:r w:rsidRPr="002E51DD">
        <w:rPr>
          <w:rFonts w:eastAsia="Calibri" w:cstheme="minorHAnsi"/>
          <w:w w:val="99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allowable catch may be</w:t>
      </w:r>
      <w:r w:rsidRPr="002E51DD">
        <w:rPr>
          <w:rFonts w:eastAsia="Calibri" w:cstheme="minorHAnsi"/>
          <w:spacing w:val="-8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difficult.</w:t>
      </w:r>
      <w:r>
        <w:rPr>
          <w:rFonts w:eastAsia="Calibri" w:cstheme="minorHAnsi"/>
          <w:sz w:val="24"/>
          <w:lang w:val="en-US"/>
        </w:rPr>
        <w:t>”</w:t>
      </w:r>
    </w:p>
    <w:p w:rsidR="00152483" w:rsidRDefault="00152483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DE74C7" w:rsidRDefault="00DE74C7" w:rsidP="00DE74C7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E74C7" w:rsidRDefault="00DE74C7" w:rsidP="00DE74C7">
      <w:pPr>
        <w:spacing w:line="776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4"/>
          <w:sz w:val="20"/>
          <w:szCs w:val="20"/>
          <w:lang w:val="en-US"/>
        </w:rPr>
        <w:lastRenderedPageBreak/>
        <w:drawing>
          <wp:inline distT="0" distB="0" distL="0" distR="0" wp14:anchorId="2806FBA4" wp14:editId="2EF084BE">
            <wp:extent cx="5950596" cy="4932807"/>
            <wp:effectExtent l="0" t="0" r="0" b="0"/>
            <wp:docPr id="2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596" cy="493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4C7" w:rsidRDefault="00DE74C7" w:rsidP="00DE74C7">
      <w:pPr>
        <w:spacing w:before="41"/>
        <w:ind w:left="100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Figure 7-11. Time series of estimates of (a) population biomass (age 1+), (b) female spawning biomass,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recruitment (age-0 fish), and (d) instantaneous fishing mortality (average for age 2+, year-1) for</w:t>
      </w:r>
      <w:r>
        <w:rPr>
          <w:rFonts w:ascii="Times New Roman" w:eastAsia="Times New Roman" w:hAnsi="Times New Roman" w:cs="Times New Roman"/>
          <w:b/>
          <w:bCs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derived from the 2016 stock assessment update. The solid circles represents the maximum</w:t>
      </w:r>
      <w:r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likelihood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quantity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shadowed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represents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(±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standard deviation), except for the total biomass time series. The solid horizontal lines indicate the</w:t>
      </w:r>
      <w:r>
        <w:rPr>
          <w:rFonts w:ascii="Times New Roman" w:eastAsia="Times New Roman" w:hAnsi="Times New Roman" w:cs="Times New Roman"/>
          <w:b/>
          <w:bCs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MSY-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based reference points for spawning biomass and fishing</w:t>
      </w:r>
      <w:r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mortality.</w:t>
      </w:r>
    </w:p>
    <w:p w:rsidR="00DE74C7" w:rsidRDefault="00DE74C7" w:rsidP="00DE74C7">
      <w:pPr>
        <w:rPr>
          <w:rFonts w:ascii="Times New Roman" w:eastAsia="Times New Roman" w:hAnsi="Times New Roman" w:cs="Times New Roman"/>
          <w:sz w:val="20"/>
          <w:szCs w:val="20"/>
        </w:rPr>
        <w:sectPr w:rsidR="00DE74C7">
          <w:pgSz w:w="12240" w:h="15840"/>
          <w:pgMar w:top="1360" w:right="1420" w:bottom="840" w:left="1340" w:header="0" w:footer="631" w:gutter="0"/>
          <w:cols w:space="720"/>
        </w:sectPr>
      </w:pPr>
    </w:p>
    <w:p w:rsidR="00DE74C7" w:rsidRDefault="00DE74C7" w:rsidP="00DE74C7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E74C7" w:rsidRDefault="00DE74C7" w:rsidP="00DE74C7">
      <w:pPr>
        <w:spacing w:line="816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2"/>
          <w:sz w:val="20"/>
          <w:szCs w:val="20"/>
          <w:lang w:val="en-US"/>
        </w:rPr>
        <w:drawing>
          <wp:inline distT="0" distB="0" distL="0" distR="0" wp14:anchorId="5C212F69" wp14:editId="0024A671">
            <wp:extent cx="4830604" cy="5181600"/>
            <wp:effectExtent l="0" t="0" r="0" b="0"/>
            <wp:docPr id="2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604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4C7" w:rsidRDefault="00DE74C7" w:rsidP="00DE74C7">
      <w:pPr>
        <w:spacing w:before="2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E74C7" w:rsidRDefault="00DE74C7" w:rsidP="00DE74C7">
      <w:pPr>
        <w:spacing w:before="73"/>
        <w:ind w:left="100" w:right="1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Figure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7-12.</w:t>
      </w:r>
      <w:r>
        <w:rPr>
          <w:rFonts w:ascii="Times New Roman"/>
          <w:b/>
          <w:spacing w:val="-2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>Kobe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plot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time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series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estimates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relative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fishing mortality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(average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age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2+)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relative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spawning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stock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biomass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 BUM during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1971-2014.</w:t>
      </w:r>
      <w:proofErr w:type="gramEnd"/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dashed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lines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denote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95%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confidence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intervals for the estimates in the year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2014.</w:t>
      </w:r>
    </w:p>
    <w:p w:rsidR="00DE74C7" w:rsidRDefault="00DE74C7" w:rsidP="00DE74C7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DE74C7">
          <w:pgSz w:w="12240" w:h="15840"/>
          <w:pgMar w:top="1360" w:right="1720" w:bottom="840" w:left="1340" w:header="0" w:footer="631" w:gutter="0"/>
          <w:cols w:space="720"/>
        </w:sectPr>
      </w:pPr>
    </w:p>
    <w:p w:rsidR="00DE74C7" w:rsidRDefault="00DE74C7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993766" w:rsidRPr="00993766" w:rsidRDefault="00993766" w:rsidP="0099376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Management advice and implications</w:t>
      </w:r>
    </w:p>
    <w:p w:rsidR="00960554" w:rsidRDefault="00960554" w:rsidP="0096055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</w:t>
      </w:r>
      <w:r w:rsidRPr="00993766">
        <w:rPr>
          <w:rFonts w:asciiTheme="minorHAnsi" w:hAnsiTheme="minorHAnsi" w:cstheme="minorHAnsi"/>
        </w:rPr>
        <w:t xml:space="preserve"> noted the </w:t>
      </w:r>
      <w:r>
        <w:rPr>
          <w:rFonts w:asciiTheme="minorHAnsi" w:hAnsiTheme="minorHAnsi" w:cstheme="minorHAnsi"/>
        </w:rPr>
        <w:t>conservation advice</w:t>
      </w:r>
      <w:r w:rsidRPr="00993766">
        <w:rPr>
          <w:rFonts w:asciiTheme="minorHAnsi" w:hAnsiTheme="minorHAnsi" w:cstheme="minorHAnsi"/>
        </w:rPr>
        <w:t xml:space="preserve"> for Pacific </w:t>
      </w:r>
      <w:r w:rsidR="00D2367D">
        <w:rPr>
          <w:rFonts w:asciiTheme="minorHAnsi" w:hAnsiTheme="minorHAnsi" w:cstheme="minorHAnsi"/>
        </w:rPr>
        <w:t xml:space="preserve">blue marlin </w:t>
      </w:r>
      <w:bookmarkStart w:id="0" w:name="_GoBack"/>
      <w:bookmarkEnd w:id="0"/>
      <w:r>
        <w:rPr>
          <w:rFonts w:asciiTheme="minorHAnsi" w:hAnsiTheme="minorHAnsi" w:cstheme="minorHAnsi"/>
        </w:rPr>
        <w:t>provided by ISC in GN-IP-02 and SA-WP-12</w:t>
      </w:r>
      <w:r w:rsidRPr="00993766">
        <w:rPr>
          <w:rFonts w:asciiTheme="minorHAnsi" w:hAnsiTheme="minorHAnsi" w:cstheme="minorHAnsi"/>
        </w:rPr>
        <w:t>:</w:t>
      </w:r>
    </w:p>
    <w:p w:rsidR="00210EA2" w:rsidRPr="00210EA2" w:rsidRDefault="00210EA2" w:rsidP="00210EA2">
      <w:pPr>
        <w:rPr>
          <w:rFonts w:cstheme="minorHAnsi"/>
        </w:rPr>
      </w:pPr>
    </w:p>
    <w:p w:rsidR="00F21CD0" w:rsidRPr="00210EA2" w:rsidRDefault="00210EA2">
      <w:r>
        <w:rPr>
          <w:rFonts w:cstheme="minorHAnsi"/>
        </w:rPr>
        <w:t>“</w:t>
      </w:r>
      <w:r w:rsidRPr="00210EA2">
        <w:rPr>
          <w:rFonts w:cstheme="minorHAnsi"/>
        </w:rPr>
        <w:t>Since the stock is nearly full exploited, the ISC recommends that fishing mortality remain at or below current levels (2012-2014).</w:t>
      </w:r>
      <w:r>
        <w:rPr>
          <w:rFonts w:cstheme="minorHAnsi"/>
        </w:rPr>
        <w:t>”</w:t>
      </w:r>
    </w:p>
    <w:sectPr w:rsidR="00F21CD0" w:rsidRPr="0021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A0" w:rsidRDefault="00A97FA0">
      <w:pPr>
        <w:spacing w:after="0" w:line="240" w:lineRule="auto"/>
      </w:pPr>
      <w:r>
        <w:separator/>
      </w:r>
    </w:p>
  </w:endnote>
  <w:endnote w:type="continuationSeparator" w:id="0">
    <w:p w:rsidR="00A97FA0" w:rsidRDefault="00A9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85" w:rsidRDefault="00A97F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05pt;margin-top:550.45pt;width:14pt;height:14pt;z-index:-251658752;mso-position-horizontal-relative:page;mso-position-vertical-relative:page" filled="f" stroked="f">
          <v:textbox inset="0,0,0,0">
            <w:txbxContent>
              <w:p w:rsidR="00314485" w:rsidRDefault="00210EA2">
                <w:pPr>
                  <w:pStyle w:val="BodyText"/>
                  <w:spacing w:line="265" w:lineRule="exact"/>
                  <w:ind w:left="20"/>
                </w:pPr>
                <w:r>
                  <w:t>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A0" w:rsidRDefault="00A97FA0">
      <w:pPr>
        <w:spacing w:after="0" w:line="240" w:lineRule="auto"/>
      </w:pPr>
      <w:r>
        <w:separator/>
      </w:r>
    </w:p>
  </w:footnote>
  <w:footnote w:type="continuationSeparator" w:id="0">
    <w:p w:rsidR="00A97FA0" w:rsidRDefault="00A9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0362"/>
    <w:multiLevelType w:val="hybridMultilevel"/>
    <w:tmpl w:val="5B32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>
      <w:start w:val="1"/>
      <w:numFmt w:val="lowerLetter"/>
      <w:lvlText w:val="%5."/>
      <w:lvlJc w:val="left"/>
      <w:pPr>
        <w:ind w:left="2880" w:hanging="360"/>
      </w:pPr>
    </w:lvl>
    <w:lvl w:ilvl="5" w:tplc="0C09001B">
      <w:start w:val="1"/>
      <w:numFmt w:val="lowerRoman"/>
      <w:lvlText w:val="%6."/>
      <w:lvlJc w:val="right"/>
      <w:pPr>
        <w:ind w:left="3600" w:hanging="180"/>
      </w:pPr>
    </w:lvl>
    <w:lvl w:ilvl="6" w:tplc="0C09000F">
      <w:start w:val="1"/>
      <w:numFmt w:val="decimal"/>
      <w:lvlText w:val="%7."/>
      <w:lvlJc w:val="left"/>
      <w:pPr>
        <w:ind w:left="4320" w:hanging="360"/>
      </w:pPr>
    </w:lvl>
    <w:lvl w:ilvl="7" w:tplc="0C090019">
      <w:start w:val="1"/>
      <w:numFmt w:val="lowerLetter"/>
      <w:lvlText w:val="%8."/>
      <w:lvlJc w:val="left"/>
      <w:pPr>
        <w:ind w:left="5040" w:hanging="360"/>
      </w:pPr>
    </w:lvl>
    <w:lvl w:ilvl="8" w:tplc="0C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0"/>
    <w:rsid w:val="00074F76"/>
    <w:rsid w:val="000B4154"/>
    <w:rsid w:val="00152483"/>
    <w:rsid w:val="001F0887"/>
    <w:rsid w:val="00210EA2"/>
    <w:rsid w:val="00271BA0"/>
    <w:rsid w:val="002E51DD"/>
    <w:rsid w:val="00316B96"/>
    <w:rsid w:val="003929F5"/>
    <w:rsid w:val="004309C7"/>
    <w:rsid w:val="00441F63"/>
    <w:rsid w:val="004431BA"/>
    <w:rsid w:val="0047468B"/>
    <w:rsid w:val="004779D6"/>
    <w:rsid w:val="00534B1C"/>
    <w:rsid w:val="0060555F"/>
    <w:rsid w:val="006114B7"/>
    <w:rsid w:val="00784598"/>
    <w:rsid w:val="00794EFB"/>
    <w:rsid w:val="007E3977"/>
    <w:rsid w:val="0088206F"/>
    <w:rsid w:val="00893E56"/>
    <w:rsid w:val="009008E0"/>
    <w:rsid w:val="00953A5D"/>
    <w:rsid w:val="00960554"/>
    <w:rsid w:val="00983C1C"/>
    <w:rsid w:val="00993766"/>
    <w:rsid w:val="00A059AB"/>
    <w:rsid w:val="00A97FA0"/>
    <w:rsid w:val="00AC7D13"/>
    <w:rsid w:val="00AF7EC2"/>
    <w:rsid w:val="00B20861"/>
    <w:rsid w:val="00D2367D"/>
    <w:rsid w:val="00DE74C7"/>
    <w:rsid w:val="00DF3DFA"/>
    <w:rsid w:val="00E00A32"/>
    <w:rsid w:val="00E66DBB"/>
    <w:rsid w:val="00F21CD0"/>
    <w:rsid w:val="00F56F32"/>
    <w:rsid w:val="00FD2D2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  <w:style w:type="paragraph" w:styleId="BodyText">
    <w:name w:val="Body Text"/>
    <w:basedOn w:val="Normal"/>
    <w:link w:val="BodyTextChar"/>
    <w:uiPriority w:val="1"/>
    <w:qFormat/>
    <w:rsid w:val="002E51DD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51D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51DD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  <w:style w:type="paragraph" w:styleId="BodyText">
    <w:name w:val="Body Text"/>
    <w:basedOn w:val="Normal"/>
    <w:link w:val="BodyTextChar"/>
    <w:uiPriority w:val="1"/>
    <w:qFormat/>
    <w:rsid w:val="002E51DD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51D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51DD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Adams</dc:creator>
  <cp:lastModifiedBy>Anthony J. Beeching</cp:lastModifiedBy>
  <cp:revision>2</cp:revision>
  <dcterms:created xsi:type="dcterms:W3CDTF">2016-08-10T19:12:00Z</dcterms:created>
  <dcterms:modified xsi:type="dcterms:W3CDTF">2016-08-10T19:12:00Z</dcterms:modified>
</cp:coreProperties>
</file>