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D13" w:rsidRPr="0047656C" w:rsidRDefault="00B52D13" w:rsidP="00B52D13">
      <w:pPr>
        <w:pStyle w:val="Heading4"/>
        <w:snapToGrid w:val="0"/>
        <w:rPr>
          <w:rFonts w:asciiTheme="minorHAnsi" w:hAnsiTheme="minorHAnsi" w:cstheme="minorHAnsi"/>
          <w:color w:val="auto"/>
          <w:sz w:val="32"/>
          <w:szCs w:val="32"/>
        </w:rPr>
      </w:pPr>
      <w:bookmarkStart w:id="0" w:name="_GoBack"/>
      <w:bookmarkEnd w:id="0"/>
      <w:r w:rsidRPr="0047656C">
        <w:rPr>
          <w:rFonts w:asciiTheme="minorHAnsi" w:hAnsiTheme="minorHAnsi" w:cstheme="minorHAnsi"/>
          <w:color w:val="auto"/>
          <w:sz w:val="32"/>
          <w:szCs w:val="32"/>
        </w:rPr>
        <w:t xml:space="preserve">South Pacific </w:t>
      </w:r>
      <w:r w:rsidR="005F0A7A">
        <w:rPr>
          <w:rFonts w:asciiTheme="minorHAnsi" w:hAnsiTheme="minorHAnsi" w:cstheme="minorHAnsi"/>
          <w:color w:val="auto"/>
          <w:sz w:val="32"/>
          <w:szCs w:val="32"/>
        </w:rPr>
        <w:t>A</w:t>
      </w:r>
      <w:r w:rsidRPr="0047656C">
        <w:rPr>
          <w:rFonts w:asciiTheme="minorHAnsi" w:hAnsiTheme="minorHAnsi" w:cstheme="minorHAnsi"/>
          <w:color w:val="auto"/>
          <w:sz w:val="32"/>
          <w:szCs w:val="32"/>
        </w:rPr>
        <w:t xml:space="preserve">lbacore </w:t>
      </w:r>
      <w:r w:rsidR="005F0A7A">
        <w:rPr>
          <w:rFonts w:asciiTheme="minorHAnsi" w:hAnsiTheme="minorHAnsi" w:cstheme="minorHAnsi"/>
          <w:color w:val="auto"/>
          <w:sz w:val="32"/>
          <w:szCs w:val="32"/>
        </w:rPr>
        <w:t>T</w:t>
      </w:r>
      <w:r w:rsidRPr="0047656C">
        <w:rPr>
          <w:rFonts w:asciiTheme="minorHAnsi" w:hAnsiTheme="minorHAnsi" w:cstheme="minorHAnsi"/>
          <w:color w:val="auto"/>
          <w:sz w:val="32"/>
          <w:szCs w:val="32"/>
        </w:rPr>
        <w:t>una</w:t>
      </w:r>
      <w:r w:rsidR="005F0A7A">
        <w:rPr>
          <w:rFonts w:asciiTheme="minorHAnsi" w:hAnsiTheme="minorHAnsi" w:cstheme="minorHAnsi"/>
          <w:color w:val="auto"/>
          <w:sz w:val="32"/>
          <w:szCs w:val="32"/>
        </w:rPr>
        <w:t xml:space="preserve"> (Thunnus </w:t>
      </w:r>
      <w:proofErr w:type="spellStart"/>
      <w:r w:rsidR="005F0A7A">
        <w:rPr>
          <w:rFonts w:asciiTheme="minorHAnsi" w:hAnsiTheme="minorHAnsi" w:cstheme="minorHAnsi"/>
          <w:color w:val="auto"/>
          <w:sz w:val="32"/>
          <w:szCs w:val="32"/>
        </w:rPr>
        <w:t>alalunga</w:t>
      </w:r>
      <w:proofErr w:type="spellEnd"/>
      <w:r w:rsidR="005F0A7A">
        <w:rPr>
          <w:rFonts w:asciiTheme="minorHAnsi" w:hAnsiTheme="minorHAnsi" w:cstheme="minorHAnsi"/>
          <w:color w:val="auto"/>
          <w:sz w:val="32"/>
          <w:szCs w:val="32"/>
        </w:rPr>
        <w:t>)</w:t>
      </w:r>
    </w:p>
    <w:p w:rsidR="003B4FCB" w:rsidRPr="003F33A0" w:rsidRDefault="00B52D13" w:rsidP="003F33A0">
      <w:pPr>
        <w:pStyle w:val="Heading4"/>
        <w:snapToGrid w:val="0"/>
        <w:rPr>
          <w:rFonts w:asciiTheme="minorHAnsi" w:hAnsiTheme="minorHAnsi" w:cstheme="minorHAnsi"/>
          <w:color w:val="auto"/>
          <w:sz w:val="32"/>
          <w:szCs w:val="32"/>
        </w:rPr>
      </w:pPr>
      <w:r w:rsidRPr="0047656C">
        <w:rPr>
          <w:rFonts w:asciiTheme="minorHAnsi" w:hAnsiTheme="minorHAnsi" w:cstheme="minorHAnsi"/>
          <w:color w:val="auto"/>
          <w:sz w:val="32"/>
          <w:szCs w:val="32"/>
        </w:rPr>
        <w:t>Provision of scientific information</w:t>
      </w:r>
    </w:p>
    <w:p w:rsidR="00EE2E97" w:rsidRDefault="00EE2E97" w:rsidP="00B52D13">
      <w:pPr>
        <w:pStyle w:val="Default"/>
        <w:snapToGrid w:val="0"/>
        <w:rPr>
          <w:rFonts w:asciiTheme="minorHAnsi" w:hAnsiTheme="minorHAnsi" w:cstheme="minorHAnsi"/>
          <w:color w:val="auto"/>
          <w:sz w:val="22"/>
          <w:szCs w:val="22"/>
        </w:rPr>
      </w:pPr>
    </w:p>
    <w:p w:rsidR="00B52D13" w:rsidRPr="00A27E65" w:rsidRDefault="00D40768" w:rsidP="00B52D13">
      <w:pPr>
        <w:pStyle w:val="Heading5"/>
        <w:snapToGrid w:val="0"/>
        <w:rPr>
          <w:rFonts w:asciiTheme="minorHAnsi" w:hAnsiTheme="minorHAnsi" w:cstheme="minorHAnsi"/>
          <w:color w:val="auto"/>
          <w:sz w:val="32"/>
          <w:szCs w:val="32"/>
        </w:rPr>
      </w:pPr>
      <w:r w:rsidRPr="00A27E65">
        <w:rPr>
          <w:rFonts w:asciiTheme="minorHAnsi" w:hAnsiTheme="minorHAnsi" w:cstheme="minorHAnsi"/>
          <w:color w:val="auto"/>
          <w:sz w:val="32"/>
          <w:szCs w:val="32"/>
        </w:rPr>
        <w:t xml:space="preserve">Draft </w:t>
      </w:r>
      <w:r w:rsidR="00B52D13" w:rsidRPr="00A27E65">
        <w:rPr>
          <w:rFonts w:asciiTheme="minorHAnsi" w:hAnsiTheme="minorHAnsi" w:cstheme="minorHAnsi"/>
          <w:color w:val="auto"/>
          <w:sz w:val="32"/>
          <w:szCs w:val="32"/>
        </w:rPr>
        <w:t>Status and trends</w:t>
      </w:r>
    </w:p>
    <w:p w:rsidR="0016567F" w:rsidRDefault="0016567F" w:rsidP="00B52D13">
      <w:pPr>
        <w:pStyle w:val="PlainText"/>
        <w:adjustRightInd w:val="0"/>
        <w:snapToGrid w:val="0"/>
        <w:rPr>
          <w:rFonts w:asciiTheme="minorHAnsi" w:hAnsiTheme="minorHAnsi" w:cstheme="minorHAnsi"/>
          <w:sz w:val="22"/>
          <w:szCs w:val="22"/>
        </w:rPr>
      </w:pPr>
    </w:p>
    <w:p w:rsidR="0047656C" w:rsidRDefault="0016567F">
      <w:pPr>
        <w:pStyle w:val="Heading3"/>
        <w:spacing w:before="44" w:line="242" w:lineRule="auto"/>
        <w:ind w:right="103"/>
        <w:jc w:val="both"/>
        <w:rPr>
          <w:rFonts w:eastAsiaTheme="minorEastAsia" w:cstheme="minorHAnsi"/>
          <w:sz w:val="24"/>
          <w:szCs w:val="24"/>
          <w:lang w:val="en-NZ" w:eastAsia="en-NZ"/>
        </w:rPr>
      </w:pPr>
      <w:r w:rsidRPr="00FC1406">
        <w:rPr>
          <w:rFonts w:eastAsiaTheme="minorEastAsia" w:cstheme="minorHAnsi"/>
          <w:sz w:val="24"/>
          <w:szCs w:val="24"/>
          <w:lang w:val="en-NZ" w:eastAsia="en-NZ"/>
        </w:rPr>
        <w:t xml:space="preserve">SC12 noted that no stock assessment was conducted for South Pacific albacore tuna in 2016. Therefore, the stock status description from SC11 is still current. For further information on the stock status and trends from SC11, please see </w:t>
      </w:r>
      <w:r w:rsidRPr="003F33A0">
        <w:rPr>
          <w:rFonts w:eastAsiaTheme="minorEastAsia" w:cstheme="minorHAnsi"/>
          <w:sz w:val="24"/>
          <w:szCs w:val="24"/>
          <w:lang w:val="en-NZ" w:eastAsia="en-NZ"/>
        </w:rPr>
        <w:t>INSERT URL FOR SC11 REPORT HERE</w:t>
      </w:r>
      <w:r w:rsidR="0098655B" w:rsidRPr="003F33A0">
        <w:rPr>
          <w:rFonts w:eastAsiaTheme="minorEastAsia" w:cstheme="minorHAnsi"/>
          <w:sz w:val="24"/>
          <w:szCs w:val="24"/>
          <w:lang w:val="en-NZ" w:eastAsia="en-NZ"/>
        </w:rPr>
        <w:t>.</w:t>
      </w:r>
      <w:r w:rsidR="00FC1406" w:rsidRPr="003F33A0">
        <w:rPr>
          <w:rFonts w:eastAsiaTheme="minorEastAsia" w:cstheme="minorHAnsi"/>
          <w:sz w:val="24"/>
          <w:szCs w:val="24"/>
          <w:lang w:val="en-NZ" w:eastAsia="en-NZ"/>
        </w:rPr>
        <w:t xml:space="preserve"> </w:t>
      </w:r>
    </w:p>
    <w:p w:rsidR="003F33A0" w:rsidRPr="00FC1406" w:rsidRDefault="003F33A0">
      <w:pPr>
        <w:pStyle w:val="Heading3"/>
        <w:spacing w:before="44" w:line="242" w:lineRule="auto"/>
        <w:ind w:right="103"/>
        <w:jc w:val="both"/>
        <w:rPr>
          <w:rFonts w:asciiTheme="minorHAnsi" w:hAnsiTheme="minorHAnsi" w:cstheme="minorHAnsi"/>
        </w:rPr>
      </w:pPr>
    </w:p>
    <w:p w:rsidR="0047656C" w:rsidRPr="00A27E65" w:rsidRDefault="0047656C" w:rsidP="0047656C">
      <w:pPr>
        <w:pStyle w:val="Default"/>
        <w:snapToGrid w:val="0"/>
        <w:rPr>
          <w:rFonts w:asciiTheme="minorHAnsi" w:hAnsiTheme="minorHAnsi" w:cstheme="minorHAnsi"/>
          <w:color w:val="auto"/>
          <w:sz w:val="32"/>
          <w:szCs w:val="32"/>
        </w:rPr>
      </w:pPr>
      <w:r w:rsidRPr="00A27E65">
        <w:rPr>
          <w:rFonts w:asciiTheme="minorHAnsi" w:hAnsiTheme="minorHAnsi" w:cstheme="minorHAnsi"/>
          <w:color w:val="auto"/>
          <w:sz w:val="32"/>
          <w:szCs w:val="32"/>
        </w:rPr>
        <w:t>Draft Management advice and implications</w:t>
      </w:r>
    </w:p>
    <w:p w:rsidR="0047656C" w:rsidRPr="0047656C" w:rsidRDefault="0047656C" w:rsidP="0047656C">
      <w:pPr>
        <w:pStyle w:val="Default"/>
        <w:snapToGrid w:val="0"/>
        <w:rPr>
          <w:rFonts w:asciiTheme="minorHAnsi" w:hAnsiTheme="minorHAnsi" w:cstheme="minorHAnsi"/>
          <w:color w:val="auto"/>
          <w:sz w:val="22"/>
          <w:szCs w:val="22"/>
        </w:rPr>
      </w:pPr>
    </w:p>
    <w:p w:rsidR="004E594C" w:rsidRPr="00AF352B" w:rsidRDefault="0047656C" w:rsidP="00D40768">
      <w:pPr>
        <w:pStyle w:val="Default"/>
        <w:numPr>
          <w:ilvl w:val="0"/>
          <w:numId w:val="8"/>
        </w:numPr>
        <w:snapToGrid w:val="0"/>
        <w:jc w:val="both"/>
        <w:rPr>
          <w:rFonts w:asciiTheme="minorHAnsi" w:hAnsiTheme="minorHAnsi" w:cstheme="minorHAnsi"/>
          <w:color w:val="auto"/>
          <w:lang w:val="en-AU"/>
        </w:rPr>
      </w:pPr>
      <w:r w:rsidRPr="006B2388">
        <w:rPr>
          <w:rFonts w:asciiTheme="minorHAnsi" w:hAnsiTheme="minorHAnsi" w:cstheme="minorHAnsi"/>
          <w:color w:val="auto"/>
          <w:lang w:val="en-AU"/>
        </w:rPr>
        <w:t>SC12 noted that no management advice has been provided since SC11. Therefore, the advice from SC11 should be maintained</w:t>
      </w:r>
      <w:r w:rsidR="00D40768" w:rsidRPr="006B2388">
        <w:rPr>
          <w:rFonts w:asciiTheme="minorHAnsi" w:hAnsiTheme="minorHAnsi" w:cstheme="minorHAnsi"/>
          <w:color w:val="auto"/>
          <w:lang w:val="en-AU"/>
        </w:rPr>
        <w:t xml:space="preserve">, noting that </w:t>
      </w:r>
      <w:r w:rsidR="004E594C" w:rsidRPr="006B2388">
        <w:rPr>
          <w:rFonts w:asciiTheme="minorHAnsi" w:hAnsiTheme="minorHAnsi" w:cstheme="minorHAnsi"/>
          <w:color w:val="auto"/>
        </w:rPr>
        <w:t>the results of the indicator analyses supported the stock status results</w:t>
      </w:r>
      <w:r w:rsidR="00391DA4" w:rsidRPr="006B2388">
        <w:rPr>
          <w:rFonts w:asciiTheme="minorHAnsi" w:hAnsiTheme="minorHAnsi" w:cstheme="minorHAnsi"/>
          <w:color w:val="auto"/>
        </w:rPr>
        <w:t xml:space="preserve"> for South Pacific albacore that were obtained</w:t>
      </w:r>
      <w:r w:rsidR="004E594C" w:rsidRPr="006B2388">
        <w:rPr>
          <w:rFonts w:asciiTheme="minorHAnsi" w:hAnsiTheme="minorHAnsi" w:cstheme="minorHAnsi"/>
          <w:color w:val="auto"/>
        </w:rPr>
        <w:t xml:space="preserve"> from the 2015 assessment.</w:t>
      </w:r>
    </w:p>
    <w:p w:rsidR="00AF352B" w:rsidRPr="006B2388" w:rsidRDefault="00AF352B" w:rsidP="00AF352B">
      <w:pPr>
        <w:pStyle w:val="Default"/>
        <w:snapToGrid w:val="0"/>
        <w:ind w:left="720"/>
        <w:jc w:val="both"/>
        <w:rPr>
          <w:rFonts w:asciiTheme="minorHAnsi" w:hAnsiTheme="minorHAnsi" w:cstheme="minorHAnsi"/>
          <w:color w:val="auto"/>
          <w:lang w:val="en-AU"/>
        </w:rPr>
      </w:pPr>
    </w:p>
    <w:p w:rsidR="00172ABB" w:rsidRDefault="00172ABB" w:rsidP="00172ABB">
      <w:pPr>
        <w:pStyle w:val="Default"/>
        <w:numPr>
          <w:ilvl w:val="0"/>
          <w:numId w:val="7"/>
        </w:numPr>
        <w:snapToGrid w:val="0"/>
        <w:jc w:val="both"/>
        <w:rPr>
          <w:rFonts w:asciiTheme="minorHAnsi" w:hAnsiTheme="minorHAnsi" w:cstheme="minorHAnsi"/>
        </w:rPr>
      </w:pPr>
      <w:r w:rsidRPr="00172ABB">
        <w:rPr>
          <w:rFonts w:asciiTheme="minorHAnsi" w:hAnsiTheme="minorHAnsi" w:cstheme="minorHAnsi"/>
        </w:rPr>
        <w:t>SC12 noted that the total south Pacific albacore catch in 2015 was 68,594 mt, 16% lower than both the catch in 2014 and the average catch for 2010-14.</w:t>
      </w:r>
    </w:p>
    <w:p w:rsidR="00172ABB" w:rsidRDefault="00172ABB" w:rsidP="00172ABB">
      <w:pPr>
        <w:pStyle w:val="Default"/>
        <w:snapToGrid w:val="0"/>
        <w:ind w:left="821"/>
        <w:jc w:val="both"/>
        <w:rPr>
          <w:rFonts w:asciiTheme="minorHAnsi" w:hAnsiTheme="minorHAnsi" w:cstheme="minorHAnsi"/>
        </w:rPr>
      </w:pPr>
    </w:p>
    <w:p w:rsidR="00D42717" w:rsidRDefault="00D42717" w:rsidP="00D42717">
      <w:pPr>
        <w:pStyle w:val="Heading3"/>
        <w:numPr>
          <w:ilvl w:val="0"/>
          <w:numId w:val="7"/>
        </w:numPr>
        <w:spacing w:before="44" w:line="242" w:lineRule="auto"/>
        <w:ind w:right="103"/>
        <w:jc w:val="both"/>
        <w:rPr>
          <w:rFonts w:asciiTheme="minorHAnsi" w:eastAsiaTheme="minorEastAsia" w:hAnsiTheme="minorHAnsi" w:cstheme="minorHAnsi"/>
          <w:b w:val="0"/>
          <w:bCs w:val="0"/>
          <w:sz w:val="24"/>
          <w:szCs w:val="24"/>
          <w:lang w:val="en-NZ" w:eastAsia="en-NZ"/>
        </w:rPr>
      </w:pPr>
      <w:r w:rsidRPr="00D42717">
        <w:rPr>
          <w:rFonts w:asciiTheme="minorHAnsi" w:eastAsiaTheme="minorEastAsia" w:hAnsiTheme="minorHAnsi" w:cstheme="minorHAnsi"/>
          <w:b w:val="0"/>
          <w:bCs w:val="0"/>
          <w:sz w:val="24"/>
          <w:szCs w:val="24"/>
          <w:lang w:val="en-NZ" w:eastAsia="en-NZ"/>
        </w:rPr>
        <w:t xml:space="preserve">Longline south Pacific albacore catch in 2015 was 17% lower than that in 2014, while troll catch in 2015 was 16% higher than that in 2014. </w:t>
      </w:r>
    </w:p>
    <w:p w:rsidR="00D42717" w:rsidRDefault="00D42717" w:rsidP="00D42717">
      <w:pPr>
        <w:pStyle w:val="ListParagraph"/>
        <w:rPr>
          <w:rFonts w:eastAsiaTheme="minorEastAsia" w:cstheme="minorHAnsi"/>
          <w:b/>
          <w:bCs/>
          <w:sz w:val="24"/>
          <w:szCs w:val="24"/>
          <w:lang w:val="en-NZ" w:eastAsia="en-NZ"/>
        </w:rPr>
      </w:pPr>
    </w:p>
    <w:p w:rsidR="00D42717" w:rsidRDefault="00D42717" w:rsidP="00D42717">
      <w:pPr>
        <w:pStyle w:val="Heading3"/>
        <w:numPr>
          <w:ilvl w:val="0"/>
          <w:numId w:val="7"/>
        </w:numPr>
        <w:spacing w:before="44" w:line="242" w:lineRule="auto"/>
        <w:ind w:right="103"/>
        <w:jc w:val="both"/>
        <w:rPr>
          <w:rFonts w:asciiTheme="minorHAnsi" w:eastAsiaTheme="minorEastAsia" w:hAnsiTheme="minorHAnsi" w:cstheme="minorHAnsi"/>
          <w:b w:val="0"/>
          <w:bCs w:val="0"/>
          <w:sz w:val="24"/>
          <w:szCs w:val="24"/>
          <w:lang w:val="en-NZ" w:eastAsia="en-NZ"/>
        </w:rPr>
      </w:pPr>
      <w:r w:rsidRPr="00D42717">
        <w:rPr>
          <w:rFonts w:asciiTheme="minorHAnsi" w:eastAsiaTheme="minorEastAsia" w:hAnsiTheme="minorHAnsi" w:cstheme="minorHAnsi"/>
          <w:b w:val="0"/>
          <w:bCs w:val="0"/>
          <w:sz w:val="24"/>
          <w:szCs w:val="24"/>
          <w:lang w:val="en-NZ" w:eastAsia="en-NZ"/>
        </w:rPr>
        <w:t>SC12 considered an update of trends in South Pacific albacore fisheries (SA-WP-06) and noted that there had been some small reductions in southern longline effort in 2014 compared to 2013, but 2015 effort levels are currently considered uncertain. Status quo projections were calculated, assuming current southern longline and troll fishery effort would continue into the future at levels equal to those seen in 2014 (based on the information available to SPC as at 2nd June 2016). Potential future adult (spawning) biomass levels relative to unfished levels were examined, and the probability that the south Pacific albacore stock may fall below the biomass Limit Reference Point was calculated</w:t>
      </w:r>
    </w:p>
    <w:p w:rsidR="000B1546" w:rsidRDefault="000B1546" w:rsidP="000B1546">
      <w:pPr>
        <w:pStyle w:val="ListParagraph"/>
        <w:rPr>
          <w:rFonts w:eastAsiaTheme="minorEastAsia" w:cstheme="minorHAnsi"/>
          <w:b/>
          <w:bCs/>
          <w:sz w:val="24"/>
          <w:szCs w:val="24"/>
          <w:lang w:val="en-NZ" w:eastAsia="en-NZ"/>
        </w:rPr>
      </w:pPr>
    </w:p>
    <w:p w:rsidR="00D42717" w:rsidRPr="000B1546" w:rsidRDefault="00D42717" w:rsidP="000B1546">
      <w:pPr>
        <w:pStyle w:val="Heading3"/>
        <w:numPr>
          <w:ilvl w:val="0"/>
          <w:numId w:val="7"/>
        </w:numPr>
        <w:spacing w:before="44" w:line="242" w:lineRule="auto"/>
        <w:ind w:right="103"/>
        <w:jc w:val="both"/>
        <w:rPr>
          <w:rFonts w:asciiTheme="minorHAnsi" w:eastAsiaTheme="minorEastAsia" w:hAnsiTheme="minorHAnsi" w:cstheme="minorHAnsi"/>
          <w:b w:val="0"/>
          <w:bCs w:val="0"/>
          <w:sz w:val="24"/>
          <w:szCs w:val="24"/>
          <w:lang w:val="en-NZ" w:eastAsia="en-NZ"/>
        </w:rPr>
      </w:pPr>
      <w:r w:rsidRPr="000B1546">
        <w:rPr>
          <w:rFonts w:asciiTheme="minorHAnsi" w:eastAsiaTheme="minorEastAsia" w:hAnsiTheme="minorHAnsi" w:cstheme="minorHAnsi"/>
          <w:b w:val="0"/>
          <w:bCs w:val="0"/>
          <w:sz w:val="24"/>
          <w:szCs w:val="24"/>
          <w:lang w:val="en-NZ" w:eastAsia="en-NZ"/>
        </w:rPr>
        <w:t xml:space="preserve">If 2014 fishing effort levels continue into the future, the stock is predicted to continue to decline on average, falling to SB/SBF=0 = 0.32 in 2033. The risk of falling below the LRP was estimated to be 19% (approximately a 1 in 5 chance). Furthermore, the CPUE was estimated to decline by 14% from 2013 levels. </w:t>
      </w:r>
    </w:p>
    <w:p w:rsidR="00D42717" w:rsidRPr="00D42717" w:rsidRDefault="00D42717" w:rsidP="00D42717">
      <w:pPr>
        <w:pStyle w:val="Heading3"/>
        <w:spacing w:before="44" w:line="242" w:lineRule="auto"/>
        <w:ind w:right="103"/>
        <w:jc w:val="both"/>
        <w:rPr>
          <w:rFonts w:asciiTheme="minorHAnsi" w:eastAsiaTheme="minorEastAsia" w:hAnsiTheme="minorHAnsi" w:cstheme="minorHAnsi"/>
          <w:b w:val="0"/>
          <w:bCs w:val="0"/>
          <w:sz w:val="24"/>
          <w:szCs w:val="24"/>
          <w:lang w:val="en-NZ" w:eastAsia="en-NZ"/>
        </w:rPr>
      </w:pPr>
    </w:p>
    <w:p w:rsidR="00D42717" w:rsidRDefault="00D42717" w:rsidP="000B1546">
      <w:pPr>
        <w:pStyle w:val="Heading3"/>
        <w:spacing w:before="44" w:line="242" w:lineRule="auto"/>
        <w:ind w:right="103"/>
        <w:jc w:val="both"/>
        <w:rPr>
          <w:rFonts w:asciiTheme="minorHAnsi" w:eastAsiaTheme="minorEastAsia" w:hAnsiTheme="minorHAnsi" w:cstheme="minorHAnsi"/>
          <w:b w:val="0"/>
          <w:bCs w:val="0"/>
          <w:sz w:val="24"/>
          <w:szCs w:val="24"/>
          <w:lang w:val="en-NZ" w:eastAsia="en-NZ"/>
        </w:rPr>
      </w:pPr>
      <w:r w:rsidRPr="00D42717">
        <w:rPr>
          <w:rFonts w:asciiTheme="minorHAnsi" w:eastAsiaTheme="minorEastAsia" w:hAnsiTheme="minorHAnsi" w:cstheme="minorHAnsi"/>
          <w:b w:val="0"/>
          <w:bCs w:val="0"/>
          <w:sz w:val="24"/>
          <w:szCs w:val="24"/>
          <w:lang w:val="en-NZ" w:eastAsia="en-NZ"/>
        </w:rPr>
        <w:lastRenderedPageBreak/>
        <w:t xml:space="preserve"> </w:t>
      </w:r>
      <w:r w:rsidRPr="00D42717">
        <w:rPr>
          <w:noProof/>
        </w:rPr>
        <w:drawing>
          <wp:inline distT="0" distB="0" distL="0" distR="0" wp14:anchorId="653FBAC7" wp14:editId="58ED422D">
            <wp:extent cx="4321458" cy="3311236"/>
            <wp:effectExtent l="0" t="0" r="3175"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21772" cy="3311476"/>
                    </a:xfrm>
                    <a:prstGeom prst="rect">
                      <a:avLst/>
                    </a:prstGeom>
                    <a:noFill/>
                    <a:ln>
                      <a:noFill/>
                    </a:ln>
                  </pic:spPr>
                </pic:pic>
              </a:graphicData>
            </a:graphic>
          </wp:inline>
        </w:drawing>
      </w:r>
    </w:p>
    <w:p w:rsidR="000B1546" w:rsidRPr="00D42717" w:rsidRDefault="000B1546" w:rsidP="000B1546">
      <w:pPr>
        <w:pStyle w:val="Heading3"/>
        <w:spacing w:before="44" w:line="242" w:lineRule="auto"/>
        <w:ind w:right="103"/>
        <w:jc w:val="both"/>
        <w:rPr>
          <w:rFonts w:asciiTheme="minorHAnsi" w:eastAsiaTheme="minorEastAsia" w:hAnsiTheme="minorHAnsi" w:cstheme="minorHAnsi"/>
          <w:b w:val="0"/>
          <w:bCs w:val="0"/>
          <w:sz w:val="24"/>
          <w:szCs w:val="24"/>
          <w:lang w:val="en-NZ" w:eastAsia="en-NZ"/>
        </w:rPr>
      </w:pPr>
    </w:p>
    <w:p w:rsidR="00D42717" w:rsidRPr="00D42717" w:rsidRDefault="00D42717" w:rsidP="00D42717">
      <w:pPr>
        <w:pStyle w:val="Heading3"/>
        <w:spacing w:before="44" w:line="242" w:lineRule="auto"/>
        <w:ind w:right="103"/>
        <w:jc w:val="both"/>
        <w:rPr>
          <w:rFonts w:asciiTheme="minorHAnsi" w:eastAsiaTheme="minorEastAsia" w:hAnsiTheme="minorHAnsi" w:cstheme="minorHAnsi"/>
          <w:b w:val="0"/>
          <w:bCs w:val="0"/>
          <w:sz w:val="24"/>
          <w:szCs w:val="24"/>
          <w:lang w:val="en-NZ" w:eastAsia="en-NZ"/>
        </w:rPr>
      </w:pPr>
      <w:proofErr w:type="gramStart"/>
      <w:r w:rsidRPr="00D42717">
        <w:rPr>
          <w:rFonts w:asciiTheme="minorHAnsi" w:eastAsiaTheme="minorEastAsia" w:hAnsiTheme="minorHAnsi" w:cstheme="minorHAnsi"/>
          <w:b w:val="0"/>
          <w:bCs w:val="0"/>
          <w:sz w:val="24"/>
          <w:szCs w:val="24"/>
          <w:lang w:val="en-NZ" w:eastAsia="en-NZ"/>
        </w:rPr>
        <w:t>Figure 10 from SC13/SA-WP-06.</w:t>
      </w:r>
      <w:proofErr w:type="gramEnd"/>
      <w:r w:rsidRPr="00D42717">
        <w:rPr>
          <w:rFonts w:asciiTheme="minorHAnsi" w:eastAsiaTheme="minorEastAsia" w:hAnsiTheme="minorHAnsi" w:cstheme="minorHAnsi"/>
          <w:b w:val="0"/>
          <w:bCs w:val="0"/>
          <w:sz w:val="24"/>
          <w:szCs w:val="24"/>
          <w:lang w:val="en-NZ" w:eastAsia="en-NZ"/>
        </w:rPr>
        <w:t xml:space="preserve"> Stochastic projections of adult stock status under 2014 longline and troll effort levels. The limit reference point (20% SBF=0) is indicated by horizontal dashed red line. Note: from 1960 up to 2013 inclusive the line represents the median across the 9 assessment model runs (structural uncertainty only); uncertainty after 2013 represents both structural uncertainty and stochastic recruitment. </w:t>
      </w:r>
    </w:p>
    <w:p w:rsidR="003B4FCB" w:rsidRPr="0047656C" w:rsidRDefault="003B4FCB" w:rsidP="00006543">
      <w:pPr>
        <w:pStyle w:val="Heading3"/>
        <w:spacing w:before="44" w:line="242" w:lineRule="auto"/>
        <w:ind w:left="0" w:right="103"/>
        <w:jc w:val="both"/>
        <w:rPr>
          <w:rFonts w:asciiTheme="minorHAnsi" w:hAnsiTheme="minorHAnsi" w:cstheme="minorHAnsi"/>
        </w:rPr>
      </w:pPr>
    </w:p>
    <w:p w:rsidR="003B4FCB" w:rsidRPr="00A27E65" w:rsidRDefault="003B4FCB" w:rsidP="003B4FCB">
      <w:pPr>
        <w:pStyle w:val="Default"/>
        <w:snapToGrid w:val="0"/>
        <w:rPr>
          <w:rFonts w:asciiTheme="minorHAnsi" w:hAnsiTheme="minorHAnsi" w:cstheme="minorHAnsi"/>
          <w:color w:val="auto"/>
          <w:sz w:val="32"/>
          <w:szCs w:val="32"/>
        </w:rPr>
      </w:pPr>
      <w:r w:rsidRPr="00A27E65">
        <w:rPr>
          <w:rFonts w:asciiTheme="minorHAnsi" w:hAnsiTheme="minorHAnsi" w:cstheme="minorHAnsi"/>
          <w:color w:val="auto"/>
          <w:sz w:val="32"/>
          <w:szCs w:val="32"/>
        </w:rPr>
        <w:t>Draft Management advice and implications</w:t>
      </w:r>
    </w:p>
    <w:p w:rsidR="00200D18" w:rsidRDefault="00200D18" w:rsidP="00006543">
      <w:pPr>
        <w:pStyle w:val="Heading3"/>
        <w:spacing w:before="44" w:line="242" w:lineRule="auto"/>
        <w:ind w:left="0" w:right="103"/>
        <w:jc w:val="both"/>
        <w:rPr>
          <w:rFonts w:asciiTheme="minorHAnsi" w:hAnsiTheme="minorHAnsi" w:cstheme="minorHAnsi"/>
          <w:b w:val="0"/>
          <w:sz w:val="24"/>
          <w:szCs w:val="24"/>
        </w:rPr>
      </w:pPr>
    </w:p>
    <w:p w:rsidR="003F33A0" w:rsidRPr="003F33A0" w:rsidRDefault="003F33A0" w:rsidP="003F33A0">
      <w:pPr>
        <w:pStyle w:val="ListParagraph"/>
        <w:numPr>
          <w:ilvl w:val="0"/>
          <w:numId w:val="11"/>
        </w:numPr>
        <w:rPr>
          <w:rFonts w:ascii="Calibri" w:eastAsiaTheme="minorEastAsia" w:hAnsi="Calibri" w:cs="Calibri"/>
          <w:sz w:val="24"/>
          <w:szCs w:val="24"/>
          <w:lang w:val="en-NZ" w:eastAsia="en-NZ"/>
        </w:rPr>
      </w:pPr>
      <w:r w:rsidRPr="003F33A0">
        <w:rPr>
          <w:rFonts w:ascii="Calibri" w:eastAsiaTheme="minorEastAsia" w:hAnsi="Calibri" w:cs="Calibri"/>
          <w:sz w:val="24"/>
          <w:szCs w:val="24"/>
          <w:lang w:val="en-NZ" w:eastAsia="en-NZ"/>
        </w:rPr>
        <w:t>SC12 noted that no management advice has been provided since SC11. Therefore, the advice from SC11, that longline fishing mortality and longline catch be reduced to avoid further decline in the vulnerable biomass so that economically viable catch rates should be maintained, noting that the results of the indicator analyses supported the stock status results for South Pacific albacore that were obtained from the 2015 assessment.</w:t>
      </w:r>
    </w:p>
    <w:p w:rsidR="00200D18" w:rsidRDefault="00200D18" w:rsidP="00200D18">
      <w:pPr>
        <w:pStyle w:val="Default"/>
        <w:snapToGrid w:val="0"/>
        <w:ind w:left="720"/>
        <w:jc w:val="both"/>
        <w:rPr>
          <w:rFonts w:ascii="Calibri" w:hAnsi="Calibri" w:cs="Calibri"/>
          <w:color w:val="auto"/>
        </w:rPr>
      </w:pPr>
    </w:p>
    <w:p w:rsidR="003F33A0" w:rsidRPr="003F33A0" w:rsidRDefault="003F33A0" w:rsidP="003F33A0">
      <w:pPr>
        <w:pStyle w:val="ListParagraph"/>
        <w:numPr>
          <w:ilvl w:val="0"/>
          <w:numId w:val="11"/>
        </w:numPr>
        <w:rPr>
          <w:rFonts w:ascii="Calibri" w:eastAsiaTheme="minorEastAsia" w:hAnsi="Calibri" w:cs="Calibri"/>
          <w:sz w:val="24"/>
          <w:szCs w:val="24"/>
          <w:lang w:val="en-NZ" w:eastAsia="en-NZ"/>
        </w:rPr>
      </w:pPr>
      <w:r w:rsidRPr="003F33A0">
        <w:rPr>
          <w:rFonts w:ascii="Calibri" w:eastAsiaTheme="minorEastAsia" w:hAnsi="Calibri" w:cs="Calibri"/>
          <w:sz w:val="24"/>
          <w:szCs w:val="24"/>
          <w:lang w:val="en-NZ" w:eastAsia="en-NZ"/>
        </w:rPr>
        <w:t>Based on this indicator analysis, SC also advised that there is a 19% chance that the south Pacific albacore stock will fall below the Limit Reference Point by 2033 if 2014 fishing effort levels continue, and that overall decreases in vulnerable biomass (a proxy for longline CPUE proxy) of 14% would also be likely to occur.</w:t>
      </w:r>
    </w:p>
    <w:p w:rsidR="003B4FCB" w:rsidRPr="00B9536B" w:rsidRDefault="003B4FCB" w:rsidP="00CE3AE7">
      <w:pPr>
        <w:pStyle w:val="Heading3"/>
        <w:spacing w:before="44" w:line="242" w:lineRule="auto"/>
        <w:ind w:left="0" w:right="103"/>
        <w:jc w:val="both"/>
        <w:rPr>
          <w:rFonts w:asciiTheme="minorHAnsi" w:hAnsiTheme="minorHAnsi" w:cstheme="minorHAnsi"/>
          <w:b w:val="0"/>
          <w:sz w:val="24"/>
          <w:szCs w:val="24"/>
        </w:rPr>
      </w:pPr>
    </w:p>
    <w:sectPr w:rsidR="003B4FCB" w:rsidRPr="00B9536B" w:rsidSect="00E270A7">
      <w:footerReference w:type="default" r:id="rId10"/>
      <w:pgSz w:w="11900" w:h="16840"/>
      <w:pgMar w:top="1600" w:right="1280" w:bottom="1880" w:left="1300" w:header="0" w:footer="169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6D58" w:rsidRDefault="00726D58">
      <w:r>
        <w:separator/>
      </w:r>
    </w:p>
  </w:endnote>
  <w:endnote w:type="continuationSeparator" w:id="0">
    <w:p w:rsidR="00726D58" w:rsidRDefault="00726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A56" w:rsidRDefault="0079271F">
    <w:pPr>
      <w:spacing w:line="14" w:lineRule="auto"/>
      <w:rPr>
        <w:sz w:val="20"/>
        <w:szCs w:val="20"/>
      </w:rPr>
    </w:pPr>
    <w:r>
      <w:rPr>
        <w:noProof/>
      </w:rPr>
      <mc:AlternateContent>
        <mc:Choice Requires="wps">
          <w:drawing>
            <wp:anchor distT="0" distB="0" distL="114300" distR="114300" simplePos="0" relativeHeight="251657728" behindDoc="1" locked="0" layoutInCell="1" allowOverlap="1">
              <wp:simplePos x="0" y="0"/>
              <wp:positionH relativeFrom="page">
                <wp:posOffset>5253355</wp:posOffset>
              </wp:positionH>
              <wp:positionV relativeFrom="page">
                <wp:posOffset>6800850</wp:posOffset>
              </wp:positionV>
              <wp:extent cx="190500" cy="161925"/>
              <wp:effectExtent l="0" t="0" r="444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2A56" w:rsidRDefault="00C570B6">
                          <w:pPr>
                            <w:pStyle w:val="BodyText"/>
                            <w:spacing w:line="238" w:lineRule="exact"/>
                            <w:ind w:left="40"/>
                          </w:pPr>
                          <w:r>
                            <w:fldChar w:fldCharType="begin"/>
                          </w:r>
                          <w:r>
                            <w:rPr>
                              <w:w w:val="102"/>
                            </w:rPr>
                            <w:instrText xml:space="preserve"> PAGE </w:instrText>
                          </w:r>
                          <w:r>
                            <w:fldChar w:fldCharType="separate"/>
                          </w:r>
                          <w:r w:rsidR="00BF3DDC">
                            <w:rPr>
                              <w:noProof/>
                              <w:w w:val="102"/>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13.65pt;margin-top:535.5pt;width:15pt;height:12.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" filled="f" stroked="f">
              <v:textbox inset="0,0,0,0">
                <w:txbxContent>
                  <w:p w:rsidR="00EA2A56" w:rsidRDefault="00C570B6">
                    <w:pPr>
                      <w:pStyle w:val="BodyText"/>
                      <w:spacing w:line="238" w:lineRule="exact"/>
                      <w:ind w:left="40"/>
                    </w:pPr>
                    <w:r>
                      <w:fldChar w:fldCharType="begin"/>
                    </w:r>
                    <w:r>
                      <w:rPr>
                        <w:w w:val="102"/>
                      </w:rPr>
                      <w:instrText xml:space="preserve"> PAGE </w:instrText>
                    </w:r>
                    <w:r>
                      <w:fldChar w:fldCharType="separate"/>
                    </w:r>
                    <w:r w:rsidR="00BF3DDC">
                      <w:rPr>
                        <w:noProof/>
                        <w:w w:val="102"/>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6D58" w:rsidRDefault="00726D58">
      <w:r>
        <w:separator/>
      </w:r>
    </w:p>
  </w:footnote>
  <w:footnote w:type="continuationSeparator" w:id="0">
    <w:p w:rsidR="00726D58" w:rsidRDefault="00726D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137C7"/>
    <w:multiLevelType w:val="hybridMultilevel"/>
    <w:tmpl w:val="6C021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D00232"/>
    <w:multiLevelType w:val="hybridMultilevel"/>
    <w:tmpl w:val="CDEA143E"/>
    <w:lvl w:ilvl="0" w:tplc="0409000F">
      <w:start w:val="1"/>
      <w:numFmt w:val="decimal"/>
      <w:lvlText w:val="%1."/>
      <w:lvlJc w:val="left"/>
      <w:pPr>
        <w:ind w:left="821" w:hanging="360"/>
      </w:pPr>
    </w:lvl>
    <w:lvl w:ilvl="1" w:tplc="04090019" w:tentative="1">
      <w:start w:val="1"/>
      <w:numFmt w:val="lowerLetter"/>
      <w:lvlText w:val="%2."/>
      <w:lvlJc w:val="left"/>
      <w:pPr>
        <w:ind w:left="1541" w:hanging="360"/>
      </w:pPr>
    </w:lvl>
    <w:lvl w:ilvl="2" w:tplc="0409001B" w:tentative="1">
      <w:start w:val="1"/>
      <w:numFmt w:val="lowerRoman"/>
      <w:lvlText w:val="%3."/>
      <w:lvlJc w:val="right"/>
      <w:pPr>
        <w:ind w:left="2261" w:hanging="180"/>
      </w:pPr>
    </w:lvl>
    <w:lvl w:ilvl="3" w:tplc="0409000F" w:tentative="1">
      <w:start w:val="1"/>
      <w:numFmt w:val="decimal"/>
      <w:lvlText w:val="%4."/>
      <w:lvlJc w:val="left"/>
      <w:pPr>
        <w:ind w:left="2981" w:hanging="360"/>
      </w:pPr>
    </w:lvl>
    <w:lvl w:ilvl="4" w:tplc="04090019" w:tentative="1">
      <w:start w:val="1"/>
      <w:numFmt w:val="lowerLetter"/>
      <w:lvlText w:val="%5."/>
      <w:lvlJc w:val="left"/>
      <w:pPr>
        <w:ind w:left="3701" w:hanging="360"/>
      </w:pPr>
    </w:lvl>
    <w:lvl w:ilvl="5" w:tplc="0409001B" w:tentative="1">
      <w:start w:val="1"/>
      <w:numFmt w:val="lowerRoman"/>
      <w:lvlText w:val="%6."/>
      <w:lvlJc w:val="right"/>
      <w:pPr>
        <w:ind w:left="4421" w:hanging="180"/>
      </w:pPr>
    </w:lvl>
    <w:lvl w:ilvl="6" w:tplc="0409000F" w:tentative="1">
      <w:start w:val="1"/>
      <w:numFmt w:val="decimal"/>
      <w:lvlText w:val="%7."/>
      <w:lvlJc w:val="left"/>
      <w:pPr>
        <w:ind w:left="5141" w:hanging="360"/>
      </w:pPr>
    </w:lvl>
    <w:lvl w:ilvl="7" w:tplc="04090019" w:tentative="1">
      <w:start w:val="1"/>
      <w:numFmt w:val="lowerLetter"/>
      <w:lvlText w:val="%8."/>
      <w:lvlJc w:val="left"/>
      <w:pPr>
        <w:ind w:left="5861" w:hanging="360"/>
      </w:pPr>
    </w:lvl>
    <w:lvl w:ilvl="8" w:tplc="0409001B" w:tentative="1">
      <w:start w:val="1"/>
      <w:numFmt w:val="lowerRoman"/>
      <w:lvlText w:val="%9."/>
      <w:lvlJc w:val="right"/>
      <w:pPr>
        <w:ind w:left="6581" w:hanging="180"/>
      </w:pPr>
    </w:lvl>
  </w:abstractNum>
  <w:abstractNum w:abstractNumId="2">
    <w:nsid w:val="25E86F69"/>
    <w:multiLevelType w:val="hybridMultilevel"/>
    <w:tmpl w:val="03902CF2"/>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3">
    <w:nsid w:val="35803EC1"/>
    <w:multiLevelType w:val="hybridMultilevel"/>
    <w:tmpl w:val="A5BEFCF4"/>
    <w:lvl w:ilvl="0" w:tplc="03041C4A">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B21B33"/>
    <w:multiLevelType w:val="hybridMultilevel"/>
    <w:tmpl w:val="E6E45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62403CB"/>
    <w:multiLevelType w:val="hybridMultilevel"/>
    <w:tmpl w:val="400440E8"/>
    <w:lvl w:ilvl="0" w:tplc="0409000F">
      <w:start w:val="1"/>
      <w:numFmt w:val="decimal"/>
      <w:lvlText w:val="%1."/>
      <w:lvlJc w:val="left"/>
      <w:pPr>
        <w:ind w:left="821" w:hanging="360"/>
      </w:pPr>
    </w:lvl>
    <w:lvl w:ilvl="1" w:tplc="04090019" w:tentative="1">
      <w:start w:val="1"/>
      <w:numFmt w:val="lowerLetter"/>
      <w:lvlText w:val="%2."/>
      <w:lvlJc w:val="left"/>
      <w:pPr>
        <w:ind w:left="1541" w:hanging="360"/>
      </w:pPr>
    </w:lvl>
    <w:lvl w:ilvl="2" w:tplc="0409001B" w:tentative="1">
      <w:start w:val="1"/>
      <w:numFmt w:val="lowerRoman"/>
      <w:lvlText w:val="%3."/>
      <w:lvlJc w:val="right"/>
      <w:pPr>
        <w:ind w:left="2261" w:hanging="180"/>
      </w:pPr>
    </w:lvl>
    <w:lvl w:ilvl="3" w:tplc="0409000F" w:tentative="1">
      <w:start w:val="1"/>
      <w:numFmt w:val="decimal"/>
      <w:lvlText w:val="%4."/>
      <w:lvlJc w:val="left"/>
      <w:pPr>
        <w:ind w:left="2981" w:hanging="360"/>
      </w:pPr>
    </w:lvl>
    <w:lvl w:ilvl="4" w:tplc="04090019" w:tentative="1">
      <w:start w:val="1"/>
      <w:numFmt w:val="lowerLetter"/>
      <w:lvlText w:val="%5."/>
      <w:lvlJc w:val="left"/>
      <w:pPr>
        <w:ind w:left="3701" w:hanging="360"/>
      </w:pPr>
    </w:lvl>
    <w:lvl w:ilvl="5" w:tplc="0409001B" w:tentative="1">
      <w:start w:val="1"/>
      <w:numFmt w:val="lowerRoman"/>
      <w:lvlText w:val="%6."/>
      <w:lvlJc w:val="right"/>
      <w:pPr>
        <w:ind w:left="4421" w:hanging="180"/>
      </w:pPr>
    </w:lvl>
    <w:lvl w:ilvl="6" w:tplc="0409000F" w:tentative="1">
      <w:start w:val="1"/>
      <w:numFmt w:val="decimal"/>
      <w:lvlText w:val="%7."/>
      <w:lvlJc w:val="left"/>
      <w:pPr>
        <w:ind w:left="5141" w:hanging="360"/>
      </w:pPr>
    </w:lvl>
    <w:lvl w:ilvl="7" w:tplc="04090019" w:tentative="1">
      <w:start w:val="1"/>
      <w:numFmt w:val="lowerLetter"/>
      <w:lvlText w:val="%8."/>
      <w:lvlJc w:val="left"/>
      <w:pPr>
        <w:ind w:left="5861" w:hanging="360"/>
      </w:pPr>
    </w:lvl>
    <w:lvl w:ilvl="8" w:tplc="0409001B" w:tentative="1">
      <w:start w:val="1"/>
      <w:numFmt w:val="lowerRoman"/>
      <w:lvlText w:val="%9."/>
      <w:lvlJc w:val="right"/>
      <w:pPr>
        <w:ind w:left="6581" w:hanging="180"/>
      </w:pPr>
    </w:lvl>
  </w:abstractNum>
  <w:abstractNum w:abstractNumId="6">
    <w:nsid w:val="4B02526D"/>
    <w:multiLevelType w:val="hybridMultilevel"/>
    <w:tmpl w:val="E4089AFE"/>
    <w:lvl w:ilvl="0" w:tplc="7138DFDC">
      <w:start w:val="1"/>
      <w:numFmt w:val="decimal"/>
      <w:lvlText w:val="%1."/>
      <w:lvlJc w:val="left"/>
      <w:pPr>
        <w:ind w:left="116" w:hanging="214"/>
        <w:jc w:val="left"/>
      </w:pPr>
      <w:rPr>
        <w:rFonts w:ascii="Calibri" w:eastAsia="Calibri" w:hAnsi="Calibri" w:hint="default"/>
        <w:spacing w:val="1"/>
        <w:w w:val="102"/>
        <w:sz w:val="21"/>
        <w:szCs w:val="21"/>
      </w:rPr>
    </w:lvl>
    <w:lvl w:ilvl="1" w:tplc="910E4268">
      <w:start w:val="1"/>
      <w:numFmt w:val="bullet"/>
      <w:lvlText w:val="•"/>
      <w:lvlJc w:val="left"/>
      <w:pPr>
        <w:ind w:left="1452" w:hanging="214"/>
      </w:pPr>
      <w:rPr>
        <w:rFonts w:hint="default"/>
      </w:rPr>
    </w:lvl>
    <w:lvl w:ilvl="2" w:tplc="1A3270B2">
      <w:start w:val="1"/>
      <w:numFmt w:val="bullet"/>
      <w:lvlText w:val="•"/>
      <w:lvlJc w:val="left"/>
      <w:pPr>
        <w:ind w:left="2784" w:hanging="214"/>
      </w:pPr>
      <w:rPr>
        <w:rFonts w:hint="default"/>
      </w:rPr>
    </w:lvl>
    <w:lvl w:ilvl="3" w:tplc="E8D6F8E0">
      <w:start w:val="1"/>
      <w:numFmt w:val="bullet"/>
      <w:lvlText w:val="•"/>
      <w:lvlJc w:val="left"/>
      <w:pPr>
        <w:ind w:left="4116" w:hanging="214"/>
      </w:pPr>
      <w:rPr>
        <w:rFonts w:hint="default"/>
      </w:rPr>
    </w:lvl>
    <w:lvl w:ilvl="4" w:tplc="6C382FE6">
      <w:start w:val="1"/>
      <w:numFmt w:val="bullet"/>
      <w:lvlText w:val="•"/>
      <w:lvlJc w:val="left"/>
      <w:pPr>
        <w:ind w:left="5448" w:hanging="214"/>
      </w:pPr>
      <w:rPr>
        <w:rFonts w:hint="default"/>
      </w:rPr>
    </w:lvl>
    <w:lvl w:ilvl="5" w:tplc="D74C247E">
      <w:start w:val="1"/>
      <w:numFmt w:val="bullet"/>
      <w:lvlText w:val="•"/>
      <w:lvlJc w:val="left"/>
      <w:pPr>
        <w:ind w:left="6780" w:hanging="214"/>
      </w:pPr>
      <w:rPr>
        <w:rFonts w:hint="default"/>
      </w:rPr>
    </w:lvl>
    <w:lvl w:ilvl="6" w:tplc="68641DC8">
      <w:start w:val="1"/>
      <w:numFmt w:val="bullet"/>
      <w:lvlText w:val="•"/>
      <w:lvlJc w:val="left"/>
      <w:pPr>
        <w:ind w:left="8112" w:hanging="214"/>
      </w:pPr>
      <w:rPr>
        <w:rFonts w:hint="default"/>
      </w:rPr>
    </w:lvl>
    <w:lvl w:ilvl="7" w:tplc="DEB693F6">
      <w:start w:val="1"/>
      <w:numFmt w:val="bullet"/>
      <w:lvlText w:val="•"/>
      <w:lvlJc w:val="left"/>
      <w:pPr>
        <w:ind w:left="9444" w:hanging="214"/>
      </w:pPr>
      <w:rPr>
        <w:rFonts w:hint="default"/>
      </w:rPr>
    </w:lvl>
    <w:lvl w:ilvl="8" w:tplc="D9B46A7E">
      <w:start w:val="1"/>
      <w:numFmt w:val="bullet"/>
      <w:lvlText w:val="•"/>
      <w:lvlJc w:val="left"/>
      <w:pPr>
        <w:ind w:left="10776" w:hanging="214"/>
      </w:pPr>
      <w:rPr>
        <w:rFonts w:hint="default"/>
      </w:rPr>
    </w:lvl>
  </w:abstractNum>
  <w:abstractNum w:abstractNumId="7">
    <w:nsid w:val="4D207FBD"/>
    <w:multiLevelType w:val="hybridMultilevel"/>
    <w:tmpl w:val="63AAE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1B84A6F"/>
    <w:multiLevelType w:val="hybridMultilevel"/>
    <w:tmpl w:val="9C5286C4"/>
    <w:lvl w:ilvl="0" w:tplc="BCD243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7C0D20"/>
    <w:multiLevelType w:val="hybridMultilevel"/>
    <w:tmpl w:val="7DEC40BA"/>
    <w:lvl w:ilvl="0" w:tplc="1409000F">
      <w:start w:val="1"/>
      <w:numFmt w:val="decimal"/>
      <w:lvlText w:val="%1."/>
      <w:lvlJc w:val="left"/>
      <w:pPr>
        <w:ind w:left="360" w:hanging="360"/>
      </w:pPr>
      <w:rPr>
        <w:rFonts w:hint="default"/>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838AA5F0">
      <w:start w:val="1"/>
      <w:numFmt w:val="lowerLetter"/>
      <w:lvlText w:val="%4)"/>
      <w:lvlJc w:val="left"/>
      <w:pPr>
        <w:ind w:left="2880" w:hanging="360"/>
      </w:pPr>
      <w:rPr>
        <w:rFonts w:eastAsiaTheme="minorEastAsia" w:hint="default"/>
      </w:r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nsid w:val="7A671027"/>
    <w:multiLevelType w:val="hybridMultilevel"/>
    <w:tmpl w:val="CDA01BB6"/>
    <w:lvl w:ilvl="0" w:tplc="99526142">
      <w:start w:val="1"/>
      <w:numFmt w:val="bullet"/>
      <w:lvlText w:val=""/>
      <w:lvlJc w:val="left"/>
      <w:pPr>
        <w:ind w:left="802" w:hanging="351"/>
      </w:pPr>
      <w:rPr>
        <w:rFonts w:ascii="Symbol" w:eastAsia="Symbol" w:hAnsi="Symbol" w:hint="default"/>
        <w:w w:val="102"/>
        <w:sz w:val="21"/>
        <w:szCs w:val="21"/>
      </w:rPr>
    </w:lvl>
    <w:lvl w:ilvl="1" w:tplc="ACFA5EB8">
      <w:start w:val="1"/>
      <w:numFmt w:val="bullet"/>
      <w:lvlText w:val=""/>
      <w:lvlJc w:val="left"/>
      <w:pPr>
        <w:ind w:left="1156" w:hanging="351"/>
      </w:pPr>
      <w:rPr>
        <w:rFonts w:ascii="Symbol" w:eastAsia="Symbol" w:hAnsi="Symbol" w:hint="default"/>
        <w:w w:val="102"/>
        <w:sz w:val="21"/>
        <w:szCs w:val="21"/>
      </w:rPr>
    </w:lvl>
    <w:lvl w:ilvl="2" w:tplc="2EF0FDB6">
      <w:start w:val="1"/>
      <w:numFmt w:val="bullet"/>
      <w:lvlText w:val="•"/>
      <w:lvlJc w:val="left"/>
      <w:pPr>
        <w:ind w:left="2066" w:hanging="351"/>
      </w:pPr>
      <w:rPr>
        <w:rFonts w:hint="default"/>
      </w:rPr>
    </w:lvl>
    <w:lvl w:ilvl="3" w:tplc="F6441DB2">
      <w:start w:val="1"/>
      <w:numFmt w:val="bullet"/>
      <w:lvlText w:val="•"/>
      <w:lvlJc w:val="left"/>
      <w:pPr>
        <w:ind w:left="2973" w:hanging="351"/>
      </w:pPr>
      <w:rPr>
        <w:rFonts w:hint="default"/>
      </w:rPr>
    </w:lvl>
    <w:lvl w:ilvl="4" w:tplc="BB1E0050">
      <w:start w:val="1"/>
      <w:numFmt w:val="bullet"/>
      <w:lvlText w:val="•"/>
      <w:lvlJc w:val="left"/>
      <w:pPr>
        <w:ind w:left="3880" w:hanging="351"/>
      </w:pPr>
      <w:rPr>
        <w:rFonts w:hint="default"/>
      </w:rPr>
    </w:lvl>
    <w:lvl w:ilvl="5" w:tplc="748207C0">
      <w:start w:val="1"/>
      <w:numFmt w:val="bullet"/>
      <w:lvlText w:val="•"/>
      <w:lvlJc w:val="left"/>
      <w:pPr>
        <w:ind w:left="4786" w:hanging="351"/>
      </w:pPr>
      <w:rPr>
        <w:rFonts w:hint="default"/>
      </w:rPr>
    </w:lvl>
    <w:lvl w:ilvl="6" w:tplc="9A50878C">
      <w:start w:val="1"/>
      <w:numFmt w:val="bullet"/>
      <w:lvlText w:val="•"/>
      <w:lvlJc w:val="left"/>
      <w:pPr>
        <w:ind w:left="5693" w:hanging="351"/>
      </w:pPr>
      <w:rPr>
        <w:rFonts w:hint="default"/>
      </w:rPr>
    </w:lvl>
    <w:lvl w:ilvl="7" w:tplc="714C0CAA">
      <w:start w:val="1"/>
      <w:numFmt w:val="bullet"/>
      <w:lvlText w:val="•"/>
      <w:lvlJc w:val="left"/>
      <w:pPr>
        <w:ind w:left="6600" w:hanging="351"/>
      </w:pPr>
      <w:rPr>
        <w:rFonts w:hint="default"/>
      </w:rPr>
    </w:lvl>
    <w:lvl w:ilvl="8" w:tplc="2E54BA1E">
      <w:start w:val="1"/>
      <w:numFmt w:val="bullet"/>
      <w:lvlText w:val="•"/>
      <w:lvlJc w:val="left"/>
      <w:pPr>
        <w:ind w:left="7506" w:hanging="351"/>
      </w:pPr>
      <w:rPr>
        <w:rFonts w:hint="default"/>
      </w:rPr>
    </w:lvl>
  </w:abstractNum>
  <w:num w:numId="1">
    <w:abstractNumId w:val="6"/>
  </w:num>
  <w:num w:numId="2">
    <w:abstractNumId w:val="10"/>
  </w:num>
  <w:num w:numId="3">
    <w:abstractNumId w:val="5"/>
  </w:num>
  <w:num w:numId="4">
    <w:abstractNumId w:val="1"/>
  </w:num>
  <w:num w:numId="5">
    <w:abstractNumId w:val="9"/>
  </w:num>
  <w:num w:numId="6">
    <w:abstractNumId w:val="4"/>
  </w:num>
  <w:num w:numId="7">
    <w:abstractNumId w:val="2"/>
  </w:num>
  <w:num w:numId="8">
    <w:abstractNumId w:val="7"/>
  </w:num>
  <w:num w:numId="9">
    <w:abstractNumId w:val="8"/>
  </w:num>
  <w:num w:numId="10">
    <w:abstractNumId w:val="3"/>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CPFC Presenter">
    <w15:presenceInfo w15:providerId="None" w15:userId="WCPFC Present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A56"/>
    <w:rsid w:val="00006543"/>
    <w:rsid w:val="000118C8"/>
    <w:rsid w:val="000B1546"/>
    <w:rsid w:val="0012635E"/>
    <w:rsid w:val="0016567F"/>
    <w:rsid w:val="00172ABB"/>
    <w:rsid w:val="001F570F"/>
    <w:rsid w:val="00200D18"/>
    <w:rsid w:val="00201018"/>
    <w:rsid w:val="0027639E"/>
    <w:rsid w:val="002B6FB0"/>
    <w:rsid w:val="002F17EF"/>
    <w:rsid w:val="003035DC"/>
    <w:rsid w:val="00305DD9"/>
    <w:rsid w:val="00391DA4"/>
    <w:rsid w:val="003B4FCB"/>
    <w:rsid w:val="003C465A"/>
    <w:rsid w:val="003F33A0"/>
    <w:rsid w:val="0047656C"/>
    <w:rsid w:val="004C7765"/>
    <w:rsid w:val="004D1DC1"/>
    <w:rsid w:val="004E594C"/>
    <w:rsid w:val="005567D3"/>
    <w:rsid w:val="005A6842"/>
    <w:rsid w:val="005F0A7A"/>
    <w:rsid w:val="006B2388"/>
    <w:rsid w:val="006C057D"/>
    <w:rsid w:val="00726D58"/>
    <w:rsid w:val="007425FA"/>
    <w:rsid w:val="0079271F"/>
    <w:rsid w:val="007D128D"/>
    <w:rsid w:val="007F4712"/>
    <w:rsid w:val="00891CE7"/>
    <w:rsid w:val="008943E3"/>
    <w:rsid w:val="008A70E3"/>
    <w:rsid w:val="00901085"/>
    <w:rsid w:val="00920F33"/>
    <w:rsid w:val="0098655B"/>
    <w:rsid w:val="009B1C50"/>
    <w:rsid w:val="00A27E65"/>
    <w:rsid w:val="00AF352B"/>
    <w:rsid w:val="00AF65B5"/>
    <w:rsid w:val="00AF6D6F"/>
    <w:rsid w:val="00B1591F"/>
    <w:rsid w:val="00B3292E"/>
    <w:rsid w:val="00B52D13"/>
    <w:rsid w:val="00B57F61"/>
    <w:rsid w:val="00B9536B"/>
    <w:rsid w:val="00BB294E"/>
    <w:rsid w:val="00BF3DDC"/>
    <w:rsid w:val="00C04EFE"/>
    <w:rsid w:val="00C43705"/>
    <w:rsid w:val="00C570B6"/>
    <w:rsid w:val="00C61CCB"/>
    <w:rsid w:val="00C715D7"/>
    <w:rsid w:val="00CE3AE7"/>
    <w:rsid w:val="00CF326D"/>
    <w:rsid w:val="00D30AAE"/>
    <w:rsid w:val="00D40768"/>
    <w:rsid w:val="00D42717"/>
    <w:rsid w:val="00D444AD"/>
    <w:rsid w:val="00D5582A"/>
    <w:rsid w:val="00DA2BFA"/>
    <w:rsid w:val="00DD7279"/>
    <w:rsid w:val="00E075F1"/>
    <w:rsid w:val="00E270A7"/>
    <w:rsid w:val="00EA2A56"/>
    <w:rsid w:val="00EC7C14"/>
    <w:rsid w:val="00EE2E97"/>
    <w:rsid w:val="00FC1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01"/>
      <w:outlineLvl w:val="0"/>
    </w:pPr>
    <w:rPr>
      <w:rFonts w:ascii="Cambria" w:eastAsia="Cambria" w:hAnsi="Cambria"/>
      <w:b/>
      <w:bCs/>
      <w:sz w:val="27"/>
      <w:szCs w:val="27"/>
    </w:rPr>
  </w:style>
  <w:style w:type="paragraph" w:styleId="Heading2">
    <w:name w:val="heading 2"/>
    <w:basedOn w:val="Normal"/>
    <w:uiPriority w:val="1"/>
    <w:qFormat/>
    <w:pPr>
      <w:ind w:left="101"/>
      <w:outlineLvl w:val="1"/>
    </w:pPr>
    <w:rPr>
      <w:rFonts w:ascii="Cambria" w:eastAsia="Cambria" w:hAnsi="Cambria"/>
      <w:b/>
      <w:bCs/>
      <w:sz w:val="25"/>
      <w:szCs w:val="25"/>
    </w:rPr>
  </w:style>
  <w:style w:type="paragraph" w:styleId="Heading3">
    <w:name w:val="heading 3"/>
    <w:basedOn w:val="Normal"/>
    <w:uiPriority w:val="1"/>
    <w:qFormat/>
    <w:pPr>
      <w:spacing w:before="61"/>
      <w:ind w:left="101"/>
      <w:outlineLvl w:val="2"/>
    </w:pPr>
    <w:rPr>
      <w:rFonts w:ascii="Calibri" w:eastAsia="Calibri" w:hAnsi="Calibri"/>
      <w:b/>
      <w:bCs/>
      <w:sz w:val="21"/>
      <w:szCs w:val="21"/>
    </w:rPr>
  </w:style>
  <w:style w:type="paragraph" w:styleId="Heading4">
    <w:name w:val="heading 4"/>
    <w:basedOn w:val="Normal"/>
    <w:next w:val="Normal"/>
    <w:link w:val="Heading4Char"/>
    <w:uiPriority w:val="9"/>
    <w:unhideWhenUsed/>
    <w:qFormat/>
    <w:rsid w:val="00B52D1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52D13"/>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1"/>
    </w:pPr>
    <w:rPr>
      <w:rFonts w:ascii="Calibri" w:eastAsia="Calibri" w:hAnsi="Calibri"/>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943E3"/>
    <w:rPr>
      <w:rFonts w:ascii="Tahoma" w:hAnsi="Tahoma" w:cs="Tahoma"/>
      <w:sz w:val="16"/>
      <w:szCs w:val="16"/>
    </w:rPr>
  </w:style>
  <w:style w:type="character" w:customStyle="1" w:styleId="BalloonTextChar">
    <w:name w:val="Balloon Text Char"/>
    <w:basedOn w:val="DefaultParagraphFont"/>
    <w:link w:val="BalloonText"/>
    <w:uiPriority w:val="99"/>
    <w:semiHidden/>
    <w:rsid w:val="008943E3"/>
    <w:rPr>
      <w:rFonts w:ascii="Tahoma" w:hAnsi="Tahoma" w:cs="Tahoma"/>
      <w:sz w:val="16"/>
      <w:szCs w:val="16"/>
    </w:rPr>
  </w:style>
  <w:style w:type="character" w:customStyle="1" w:styleId="Heading4Char">
    <w:name w:val="Heading 4 Char"/>
    <w:basedOn w:val="DefaultParagraphFont"/>
    <w:link w:val="Heading4"/>
    <w:uiPriority w:val="9"/>
    <w:rsid w:val="00B52D1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52D13"/>
    <w:rPr>
      <w:rFonts w:asciiTheme="majorHAnsi" w:eastAsiaTheme="majorEastAsia" w:hAnsiTheme="majorHAnsi" w:cstheme="majorBidi"/>
      <w:color w:val="243F60" w:themeColor="accent1" w:themeShade="7F"/>
    </w:rPr>
  </w:style>
  <w:style w:type="paragraph" w:customStyle="1" w:styleId="Default">
    <w:name w:val="Default"/>
    <w:link w:val="DefaultChar"/>
    <w:rsid w:val="00B52D13"/>
    <w:pPr>
      <w:widowControl/>
      <w:autoSpaceDE w:val="0"/>
      <w:autoSpaceDN w:val="0"/>
      <w:adjustRightInd w:val="0"/>
    </w:pPr>
    <w:rPr>
      <w:rFonts w:ascii="Times New Roman" w:eastAsiaTheme="minorEastAsia" w:hAnsi="Times New Roman" w:cs="Times New Roman"/>
      <w:color w:val="000000"/>
      <w:sz w:val="24"/>
      <w:szCs w:val="24"/>
      <w:lang w:val="en-NZ" w:eastAsia="en-NZ"/>
    </w:rPr>
  </w:style>
  <w:style w:type="paragraph" w:styleId="PlainText">
    <w:name w:val="Plain Text"/>
    <w:basedOn w:val="Normal"/>
    <w:link w:val="PlainTextChar"/>
    <w:uiPriority w:val="99"/>
    <w:unhideWhenUsed/>
    <w:rsid w:val="00B52D13"/>
    <w:pPr>
      <w:widowControl/>
    </w:pPr>
    <w:rPr>
      <w:rFonts w:ascii="Consolas" w:eastAsiaTheme="minorEastAsia" w:hAnsi="Consolas"/>
      <w:sz w:val="21"/>
      <w:szCs w:val="21"/>
      <w:lang w:val="en-NZ" w:eastAsia="en-NZ"/>
    </w:rPr>
  </w:style>
  <w:style w:type="character" w:customStyle="1" w:styleId="PlainTextChar">
    <w:name w:val="Plain Text Char"/>
    <w:basedOn w:val="DefaultParagraphFont"/>
    <w:link w:val="PlainText"/>
    <w:uiPriority w:val="99"/>
    <w:rsid w:val="00B52D13"/>
    <w:rPr>
      <w:rFonts w:ascii="Consolas" w:eastAsiaTheme="minorEastAsia" w:hAnsi="Consolas"/>
      <w:sz w:val="21"/>
      <w:szCs w:val="21"/>
      <w:lang w:val="en-NZ" w:eastAsia="en-NZ"/>
    </w:rPr>
  </w:style>
  <w:style w:type="character" w:customStyle="1" w:styleId="DefaultChar">
    <w:name w:val="Default Char"/>
    <w:basedOn w:val="DefaultParagraphFont"/>
    <w:link w:val="Default"/>
    <w:locked/>
    <w:rsid w:val="00B52D13"/>
    <w:rPr>
      <w:rFonts w:ascii="Times New Roman" w:eastAsiaTheme="minorEastAsia" w:hAnsi="Times New Roman" w:cs="Times New Roman"/>
      <w:color w:val="000000"/>
      <w:sz w:val="24"/>
      <w:szCs w:val="24"/>
      <w:lang w:val="en-NZ" w:eastAsia="en-N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01"/>
      <w:outlineLvl w:val="0"/>
    </w:pPr>
    <w:rPr>
      <w:rFonts w:ascii="Cambria" w:eastAsia="Cambria" w:hAnsi="Cambria"/>
      <w:b/>
      <w:bCs/>
      <w:sz w:val="27"/>
      <w:szCs w:val="27"/>
    </w:rPr>
  </w:style>
  <w:style w:type="paragraph" w:styleId="Heading2">
    <w:name w:val="heading 2"/>
    <w:basedOn w:val="Normal"/>
    <w:uiPriority w:val="1"/>
    <w:qFormat/>
    <w:pPr>
      <w:ind w:left="101"/>
      <w:outlineLvl w:val="1"/>
    </w:pPr>
    <w:rPr>
      <w:rFonts w:ascii="Cambria" w:eastAsia="Cambria" w:hAnsi="Cambria"/>
      <w:b/>
      <w:bCs/>
      <w:sz w:val="25"/>
      <w:szCs w:val="25"/>
    </w:rPr>
  </w:style>
  <w:style w:type="paragraph" w:styleId="Heading3">
    <w:name w:val="heading 3"/>
    <w:basedOn w:val="Normal"/>
    <w:uiPriority w:val="1"/>
    <w:qFormat/>
    <w:pPr>
      <w:spacing w:before="61"/>
      <w:ind w:left="101"/>
      <w:outlineLvl w:val="2"/>
    </w:pPr>
    <w:rPr>
      <w:rFonts w:ascii="Calibri" w:eastAsia="Calibri" w:hAnsi="Calibri"/>
      <w:b/>
      <w:bCs/>
      <w:sz w:val="21"/>
      <w:szCs w:val="21"/>
    </w:rPr>
  </w:style>
  <w:style w:type="paragraph" w:styleId="Heading4">
    <w:name w:val="heading 4"/>
    <w:basedOn w:val="Normal"/>
    <w:next w:val="Normal"/>
    <w:link w:val="Heading4Char"/>
    <w:uiPriority w:val="9"/>
    <w:unhideWhenUsed/>
    <w:qFormat/>
    <w:rsid w:val="00B52D1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52D13"/>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1"/>
    </w:pPr>
    <w:rPr>
      <w:rFonts w:ascii="Calibri" w:eastAsia="Calibri" w:hAnsi="Calibri"/>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943E3"/>
    <w:rPr>
      <w:rFonts w:ascii="Tahoma" w:hAnsi="Tahoma" w:cs="Tahoma"/>
      <w:sz w:val="16"/>
      <w:szCs w:val="16"/>
    </w:rPr>
  </w:style>
  <w:style w:type="character" w:customStyle="1" w:styleId="BalloonTextChar">
    <w:name w:val="Balloon Text Char"/>
    <w:basedOn w:val="DefaultParagraphFont"/>
    <w:link w:val="BalloonText"/>
    <w:uiPriority w:val="99"/>
    <w:semiHidden/>
    <w:rsid w:val="008943E3"/>
    <w:rPr>
      <w:rFonts w:ascii="Tahoma" w:hAnsi="Tahoma" w:cs="Tahoma"/>
      <w:sz w:val="16"/>
      <w:szCs w:val="16"/>
    </w:rPr>
  </w:style>
  <w:style w:type="character" w:customStyle="1" w:styleId="Heading4Char">
    <w:name w:val="Heading 4 Char"/>
    <w:basedOn w:val="DefaultParagraphFont"/>
    <w:link w:val="Heading4"/>
    <w:uiPriority w:val="9"/>
    <w:rsid w:val="00B52D1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52D13"/>
    <w:rPr>
      <w:rFonts w:asciiTheme="majorHAnsi" w:eastAsiaTheme="majorEastAsia" w:hAnsiTheme="majorHAnsi" w:cstheme="majorBidi"/>
      <w:color w:val="243F60" w:themeColor="accent1" w:themeShade="7F"/>
    </w:rPr>
  </w:style>
  <w:style w:type="paragraph" w:customStyle="1" w:styleId="Default">
    <w:name w:val="Default"/>
    <w:link w:val="DefaultChar"/>
    <w:rsid w:val="00B52D13"/>
    <w:pPr>
      <w:widowControl/>
      <w:autoSpaceDE w:val="0"/>
      <w:autoSpaceDN w:val="0"/>
      <w:adjustRightInd w:val="0"/>
    </w:pPr>
    <w:rPr>
      <w:rFonts w:ascii="Times New Roman" w:eastAsiaTheme="minorEastAsia" w:hAnsi="Times New Roman" w:cs="Times New Roman"/>
      <w:color w:val="000000"/>
      <w:sz w:val="24"/>
      <w:szCs w:val="24"/>
      <w:lang w:val="en-NZ" w:eastAsia="en-NZ"/>
    </w:rPr>
  </w:style>
  <w:style w:type="paragraph" w:styleId="PlainText">
    <w:name w:val="Plain Text"/>
    <w:basedOn w:val="Normal"/>
    <w:link w:val="PlainTextChar"/>
    <w:uiPriority w:val="99"/>
    <w:unhideWhenUsed/>
    <w:rsid w:val="00B52D13"/>
    <w:pPr>
      <w:widowControl/>
    </w:pPr>
    <w:rPr>
      <w:rFonts w:ascii="Consolas" w:eastAsiaTheme="minorEastAsia" w:hAnsi="Consolas"/>
      <w:sz w:val="21"/>
      <w:szCs w:val="21"/>
      <w:lang w:val="en-NZ" w:eastAsia="en-NZ"/>
    </w:rPr>
  </w:style>
  <w:style w:type="character" w:customStyle="1" w:styleId="PlainTextChar">
    <w:name w:val="Plain Text Char"/>
    <w:basedOn w:val="DefaultParagraphFont"/>
    <w:link w:val="PlainText"/>
    <w:uiPriority w:val="99"/>
    <w:rsid w:val="00B52D13"/>
    <w:rPr>
      <w:rFonts w:ascii="Consolas" w:eastAsiaTheme="minorEastAsia" w:hAnsi="Consolas"/>
      <w:sz w:val="21"/>
      <w:szCs w:val="21"/>
      <w:lang w:val="en-NZ" w:eastAsia="en-NZ"/>
    </w:rPr>
  </w:style>
  <w:style w:type="character" w:customStyle="1" w:styleId="DefaultChar">
    <w:name w:val="Default Char"/>
    <w:basedOn w:val="DefaultParagraphFont"/>
    <w:link w:val="Default"/>
    <w:locked/>
    <w:rsid w:val="00B52D13"/>
    <w:rPr>
      <w:rFonts w:ascii="Times New Roman" w:eastAsiaTheme="minorEastAsia" w:hAnsi="Times New Roman" w:cs="Times New Roman"/>
      <w:color w:val="000000"/>
      <w:sz w:val="24"/>
      <w:szCs w:val="24"/>
      <w:lang w:val="en-NZ"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1CFF88-CAC8-45E7-82C0-1C7A24450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483</Words>
  <Characters>2757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S12-SA-WP-06 SP Albacore trends paper - FINAL</vt:lpstr>
    </vt:vector>
  </TitlesOfParts>
  <Company>National Marine Fisheries Svc</Company>
  <LinksUpToDate>false</LinksUpToDate>
  <CharactersWithSpaces>3234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S12-SA-WP-06 SP Albacore trends paper - FINAL</dc:title>
  <dc:creator>grahamp</dc:creator>
  <cp:lastModifiedBy>Anthony J. Beeching</cp:lastModifiedBy>
  <cp:revision>2</cp:revision>
  <dcterms:created xsi:type="dcterms:W3CDTF">2016-08-10T06:27:00Z</dcterms:created>
  <dcterms:modified xsi:type="dcterms:W3CDTF">2016-08-10T06:27:00Z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2016-07-12T00:00:00Z</vt:filetime>
  </property>
  <property fmtid="{D5CDD505-2E9C-101B-9397-08002B2CF9AE}" pid="3" name="Creator">
    <vt:lpwstr>PDFCreator 2.3.0.103</vt:lpwstr>
  </property>
  <property fmtid="{D5CDD505-2E9C-101B-9397-08002B2CF9AE}" pid="4" name="LastSaved">
    <vt:filetime>2016-08-05T00:00:00Z</vt:filetime>
  </property>
</Properties>
</file>