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13" w:rsidRPr="0047656C" w:rsidRDefault="00B52D13" w:rsidP="00B52D13">
      <w:pPr>
        <w:pStyle w:val="Heading4"/>
        <w:snapToGrid w:val="0"/>
        <w:rPr>
          <w:rFonts w:asciiTheme="minorHAnsi" w:hAnsiTheme="minorHAnsi" w:cstheme="minorHAnsi"/>
          <w:color w:val="auto"/>
          <w:sz w:val="32"/>
          <w:szCs w:val="32"/>
        </w:rPr>
      </w:pPr>
      <w:r w:rsidRPr="0047656C">
        <w:rPr>
          <w:rFonts w:asciiTheme="minorHAnsi" w:hAnsiTheme="minorHAnsi" w:cstheme="minorHAnsi"/>
          <w:color w:val="auto"/>
          <w:sz w:val="32"/>
          <w:szCs w:val="32"/>
        </w:rPr>
        <w:t xml:space="preserve">South Pacific </w:t>
      </w:r>
      <w:r w:rsidR="006E7983">
        <w:rPr>
          <w:rFonts w:asciiTheme="minorHAnsi" w:hAnsiTheme="minorHAnsi" w:cstheme="minorHAnsi"/>
          <w:color w:val="auto"/>
          <w:sz w:val="32"/>
          <w:szCs w:val="32"/>
        </w:rPr>
        <w:t>Blue Shark (</w:t>
      </w:r>
      <w:proofErr w:type="spellStart"/>
      <w:r w:rsidR="00845F2F">
        <w:rPr>
          <w:rFonts w:asciiTheme="minorHAnsi" w:hAnsiTheme="minorHAnsi" w:cstheme="minorHAnsi"/>
          <w:color w:val="auto"/>
          <w:sz w:val="32"/>
          <w:szCs w:val="32"/>
        </w:rPr>
        <w:t>Prionace</w:t>
      </w:r>
      <w:proofErr w:type="spellEnd"/>
      <w:r w:rsidR="00845F2F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  <w:proofErr w:type="spellStart"/>
      <w:r w:rsidR="00845F2F">
        <w:rPr>
          <w:rFonts w:asciiTheme="minorHAnsi" w:hAnsiTheme="minorHAnsi" w:cstheme="minorHAnsi"/>
          <w:color w:val="auto"/>
          <w:sz w:val="32"/>
          <w:szCs w:val="32"/>
        </w:rPr>
        <w:t>glauca</w:t>
      </w:r>
      <w:proofErr w:type="spellEnd"/>
      <w:r w:rsidR="006E7983">
        <w:rPr>
          <w:rFonts w:asciiTheme="minorHAnsi" w:hAnsiTheme="minorHAnsi" w:cstheme="minorHAnsi"/>
          <w:color w:val="auto"/>
          <w:sz w:val="32"/>
          <w:szCs w:val="32"/>
        </w:rPr>
        <w:t>)</w:t>
      </w:r>
    </w:p>
    <w:p w:rsidR="00B52D13" w:rsidRPr="0047656C" w:rsidRDefault="00B52D13" w:rsidP="00B52D13">
      <w:pPr>
        <w:pStyle w:val="Heading4"/>
        <w:snapToGrid w:val="0"/>
        <w:rPr>
          <w:rFonts w:asciiTheme="minorHAnsi" w:hAnsiTheme="minorHAnsi" w:cstheme="minorHAnsi"/>
          <w:color w:val="auto"/>
          <w:sz w:val="32"/>
          <w:szCs w:val="32"/>
        </w:rPr>
      </w:pPr>
      <w:r w:rsidRPr="0047656C">
        <w:rPr>
          <w:rFonts w:asciiTheme="minorHAnsi" w:hAnsiTheme="minorHAnsi" w:cstheme="minorHAnsi"/>
          <w:color w:val="auto"/>
          <w:sz w:val="32"/>
          <w:szCs w:val="32"/>
        </w:rPr>
        <w:t>Provision of scientific information</w:t>
      </w:r>
    </w:p>
    <w:p w:rsidR="003B4FCB" w:rsidRDefault="003B4FCB" w:rsidP="00B52D13">
      <w:pPr>
        <w:pStyle w:val="Default"/>
        <w:snapToGrid w:val="0"/>
        <w:rPr>
          <w:rFonts w:asciiTheme="minorHAnsi" w:hAnsiTheme="minorHAnsi" w:cstheme="minorHAnsi"/>
          <w:color w:val="auto"/>
          <w:sz w:val="22"/>
          <w:szCs w:val="22"/>
        </w:rPr>
      </w:pPr>
    </w:p>
    <w:p w:rsidR="00B52D13" w:rsidRPr="00A27E65" w:rsidRDefault="00D40768" w:rsidP="00B52D13">
      <w:pPr>
        <w:pStyle w:val="Heading5"/>
        <w:snapToGrid w:val="0"/>
        <w:rPr>
          <w:rFonts w:asciiTheme="minorHAnsi" w:hAnsiTheme="minorHAnsi" w:cstheme="minorHAnsi"/>
          <w:color w:val="auto"/>
          <w:sz w:val="32"/>
          <w:szCs w:val="32"/>
        </w:rPr>
      </w:pPr>
      <w:r w:rsidRPr="00A27E65">
        <w:rPr>
          <w:rFonts w:asciiTheme="minorHAnsi" w:hAnsiTheme="minorHAnsi" w:cstheme="minorHAnsi"/>
          <w:color w:val="auto"/>
          <w:sz w:val="32"/>
          <w:szCs w:val="32"/>
        </w:rPr>
        <w:t xml:space="preserve">Draft </w:t>
      </w:r>
      <w:r w:rsidR="00B52D13" w:rsidRPr="00A27E65">
        <w:rPr>
          <w:rFonts w:asciiTheme="minorHAnsi" w:hAnsiTheme="minorHAnsi" w:cstheme="minorHAnsi"/>
          <w:color w:val="auto"/>
          <w:sz w:val="32"/>
          <w:szCs w:val="32"/>
        </w:rPr>
        <w:t>Status and trends</w:t>
      </w:r>
      <w:bookmarkStart w:id="0" w:name="_GoBack"/>
      <w:bookmarkEnd w:id="0"/>
    </w:p>
    <w:p w:rsidR="00B52D13" w:rsidRDefault="00B52D13" w:rsidP="00B52D13">
      <w:pPr>
        <w:pStyle w:val="PlainText"/>
        <w:adjustRightInd w:val="0"/>
        <w:snapToGrid w:val="0"/>
        <w:rPr>
          <w:rFonts w:asciiTheme="minorHAnsi" w:hAnsiTheme="minorHAnsi" w:cstheme="minorHAnsi"/>
          <w:sz w:val="22"/>
          <w:szCs w:val="22"/>
        </w:rPr>
      </w:pPr>
    </w:p>
    <w:p w:rsidR="0016567F" w:rsidRDefault="0016567F" w:rsidP="00B52D13">
      <w:pPr>
        <w:pStyle w:val="PlainText"/>
        <w:adjustRightInd w:val="0"/>
        <w:snapToGrid w:val="0"/>
        <w:rPr>
          <w:rFonts w:asciiTheme="minorHAnsi" w:hAnsiTheme="minorHAnsi" w:cstheme="minorHAnsi"/>
          <w:sz w:val="22"/>
          <w:szCs w:val="22"/>
        </w:rPr>
      </w:pPr>
    </w:p>
    <w:p w:rsidR="00845F2F" w:rsidRPr="00845F2F" w:rsidRDefault="0016567F" w:rsidP="00845F2F">
      <w:pPr>
        <w:pStyle w:val="Default"/>
        <w:numPr>
          <w:ilvl w:val="0"/>
          <w:numId w:val="7"/>
        </w:numPr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</w:rPr>
      </w:pPr>
      <w:r w:rsidRPr="006E7983">
        <w:rPr>
          <w:rFonts w:asciiTheme="minorHAnsi" w:hAnsiTheme="minorHAnsi" w:cstheme="minorHAnsi"/>
          <w:color w:val="auto"/>
        </w:rPr>
        <w:t xml:space="preserve">SC12 noted </w:t>
      </w:r>
      <w:r w:rsidR="00845F2F" w:rsidRPr="00845F2F">
        <w:rPr>
          <w:rFonts w:asciiTheme="minorHAnsi" w:hAnsiTheme="minorHAnsi" w:cstheme="minorHAnsi"/>
          <w:color w:val="auto"/>
        </w:rPr>
        <w:t xml:space="preserve">that WCPFC has not yet determined </w:t>
      </w:r>
      <w:r w:rsidR="00845F2F">
        <w:rPr>
          <w:rFonts w:asciiTheme="minorHAnsi" w:hAnsiTheme="minorHAnsi" w:cstheme="minorHAnsi"/>
          <w:color w:val="auto"/>
        </w:rPr>
        <w:t xml:space="preserve">limit </w:t>
      </w:r>
      <w:r w:rsidR="00845F2F" w:rsidRPr="00845F2F">
        <w:rPr>
          <w:rFonts w:asciiTheme="minorHAnsi" w:hAnsiTheme="minorHAnsi" w:cstheme="minorHAnsi"/>
          <w:color w:val="auto"/>
        </w:rPr>
        <w:t>biological reference points for shark species</w:t>
      </w:r>
    </w:p>
    <w:p w:rsidR="0047656C" w:rsidRPr="00845F2F" w:rsidRDefault="00845F2F" w:rsidP="00845F2F">
      <w:pPr>
        <w:pStyle w:val="Default"/>
        <w:numPr>
          <w:ilvl w:val="0"/>
          <w:numId w:val="7"/>
        </w:numPr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SC12 noted that</w:t>
      </w:r>
      <w:r w:rsidRPr="00845F2F">
        <w:rPr>
          <w:rFonts w:asciiTheme="minorHAnsi" w:hAnsiTheme="minorHAnsi" w:cstheme="minorHAnsi"/>
          <w:color w:val="auto"/>
        </w:rPr>
        <w:t xml:space="preserve"> the stock status for shark assessments presented to the Scientific </w:t>
      </w:r>
      <w:r>
        <w:rPr>
          <w:rFonts w:asciiTheme="minorHAnsi" w:hAnsiTheme="minorHAnsi" w:cstheme="minorHAnsi"/>
          <w:color w:val="auto"/>
        </w:rPr>
        <w:t>have been</w:t>
      </w:r>
      <w:r w:rsidRPr="00845F2F">
        <w:rPr>
          <w:rFonts w:asciiTheme="minorHAnsi" w:hAnsiTheme="minorHAnsi" w:cstheme="minorHAnsi"/>
          <w:color w:val="auto"/>
        </w:rPr>
        <w:t xml:space="preserve"> traditionally assessed relative to MSY-based reference points</w:t>
      </w:r>
      <w:r>
        <w:rPr>
          <w:rFonts w:asciiTheme="minorHAnsi" w:hAnsiTheme="minorHAnsi" w:cstheme="minorHAnsi"/>
          <w:color w:val="auto"/>
        </w:rPr>
        <w:t>. It was also noted that</w:t>
      </w:r>
      <w:r w:rsidRPr="00845F2F">
        <w:rPr>
          <w:rFonts w:asciiTheme="minorHAnsi" w:hAnsiTheme="minorHAnsi" w:cstheme="minorHAnsi"/>
          <w:color w:val="auto"/>
        </w:rPr>
        <w:t xml:space="preserve"> realistic estimates of equilibrium unexploited recruitment and spawning biomass </w:t>
      </w:r>
      <w:r>
        <w:rPr>
          <w:rFonts w:asciiTheme="minorHAnsi" w:hAnsiTheme="minorHAnsi" w:cstheme="minorHAnsi"/>
          <w:color w:val="auto"/>
        </w:rPr>
        <w:t>could not be obtained</w:t>
      </w:r>
      <w:r w:rsidRPr="00845F2F">
        <w:rPr>
          <w:rFonts w:asciiTheme="minorHAnsi" w:hAnsiTheme="minorHAnsi" w:cstheme="minorHAnsi"/>
          <w:color w:val="auto"/>
        </w:rPr>
        <w:t xml:space="preserve"> in the 2016 South Pacific blue shark assessmen</w:t>
      </w:r>
      <w:r>
        <w:rPr>
          <w:rFonts w:asciiTheme="minorHAnsi" w:hAnsiTheme="minorHAnsi" w:cstheme="minorHAnsi"/>
          <w:color w:val="auto"/>
        </w:rPr>
        <w:t>t due to</w:t>
      </w:r>
      <w:r w:rsidRPr="00845F2F">
        <w:rPr>
          <w:rFonts w:asciiTheme="minorHAnsi" w:hAnsiTheme="minorHAnsi" w:cstheme="minorHAnsi"/>
          <w:color w:val="auto"/>
        </w:rPr>
        <w:t xml:space="preserve"> the </w:t>
      </w:r>
      <w:r>
        <w:rPr>
          <w:rFonts w:asciiTheme="minorHAnsi" w:hAnsiTheme="minorHAnsi" w:cstheme="minorHAnsi"/>
          <w:color w:val="auto"/>
        </w:rPr>
        <w:t xml:space="preserve">lack of </w:t>
      </w:r>
      <w:r w:rsidRPr="00845F2F">
        <w:rPr>
          <w:rFonts w:asciiTheme="minorHAnsi" w:hAnsiTheme="minorHAnsi" w:cstheme="minorHAnsi"/>
          <w:color w:val="auto"/>
        </w:rPr>
        <w:t xml:space="preserve">available data, poor fits to CPUE time series by the </w:t>
      </w:r>
      <w:r>
        <w:rPr>
          <w:rFonts w:asciiTheme="minorHAnsi" w:hAnsiTheme="minorHAnsi" w:cstheme="minorHAnsi"/>
          <w:color w:val="auto"/>
        </w:rPr>
        <w:t xml:space="preserve">MULTIFAN-CL </w:t>
      </w:r>
      <w:r w:rsidRPr="00845F2F">
        <w:rPr>
          <w:rFonts w:asciiTheme="minorHAnsi" w:hAnsiTheme="minorHAnsi" w:cstheme="minorHAnsi"/>
          <w:color w:val="auto"/>
        </w:rPr>
        <w:t>model, and uncertainty in the estimated stock recruitment relationship</w:t>
      </w:r>
      <w:r>
        <w:rPr>
          <w:rFonts w:asciiTheme="minorHAnsi" w:hAnsiTheme="minorHAnsi" w:cstheme="minorHAnsi"/>
          <w:color w:val="auto"/>
        </w:rPr>
        <w:t>.</w:t>
      </w:r>
    </w:p>
    <w:p w:rsidR="00845F2F" w:rsidRDefault="00845F2F" w:rsidP="002625B9">
      <w:pPr>
        <w:pStyle w:val="Default"/>
        <w:numPr>
          <w:ilvl w:val="0"/>
          <w:numId w:val="7"/>
        </w:numPr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  <w:color w:val="auto"/>
          <w:sz w:val="32"/>
          <w:szCs w:val="32"/>
        </w:rPr>
      </w:pPr>
      <w:r w:rsidRPr="00845F2F">
        <w:rPr>
          <w:rFonts w:asciiTheme="minorHAnsi" w:hAnsiTheme="minorHAnsi" w:cstheme="minorHAnsi"/>
        </w:rPr>
        <w:t xml:space="preserve">SC12 noted that the 2016 South Pacific blue shark assessment </w:t>
      </w:r>
      <w:r w:rsidR="002625B9">
        <w:rPr>
          <w:rFonts w:asciiTheme="minorHAnsi" w:hAnsiTheme="minorHAnsi" w:cstheme="minorHAnsi"/>
        </w:rPr>
        <w:t xml:space="preserve">is preliminary and is considered to be </w:t>
      </w:r>
      <w:r w:rsidR="002625B9">
        <w:rPr>
          <w:rFonts w:asciiTheme="minorHAnsi" w:hAnsiTheme="minorHAnsi" w:cstheme="minorHAnsi"/>
          <w:color w:val="auto"/>
        </w:rPr>
        <w:t>a work-in-progress. As a result, i</w:t>
      </w:r>
      <w:r w:rsidRPr="00845F2F">
        <w:rPr>
          <w:rFonts w:asciiTheme="minorHAnsi" w:hAnsiTheme="minorHAnsi" w:cstheme="minorHAnsi"/>
          <w:color w:val="auto"/>
        </w:rPr>
        <w:t xml:space="preserve">t </w:t>
      </w:r>
      <w:r w:rsidR="002625B9">
        <w:rPr>
          <w:rFonts w:asciiTheme="minorHAnsi" w:hAnsiTheme="minorHAnsi" w:cstheme="minorHAnsi"/>
          <w:color w:val="auto"/>
        </w:rPr>
        <w:t>can</w:t>
      </w:r>
      <w:r w:rsidRPr="00845F2F">
        <w:rPr>
          <w:rFonts w:asciiTheme="minorHAnsi" w:hAnsiTheme="minorHAnsi" w:cstheme="minorHAnsi"/>
          <w:color w:val="auto"/>
        </w:rPr>
        <w:t xml:space="preserve">not </w:t>
      </w:r>
      <w:r w:rsidR="002625B9">
        <w:rPr>
          <w:rFonts w:asciiTheme="minorHAnsi" w:hAnsiTheme="minorHAnsi" w:cstheme="minorHAnsi"/>
          <w:color w:val="auto"/>
        </w:rPr>
        <w:t>be used</w:t>
      </w:r>
      <w:r w:rsidRPr="00845F2F">
        <w:rPr>
          <w:rFonts w:asciiTheme="minorHAnsi" w:hAnsiTheme="minorHAnsi" w:cstheme="minorHAnsi"/>
          <w:color w:val="auto"/>
        </w:rPr>
        <w:t xml:space="preserve"> </w:t>
      </w:r>
      <w:r w:rsidR="002625B9">
        <w:rPr>
          <w:rFonts w:asciiTheme="minorHAnsi" w:hAnsiTheme="minorHAnsi" w:cstheme="minorHAnsi"/>
          <w:color w:val="auto"/>
        </w:rPr>
        <w:t>to determine</w:t>
      </w:r>
      <w:r w:rsidRPr="00845F2F">
        <w:rPr>
          <w:rFonts w:asciiTheme="minorHAnsi" w:hAnsiTheme="minorHAnsi" w:cstheme="minorHAnsi"/>
          <w:color w:val="auto"/>
        </w:rPr>
        <w:t xml:space="preserve"> stock status </w:t>
      </w:r>
      <w:r w:rsidR="00B97550">
        <w:rPr>
          <w:rFonts w:asciiTheme="minorHAnsi" w:hAnsiTheme="minorHAnsi" w:cstheme="minorHAnsi"/>
          <w:color w:val="auto"/>
        </w:rPr>
        <w:t>and form the basis of</w:t>
      </w:r>
      <w:r w:rsidRPr="00845F2F">
        <w:rPr>
          <w:rFonts w:asciiTheme="minorHAnsi" w:hAnsiTheme="minorHAnsi" w:cstheme="minorHAnsi"/>
          <w:color w:val="auto"/>
        </w:rPr>
        <w:t xml:space="preserve"> management advice</w:t>
      </w:r>
      <w:r w:rsidR="002625B9">
        <w:rPr>
          <w:rFonts w:asciiTheme="minorHAnsi" w:hAnsiTheme="minorHAnsi" w:cstheme="minorHAnsi"/>
          <w:color w:val="auto"/>
        </w:rPr>
        <w:t>.</w:t>
      </w:r>
      <w:r w:rsidRPr="00845F2F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</w:p>
    <w:p w:rsidR="00845F2F" w:rsidRDefault="00845F2F" w:rsidP="00845F2F">
      <w:pPr>
        <w:pStyle w:val="Default"/>
        <w:snapToGrid w:val="0"/>
        <w:spacing w:before="44" w:line="242" w:lineRule="auto"/>
        <w:ind w:left="821" w:right="103"/>
        <w:jc w:val="both"/>
        <w:rPr>
          <w:rFonts w:asciiTheme="minorHAnsi" w:hAnsiTheme="minorHAnsi" w:cstheme="minorHAnsi"/>
          <w:color w:val="auto"/>
          <w:sz w:val="32"/>
          <w:szCs w:val="32"/>
        </w:rPr>
      </w:pPr>
    </w:p>
    <w:p w:rsidR="004645E6" w:rsidRPr="004645E6" w:rsidRDefault="0047656C" w:rsidP="004645E6">
      <w:pPr>
        <w:pStyle w:val="Default"/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  <w:color w:val="auto"/>
          <w:sz w:val="32"/>
          <w:szCs w:val="32"/>
        </w:rPr>
      </w:pPr>
      <w:r w:rsidRPr="00845F2F">
        <w:rPr>
          <w:rFonts w:asciiTheme="minorHAnsi" w:hAnsiTheme="minorHAnsi" w:cstheme="minorHAnsi"/>
          <w:color w:val="auto"/>
          <w:sz w:val="32"/>
          <w:szCs w:val="32"/>
        </w:rPr>
        <w:t>Draft Management advice and implications</w:t>
      </w:r>
    </w:p>
    <w:p w:rsidR="0047656C" w:rsidRPr="0047656C" w:rsidRDefault="0047656C" w:rsidP="0047656C">
      <w:pPr>
        <w:pStyle w:val="Default"/>
        <w:snapToGrid w:val="0"/>
        <w:rPr>
          <w:rFonts w:asciiTheme="minorHAnsi" w:hAnsiTheme="minorHAnsi" w:cstheme="minorHAnsi"/>
          <w:color w:val="auto"/>
          <w:sz w:val="22"/>
          <w:szCs w:val="22"/>
        </w:rPr>
      </w:pPr>
    </w:p>
    <w:p w:rsidR="002625B9" w:rsidRPr="002625B9" w:rsidRDefault="002625B9" w:rsidP="002625B9">
      <w:pPr>
        <w:pStyle w:val="ListParagraph"/>
        <w:numPr>
          <w:ilvl w:val="0"/>
          <w:numId w:val="11"/>
        </w:numPr>
        <w:rPr>
          <w:rFonts w:eastAsiaTheme="minorEastAsia" w:cstheme="minorHAnsi"/>
          <w:sz w:val="24"/>
          <w:szCs w:val="24"/>
          <w:lang w:val="en-AU" w:eastAsia="en-NZ"/>
        </w:rPr>
      </w:pPr>
      <w:r w:rsidRPr="002625B9">
        <w:rPr>
          <w:rFonts w:eastAsiaTheme="minorEastAsia" w:cstheme="minorHAnsi"/>
          <w:sz w:val="24"/>
          <w:szCs w:val="24"/>
          <w:lang w:val="en-AU" w:eastAsia="en-NZ"/>
        </w:rPr>
        <w:t>SC11 noted that no management advice has been provided for South Pacific blue shark.</w:t>
      </w:r>
    </w:p>
    <w:p w:rsidR="004645E6" w:rsidRPr="004645E6" w:rsidRDefault="004645E6" w:rsidP="004645E6">
      <w:pPr>
        <w:pStyle w:val="Default"/>
        <w:snapToGrid w:val="0"/>
        <w:ind w:left="720"/>
        <w:jc w:val="both"/>
        <w:rPr>
          <w:rFonts w:asciiTheme="minorHAnsi" w:hAnsiTheme="minorHAnsi" w:cstheme="minorHAnsi"/>
          <w:b/>
        </w:rPr>
      </w:pPr>
    </w:p>
    <w:p w:rsidR="004645E6" w:rsidRPr="00B9536B" w:rsidRDefault="002625B9" w:rsidP="004645E6">
      <w:pPr>
        <w:pStyle w:val="Default"/>
        <w:snapToGri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sectPr w:rsidR="004645E6" w:rsidRPr="00B9536B" w:rsidSect="00E270A7">
      <w:footerReference w:type="default" r:id="rId9"/>
      <w:pgSz w:w="11900" w:h="16840"/>
      <w:pgMar w:top="1600" w:right="1280" w:bottom="1880" w:left="1300" w:header="0" w:footer="1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21F" w:rsidRDefault="003C621F">
      <w:r>
        <w:separator/>
      </w:r>
    </w:p>
  </w:endnote>
  <w:endnote w:type="continuationSeparator" w:id="0">
    <w:p w:rsidR="003C621F" w:rsidRDefault="003C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56" w:rsidRDefault="0079271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5253355</wp:posOffset>
              </wp:positionH>
              <wp:positionV relativeFrom="page">
                <wp:posOffset>6800850</wp:posOffset>
              </wp:positionV>
              <wp:extent cx="190500" cy="16192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A56" w:rsidRDefault="00C570B6">
                          <w:pPr>
                            <w:pStyle w:val="BodyText"/>
                            <w:spacing w:line="238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6E58">
                            <w:rPr>
                              <w:noProof/>
                              <w:w w:val="10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3.65pt;margin-top:535.5pt;width:15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" filled="f" stroked="f">
              <v:textbox inset="0,0,0,0">
                <w:txbxContent>
                  <w:p w:rsidR="00EA2A56" w:rsidRDefault="00C570B6">
                    <w:pPr>
                      <w:pStyle w:val="BodyText"/>
                      <w:spacing w:line="238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06E58">
                      <w:rPr>
                        <w:noProof/>
                        <w:w w:val="10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21F" w:rsidRDefault="003C621F">
      <w:r>
        <w:separator/>
      </w:r>
    </w:p>
  </w:footnote>
  <w:footnote w:type="continuationSeparator" w:id="0">
    <w:p w:rsidR="003C621F" w:rsidRDefault="003C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0232"/>
    <w:multiLevelType w:val="hybridMultilevel"/>
    <w:tmpl w:val="CDEA143E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>
    <w:nsid w:val="25E86F69"/>
    <w:multiLevelType w:val="hybridMultilevel"/>
    <w:tmpl w:val="CB02B61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35803EC1"/>
    <w:multiLevelType w:val="hybridMultilevel"/>
    <w:tmpl w:val="A5BEFCF4"/>
    <w:lvl w:ilvl="0" w:tplc="03041C4A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21B33"/>
    <w:multiLevelType w:val="hybridMultilevel"/>
    <w:tmpl w:val="E6E4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403CB"/>
    <w:multiLevelType w:val="hybridMultilevel"/>
    <w:tmpl w:val="400440E8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>
    <w:nsid w:val="48814AAC"/>
    <w:multiLevelType w:val="hybridMultilevel"/>
    <w:tmpl w:val="F922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2526D"/>
    <w:multiLevelType w:val="hybridMultilevel"/>
    <w:tmpl w:val="E4089AFE"/>
    <w:lvl w:ilvl="0" w:tplc="7138DFDC">
      <w:start w:val="1"/>
      <w:numFmt w:val="decimal"/>
      <w:lvlText w:val="%1."/>
      <w:lvlJc w:val="left"/>
      <w:pPr>
        <w:ind w:left="116" w:hanging="214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910E4268">
      <w:start w:val="1"/>
      <w:numFmt w:val="bullet"/>
      <w:lvlText w:val="•"/>
      <w:lvlJc w:val="left"/>
      <w:pPr>
        <w:ind w:left="1452" w:hanging="214"/>
      </w:pPr>
      <w:rPr>
        <w:rFonts w:hint="default"/>
      </w:rPr>
    </w:lvl>
    <w:lvl w:ilvl="2" w:tplc="1A3270B2">
      <w:start w:val="1"/>
      <w:numFmt w:val="bullet"/>
      <w:lvlText w:val="•"/>
      <w:lvlJc w:val="left"/>
      <w:pPr>
        <w:ind w:left="2784" w:hanging="214"/>
      </w:pPr>
      <w:rPr>
        <w:rFonts w:hint="default"/>
      </w:rPr>
    </w:lvl>
    <w:lvl w:ilvl="3" w:tplc="E8D6F8E0">
      <w:start w:val="1"/>
      <w:numFmt w:val="bullet"/>
      <w:lvlText w:val="•"/>
      <w:lvlJc w:val="left"/>
      <w:pPr>
        <w:ind w:left="4116" w:hanging="214"/>
      </w:pPr>
      <w:rPr>
        <w:rFonts w:hint="default"/>
      </w:rPr>
    </w:lvl>
    <w:lvl w:ilvl="4" w:tplc="6C382FE6">
      <w:start w:val="1"/>
      <w:numFmt w:val="bullet"/>
      <w:lvlText w:val="•"/>
      <w:lvlJc w:val="left"/>
      <w:pPr>
        <w:ind w:left="5448" w:hanging="214"/>
      </w:pPr>
      <w:rPr>
        <w:rFonts w:hint="default"/>
      </w:rPr>
    </w:lvl>
    <w:lvl w:ilvl="5" w:tplc="D74C247E">
      <w:start w:val="1"/>
      <w:numFmt w:val="bullet"/>
      <w:lvlText w:val="•"/>
      <w:lvlJc w:val="left"/>
      <w:pPr>
        <w:ind w:left="6780" w:hanging="214"/>
      </w:pPr>
      <w:rPr>
        <w:rFonts w:hint="default"/>
      </w:rPr>
    </w:lvl>
    <w:lvl w:ilvl="6" w:tplc="68641DC8">
      <w:start w:val="1"/>
      <w:numFmt w:val="bullet"/>
      <w:lvlText w:val="•"/>
      <w:lvlJc w:val="left"/>
      <w:pPr>
        <w:ind w:left="8112" w:hanging="214"/>
      </w:pPr>
      <w:rPr>
        <w:rFonts w:hint="default"/>
      </w:rPr>
    </w:lvl>
    <w:lvl w:ilvl="7" w:tplc="DEB693F6">
      <w:start w:val="1"/>
      <w:numFmt w:val="bullet"/>
      <w:lvlText w:val="•"/>
      <w:lvlJc w:val="left"/>
      <w:pPr>
        <w:ind w:left="9444" w:hanging="214"/>
      </w:pPr>
      <w:rPr>
        <w:rFonts w:hint="default"/>
      </w:rPr>
    </w:lvl>
    <w:lvl w:ilvl="8" w:tplc="D9B46A7E">
      <w:start w:val="1"/>
      <w:numFmt w:val="bullet"/>
      <w:lvlText w:val="•"/>
      <w:lvlJc w:val="left"/>
      <w:pPr>
        <w:ind w:left="10776" w:hanging="214"/>
      </w:pPr>
      <w:rPr>
        <w:rFonts w:hint="default"/>
      </w:rPr>
    </w:lvl>
  </w:abstractNum>
  <w:abstractNum w:abstractNumId="7">
    <w:nsid w:val="4D207FBD"/>
    <w:multiLevelType w:val="hybridMultilevel"/>
    <w:tmpl w:val="63AA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84A6F"/>
    <w:multiLevelType w:val="hybridMultilevel"/>
    <w:tmpl w:val="9C5286C4"/>
    <w:lvl w:ilvl="0" w:tplc="BCD24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C0D20"/>
    <w:multiLevelType w:val="hybridMultilevel"/>
    <w:tmpl w:val="7DEC40B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838AA5F0">
      <w:start w:val="1"/>
      <w:numFmt w:val="lowerLetter"/>
      <w:lvlText w:val="%4)"/>
      <w:lvlJc w:val="left"/>
      <w:pPr>
        <w:ind w:left="2880" w:hanging="360"/>
      </w:pPr>
      <w:rPr>
        <w:rFonts w:eastAsiaTheme="minorEastAsia" w:hint="default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71027"/>
    <w:multiLevelType w:val="hybridMultilevel"/>
    <w:tmpl w:val="CDA01BB6"/>
    <w:lvl w:ilvl="0" w:tplc="99526142">
      <w:start w:val="1"/>
      <w:numFmt w:val="bullet"/>
      <w:lvlText w:val=""/>
      <w:lvlJc w:val="left"/>
      <w:pPr>
        <w:ind w:left="802" w:hanging="351"/>
      </w:pPr>
      <w:rPr>
        <w:rFonts w:ascii="Symbol" w:eastAsia="Symbol" w:hAnsi="Symbol" w:hint="default"/>
        <w:w w:val="102"/>
        <w:sz w:val="21"/>
        <w:szCs w:val="21"/>
      </w:rPr>
    </w:lvl>
    <w:lvl w:ilvl="1" w:tplc="ACFA5EB8">
      <w:start w:val="1"/>
      <w:numFmt w:val="bullet"/>
      <w:lvlText w:val=""/>
      <w:lvlJc w:val="left"/>
      <w:pPr>
        <w:ind w:left="1156" w:hanging="351"/>
      </w:pPr>
      <w:rPr>
        <w:rFonts w:ascii="Symbol" w:eastAsia="Symbol" w:hAnsi="Symbol" w:hint="default"/>
        <w:w w:val="102"/>
        <w:sz w:val="21"/>
        <w:szCs w:val="21"/>
      </w:rPr>
    </w:lvl>
    <w:lvl w:ilvl="2" w:tplc="2EF0FDB6">
      <w:start w:val="1"/>
      <w:numFmt w:val="bullet"/>
      <w:lvlText w:val="•"/>
      <w:lvlJc w:val="left"/>
      <w:pPr>
        <w:ind w:left="2066" w:hanging="351"/>
      </w:pPr>
      <w:rPr>
        <w:rFonts w:hint="default"/>
      </w:rPr>
    </w:lvl>
    <w:lvl w:ilvl="3" w:tplc="F6441DB2">
      <w:start w:val="1"/>
      <w:numFmt w:val="bullet"/>
      <w:lvlText w:val="•"/>
      <w:lvlJc w:val="left"/>
      <w:pPr>
        <w:ind w:left="2973" w:hanging="351"/>
      </w:pPr>
      <w:rPr>
        <w:rFonts w:hint="default"/>
      </w:rPr>
    </w:lvl>
    <w:lvl w:ilvl="4" w:tplc="BB1E0050">
      <w:start w:val="1"/>
      <w:numFmt w:val="bullet"/>
      <w:lvlText w:val="•"/>
      <w:lvlJc w:val="left"/>
      <w:pPr>
        <w:ind w:left="3880" w:hanging="351"/>
      </w:pPr>
      <w:rPr>
        <w:rFonts w:hint="default"/>
      </w:rPr>
    </w:lvl>
    <w:lvl w:ilvl="5" w:tplc="748207C0">
      <w:start w:val="1"/>
      <w:numFmt w:val="bullet"/>
      <w:lvlText w:val="•"/>
      <w:lvlJc w:val="left"/>
      <w:pPr>
        <w:ind w:left="4786" w:hanging="351"/>
      </w:pPr>
      <w:rPr>
        <w:rFonts w:hint="default"/>
      </w:rPr>
    </w:lvl>
    <w:lvl w:ilvl="6" w:tplc="9A50878C">
      <w:start w:val="1"/>
      <w:numFmt w:val="bullet"/>
      <w:lvlText w:val="•"/>
      <w:lvlJc w:val="left"/>
      <w:pPr>
        <w:ind w:left="5693" w:hanging="351"/>
      </w:pPr>
      <w:rPr>
        <w:rFonts w:hint="default"/>
      </w:rPr>
    </w:lvl>
    <w:lvl w:ilvl="7" w:tplc="714C0CAA">
      <w:start w:val="1"/>
      <w:numFmt w:val="bullet"/>
      <w:lvlText w:val="•"/>
      <w:lvlJc w:val="left"/>
      <w:pPr>
        <w:ind w:left="6600" w:hanging="351"/>
      </w:pPr>
      <w:rPr>
        <w:rFonts w:hint="default"/>
      </w:rPr>
    </w:lvl>
    <w:lvl w:ilvl="8" w:tplc="2E54BA1E">
      <w:start w:val="1"/>
      <w:numFmt w:val="bullet"/>
      <w:lvlText w:val="•"/>
      <w:lvlJc w:val="left"/>
      <w:pPr>
        <w:ind w:left="7506" w:hanging="351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56"/>
    <w:rsid w:val="000118C8"/>
    <w:rsid w:val="0016567F"/>
    <w:rsid w:val="001F570F"/>
    <w:rsid w:val="00200D18"/>
    <w:rsid w:val="00201018"/>
    <w:rsid w:val="002625B9"/>
    <w:rsid w:val="0027639E"/>
    <w:rsid w:val="002F17EF"/>
    <w:rsid w:val="003035DC"/>
    <w:rsid w:val="00305DD9"/>
    <w:rsid w:val="00391DA4"/>
    <w:rsid w:val="003B4FCB"/>
    <w:rsid w:val="003C1CA2"/>
    <w:rsid w:val="003C465A"/>
    <w:rsid w:val="003C621F"/>
    <w:rsid w:val="004645E6"/>
    <w:rsid w:val="0047656C"/>
    <w:rsid w:val="004C7765"/>
    <w:rsid w:val="004D1DC1"/>
    <w:rsid w:val="004E594C"/>
    <w:rsid w:val="005567D3"/>
    <w:rsid w:val="005A6842"/>
    <w:rsid w:val="006B2388"/>
    <w:rsid w:val="006C057D"/>
    <w:rsid w:val="006E7983"/>
    <w:rsid w:val="007425FA"/>
    <w:rsid w:val="0079271F"/>
    <w:rsid w:val="007D128D"/>
    <w:rsid w:val="007F4712"/>
    <w:rsid w:val="00805567"/>
    <w:rsid w:val="00845F2F"/>
    <w:rsid w:val="00891CE7"/>
    <w:rsid w:val="008943E3"/>
    <w:rsid w:val="008A70E3"/>
    <w:rsid w:val="00901085"/>
    <w:rsid w:val="00907B3F"/>
    <w:rsid w:val="00920F33"/>
    <w:rsid w:val="0098655B"/>
    <w:rsid w:val="009B1C50"/>
    <w:rsid w:val="00A27E65"/>
    <w:rsid w:val="00AE47BE"/>
    <w:rsid w:val="00AF352B"/>
    <w:rsid w:val="00AF65B5"/>
    <w:rsid w:val="00AF6D6F"/>
    <w:rsid w:val="00B1591F"/>
    <w:rsid w:val="00B3292E"/>
    <w:rsid w:val="00B52D13"/>
    <w:rsid w:val="00B57F61"/>
    <w:rsid w:val="00B9536B"/>
    <w:rsid w:val="00B97550"/>
    <w:rsid w:val="00BB294E"/>
    <w:rsid w:val="00C04EFE"/>
    <w:rsid w:val="00C43705"/>
    <w:rsid w:val="00C570B6"/>
    <w:rsid w:val="00C61CCB"/>
    <w:rsid w:val="00C715D7"/>
    <w:rsid w:val="00CE3AE7"/>
    <w:rsid w:val="00CF326D"/>
    <w:rsid w:val="00D30AAE"/>
    <w:rsid w:val="00D40768"/>
    <w:rsid w:val="00D444AD"/>
    <w:rsid w:val="00D5582A"/>
    <w:rsid w:val="00DA2BFA"/>
    <w:rsid w:val="00DD7279"/>
    <w:rsid w:val="00E06E58"/>
    <w:rsid w:val="00E075F1"/>
    <w:rsid w:val="00E270A7"/>
    <w:rsid w:val="00EA2A56"/>
    <w:rsid w:val="00EC7C14"/>
    <w:rsid w:val="00EE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Cambria" w:eastAsia="Cambria" w:hAnsi="Cambria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rFonts w:ascii="Cambria" w:eastAsia="Cambria" w:hAnsi="Cambria"/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61"/>
      <w:ind w:left="101"/>
      <w:outlineLvl w:val="2"/>
    </w:pPr>
    <w:rPr>
      <w:rFonts w:ascii="Calibri" w:eastAsia="Calibri" w:hAnsi="Calibri"/>
      <w:b/>
      <w:bCs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4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E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1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link w:val="DefaultChar"/>
    <w:rsid w:val="00B52D13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styleId="PlainText">
    <w:name w:val="Plain Text"/>
    <w:basedOn w:val="Normal"/>
    <w:link w:val="PlainTextChar"/>
    <w:uiPriority w:val="99"/>
    <w:unhideWhenUsed/>
    <w:rsid w:val="00B52D13"/>
    <w:pPr>
      <w:widowControl/>
    </w:pPr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B52D13"/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B52D13"/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Cambria" w:eastAsia="Cambria" w:hAnsi="Cambria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rFonts w:ascii="Cambria" w:eastAsia="Cambria" w:hAnsi="Cambria"/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61"/>
      <w:ind w:left="101"/>
      <w:outlineLvl w:val="2"/>
    </w:pPr>
    <w:rPr>
      <w:rFonts w:ascii="Calibri" w:eastAsia="Calibri" w:hAnsi="Calibri"/>
      <w:b/>
      <w:bCs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4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E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1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link w:val="DefaultChar"/>
    <w:rsid w:val="00B52D13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styleId="PlainText">
    <w:name w:val="Plain Text"/>
    <w:basedOn w:val="Normal"/>
    <w:link w:val="PlainTextChar"/>
    <w:uiPriority w:val="99"/>
    <w:unhideWhenUsed/>
    <w:rsid w:val="00B52D13"/>
    <w:pPr>
      <w:widowControl/>
    </w:pPr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B52D13"/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B52D13"/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092A-D80B-40F6-9FE8-B4F0DAB8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S12-SA-WP-06 SP Albacore trends paper - FINAL</vt:lpstr>
    </vt:vector>
  </TitlesOfParts>
  <Company>National Marine Fisheries Svc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S12-SA-WP-06 SP Albacore trends paper - FINAL</dc:title>
  <dc:creator>grahamp</dc:creator>
  <cp:lastModifiedBy>Anthony J. Beeching</cp:lastModifiedBy>
  <cp:revision>2</cp:revision>
  <dcterms:created xsi:type="dcterms:W3CDTF">2016-08-09T07:43:00Z</dcterms:created>
  <dcterms:modified xsi:type="dcterms:W3CDTF">2016-08-09T07:43:00Z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2016-08-05T00:00:00Z</vt:filetime>
  </property>
</Properties>
</file>