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E4" w:rsidRPr="00D52ED6" w:rsidRDefault="001B373E" w:rsidP="00D52ED6">
      <w:pPr>
        <w:pStyle w:val="Heading1"/>
        <w:adjustRightInd w:val="0"/>
        <w:snapToGrid w:val="0"/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NZ"/>
        </w:rPr>
      </w:pPr>
      <w:r w:rsidRPr="00D52ED6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2B4751BC" wp14:editId="6A17535D">
            <wp:extent cx="21082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58" w:rsidRPr="00D52ED6" w:rsidRDefault="00CF1558" w:rsidP="00D52ED6">
      <w:pPr>
        <w:adjustRightInd w:val="0"/>
        <w:snapToGrid w:val="0"/>
        <w:jc w:val="center"/>
        <w:rPr>
          <w:b/>
          <w:sz w:val="22"/>
          <w:szCs w:val="22"/>
        </w:rPr>
      </w:pPr>
      <w:bookmarkStart w:id="0" w:name="OLE_LINK1"/>
      <w:r w:rsidRPr="00D52ED6">
        <w:rPr>
          <w:b/>
          <w:sz w:val="22"/>
          <w:szCs w:val="22"/>
        </w:rPr>
        <w:t>SCIENTIFIC COMMITTEE</w:t>
      </w:r>
    </w:p>
    <w:p w:rsidR="00CF1558" w:rsidRPr="00D52ED6" w:rsidRDefault="003631B6" w:rsidP="00D52ED6">
      <w:pPr>
        <w:adjustRightInd w:val="0"/>
        <w:snapToGrid w:val="0"/>
        <w:jc w:val="center"/>
        <w:rPr>
          <w:b/>
          <w:sz w:val="22"/>
          <w:szCs w:val="22"/>
        </w:rPr>
      </w:pPr>
      <w:r w:rsidRPr="00D52ED6">
        <w:rPr>
          <w:rFonts w:eastAsia="Batang"/>
          <w:b/>
          <w:sz w:val="22"/>
          <w:szCs w:val="22"/>
          <w:lang w:eastAsia="ko-KR"/>
        </w:rPr>
        <w:t>TWEL</w:t>
      </w:r>
      <w:r w:rsidR="001353B7" w:rsidRPr="00D52ED6">
        <w:rPr>
          <w:rFonts w:eastAsia="Batang"/>
          <w:b/>
          <w:sz w:val="22"/>
          <w:szCs w:val="22"/>
          <w:lang w:eastAsia="ko-KR"/>
        </w:rPr>
        <w:t>F</w:t>
      </w:r>
      <w:r w:rsidRPr="00D52ED6">
        <w:rPr>
          <w:rFonts w:eastAsia="Batang"/>
          <w:b/>
          <w:sz w:val="22"/>
          <w:szCs w:val="22"/>
          <w:lang w:eastAsia="ko-KR"/>
        </w:rPr>
        <w:t>TH</w:t>
      </w:r>
      <w:r w:rsidR="00CF1558" w:rsidRPr="00D52ED6">
        <w:rPr>
          <w:b/>
          <w:sz w:val="22"/>
          <w:szCs w:val="22"/>
        </w:rPr>
        <w:t xml:space="preserve"> REGULAR SESSION</w:t>
      </w:r>
    </w:p>
    <w:p w:rsidR="003631B6" w:rsidRPr="00D52ED6" w:rsidRDefault="003631B6" w:rsidP="00D52ED6">
      <w:pPr>
        <w:adjustRightInd w:val="0"/>
        <w:snapToGrid w:val="0"/>
        <w:rPr>
          <w:rFonts w:eastAsia="Malgun Gothic"/>
          <w:sz w:val="22"/>
          <w:szCs w:val="22"/>
          <w:lang w:val="en-NZ" w:eastAsia="ko-KR"/>
        </w:rPr>
      </w:pPr>
    </w:p>
    <w:p w:rsidR="003631B6" w:rsidRPr="00D52ED6" w:rsidRDefault="003631B6" w:rsidP="00D52ED6">
      <w:pPr>
        <w:adjustRightInd w:val="0"/>
        <w:snapToGrid w:val="0"/>
        <w:jc w:val="center"/>
        <w:rPr>
          <w:rFonts w:eastAsia="Malgun Gothic"/>
          <w:b/>
          <w:sz w:val="22"/>
          <w:szCs w:val="22"/>
          <w:lang w:val="en-NZ" w:eastAsia="ko-KR"/>
        </w:rPr>
      </w:pPr>
      <w:r w:rsidRPr="00D52ED6">
        <w:rPr>
          <w:rFonts w:eastAsia="Malgun Gothic"/>
          <w:b/>
          <w:sz w:val="22"/>
          <w:szCs w:val="22"/>
          <w:lang w:val="en-NZ" w:eastAsia="ko-KR"/>
        </w:rPr>
        <w:t>Bali, Indonesia</w:t>
      </w:r>
    </w:p>
    <w:p w:rsidR="008137FC" w:rsidRPr="00D52ED6" w:rsidRDefault="003631B6" w:rsidP="00D52ED6">
      <w:pPr>
        <w:adjustRightInd w:val="0"/>
        <w:snapToGrid w:val="0"/>
        <w:jc w:val="center"/>
        <w:rPr>
          <w:rFonts w:eastAsia="Malgun Gothic"/>
          <w:b/>
          <w:sz w:val="22"/>
          <w:szCs w:val="22"/>
          <w:lang w:val="en-NZ" w:eastAsia="ko-KR"/>
        </w:rPr>
      </w:pPr>
      <w:r w:rsidRPr="00D52ED6">
        <w:rPr>
          <w:rFonts w:eastAsia="Malgun Gothic"/>
          <w:b/>
          <w:sz w:val="22"/>
          <w:szCs w:val="22"/>
          <w:lang w:val="en-NZ" w:eastAsia="ko-KR"/>
        </w:rPr>
        <w:t>3-11 August 2016</w:t>
      </w:r>
    </w:p>
    <w:p w:rsidR="00EF0DF4" w:rsidRPr="00D52ED6" w:rsidRDefault="00EF0DF4" w:rsidP="00D52ED6">
      <w:pPr>
        <w:adjustRightInd w:val="0"/>
        <w:snapToGrid w:val="0"/>
        <w:jc w:val="center"/>
        <w:rPr>
          <w:rFonts w:eastAsia="Malgun Gothic"/>
          <w:b/>
          <w:sz w:val="22"/>
          <w:szCs w:val="22"/>
          <w:lang w:eastAsia="ko-KR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F6468" w:rsidRPr="00D52ED6" w:rsidTr="00786785">
        <w:tc>
          <w:tcPr>
            <w:tcW w:w="5000" w:type="pct"/>
            <w:shd w:val="clear" w:color="auto" w:fill="auto"/>
          </w:tcPr>
          <w:p w:rsidR="004467DB" w:rsidRPr="00D52ED6" w:rsidRDefault="00A233BC" w:rsidP="00D52ED6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 xml:space="preserve">PROVISIONAL </w:t>
            </w:r>
            <w:r w:rsidR="004467DB" w:rsidRPr="00D52ED6">
              <w:rPr>
                <w:b/>
                <w:bCs/>
                <w:sz w:val="22"/>
                <w:szCs w:val="22"/>
                <w:lang w:val="en-NZ"/>
              </w:rPr>
              <w:t>LIST OF DOCUMENTS</w:t>
            </w:r>
          </w:p>
        </w:tc>
      </w:tr>
    </w:tbl>
    <w:bookmarkEnd w:id="0"/>
    <w:p w:rsidR="00C94008" w:rsidRPr="00D52ED6" w:rsidRDefault="00414681" w:rsidP="00D52ED6">
      <w:pPr>
        <w:adjustRightInd w:val="0"/>
        <w:snapToGrid w:val="0"/>
        <w:jc w:val="right"/>
        <w:rPr>
          <w:rFonts w:eastAsia="Malgun Gothic"/>
          <w:b/>
          <w:bCs/>
          <w:sz w:val="22"/>
          <w:szCs w:val="22"/>
          <w:lang w:eastAsia="ko-KR"/>
        </w:rPr>
      </w:pPr>
      <w:r w:rsidRPr="00D52ED6">
        <w:rPr>
          <w:b/>
          <w:bCs/>
          <w:sz w:val="22"/>
          <w:szCs w:val="22"/>
        </w:rPr>
        <w:t>WCPFC-SC</w:t>
      </w:r>
      <w:r w:rsidR="00D067E0" w:rsidRPr="00D52ED6">
        <w:rPr>
          <w:rFonts w:eastAsia="Malgun Gothic"/>
          <w:b/>
          <w:bCs/>
          <w:sz w:val="22"/>
          <w:szCs w:val="22"/>
          <w:lang w:eastAsia="ko-KR"/>
        </w:rPr>
        <w:t>1</w:t>
      </w:r>
      <w:r w:rsidR="001478C1" w:rsidRPr="00D52ED6">
        <w:rPr>
          <w:rFonts w:eastAsia="Malgun Gothic"/>
          <w:b/>
          <w:bCs/>
          <w:sz w:val="22"/>
          <w:szCs w:val="22"/>
          <w:lang w:eastAsia="ko-KR"/>
        </w:rPr>
        <w:t>2</w:t>
      </w:r>
      <w:r w:rsidRPr="00D52ED6">
        <w:rPr>
          <w:b/>
          <w:bCs/>
          <w:sz w:val="22"/>
          <w:szCs w:val="22"/>
        </w:rPr>
        <w:t>-201</w:t>
      </w:r>
      <w:r w:rsidR="001478C1" w:rsidRPr="00D52ED6">
        <w:rPr>
          <w:b/>
          <w:bCs/>
          <w:sz w:val="22"/>
          <w:szCs w:val="22"/>
        </w:rPr>
        <w:t>6</w:t>
      </w:r>
      <w:r w:rsidR="008137FC" w:rsidRPr="00D52ED6">
        <w:rPr>
          <w:b/>
          <w:bCs/>
          <w:sz w:val="22"/>
          <w:szCs w:val="22"/>
        </w:rPr>
        <w:t>/0</w:t>
      </w:r>
      <w:r w:rsidRPr="00D52ED6">
        <w:rPr>
          <w:rFonts w:eastAsia="Malgun Gothic"/>
          <w:b/>
          <w:bCs/>
          <w:sz w:val="22"/>
          <w:szCs w:val="22"/>
          <w:lang w:eastAsia="ko-KR"/>
        </w:rPr>
        <w:t>6</w:t>
      </w:r>
    </w:p>
    <w:p w:rsidR="00492574" w:rsidRPr="00D52ED6" w:rsidRDefault="00492574" w:rsidP="00D52ED6">
      <w:pPr>
        <w:adjustRightInd w:val="0"/>
        <w:snapToGrid w:val="0"/>
        <w:jc w:val="right"/>
        <w:rPr>
          <w:rFonts w:eastAsia="Malgun Gothic"/>
          <w:b/>
          <w:bCs/>
          <w:sz w:val="22"/>
          <w:szCs w:val="22"/>
          <w:lang w:eastAsia="ko-KR"/>
        </w:rPr>
      </w:pPr>
      <w:r w:rsidRPr="00D52ED6">
        <w:rPr>
          <w:rFonts w:eastAsia="Malgun Gothic"/>
          <w:b/>
          <w:bCs/>
          <w:sz w:val="22"/>
          <w:szCs w:val="22"/>
          <w:lang w:eastAsia="ko-KR"/>
        </w:rPr>
        <w:t>Rev 2</w:t>
      </w:r>
      <w:r w:rsidR="00E33351">
        <w:rPr>
          <w:rFonts w:eastAsia="Malgun Gothic"/>
          <w:b/>
          <w:bCs/>
          <w:sz w:val="22"/>
          <w:szCs w:val="22"/>
          <w:lang w:eastAsia="ko-KR"/>
        </w:rPr>
        <w:t>(28 July 2016)</w:t>
      </w:r>
    </w:p>
    <w:p w:rsidR="005D1943" w:rsidRPr="00D52ED6" w:rsidRDefault="005D1943" w:rsidP="00D52ED6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:rsidR="009E1B5A" w:rsidRPr="00D52ED6" w:rsidRDefault="009E1B5A" w:rsidP="00D52ED6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:rsidR="00E966E4" w:rsidRPr="00D52ED6" w:rsidRDefault="00E966E4" w:rsidP="00D52ED6">
      <w:pPr>
        <w:pStyle w:val="Index"/>
        <w:adjustRightInd w:val="0"/>
        <w:snapToGrid w:val="0"/>
        <w:spacing w:before="60" w:after="60"/>
        <w:rPr>
          <w:rFonts w:cs="Times New Roman"/>
          <w:b/>
          <w:bCs/>
          <w:u w:val="single"/>
          <w:lang w:val="en-NZ"/>
        </w:rPr>
      </w:pPr>
      <w:r w:rsidRPr="00D52ED6">
        <w:rPr>
          <w:rFonts w:cs="Times New Roman"/>
          <w:b/>
          <w:bCs/>
          <w:u w:val="single"/>
          <w:lang w:val="en-NZ"/>
        </w:rPr>
        <w:t>MEETING INFORMATION</w:t>
      </w:r>
    </w:p>
    <w:p w:rsidR="00E966E4" w:rsidRPr="00D52ED6" w:rsidRDefault="00E966E4" w:rsidP="00D52ED6">
      <w:pPr>
        <w:pStyle w:val="Index"/>
        <w:adjustRightInd w:val="0"/>
        <w:snapToGrid w:val="0"/>
        <w:spacing w:before="60" w:after="6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652A10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01</w:t>
            </w:r>
          </w:p>
        </w:tc>
        <w:tc>
          <w:tcPr>
            <w:tcW w:w="3722" w:type="pct"/>
          </w:tcPr>
          <w:p w:rsidR="00B7294C" w:rsidRPr="00D52ED6" w:rsidRDefault="00B7294C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bCs/>
                <w:sz w:val="22"/>
                <w:szCs w:val="22"/>
                <w:lang w:eastAsia="ko-KR"/>
              </w:rPr>
              <w:t>Meeting</w:t>
            </w:r>
            <w:r w:rsidRPr="00D52ED6">
              <w:rPr>
                <w:bCs/>
                <w:sz w:val="22"/>
                <w:szCs w:val="22"/>
              </w:rPr>
              <w:t xml:space="preserve"> </w:t>
            </w:r>
            <w:r w:rsidRPr="00D52ED6">
              <w:rPr>
                <w:rFonts w:eastAsia="Batang"/>
                <w:bCs/>
                <w:sz w:val="22"/>
                <w:szCs w:val="22"/>
                <w:lang w:eastAsia="ko-KR"/>
              </w:rPr>
              <w:t>notice and information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</w:t>
            </w:r>
            <w:r w:rsidR="00B7294C" w:rsidRPr="00D52E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22" w:type="pct"/>
          </w:tcPr>
          <w:p w:rsidR="00B7294C" w:rsidRPr="00D52ED6" w:rsidRDefault="00B7294C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Provisional agenda</w:t>
            </w:r>
            <w:r w:rsidR="00BA6173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03</w:t>
            </w:r>
          </w:p>
        </w:tc>
        <w:tc>
          <w:tcPr>
            <w:tcW w:w="3722" w:type="pct"/>
          </w:tcPr>
          <w:p w:rsidR="00B7294C" w:rsidRPr="00D52ED6" w:rsidRDefault="006363D4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Provisional annotated agenda / Provisional </w:t>
            </w:r>
            <w:r w:rsidR="001269F3" w:rsidRPr="00D52ED6">
              <w:rPr>
                <w:rFonts w:eastAsia="Batang"/>
                <w:sz w:val="22"/>
                <w:szCs w:val="22"/>
                <w:lang w:val="en-US" w:eastAsia="ko-KR"/>
              </w:rPr>
              <w:t>theme agenda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04</w:t>
            </w:r>
          </w:p>
        </w:tc>
        <w:tc>
          <w:tcPr>
            <w:tcW w:w="3722" w:type="pct"/>
          </w:tcPr>
          <w:p w:rsidR="00B7294C" w:rsidRPr="00D52ED6" w:rsidRDefault="00B7294C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Indicative schedule</w:t>
            </w:r>
            <w:r w:rsidR="00BA6173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  <w:r w:rsidR="003F5B1C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</w:t>
            </w:r>
            <w:r w:rsidR="00B7294C" w:rsidRPr="00D52ED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22" w:type="pct"/>
          </w:tcPr>
          <w:p w:rsidR="00B7294C" w:rsidRPr="00D52ED6" w:rsidRDefault="00B7294C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Registration form</w:t>
            </w:r>
            <w:r w:rsidR="00BA6173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B7294C" w:rsidRPr="00D52ED6" w:rsidRDefault="00F7579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="00414681"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="001E3B61" w:rsidRPr="00D52ED6">
              <w:rPr>
                <w:b/>
                <w:sz w:val="22"/>
                <w:szCs w:val="22"/>
                <w:lang w:val="en-NZ"/>
              </w:rPr>
              <w:t>-</w:t>
            </w:r>
            <w:r w:rsidR="00B7294C" w:rsidRPr="00D52ED6">
              <w:rPr>
                <w:b/>
                <w:sz w:val="22"/>
                <w:szCs w:val="22"/>
                <w:lang w:val="en-NZ"/>
              </w:rPr>
              <w:t>0</w:t>
            </w:r>
            <w:r w:rsidR="00B7294C" w:rsidRPr="00D52ED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22" w:type="pct"/>
          </w:tcPr>
          <w:p w:rsidR="00B7294C" w:rsidRPr="00D52ED6" w:rsidRDefault="00414681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sz w:val="22"/>
                <w:szCs w:val="22"/>
                <w:lang w:val="en-NZ"/>
              </w:rPr>
              <w:t>List of Documents</w:t>
            </w:r>
            <w:r w:rsidR="00492574" w:rsidRPr="00D52ED6">
              <w:rPr>
                <w:sz w:val="22"/>
                <w:szCs w:val="22"/>
                <w:lang w:val="en-NZ"/>
              </w:rPr>
              <w:t xml:space="preserve"> Rev 2</w:t>
            </w:r>
          </w:p>
        </w:tc>
      </w:tr>
      <w:tr w:rsidR="005F6468" w:rsidRPr="00D52ED6" w:rsidTr="005F6468">
        <w:trPr>
          <w:trHeight w:val="215"/>
        </w:trPr>
        <w:tc>
          <w:tcPr>
            <w:tcW w:w="1278" w:type="pct"/>
            <w:vAlign w:val="center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Pr="00D52ED6">
              <w:rPr>
                <w:b/>
                <w:sz w:val="22"/>
                <w:szCs w:val="22"/>
                <w:lang w:val="en-NZ"/>
              </w:rPr>
              <w:t>-0</w:t>
            </w:r>
            <w:r w:rsidRPr="00D52ED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22" w:type="pct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  <w:lang w:val="en-NZ"/>
              </w:rPr>
              <w:t>Provisional agenda for head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s</w:t>
            </w:r>
            <w:r w:rsidRPr="00D52ED6">
              <w:rPr>
                <w:sz w:val="22"/>
                <w:szCs w:val="22"/>
                <w:lang w:val="en-NZ"/>
              </w:rPr>
              <w:t xml:space="preserve"> of delegation m</w:t>
            </w:r>
            <w:r w:rsidR="00732AAF" w:rsidRPr="00D52ED6">
              <w:rPr>
                <w:sz w:val="22"/>
                <w:szCs w:val="22"/>
                <w:lang w:val="en-NZ"/>
              </w:rPr>
              <w:t xml:space="preserve">eeting </w:t>
            </w:r>
          </w:p>
        </w:tc>
      </w:tr>
      <w:tr w:rsidR="005F6468" w:rsidRPr="00D52ED6" w:rsidTr="005F6468">
        <w:trPr>
          <w:trHeight w:val="153"/>
        </w:trPr>
        <w:tc>
          <w:tcPr>
            <w:tcW w:w="1278" w:type="pct"/>
            <w:vAlign w:val="center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Pr="00D52ED6">
              <w:rPr>
                <w:b/>
                <w:sz w:val="22"/>
                <w:szCs w:val="22"/>
                <w:lang w:val="en-NZ"/>
              </w:rPr>
              <w:t>-0</w:t>
            </w:r>
            <w:r w:rsidRPr="00D52ED6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722" w:type="pct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  <w:lang w:val="en-NZ"/>
              </w:rPr>
              <w:t xml:space="preserve">Provisional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a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genda </w:t>
            </w:r>
            <w:r w:rsidRPr="00D52ED6">
              <w:rPr>
                <w:sz w:val="22"/>
                <w:szCs w:val="22"/>
                <w:lang w:val="en-NZ"/>
              </w:rPr>
              <w:t xml:space="preserve">of the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Japan Trust Fund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s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teering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c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ommittee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m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eeting 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WCPFC-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SC12</w:t>
            </w:r>
            <w:r w:rsidRPr="00D52ED6">
              <w:rPr>
                <w:b/>
                <w:sz w:val="22"/>
                <w:szCs w:val="22"/>
                <w:lang w:val="en-NZ"/>
              </w:rPr>
              <w:t>-</w:t>
            </w:r>
            <w:r w:rsidR="001478C1" w:rsidRPr="00D52ED6">
              <w:rPr>
                <w:b/>
                <w:sz w:val="22"/>
                <w:szCs w:val="22"/>
                <w:lang w:val="en-NZ"/>
              </w:rPr>
              <w:t>2016</w:t>
            </w:r>
            <w:r w:rsidRPr="00D52ED6">
              <w:rPr>
                <w:b/>
                <w:sz w:val="22"/>
                <w:szCs w:val="22"/>
                <w:lang w:val="en-NZ"/>
              </w:rPr>
              <w:t>-</w:t>
            </w: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09</w:t>
            </w:r>
          </w:p>
        </w:tc>
        <w:tc>
          <w:tcPr>
            <w:tcW w:w="3722" w:type="pct"/>
          </w:tcPr>
          <w:p w:rsidR="00414681" w:rsidRPr="00D52ED6" w:rsidRDefault="007D4D69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  <w:lang w:val="en-NZ"/>
              </w:rPr>
              <w:t xml:space="preserve">Provisional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a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genda </w:t>
            </w:r>
            <w:r w:rsidRPr="00D52ED6">
              <w:rPr>
                <w:sz w:val="22"/>
                <w:szCs w:val="22"/>
                <w:lang w:val="en-NZ"/>
              </w:rPr>
              <w:t xml:space="preserve">of the Pacific Tuna Tagging Programme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s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teering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c</w:t>
            </w:r>
            <w:r w:rsidR="001269F3" w:rsidRPr="00D52ED6">
              <w:rPr>
                <w:sz w:val="22"/>
                <w:szCs w:val="22"/>
                <w:lang w:val="en-NZ"/>
              </w:rPr>
              <w:t xml:space="preserve">ommittee </w:t>
            </w:r>
            <w:r w:rsidR="001269F3" w:rsidRPr="00D52ED6">
              <w:rPr>
                <w:rFonts w:eastAsia="Malgun Gothic"/>
                <w:sz w:val="22"/>
                <w:szCs w:val="22"/>
                <w:lang w:val="en-NZ" w:eastAsia="ko-KR"/>
              </w:rPr>
              <w:t>m</w:t>
            </w:r>
            <w:r w:rsidR="001269F3" w:rsidRPr="00D52ED6">
              <w:rPr>
                <w:sz w:val="22"/>
                <w:szCs w:val="22"/>
                <w:lang w:val="en-NZ"/>
              </w:rPr>
              <w:t>eeting</w:t>
            </w:r>
          </w:p>
        </w:tc>
      </w:tr>
    </w:tbl>
    <w:p w:rsidR="00C3781E" w:rsidRPr="00D52ED6" w:rsidRDefault="00C3781E" w:rsidP="00D52ED6">
      <w:pPr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</w:p>
    <w:p w:rsidR="00FA2A98" w:rsidRPr="00D52ED6" w:rsidRDefault="00FA2A98" w:rsidP="00D52ED6">
      <w:pPr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t>GENERAL PAPERS</w:t>
      </w:r>
    </w:p>
    <w:p w:rsidR="005F1E43" w:rsidRPr="00D52ED6" w:rsidRDefault="005F1E43" w:rsidP="00D52ED6">
      <w:pPr>
        <w:adjustRightInd w:val="0"/>
        <w:snapToGrid w:val="0"/>
        <w:spacing w:before="60" w:after="6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D52ED6" w:rsidTr="005F6468">
        <w:tc>
          <w:tcPr>
            <w:tcW w:w="5000" w:type="pct"/>
            <w:gridSpan w:val="2"/>
            <w:shd w:val="clear" w:color="auto" w:fill="BFBFBF"/>
          </w:tcPr>
          <w:p w:rsidR="000465CA" w:rsidRPr="00D52ED6" w:rsidRDefault="000465CA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D52ED6">
              <w:rPr>
                <w:b/>
                <w:i/>
                <w:iCs/>
                <w:sz w:val="22"/>
                <w:szCs w:val="22"/>
                <w:lang w:val="en-US"/>
              </w:rPr>
              <w:t>GENERAL PAPERS – Working Papers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GN-WP-01</w:t>
            </w:r>
          </w:p>
        </w:tc>
        <w:tc>
          <w:tcPr>
            <w:tcW w:w="3722" w:type="pct"/>
          </w:tcPr>
          <w:p w:rsidR="003C70A6" w:rsidRPr="00D52ED6" w:rsidRDefault="002B0C9C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Williams, P and P. Terawasi.</w:t>
            </w:r>
            <w:r w:rsidR="003C70A6" w:rsidRPr="00D52ED6">
              <w:rPr>
                <w:sz w:val="22"/>
                <w:szCs w:val="22"/>
              </w:rPr>
              <w:t xml:space="preserve"> Overview of tuna fisheries in the western and central Pacific Ocean, including economic conditions – 201</w:t>
            </w:r>
            <w:r w:rsidR="001478C1" w:rsidRPr="00D52ED6">
              <w:rPr>
                <w:sz w:val="22"/>
                <w:szCs w:val="22"/>
              </w:rPr>
              <w:t>5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GN-WP-02</w:t>
            </w:r>
          </w:p>
        </w:tc>
        <w:tc>
          <w:tcPr>
            <w:tcW w:w="3722" w:type="pct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IATTC. Summary of the fishery and assessments of the major stocks of tuna exploited in the eastern Pacific Ocean.</w:t>
            </w:r>
            <w:r w:rsidR="004871AA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GN-WP-03</w:t>
            </w:r>
          </w:p>
        </w:tc>
        <w:tc>
          <w:tcPr>
            <w:tcW w:w="3722" w:type="pct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Secretariat. Issues arising from the Commission</w:t>
            </w:r>
            <w:r w:rsidR="001269F3" w:rsidRPr="00D52ED6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3079E0" w:rsidRPr="00D52ED6" w:rsidRDefault="003079E0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079E0" w:rsidRPr="00D52ED6" w:rsidRDefault="003079E0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Secretariat. Intersessional activities of the Scientific Committee</w:t>
            </w:r>
            <w:r w:rsidR="001269F3" w:rsidRPr="00D52ED6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</w:p>
        </w:tc>
      </w:tr>
      <w:tr w:rsidR="00AB4422" w:rsidRPr="00D52ED6" w:rsidTr="005F6468">
        <w:tc>
          <w:tcPr>
            <w:tcW w:w="1278" w:type="pct"/>
            <w:vAlign w:val="center"/>
          </w:tcPr>
          <w:p w:rsidR="00AB4422" w:rsidRPr="00D52ED6" w:rsidRDefault="00AB4422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GN-WP-05</w:t>
            </w:r>
          </w:p>
        </w:tc>
        <w:tc>
          <w:tcPr>
            <w:tcW w:w="3722" w:type="pct"/>
          </w:tcPr>
          <w:p w:rsidR="00AB4422" w:rsidRPr="00D52ED6" w:rsidRDefault="00AB4422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Secretariat. Process for delivering an independent review</w:t>
            </w:r>
          </w:p>
        </w:tc>
      </w:tr>
      <w:tr w:rsidR="005F6468" w:rsidRPr="00D52ED6" w:rsidTr="005F6468">
        <w:trPr>
          <w:trHeight w:hRule="exact" w:val="5"/>
        </w:trPr>
        <w:tc>
          <w:tcPr>
            <w:tcW w:w="1278" w:type="pct"/>
            <w:vAlign w:val="center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C70A6" w:rsidRPr="00D52ED6" w:rsidRDefault="003C70A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Secretariat. </w:t>
            </w:r>
            <w:r w:rsidRPr="00D52ED6">
              <w:rPr>
                <w:sz w:val="22"/>
                <w:szCs w:val="22"/>
              </w:rPr>
              <w:t>Intersessional activities of the Scientific Committee</w:t>
            </w:r>
          </w:p>
        </w:tc>
      </w:tr>
      <w:tr w:rsidR="005F6468" w:rsidRPr="00D52ED6" w:rsidTr="005F6468">
        <w:tc>
          <w:tcPr>
            <w:tcW w:w="5000" w:type="pct"/>
            <w:gridSpan w:val="2"/>
            <w:shd w:val="clear" w:color="auto" w:fill="BFBFBF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D52ED6">
              <w:rPr>
                <w:b/>
                <w:i/>
                <w:iCs/>
                <w:sz w:val="22"/>
                <w:szCs w:val="22"/>
                <w:lang w:val="en-US"/>
              </w:rPr>
              <w:lastRenderedPageBreak/>
              <w:t>GENERAL PAPERS – Information Papers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GN-IP-01</w:t>
            </w:r>
          </w:p>
        </w:tc>
        <w:tc>
          <w:tcPr>
            <w:tcW w:w="3722" w:type="pct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bCs/>
                <w:sz w:val="22"/>
                <w:szCs w:val="22"/>
                <w:lang w:val="en-US"/>
              </w:rPr>
              <w:t>Secretariat. Cooperation with other organizations</w:t>
            </w:r>
            <w:r w:rsidR="001269F3" w:rsidRPr="00D52ED6">
              <w:rPr>
                <w:rFonts w:eastAsia="Malgun Gothic"/>
                <w:bCs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GN-IP-02</w:t>
            </w:r>
          </w:p>
        </w:tc>
        <w:tc>
          <w:tcPr>
            <w:tcW w:w="3722" w:type="pct"/>
          </w:tcPr>
          <w:p w:rsidR="00414681" w:rsidRPr="00D52ED6" w:rsidRDefault="00414681" w:rsidP="00D52ED6">
            <w:pPr>
              <w:adjustRightInd w:val="0"/>
              <w:snapToGrid w:val="0"/>
              <w:spacing w:before="60" w:after="60"/>
              <w:jc w:val="left"/>
              <w:rPr>
                <w:bCs/>
                <w:sz w:val="22"/>
                <w:szCs w:val="22"/>
                <w:lang w:val="en-US"/>
              </w:rPr>
            </w:pPr>
            <w:r w:rsidRPr="00D52ED6">
              <w:rPr>
                <w:bCs/>
                <w:sz w:val="22"/>
                <w:szCs w:val="22"/>
                <w:lang w:val="en-US"/>
              </w:rPr>
              <w:t>ISC. Report of the 1</w:t>
            </w:r>
            <w:r w:rsidR="0024696F" w:rsidRPr="00D52ED6">
              <w:rPr>
                <w:rFonts w:eastAsia="Malgun Gothic"/>
                <w:bCs/>
                <w:sz w:val="22"/>
                <w:szCs w:val="22"/>
                <w:lang w:val="en-US" w:eastAsia="ko-KR"/>
              </w:rPr>
              <w:t>6</w:t>
            </w:r>
            <w:r w:rsidRPr="00D52ED6">
              <w:rPr>
                <w:rFonts w:eastAsia="Malgun Gothic"/>
                <w:bCs/>
                <w:sz w:val="22"/>
                <w:szCs w:val="22"/>
                <w:vertAlign w:val="superscript"/>
                <w:lang w:val="en-US" w:eastAsia="ko-KR"/>
              </w:rPr>
              <w:t>th</w:t>
            </w:r>
            <w:r w:rsidRPr="00D52ED6">
              <w:rPr>
                <w:rFonts w:eastAsia="Malgun Gothic"/>
                <w:bCs/>
                <w:sz w:val="22"/>
                <w:szCs w:val="22"/>
                <w:lang w:val="en-US" w:eastAsia="ko-KR"/>
              </w:rPr>
              <w:t xml:space="preserve"> </w:t>
            </w:r>
            <w:r w:rsidRPr="00D52ED6">
              <w:rPr>
                <w:bCs/>
                <w:sz w:val="22"/>
                <w:szCs w:val="22"/>
                <w:lang w:val="en-US"/>
              </w:rPr>
              <w:t>Meeting of the International Scientific Committee for Tuna and Tuna-like Species in the North Pacific Ocean.</w:t>
            </w:r>
          </w:p>
        </w:tc>
      </w:tr>
      <w:tr w:rsidR="005F6468" w:rsidRPr="00D52ED6" w:rsidTr="0024696F">
        <w:tc>
          <w:tcPr>
            <w:tcW w:w="1278" w:type="pct"/>
            <w:shd w:val="clear" w:color="auto" w:fill="auto"/>
            <w:vAlign w:val="center"/>
          </w:tcPr>
          <w:p w:rsidR="00FF74E3" w:rsidRPr="00D52ED6" w:rsidRDefault="00C31954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GN-IP-03</w:t>
            </w:r>
          </w:p>
        </w:tc>
        <w:tc>
          <w:tcPr>
            <w:tcW w:w="3722" w:type="pct"/>
            <w:shd w:val="clear" w:color="auto" w:fill="auto"/>
          </w:tcPr>
          <w:p w:rsidR="00FF74E3" w:rsidRPr="00D52ED6" w:rsidRDefault="00AB4422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Transferred to GN-WP-05</w:t>
            </w:r>
          </w:p>
        </w:tc>
      </w:tr>
      <w:tr w:rsidR="001D4CC8" w:rsidRPr="00D52ED6" w:rsidTr="0024696F">
        <w:tc>
          <w:tcPr>
            <w:tcW w:w="1278" w:type="pct"/>
            <w:shd w:val="clear" w:color="auto" w:fill="auto"/>
            <w:vAlign w:val="center"/>
          </w:tcPr>
          <w:p w:rsidR="001D4CC8" w:rsidRPr="00D52ED6" w:rsidRDefault="001D4CC8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GN-IP-04</w:t>
            </w:r>
          </w:p>
        </w:tc>
        <w:tc>
          <w:tcPr>
            <w:tcW w:w="3722" w:type="pct"/>
            <w:shd w:val="clear" w:color="auto" w:fill="auto"/>
          </w:tcPr>
          <w:p w:rsidR="001D4CC8" w:rsidRPr="00D52ED6" w:rsidRDefault="001D4CC8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Secretariat. Second report on the implementation of the trial WCPFC port coordinators programme.</w:t>
            </w:r>
          </w:p>
        </w:tc>
      </w:tr>
    </w:tbl>
    <w:p w:rsidR="00207719" w:rsidRPr="00D52ED6" w:rsidRDefault="00207719" w:rsidP="00D52ED6">
      <w:pPr>
        <w:adjustRightInd w:val="0"/>
        <w:snapToGrid w:val="0"/>
        <w:spacing w:before="60" w:after="60"/>
        <w:rPr>
          <w:sz w:val="22"/>
          <w:szCs w:val="22"/>
        </w:rPr>
      </w:pPr>
    </w:p>
    <w:p w:rsidR="00207719" w:rsidRPr="00D52ED6" w:rsidRDefault="00207719" w:rsidP="00D52ED6">
      <w:pPr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D52ED6">
        <w:rPr>
          <w:b/>
          <w:bCs/>
          <w:sz w:val="22"/>
          <w:szCs w:val="22"/>
          <w:u w:val="single"/>
          <w:lang w:val="en-NZ"/>
        </w:rPr>
        <w:t>SCIENCE-RELATED DOCUMENTS PRESENTED AT WCPFC</w:t>
      </w:r>
      <w:r w:rsidR="00732AAF" w:rsidRPr="00D52ED6">
        <w:rPr>
          <w:rFonts w:eastAsia="Malgun Gothic"/>
          <w:b/>
          <w:bCs/>
          <w:sz w:val="22"/>
          <w:szCs w:val="22"/>
          <w:u w:val="single"/>
          <w:lang w:val="en-NZ" w:eastAsia="ko-KR"/>
        </w:rPr>
        <w:t>11</w:t>
      </w:r>
    </w:p>
    <w:p w:rsidR="00207719" w:rsidRPr="00D52ED6" w:rsidRDefault="00207719" w:rsidP="00D52ED6">
      <w:pPr>
        <w:adjustRightInd w:val="0"/>
        <w:snapToGrid w:val="0"/>
        <w:spacing w:before="60" w:after="6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D52ED6" w:rsidTr="005F6468">
        <w:tc>
          <w:tcPr>
            <w:tcW w:w="1278" w:type="pct"/>
            <w:vAlign w:val="center"/>
          </w:tcPr>
          <w:p w:rsidR="00EB3E9E" w:rsidRPr="00D52ED6" w:rsidDel="00396E4D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SC12</w:t>
            </w:r>
            <w:r w:rsidR="00A82249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-HSW</w:t>
            </w:r>
            <w:r w:rsidR="00EB3E9E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</w:t>
            </w:r>
            <w:r w:rsidR="00B72BBB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01</w:t>
            </w:r>
          </w:p>
        </w:tc>
        <w:tc>
          <w:tcPr>
            <w:tcW w:w="3722" w:type="pct"/>
          </w:tcPr>
          <w:p w:rsidR="00EB3E9E" w:rsidRPr="00D52ED6" w:rsidRDefault="00B72BBB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val="en-NZ" w:eastAsia="ko-KR"/>
              </w:rPr>
              <w:t xml:space="preserve">Cartwright  I. </w:t>
            </w:r>
            <w:r w:rsidR="00DB4B29" w:rsidRPr="00D52ED6">
              <w:rPr>
                <w:rFonts w:eastAsia="Malgun Gothic"/>
                <w:sz w:val="22"/>
                <w:szCs w:val="22"/>
                <w:lang w:val="en-NZ" w:eastAsia="ko-KR"/>
              </w:rPr>
              <w:t>Report on the Harvest Strategy Workshop (MOW4)</w:t>
            </w:r>
            <w:r w:rsidRPr="00D52ED6">
              <w:rPr>
                <w:rFonts w:eastAsia="Malgun Gothic"/>
                <w:sz w:val="22"/>
                <w:szCs w:val="22"/>
                <w:lang w:val="en-NZ" w:eastAsia="ko-KR"/>
              </w:rPr>
              <w:t xml:space="preserve"> (WCPFC12-2015-23)</w:t>
            </w:r>
          </w:p>
        </w:tc>
      </w:tr>
      <w:tr w:rsidR="00397B18" w:rsidRPr="00D52ED6" w:rsidTr="005F6468">
        <w:tc>
          <w:tcPr>
            <w:tcW w:w="1278" w:type="pct"/>
            <w:vAlign w:val="center"/>
          </w:tcPr>
          <w:p w:rsidR="00397B18" w:rsidRPr="00D52ED6" w:rsidRDefault="00397B18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SC12-HSW-02</w:t>
            </w:r>
          </w:p>
        </w:tc>
        <w:tc>
          <w:tcPr>
            <w:tcW w:w="3722" w:type="pct"/>
          </w:tcPr>
          <w:p w:rsidR="00397B18" w:rsidRPr="00D52ED6" w:rsidRDefault="00397B18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val="en-NZ" w:eastAsia="ko-KR"/>
              </w:rPr>
              <w:t>Potential target reference points for the south Pacific albacore fisheries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2E059A" w:rsidRPr="00D52ED6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SC12</w:t>
            </w:r>
            <w:r w:rsidR="003631B6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-WCPFC12</w:t>
            </w:r>
            <w:r w:rsidR="002E059A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-01</w:t>
            </w:r>
          </w:p>
        </w:tc>
        <w:tc>
          <w:tcPr>
            <w:tcW w:w="3722" w:type="pct"/>
          </w:tcPr>
          <w:p w:rsidR="002E059A" w:rsidRPr="00D52ED6" w:rsidRDefault="00B72BBB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val="en-NZ" w:eastAsia="ko-KR"/>
              </w:rPr>
              <w:t>SPC-OFP Evaluation of CMM 2014-01 for bigeye tuna (WCPFC12-2015-12_Rev1)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2E059A" w:rsidRPr="00D52ED6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SC12</w:t>
            </w:r>
            <w:r w:rsidR="002E059A" w:rsidRPr="00D52ED6">
              <w:rPr>
                <w:b/>
                <w:sz w:val="22"/>
                <w:szCs w:val="22"/>
              </w:rPr>
              <w:t>-WCPFC1</w:t>
            </w:r>
            <w:r w:rsidR="00562E7A" w:rsidRPr="00D52ED6">
              <w:rPr>
                <w:rFonts w:eastAsia="Malgun Gothic"/>
                <w:b/>
                <w:sz w:val="22"/>
                <w:szCs w:val="22"/>
                <w:lang w:eastAsia="ko-KR"/>
              </w:rPr>
              <w:t>2</w:t>
            </w:r>
            <w:r w:rsidR="002E059A" w:rsidRPr="00D52ED6">
              <w:rPr>
                <w:b/>
                <w:sz w:val="22"/>
                <w:szCs w:val="22"/>
              </w:rPr>
              <w:t>-02</w:t>
            </w:r>
          </w:p>
        </w:tc>
        <w:tc>
          <w:tcPr>
            <w:tcW w:w="3722" w:type="pct"/>
          </w:tcPr>
          <w:p w:rsidR="002E059A" w:rsidRPr="00D52ED6" w:rsidRDefault="00B72BBB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SPC-OFP Information Paper: data summaries in support of discussions on the CMMs on tropical tunas (CMM 2013-01 and CMM 2014-01)</w:t>
            </w:r>
            <w:r w:rsidR="009E38A6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(WCPFC12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2E059A" w:rsidRPr="00D52ED6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SC12</w:t>
            </w:r>
            <w:r w:rsidR="002E059A" w:rsidRPr="00D52ED6">
              <w:rPr>
                <w:b/>
                <w:sz w:val="22"/>
                <w:szCs w:val="22"/>
              </w:rPr>
              <w:t>-WCPFC1</w:t>
            </w:r>
            <w:r w:rsidR="00562E7A" w:rsidRPr="00D52ED6">
              <w:rPr>
                <w:rFonts w:eastAsia="Malgun Gothic"/>
                <w:b/>
                <w:sz w:val="22"/>
                <w:szCs w:val="22"/>
                <w:lang w:eastAsia="ko-KR"/>
              </w:rPr>
              <w:t>2</w:t>
            </w:r>
            <w:r w:rsidR="002E059A" w:rsidRPr="00D52ED6">
              <w:rPr>
                <w:b/>
                <w:sz w:val="22"/>
                <w:szCs w:val="22"/>
              </w:rPr>
              <w:t>-03</w:t>
            </w:r>
          </w:p>
        </w:tc>
        <w:tc>
          <w:tcPr>
            <w:tcW w:w="3722" w:type="pct"/>
          </w:tcPr>
          <w:p w:rsidR="002E059A" w:rsidRPr="00D52ED6" w:rsidRDefault="009E38A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First Meeting of the FAD Management Options – Intersessional Working Group: Summary Report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2E059A" w:rsidRPr="00D52ED6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SC12</w:t>
            </w:r>
            <w:r w:rsidR="00562E7A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-WCPFC12</w:t>
            </w:r>
            <w:r w:rsidR="002E059A"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-04</w:t>
            </w:r>
          </w:p>
        </w:tc>
        <w:tc>
          <w:tcPr>
            <w:tcW w:w="3722" w:type="pct"/>
          </w:tcPr>
          <w:p w:rsidR="002E059A" w:rsidRPr="00D52ED6" w:rsidRDefault="009076C6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P</w:t>
            </w:r>
            <w:r w:rsidR="006553E5" w:rsidRPr="00D52ED6">
              <w:rPr>
                <w:rFonts w:eastAsia="Malgun Gothic"/>
                <w:sz w:val="22"/>
                <w:szCs w:val="22"/>
                <w:lang w:eastAsia="ko-KR"/>
              </w:rPr>
              <w:t>l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aceholder</w:t>
            </w:r>
          </w:p>
        </w:tc>
      </w:tr>
      <w:tr w:rsidR="005F6468" w:rsidRPr="00D52ED6" w:rsidTr="005F6468">
        <w:tc>
          <w:tcPr>
            <w:tcW w:w="1278" w:type="pct"/>
            <w:vAlign w:val="center"/>
          </w:tcPr>
          <w:p w:rsidR="002E059A" w:rsidRPr="00D52ED6" w:rsidRDefault="001478C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SC12</w:t>
            </w:r>
            <w:r w:rsidR="002E059A" w:rsidRPr="00D52ED6">
              <w:rPr>
                <w:b/>
                <w:sz w:val="22"/>
                <w:szCs w:val="22"/>
              </w:rPr>
              <w:t>-WCPFC1</w:t>
            </w:r>
            <w:r w:rsidR="00562E7A" w:rsidRPr="00D52ED6">
              <w:rPr>
                <w:rFonts w:eastAsia="Malgun Gothic"/>
                <w:b/>
                <w:sz w:val="22"/>
                <w:szCs w:val="22"/>
                <w:lang w:eastAsia="ko-KR"/>
              </w:rPr>
              <w:t>2</w:t>
            </w:r>
            <w:r w:rsidR="002E059A" w:rsidRPr="00D52ED6">
              <w:rPr>
                <w:b/>
                <w:sz w:val="22"/>
                <w:szCs w:val="22"/>
              </w:rPr>
              <w:t>-05</w:t>
            </w:r>
          </w:p>
        </w:tc>
        <w:tc>
          <w:tcPr>
            <w:tcW w:w="3722" w:type="pct"/>
          </w:tcPr>
          <w:p w:rsidR="002E059A" w:rsidRPr="00D52ED6" w:rsidRDefault="00562E7A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EU. Amendment of the "Scientific data to be provided to the Commission" (WCPFC12-2015-DP17)</w:t>
            </w:r>
          </w:p>
        </w:tc>
      </w:tr>
    </w:tbl>
    <w:p w:rsidR="00207719" w:rsidRPr="00D52ED6" w:rsidRDefault="00207719" w:rsidP="00D52ED6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t xml:space="preserve">DATA AND STATISTICS THEME </w:t>
      </w:r>
    </w:p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5F6468" w:rsidRPr="00D52ED6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D52ED6" w:rsidRDefault="00207719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i/>
                <w:sz w:val="22"/>
                <w:szCs w:val="22"/>
                <w:lang w:val="en-NZ"/>
              </w:rPr>
              <w:t>ST THEME – Working Papers</w:t>
            </w:r>
          </w:p>
        </w:tc>
      </w:tr>
      <w:tr w:rsidR="005F6468" w:rsidRPr="00D52ED6" w:rsidTr="00A075AB">
        <w:tc>
          <w:tcPr>
            <w:tcW w:w="803" w:type="pct"/>
            <w:vAlign w:val="center"/>
          </w:tcPr>
          <w:p w:rsidR="00207719" w:rsidRPr="00D52ED6" w:rsidRDefault="009B6D76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ST-WP-01</w:t>
            </w:r>
          </w:p>
        </w:tc>
        <w:tc>
          <w:tcPr>
            <w:tcW w:w="4197" w:type="pct"/>
          </w:tcPr>
          <w:p w:rsidR="00207719" w:rsidRPr="00D52ED6" w:rsidRDefault="00C845CD" w:rsidP="00D52ED6">
            <w:pPr>
              <w:jc w:val="left"/>
              <w:rPr>
                <w:sz w:val="22"/>
                <w:szCs w:val="22"/>
                <w:lang w:eastAsia="ko-KR"/>
              </w:rPr>
            </w:pPr>
            <w:r w:rsidRPr="00D52ED6">
              <w:rPr>
                <w:rFonts w:eastAsia="SimSun"/>
                <w:sz w:val="22"/>
                <w:szCs w:val="22"/>
              </w:rPr>
              <w:t>Williams P.</w:t>
            </w:r>
            <w:r w:rsidR="00453A39" w:rsidRPr="00D52ED6">
              <w:rPr>
                <w:rFonts w:eastAsia="SimSun"/>
                <w:sz w:val="22"/>
                <w:szCs w:val="22"/>
              </w:rPr>
              <w:t xml:space="preserve"> </w:t>
            </w:r>
            <w:r w:rsidR="00453A39" w:rsidRPr="00D52ED6">
              <w:rPr>
                <w:sz w:val="22"/>
                <w:szCs w:val="22"/>
              </w:rPr>
              <w:t>Scientific data available to the W</w:t>
            </w:r>
            <w:r w:rsidR="000D0B78" w:rsidRPr="00D52ED6">
              <w:rPr>
                <w:sz w:val="22"/>
                <w:szCs w:val="22"/>
              </w:rPr>
              <w:t>estern and Central Pacific Fisheries Commission</w:t>
            </w:r>
          </w:p>
        </w:tc>
      </w:tr>
      <w:tr w:rsidR="005F6468" w:rsidRPr="00D52ED6" w:rsidTr="00A075AB">
        <w:tc>
          <w:tcPr>
            <w:tcW w:w="803" w:type="pct"/>
            <w:vAlign w:val="center"/>
          </w:tcPr>
          <w:p w:rsidR="00207719" w:rsidRPr="00D52ED6" w:rsidRDefault="0020771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ST-WP-0</w:t>
            </w:r>
            <w:r w:rsidR="009B6D76" w:rsidRPr="00D52ED6">
              <w:rPr>
                <w:b/>
                <w:bCs/>
                <w:sz w:val="22"/>
                <w:szCs w:val="22"/>
                <w:lang w:val="en-NZ"/>
              </w:rPr>
              <w:t>2</w:t>
            </w:r>
          </w:p>
        </w:tc>
        <w:tc>
          <w:tcPr>
            <w:tcW w:w="4197" w:type="pct"/>
          </w:tcPr>
          <w:p w:rsidR="00207719" w:rsidRPr="00D52ED6" w:rsidRDefault="00453A39" w:rsidP="00D52ED6">
            <w:pPr>
              <w:adjustRightInd w:val="0"/>
              <w:snapToGrid w:val="0"/>
              <w:spacing w:before="60" w:after="60"/>
              <w:jc w:val="left"/>
              <w:rPr>
                <w:rFonts w:eastAsia="SimSun"/>
                <w:sz w:val="22"/>
                <w:szCs w:val="22"/>
              </w:rPr>
            </w:pPr>
            <w:r w:rsidRPr="00D52ED6">
              <w:rPr>
                <w:rFonts w:eastAsia="SimSun"/>
                <w:sz w:val="22"/>
                <w:szCs w:val="22"/>
              </w:rPr>
              <w:t>SPC Review of Project 60 outputs and work plan</w:t>
            </w:r>
          </w:p>
        </w:tc>
      </w:tr>
      <w:tr w:rsidR="006D272A" w:rsidRPr="00D52ED6" w:rsidTr="00A075AB">
        <w:tc>
          <w:tcPr>
            <w:tcW w:w="803" w:type="pct"/>
            <w:vAlign w:val="center"/>
          </w:tcPr>
          <w:p w:rsidR="006D272A" w:rsidRPr="00D52ED6" w:rsidRDefault="006D272A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ST-WP-03</w:t>
            </w:r>
          </w:p>
        </w:tc>
        <w:tc>
          <w:tcPr>
            <w:tcW w:w="4197" w:type="pct"/>
          </w:tcPr>
          <w:p w:rsidR="006D272A" w:rsidRPr="00D52ED6" w:rsidRDefault="00C845CD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Lewis A. and P. Williams.</w:t>
            </w:r>
            <w:r w:rsidR="006D272A" w:rsidRPr="00D52ED6">
              <w:rPr>
                <w:sz w:val="22"/>
                <w:szCs w:val="22"/>
              </w:rPr>
              <w:t xml:space="preserve"> Potential use of cannery receipt data for the work of the WCPFC</w:t>
            </w:r>
          </w:p>
        </w:tc>
      </w:tr>
      <w:tr w:rsidR="006D272A" w:rsidRPr="00D52ED6" w:rsidTr="00A075AB">
        <w:tc>
          <w:tcPr>
            <w:tcW w:w="803" w:type="pct"/>
            <w:vAlign w:val="center"/>
          </w:tcPr>
          <w:p w:rsidR="006D272A" w:rsidRPr="00D52ED6" w:rsidRDefault="006D272A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ST-WP-04</w:t>
            </w:r>
          </w:p>
        </w:tc>
        <w:tc>
          <w:tcPr>
            <w:tcW w:w="4197" w:type="pct"/>
          </w:tcPr>
          <w:p w:rsidR="006D272A" w:rsidRPr="00D52ED6" w:rsidRDefault="006D272A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Skirtun M. and C. Reid - Analyses and projections of economic conditions in WCPO fisheries</w:t>
            </w:r>
            <w:r w:rsidR="00512F39">
              <w:rPr>
                <w:rFonts w:eastAsia="Malgun Gothic"/>
                <w:sz w:val="22"/>
                <w:szCs w:val="22"/>
                <w:lang w:eastAsia="ko-KR"/>
              </w:rPr>
              <w:t xml:space="preserve"> Rev 1 (11 July 2016)</w:t>
            </w:r>
          </w:p>
        </w:tc>
      </w:tr>
      <w:tr w:rsidR="00204EC0" w:rsidRPr="00D52ED6" w:rsidTr="00A075AB">
        <w:tc>
          <w:tcPr>
            <w:tcW w:w="803" w:type="pct"/>
            <w:vAlign w:val="center"/>
          </w:tcPr>
          <w:p w:rsidR="00204EC0" w:rsidRPr="00D52ED6" w:rsidRDefault="00204EC0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ST-WP-05</w:t>
            </w:r>
          </w:p>
        </w:tc>
        <w:tc>
          <w:tcPr>
            <w:tcW w:w="4197" w:type="pct"/>
          </w:tcPr>
          <w:p w:rsidR="00204EC0" w:rsidRPr="00D52ED6" w:rsidRDefault="00204EC0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EU European Union proposal for an Amendment of the "Scientific data </w:t>
            </w:r>
          </w:p>
          <w:p w:rsidR="00204EC0" w:rsidRPr="00D52ED6" w:rsidRDefault="00204EC0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to be provided to the Commission” July 2016 Revision</w:t>
            </w:r>
          </w:p>
        </w:tc>
      </w:tr>
      <w:tr w:rsidR="005F6468" w:rsidRPr="00D52ED6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D52ED6" w:rsidRDefault="00207719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i/>
                <w:sz w:val="22"/>
                <w:szCs w:val="22"/>
                <w:lang w:val="en-NZ"/>
              </w:rPr>
              <w:t>THEME – Information Papers</w:t>
            </w:r>
          </w:p>
        </w:tc>
      </w:tr>
      <w:tr w:rsidR="00837771" w:rsidRPr="00D52ED6" w:rsidTr="00A075AB">
        <w:tc>
          <w:tcPr>
            <w:tcW w:w="803" w:type="pct"/>
            <w:vAlign w:val="center"/>
          </w:tcPr>
          <w:p w:rsidR="00837771" w:rsidRPr="00D52ED6" w:rsidRDefault="00D006C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ST-IP-01</w:t>
            </w:r>
          </w:p>
        </w:tc>
        <w:tc>
          <w:tcPr>
            <w:tcW w:w="4197" w:type="pct"/>
          </w:tcPr>
          <w:p w:rsidR="00837771" w:rsidRPr="00D52ED6" w:rsidRDefault="00837771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SPC Estimates of annual catches in the WCPFC Statistical Area</w:t>
            </w:r>
          </w:p>
        </w:tc>
      </w:tr>
      <w:tr w:rsidR="00D006C9" w:rsidRPr="00D52ED6" w:rsidTr="00717306">
        <w:tc>
          <w:tcPr>
            <w:tcW w:w="803" w:type="pct"/>
          </w:tcPr>
          <w:p w:rsidR="00D006C9" w:rsidRPr="00D52ED6" w:rsidRDefault="00D006C9" w:rsidP="00D52ED6">
            <w:pPr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ST-IP-02</w:t>
            </w:r>
          </w:p>
        </w:tc>
        <w:tc>
          <w:tcPr>
            <w:tcW w:w="4197" w:type="pct"/>
          </w:tcPr>
          <w:p w:rsidR="00D006C9" w:rsidRPr="00D52ED6" w:rsidRDefault="00DA4695" w:rsidP="00D52ED6">
            <w:r w:rsidRPr="00D52ED6">
              <w:t xml:space="preserve">Williams P, I. </w:t>
            </w:r>
            <w:proofErr w:type="spellStart"/>
            <w:r w:rsidRPr="00D52ED6">
              <w:t>Tuiloma</w:t>
            </w:r>
            <w:proofErr w:type="spellEnd"/>
            <w:r w:rsidRPr="00D52ED6">
              <w:t xml:space="preserve"> and C. </w:t>
            </w:r>
            <w:proofErr w:type="spellStart"/>
            <w:r w:rsidRPr="00D52ED6">
              <w:t>Falasi</w:t>
            </w:r>
            <w:proofErr w:type="spellEnd"/>
            <w:r w:rsidR="00D006C9" w:rsidRPr="00D52ED6">
              <w:t xml:space="preserve"> Status of observer data management</w:t>
            </w:r>
          </w:p>
        </w:tc>
      </w:tr>
      <w:tr w:rsidR="00837771" w:rsidRPr="00D52ED6" w:rsidTr="00A075AB">
        <w:tc>
          <w:tcPr>
            <w:tcW w:w="803" w:type="pct"/>
            <w:vAlign w:val="center"/>
          </w:tcPr>
          <w:p w:rsidR="00837771" w:rsidRPr="00D52ED6" w:rsidRDefault="00FB159D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lastRenderedPageBreak/>
              <w:t>ST-IP-03</w:t>
            </w:r>
          </w:p>
        </w:tc>
        <w:tc>
          <w:tcPr>
            <w:tcW w:w="4197" w:type="pct"/>
          </w:tcPr>
          <w:p w:rsidR="00837771" w:rsidRPr="00D52ED6" w:rsidRDefault="00FB159D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Hampton J. and P. Williams. </w:t>
            </w:r>
            <w:r w:rsidR="00837771" w:rsidRPr="00D52ED6">
              <w:rPr>
                <w:sz w:val="22"/>
                <w:szCs w:val="22"/>
              </w:rPr>
              <w:t>Estimates of purse seine catches by species based on alternative data sources</w:t>
            </w:r>
          </w:p>
        </w:tc>
      </w:tr>
      <w:tr w:rsidR="00D65871" w:rsidRPr="00D52ED6" w:rsidTr="00A075AB">
        <w:tc>
          <w:tcPr>
            <w:tcW w:w="803" w:type="pct"/>
            <w:vAlign w:val="center"/>
          </w:tcPr>
          <w:p w:rsidR="00D65871" w:rsidRPr="00D52ED6" w:rsidRDefault="00D65871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ST-IP-04</w:t>
            </w:r>
          </w:p>
        </w:tc>
        <w:tc>
          <w:tcPr>
            <w:tcW w:w="4197" w:type="pct"/>
          </w:tcPr>
          <w:p w:rsidR="00D65871" w:rsidRPr="00D52ED6" w:rsidRDefault="00C845CD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Hosken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M., P. Williams and N Smith.</w:t>
            </w:r>
            <w:r w:rsidR="00D65871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Update on th</w:t>
            </w:r>
            <w:r w:rsidR="00155682" w:rsidRPr="00D52ED6">
              <w:rPr>
                <w:rFonts w:eastAsia="Malgun Gothic"/>
                <w:sz w:val="22"/>
                <w:szCs w:val="22"/>
                <w:lang w:eastAsia="ko-KR"/>
              </w:rPr>
              <w:t>e Implementation of Electronic M</w:t>
            </w:r>
            <w:r w:rsidR="00D65871" w:rsidRPr="00D52ED6">
              <w:rPr>
                <w:rFonts w:eastAsia="Malgun Gothic"/>
                <w:sz w:val="22"/>
                <w:szCs w:val="22"/>
                <w:lang w:eastAsia="ko-KR"/>
              </w:rPr>
              <w:t>onitoring (EM) and Electronic Reporting (ER) technologies in the WCPO</w:t>
            </w:r>
          </w:p>
        </w:tc>
      </w:tr>
      <w:tr w:rsidR="00D65871" w:rsidRPr="00D52ED6" w:rsidTr="009F7CD1">
        <w:trPr>
          <w:trHeight w:val="288"/>
        </w:trPr>
        <w:tc>
          <w:tcPr>
            <w:tcW w:w="803" w:type="pct"/>
            <w:vAlign w:val="center"/>
          </w:tcPr>
          <w:p w:rsidR="00D65871" w:rsidRPr="00D52ED6" w:rsidRDefault="00D65871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ST-IP-05</w:t>
            </w:r>
          </w:p>
        </w:tc>
        <w:tc>
          <w:tcPr>
            <w:tcW w:w="4197" w:type="pct"/>
          </w:tcPr>
          <w:p w:rsidR="00D65871" w:rsidRPr="00D52ED6" w:rsidRDefault="00C845CD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Lestari </w:t>
            </w:r>
            <w:proofErr w:type="gram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P ,</w:t>
            </w:r>
            <w:proofErr w:type="gram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R. J. G. Lester  and C. Proctor </w:t>
            </w:r>
            <w:r w:rsidR="00155682" w:rsidRPr="00D52ED6">
              <w:rPr>
                <w:rFonts w:eastAsia="Malgun Gothic"/>
                <w:sz w:val="22"/>
                <w:szCs w:val="22"/>
                <w:lang w:eastAsia="ko-KR"/>
              </w:rPr>
              <w:t>Symbionts of bigeye and yellowfin tuna as potential Stock markers for t</w:t>
            </w:r>
            <w:r w:rsidR="00D65871" w:rsidRPr="00D52ED6">
              <w:rPr>
                <w:rFonts w:eastAsia="Malgun Gothic"/>
                <w:sz w:val="22"/>
                <w:szCs w:val="22"/>
                <w:lang w:eastAsia="ko-KR"/>
              </w:rPr>
              <w:t>una in Indonesia</w:t>
            </w:r>
            <w:r w:rsidR="00155682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archipelagic waters</w:t>
            </w:r>
            <w:r w:rsidR="00D65871" w:rsidRPr="00D52ED6">
              <w:rPr>
                <w:rFonts w:eastAsia="Malgun Gothic"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D52ED6" w:rsidTr="009F7CD1">
        <w:trPr>
          <w:trHeight w:val="288"/>
        </w:trPr>
        <w:tc>
          <w:tcPr>
            <w:tcW w:w="803" w:type="pct"/>
            <w:vAlign w:val="center"/>
          </w:tcPr>
          <w:p w:rsidR="009F7CD1" w:rsidRPr="00D52ED6" w:rsidRDefault="00D65871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ST-IP-06</w:t>
            </w:r>
          </w:p>
        </w:tc>
        <w:tc>
          <w:tcPr>
            <w:tcW w:w="4197" w:type="pct"/>
          </w:tcPr>
          <w:p w:rsidR="009F7CD1" w:rsidRPr="00D52ED6" w:rsidRDefault="004D5584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Widodo A. A., Wudianto, C. Proctor, F. </w:t>
            </w:r>
            <w:proofErr w:type="spellStart"/>
            <w:r w:rsidRPr="00D52ED6">
              <w:rPr>
                <w:sz w:val="22"/>
                <w:szCs w:val="22"/>
              </w:rPr>
              <w:t>Satria</w:t>
            </w:r>
            <w:proofErr w:type="spellEnd"/>
            <w:r w:rsidRPr="00D52ED6">
              <w:rPr>
                <w:sz w:val="22"/>
                <w:szCs w:val="22"/>
              </w:rPr>
              <w:t xml:space="preserve">, </w:t>
            </w:r>
            <w:proofErr w:type="spellStart"/>
            <w:r w:rsidRPr="00D52ED6">
              <w:rPr>
                <w:sz w:val="22"/>
                <w:szCs w:val="22"/>
              </w:rPr>
              <w:t>Mahiswara</w:t>
            </w:r>
            <w:proofErr w:type="spellEnd"/>
            <w:r w:rsidRPr="00D52ED6">
              <w:rPr>
                <w:sz w:val="22"/>
                <w:szCs w:val="22"/>
              </w:rPr>
              <w:t xml:space="preserve">, M. </w:t>
            </w:r>
            <w:proofErr w:type="spellStart"/>
            <w:r w:rsidRPr="00D52ED6">
              <w:rPr>
                <w:sz w:val="22"/>
                <w:szCs w:val="22"/>
              </w:rPr>
              <w:t>Natsir</w:t>
            </w:r>
            <w:proofErr w:type="spellEnd"/>
            <w:r w:rsidRPr="00D52ED6">
              <w:rPr>
                <w:sz w:val="22"/>
                <w:szCs w:val="22"/>
              </w:rPr>
              <w:t xml:space="preserve">, I. G. B. </w:t>
            </w:r>
            <w:proofErr w:type="spellStart"/>
            <w:r w:rsidRPr="00D52ED6">
              <w:rPr>
                <w:sz w:val="22"/>
                <w:szCs w:val="22"/>
              </w:rPr>
              <w:t>Sedana</w:t>
            </w:r>
            <w:proofErr w:type="spellEnd"/>
            <w:r w:rsidRPr="00D52ED6">
              <w:rPr>
                <w:sz w:val="22"/>
                <w:szCs w:val="22"/>
              </w:rPr>
              <w:t xml:space="preserve">, I. T. </w:t>
            </w:r>
            <w:proofErr w:type="spellStart"/>
            <w:r w:rsidRPr="00D52ED6">
              <w:rPr>
                <w:sz w:val="22"/>
                <w:szCs w:val="22"/>
              </w:rPr>
              <w:t>Hargiyatno</w:t>
            </w:r>
            <w:proofErr w:type="spellEnd"/>
            <w:r w:rsidRPr="00D52ED6">
              <w:rPr>
                <w:sz w:val="22"/>
                <w:szCs w:val="22"/>
              </w:rPr>
              <w:t xml:space="preserve"> and S. Cooper</w:t>
            </w:r>
            <w:r w:rsidR="00C31954" w:rsidRPr="00D52ED6">
              <w:rPr>
                <w:sz w:val="22"/>
                <w:szCs w:val="22"/>
              </w:rPr>
              <w:t xml:space="preserve">. </w:t>
            </w:r>
            <w:r w:rsidRPr="00D52ED6">
              <w:rPr>
                <w:sz w:val="22"/>
                <w:szCs w:val="22"/>
              </w:rPr>
              <w:t>Characteristics of tuna fisheries associated with Indonesian anchored FADs in waters of the West Pacific and the Indonesian archipelago</w:t>
            </w:r>
          </w:p>
        </w:tc>
      </w:tr>
      <w:tr w:rsidR="008558B9" w:rsidRPr="00D52ED6" w:rsidTr="009F7CD1">
        <w:trPr>
          <w:trHeight w:val="288"/>
        </w:trPr>
        <w:tc>
          <w:tcPr>
            <w:tcW w:w="803" w:type="pct"/>
            <w:vAlign w:val="center"/>
          </w:tcPr>
          <w:p w:rsidR="008558B9" w:rsidRPr="00D52ED6" w:rsidRDefault="008558B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ST-IP-07</w:t>
            </w:r>
          </w:p>
        </w:tc>
        <w:tc>
          <w:tcPr>
            <w:tcW w:w="4197" w:type="pct"/>
          </w:tcPr>
          <w:p w:rsidR="008558B9" w:rsidRPr="00D52ED6" w:rsidRDefault="008558B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D52ED6">
              <w:rPr>
                <w:sz w:val="22"/>
                <w:szCs w:val="22"/>
              </w:rPr>
              <w:t>Ramiscal</w:t>
            </w:r>
            <w:proofErr w:type="spellEnd"/>
            <w:r w:rsidRPr="00D52ED6">
              <w:rPr>
                <w:sz w:val="22"/>
                <w:szCs w:val="22"/>
              </w:rPr>
              <w:t xml:space="preserve">, R. V. A. C. Dickson, I. </w:t>
            </w:r>
            <w:proofErr w:type="spellStart"/>
            <w:r w:rsidRPr="00D52ED6">
              <w:rPr>
                <w:sz w:val="22"/>
                <w:szCs w:val="22"/>
              </w:rPr>
              <w:t>Tanangonan</w:t>
            </w:r>
            <w:proofErr w:type="spellEnd"/>
            <w:r w:rsidRPr="00D52ED6">
              <w:rPr>
                <w:sz w:val="22"/>
                <w:szCs w:val="22"/>
              </w:rPr>
              <w:t>, M. Demo-</w:t>
            </w:r>
            <w:proofErr w:type="spellStart"/>
            <w:r w:rsidRPr="00D52ED6">
              <w:rPr>
                <w:sz w:val="22"/>
                <w:szCs w:val="22"/>
              </w:rPr>
              <w:t>os</w:t>
            </w:r>
            <w:proofErr w:type="spellEnd"/>
            <w:r w:rsidRPr="00D52ED6">
              <w:rPr>
                <w:sz w:val="22"/>
                <w:szCs w:val="22"/>
              </w:rPr>
              <w:t xml:space="preserve">, and J. </w:t>
            </w:r>
            <w:proofErr w:type="spellStart"/>
            <w:r w:rsidRPr="00D52ED6">
              <w:rPr>
                <w:sz w:val="22"/>
                <w:szCs w:val="22"/>
              </w:rPr>
              <w:t>Jara</w:t>
            </w:r>
            <w:proofErr w:type="spellEnd"/>
            <w:r w:rsidRPr="00D52ED6">
              <w:rPr>
                <w:sz w:val="22"/>
                <w:szCs w:val="22"/>
              </w:rPr>
              <w:t>. Group Seine Operations of Philippine  Flagged Vessels in High Seas Pocket 1 (HSP1)</w:t>
            </w:r>
          </w:p>
        </w:tc>
      </w:tr>
      <w:tr w:rsidR="008558B9" w:rsidRPr="00D52ED6" w:rsidTr="009F7CD1">
        <w:trPr>
          <w:trHeight w:val="288"/>
        </w:trPr>
        <w:tc>
          <w:tcPr>
            <w:tcW w:w="803" w:type="pct"/>
            <w:vAlign w:val="center"/>
          </w:tcPr>
          <w:p w:rsidR="008558B9" w:rsidRPr="00D52ED6" w:rsidRDefault="008558B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ST-IP-08</w:t>
            </w:r>
          </w:p>
        </w:tc>
        <w:tc>
          <w:tcPr>
            <w:tcW w:w="4197" w:type="pct"/>
          </w:tcPr>
          <w:p w:rsidR="008558B9" w:rsidRPr="00D52ED6" w:rsidRDefault="008558B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Dickson, A.C., M. Demo-</w:t>
            </w:r>
            <w:proofErr w:type="spellStart"/>
            <w:r w:rsidRPr="00D52ED6">
              <w:rPr>
                <w:sz w:val="22"/>
                <w:szCs w:val="22"/>
              </w:rPr>
              <w:t>os</w:t>
            </w:r>
            <w:proofErr w:type="spellEnd"/>
            <w:r w:rsidRPr="00D52ED6">
              <w:rPr>
                <w:sz w:val="22"/>
                <w:szCs w:val="22"/>
              </w:rPr>
              <w:t xml:space="preserve">, I. </w:t>
            </w:r>
            <w:proofErr w:type="spellStart"/>
            <w:r w:rsidRPr="00D52ED6">
              <w:rPr>
                <w:sz w:val="22"/>
                <w:szCs w:val="22"/>
              </w:rPr>
              <w:t>Tanangonan</w:t>
            </w:r>
            <w:proofErr w:type="spellEnd"/>
            <w:r w:rsidRPr="00D52ED6">
              <w:rPr>
                <w:sz w:val="22"/>
                <w:szCs w:val="22"/>
              </w:rPr>
              <w:t xml:space="preserve">, J. S. </w:t>
            </w:r>
            <w:proofErr w:type="spellStart"/>
            <w:r w:rsidRPr="00D52ED6">
              <w:rPr>
                <w:sz w:val="22"/>
                <w:szCs w:val="22"/>
              </w:rPr>
              <w:t>Jara</w:t>
            </w:r>
            <w:proofErr w:type="spellEnd"/>
            <w:r w:rsidRPr="00D52ED6">
              <w:rPr>
                <w:sz w:val="22"/>
                <w:szCs w:val="22"/>
              </w:rPr>
              <w:t xml:space="preserve"> and R. V. </w:t>
            </w:r>
            <w:proofErr w:type="spellStart"/>
            <w:r w:rsidRPr="00D52ED6">
              <w:rPr>
                <w:sz w:val="22"/>
                <w:szCs w:val="22"/>
              </w:rPr>
              <w:t>Ramiscal</w:t>
            </w:r>
            <w:proofErr w:type="spellEnd"/>
            <w:r w:rsidRPr="00D52ED6">
              <w:rPr>
                <w:sz w:val="22"/>
                <w:szCs w:val="22"/>
              </w:rPr>
              <w:t>. Pilot Test of MARLIN (Electronic Logsheet) Operation in High Seas Pocket 1</w:t>
            </w:r>
          </w:p>
        </w:tc>
      </w:tr>
      <w:tr w:rsidR="00B91632" w:rsidRPr="00D52ED6" w:rsidTr="009F7CD1">
        <w:trPr>
          <w:trHeight w:val="288"/>
        </w:trPr>
        <w:tc>
          <w:tcPr>
            <w:tcW w:w="803" w:type="pct"/>
            <w:vAlign w:val="center"/>
          </w:tcPr>
          <w:p w:rsidR="00B91632" w:rsidRPr="00D52ED6" w:rsidRDefault="00B91632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sz w:val="22"/>
                <w:szCs w:val="22"/>
                <w:lang w:val="en-NZ"/>
              </w:rPr>
              <w:t>ST-IP-09</w:t>
            </w:r>
          </w:p>
        </w:tc>
        <w:tc>
          <w:tcPr>
            <w:tcW w:w="4197" w:type="pct"/>
          </w:tcPr>
          <w:p w:rsidR="00B91632" w:rsidRPr="00D52ED6" w:rsidRDefault="008558B9" w:rsidP="00D52ED6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PNA Office Purse seine fishing activity in PNA waters</w:t>
            </w:r>
          </w:p>
        </w:tc>
      </w:tr>
    </w:tbl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t>STOCK ASSESSMENT THEME</w:t>
      </w:r>
    </w:p>
    <w:p w:rsidR="00207719" w:rsidRPr="00D52ED6" w:rsidRDefault="00207719" w:rsidP="00D52ED6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60" w:after="6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5F6468" w:rsidRPr="00D52ED6" w:rsidTr="004468F6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D52ED6" w:rsidRDefault="00207719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i/>
                <w:sz w:val="22"/>
                <w:szCs w:val="22"/>
                <w:lang w:val="en-NZ"/>
              </w:rPr>
              <w:t>SA THEME – Working Papers</w:t>
            </w:r>
          </w:p>
        </w:tc>
      </w:tr>
      <w:tr w:rsidR="00FE5FF7" w:rsidRPr="00D52ED6" w:rsidTr="004468F6">
        <w:tc>
          <w:tcPr>
            <w:tcW w:w="803" w:type="pct"/>
            <w:vAlign w:val="center"/>
          </w:tcPr>
          <w:p w:rsidR="00FE5FF7" w:rsidRPr="00D52ED6" w:rsidRDefault="00FE5FF7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SA-WP-01</w:t>
            </w:r>
          </w:p>
        </w:tc>
        <w:tc>
          <w:tcPr>
            <w:tcW w:w="4197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D52ED6">
              <w:rPr>
                <w:sz w:val="22"/>
                <w:szCs w:val="22"/>
              </w:rPr>
              <w:t>Grewe</w:t>
            </w:r>
            <w:proofErr w:type="spellEnd"/>
            <w:r w:rsidRPr="00D52ED6">
              <w:rPr>
                <w:sz w:val="22"/>
                <w:szCs w:val="22"/>
              </w:rPr>
              <w:t xml:space="preserve"> P. M., H. E. </w:t>
            </w:r>
            <w:proofErr w:type="spellStart"/>
            <w:r w:rsidRPr="00D52ED6">
              <w:rPr>
                <w:sz w:val="22"/>
                <w:szCs w:val="22"/>
              </w:rPr>
              <w:t>Irianto</w:t>
            </w:r>
            <w:proofErr w:type="spellEnd"/>
            <w:r w:rsidRPr="00D52ED6">
              <w:rPr>
                <w:sz w:val="22"/>
                <w:szCs w:val="22"/>
              </w:rPr>
              <w:t xml:space="preserve">, C. H. Proctor, M. S. Adam, A. R. </w:t>
            </w:r>
            <w:proofErr w:type="spellStart"/>
            <w:r w:rsidRPr="00D52ED6">
              <w:rPr>
                <w:sz w:val="22"/>
                <w:szCs w:val="22"/>
              </w:rPr>
              <w:t>Jauhary</w:t>
            </w:r>
            <w:proofErr w:type="spellEnd"/>
            <w:r w:rsidRPr="00D52ED6">
              <w:rPr>
                <w:sz w:val="22"/>
                <w:szCs w:val="22"/>
              </w:rPr>
              <w:t xml:space="preserve">, K. Schafer, D. </w:t>
            </w:r>
            <w:proofErr w:type="spellStart"/>
            <w:r w:rsidRPr="00D52ED6">
              <w:rPr>
                <w:sz w:val="22"/>
                <w:szCs w:val="22"/>
              </w:rPr>
              <w:t>Itano</w:t>
            </w:r>
            <w:proofErr w:type="spellEnd"/>
            <w:r w:rsidRPr="00D52ED6">
              <w:rPr>
                <w:sz w:val="22"/>
                <w:szCs w:val="22"/>
              </w:rPr>
              <w:t xml:space="preserve">, A. Killian and C. R. Davies. </w:t>
            </w:r>
            <w:r w:rsidRPr="00D52ED6">
              <w:rPr>
                <w:rFonts w:eastAsia="Cambria" w:hAnsi="Cambria" w:cs="Cambria"/>
                <w:color w:val="000000"/>
                <w:bdr w:val="none" w:sz="0" w:space="0" w:color="auto" w:frame="1"/>
              </w:rPr>
              <w:t>Population structure and provenance of tropical tunas: recent results from high throughput genotyping and potential implications for monitoring and assessment.</w:t>
            </w:r>
          </w:p>
        </w:tc>
      </w:tr>
      <w:tr w:rsidR="00FE5FF7" w:rsidRPr="00D52ED6" w:rsidTr="004468F6">
        <w:tc>
          <w:tcPr>
            <w:tcW w:w="803" w:type="pct"/>
            <w:vAlign w:val="center"/>
          </w:tcPr>
          <w:p w:rsidR="00FE5FF7" w:rsidRPr="00D52ED6" w:rsidRDefault="00FE5FF7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SA-WP-02</w:t>
            </w:r>
          </w:p>
        </w:tc>
        <w:tc>
          <w:tcPr>
            <w:tcW w:w="4197" w:type="pct"/>
          </w:tcPr>
          <w:p w:rsidR="00FE5FF7" w:rsidRPr="00D52ED6" w:rsidRDefault="0068197C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Scott R., N. Davies, G.M. Pilling</w:t>
            </w:r>
            <w:r w:rsidR="00016219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and J. Hampton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FE5FF7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Retrospective forecasting of the 2014 WCPO bigeye tuna stock assessment</w:t>
            </w:r>
          </w:p>
        </w:tc>
      </w:tr>
      <w:tr w:rsidR="00FE5FF7" w:rsidRPr="00D52ED6" w:rsidTr="004468F6">
        <w:tc>
          <w:tcPr>
            <w:tcW w:w="803" w:type="pct"/>
            <w:vAlign w:val="center"/>
          </w:tcPr>
          <w:p w:rsidR="00FE5FF7" w:rsidRPr="00D52ED6" w:rsidRDefault="00FE5FF7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SA-WP-03</w:t>
            </w:r>
          </w:p>
        </w:tc>
        <w:tc>
          <w:tcPr>
            <w:tcW w:w="4197" w:type="pct"/>
          </w:tcPr>
          <w:p w:rsidR="00FE5FF7" w:rsidRPr="00D52ED6" w:rsidRDefault="00942E22" w:rsidP="00D52ED6">
            <w:r w:rsidRPr="00D52ED6">
              <w:t>Pilling G., R. Scott, P. Williams and J. Hampton. A compendium of fisheries indicators for tuna stocks not assessed in 2016 (bigeye and yellowfin tuna)</w:t>
            </w:r>
          </w:p>
        </w:tc>
      </w:tr>
      <w:tr w:rsidR="00FE5FF7" w:rsidRPr="00D52ED6" w:rsidTr="004468F6">
        <w:tc>
          <w:tcPr>
            <w:tcW w:w="803" w:type="pct"/>
            <w:vAlign w:val="center"/>
          </w:tcPr>
          <w:p w:rsidR="00FE5FF7" w:rsidRPr="00D52ED6" w:rsidRDefault="00FE5FF7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SA-WP-04</w:t>
            </w:r>
          </w:p>
        </w:tc>
        <w:tc>
          <w:tcPr>
            <w:tcW w:w="4197" w:type="pct"/>
          </w:tcPr>
          <w:p w:rsidR="00FE5FF7" w:rsidRPr="00D52ED6" w:rsidRDefault="00280016" w:rsidP="00D52ED6">
            <w:proofErr w:type="spellStart"/>
            <w:r w:rsidRPr="00D52ED6">
              <w:t>McKechnie</w:t>
            </w:r>
            <w:proofErr w:type="spellEnd"/>
            <w:r w:rsidRPr="00D52ED6">
              <w:t xml:space="preserve"> S., J. Hampton, G. M. Pilling and N. Davies. Stock assessment  of skip jack tuna in  the western and central Pacific Ocean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36703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SA-WP-05</w:t>
            </w:r>
          </w:p>
        </w:tc>
        <w:tc>
          <w:tcPr>
            <w:tcW w:w="4197" w:type="pct"/>
          </w:tcPr>
          <w:p w:rsidR="00367036" w:rsidRPr="00D52ED6" w:rsidRDefault="0036703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proofErr w:type="spellStart"/>
            <w:r w:rsidRPr="00D52ED6">
              <w:rPr>
                <w:sz w:val="22"/>
                <w:szCs w:val="22"/>
              </w:rPr>
              <w:t>Kiyofuji</w:t>
            </w:r>
            <w:proofErr w:type="spellEnd"/>
            <w:r w:rsidRPr="00D52ED6">
              <w:rPr>
                <w:sz w:val="22"/>
                <w:szCs w:val="22"/>
              </w:rPr>
              <w:t xml:space="preserve">, H. Skipjack catch per unit effort (CPUE) in the WCPO from the Japanese pole-and-line fisheries. 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36703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SA-WP-06</w:t>
            </w:r>
          </w:p>
        </w:tc>
        <w:tc>
          <w:tcPr>
            <w:tcW w:w="4197" w:type="pct"/>
          </w:tcPr>
          <w:p w:rsidR="00367036" w:rsidRPr="00D52ED6" w:rsidRDefault="0068197C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Pilling G. M. </w:t>
            </w:r>
            <w:r w:rsidR="00016219" w:rsidRPr="00D52ED6">
              <w:rPr>
                <w:sz w:val="22"/>
                <w:szCs w:val="22"/>
              </w:rPr>
              <w:t xml:space="preserve">and P. Williams </w:t>
            </w:r>
            <w:r w:rsidR="00367036" w:rsidRPr="00D52ED6">
              <w:rPr>
                <w:sz w:val="22"/>
                <w:szCs w:val="22"/>
              </w:rPr>
              <w:t xml:space="preserve">Recent trends in the south Pacific albacore  fishery </w:t>
            </w:r>
          </w:p>
        </w:tc>
      </w:tr>
      <w:tr w:rsidR="009B2101" w:rsidRPr="00D52ED6" w:rsidTr="004468F6">
        <w:tc>
          <w:tcPr>
            <w:tcW w:w="803" w:type="pct"/>
            <w:vAlign w:val="center"/>
          </w:tcPr>
          <w:p w:rsidR="009B2101" w:rsidRPr="00D52ED6" w:rsidRDefault="009B2101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SA-WP-06a</w:t>
            </w:r>
          </w:p>
        </w:tc>
        <w:tc>
          <w:tcPr>
            <w:tcW w:w="4197" w:type="pct"/>
          </w:tcPr>
          <w:p w:rsidR="009B2101" w:rsidRPr="00D52ED6" w:rsidRDefault="009B210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Excel:</w:t>
            </w:r>
            <w:r w:rsidR="00016219" w:rsidRPr="00D52ED6">
              <w:rPr>
                <w:sz w:val="22"/>
                <w:szCs w:val="22"/>
              </w:rPr>
              <w:t xml:space="preserve"> SPA vessel number latitude flag</w:t>
            </w:r>
          </w:p>
        </w:tc>
      </w:tr>
      <w:tr w:rsidR="009B2101" w:rsidRPr="00D52ED6" w:rsidTr="004468F6">
        <w:tc>
          <w:tcPr>
            <w:tcW w:w="803" w:type="pct"/>
            <w:vAlign w:val="center"/>
          </w:tcPr>
          <w:p w:rsidR="009B2101" w:rsidRPr="00D52ED6" w:rsidRDefault="009B2101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SA-WP-06b</w:t>
            </w:r>
          </w:p>
        </w:tc>
        <w:tc>
          <w:tcPr>
            <w:tcW w:w="4197" w:type="pct"/>
          </w:tcPr>
          <w:p w:rsidR="009B2101" w:rsidRPr="00D52ED6" w:rsidRDefault="009B210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Excel:</w:t>
            </w:r>
            <w:r w:rsidR="00016219" w:rsidRPr="00D52ED6">
              <w:rPr>
                <w:sz w:val="22"/>
                <w:szCs w:val="22"/>
              </w:rPr>
              <w:t xml:space="preserve"> SPA catch proportion latitude flag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36703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SA-WP-07</w:t>
            </w:r>
          </w:p>
        </w:tc>
        <w:tc>
          <w:tcPr>
            <w:tcW w:w="4197" w:type="pct"/>
          </w:tcPr>
          <w:p w:rsidR="00367036" w:rsidRPr="00D52ED6" w:rsidRDefault="0036703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ISC PBFWG Pacific Bluefin Stock Assessment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36703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SA-WP-08</w:t>
            </w:r>
          </w:p>
        </w:tc>
        <w:tc>
          <w:tcPr>
            <w:tcW w:w="4197" w:type="pct"/>
          </w:tcPr>
          <w:p w:rsidR="00367036" w:rsidRPr="00D52ED6" w:rsidRDefault="00E4727D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Takeuchi Y., L. Tremblay-Boyer, G.M. Pilling and J. Hampton </w:t>
            </w:r>
            <w:r w:rsidR="00367036" w:rsidRPr="00D52ED6">
              <w:rPr>
                <w:rFonts w:eastAsia="Malgun Gothic"/>
                <w:sz w:val="22"/>
                <w:szCs w:val="22"/>
                <w:lang w:eastAsia="ko-KR"/>
              </w:rPr>
              <w:t>Assessment of blue shark in the southwestern Pacific</w:t>
            </w:r>
            <w:r w:rsidR="00512F39">
              <w:rPr>
                <w:rFonts w:eastAsia="Malgun Gothic"/>
                <w:sz w:val="22"/>
                <w:szCs w:val="22"/>
                <w:lang w:eastAsia="ko-KR"/>
              </w:rPr>
              <w:t xml:space="preserve"> Rev 1 (28 July 2016)</w:t>
            </w:r>
          </w:p>
        </w:tc>
      </w:tr>
      <w:tr w:rsidR="00523200" w:rsidRPr="00D52ED6" w:rsidTr="000D0B78">
        <w:tc>
          <w:tcPr>
            <w:tcW w:w="803" w:type="pct"/>
          </w:tcPr>
          <w:p w:rsidR="004468F6" w:rsidRPr="00D52ED6" w:rsidRDefault="004468F6" w:rsidP="00D52ED6">
            <w:pPr>
              <w:jc w:val="center"/>
              <w:rPr>
                <w:b/>
                <w:color w:val="000000" w:themeColor="text1"/>
              </w:rPr>
            </w:pPr>
            <w:r w:rsidRPr="00D52ED6">
              <w:rPr>
                <w:b/>
                <w:color w:val="000000" w:themeColor="text1"/>
                <w:sz w:val="22"/>
                <w:szCs w:val="22"/>
                <w:lang w:val="en-NZ"/>
              </w:rPr>
              <w:t>SA-WP-09</w:t>
            </w:r>
          </w:p>
        </w:tc>
        <w:tc>
          <w:tcPr>
            <w:tcW w:w="4197" w:type="pct"/>
          </w:tcPr>
          <w:p w:rsidR="004468F6" w:rsidRPr="00D52ED6" w:rsidRDefault="00E4727D" w:rsidP="00D52ED6">
            <w:pPr>
              <w:adjustRightInd w:val="0"/>
              <w:snapToGrid w:val="0"/>
              <w:spacing w:before="60" w:after="60"/>
              <w:jc w:val="left"/>
              <w:rPr>
                <w:color w:val="000000" w:themeColor="text1"/>
                <w:sz w:val="22"/>
                <w:szCs w:val="22"/>
              </w:rPr>
            </w:pPr>
            <w:r w:rsidRPr="00D52ED6">
              <w:rPr>
                <w:color w:val="000000" w:themeColor="text1"/>
                <w:sz w:val="22"/>
                <w:szCs w:val="22"/>
              </w:rPr>
              <w:t xml:space="preserve">Tremblay-Boyer L. and </w:t>
            </w:r>
            <w:r w:rsidR="00696045" w:rsidRPr="00D52ED6">
              <w:rPr>
                <w:color w:val="000000" w:themeColor="text1"/>
                <w:sz w:val="22"/>
                <w:szCs w:val="22"/>
              </w:rPr>
              <w:t>Y.  Takeuchi. Catch and CPUE inputs to the South Pacific blue shark stock assessment</w:t>
            </w:r>
            <w:r w:rsidR="00512F39">
              <w:rPr>
                <w:color w:val="000000" w:themeColor="text1"/>
                <w:sz w:val="22"/>
                <w:szCs w:val="22"/>
              </w:rPr>
              <w:t xml:space="preserve"> Rev 1 (27 July 2016)</w:t>
            </w:r>
          </w:p>
        </w:tc>
      </w:tr>
      <w:tr w:rsidR="004468F6" w:rsidRPr="00D52ED6" w:rsidTr="000D0B78">
        <w:tc>
          <w:tcPr>
            <w:tcW w:w="803" w:type="pct"/>
          </w:tcPr>
          <w:p w:rsidR="004468F6" w:rsidRPr="00D52ED6" w:rsidRDefault="004468F6" w:rsidP="00D52ED6">
            <w:pPr>
              <w:jc w:val="center"/>
            </w:pPr>
            <w:r w:rsidRPr="00D52ED6">
              <w:rPr>
                <w:b/>
                <w:sz w:val="22"/>
                <w:szCs w:val="22"/>
                <w:lang w:val="en-NZ"/>
              </w:rPr>
              <w:t>SA-WP-10</w:t>
            </w:r>
          </w:p>
        </w:tc>
        <w:tc>
          <w:tcPr>
            <w:tcW w:w="4197" w:type="pct"/>
          </w:tcPr>
          <w:p w:rsidR="004468F6" w:rsidRPr="00D52ED6" w:rsidRDefault="00E4727D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Reassigned</w:t>
            </w:r>
            <w:r w:rsidR="00AF5B02" w:rsidRPr="00D52ED6">
              <w:rPr>
                <w:sz w:val="22"/>
                <w:szCs w:val="22"/>
              </w:rPr>
              <w:t xml:space="preserve"> SA-IP-17</w:t>
            </w:r>
          </w:p>
        </w:tc>
      </w:tr>
      <w:tr w:rsidR="004468F6" w:rsidRPr="00D52ED6" w:rsidTr="000D0B78">
        <w:tc>
          <w:tcPr>
            <w:tcW w:w="803" w:type="pct"/>
          </w:tcPr>
          <w:p w:rsidR="004468F6" w:rsidRPr="00D52ED6" w:rsidRDefault="004468F6" w:rsidP="00D52ED6">
            <w:pPr>
              <w:jc w:val="center"/>
            </w:pPr>
            <w:r w:rsidRPr="00D52ED6">
              <w:rPr>
                <w:b/>
                <w:sz w:val="22"/>
                <w:szCs w:val="22"/>
                <w:lang w:val="en-NZ"/>
              </w:rPr>
              <w:lastRenderedPageBreak/>
              <w:t>SA-WP-11</w:t>
            </w:r>
          </w:p>
        </w:tc>
        <w:tc>
          <w:tcPr>
            <w:tcW w:w="4197" w:type="pct"/>
          </w:tcPr>
          <w:p w:rsidR="004468F6" w:rsidRPr="00D52ED6" w:rsidRDefault="004468F6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Farley J., N. Clear, D.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Kolody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, K.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Krusic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-Golub, P.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Eveson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and J. Young. Determination of swordfish growth and maturity relevant to the southwest Pacific stock.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4468F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SA-WP-12</w:t>
            </w:r>
          </w:p>
        </w:tc>
        <w:tc>
          <w:tcPr>
            <w:tcW w:w="4197" w:type="pct"/>
          </w:tcPr>
          <w:p w:rsidR="00367036" w:rsidRPr="00D52ED6" w:rsidRDefault="00367036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ISC BFWG </w:t>
            </w:r>
            <w:proofErr w:type="spellStart"/>
            <w:r w:rsidR="00E30F8D" w:rsidRPr="00D52ED6">
              <w:rPr>
                <w:sz w:val="22"/>
                <w:szCs w:val="22"/>
              </w:rPr>
              <w:t>tock</w:t>
            </w:r>
            <w:proofErr w:type="spellEnd"/>
            <w:r w:rsidR="00E30F8D" w:rsidRPr="00D52ED6">
              <w:rPr>
                <w:sz w:val="22"/>
                <w:szCs w:val="22"/>
              </w:rPr>
              <w:t xml:space="preserve"> Assessment Update for Blue Marlin (</w:t>
            </w:r>
            <w:proofErr w:type="spellStart"/>
            <w:r w:rsidR="00E30F8D" w:rsidRPr="00D52ED6">
              <w:rPr>
                <w:sz w:val="22"/>
                <w:szCs w:val="22"/>
              </w:rPr>
              <w:t>Makaira</w:t>
            </w:r>
            <w:proofErr w:type="spellEnd"/>
            <w:r w:rsidR="00E30F8D" w:rsidRPr="00D52ED6">
              <w:rPr>
                <w:sz w:val="22"/>
                <w:szCs w:val="22"/>
              </w:rPr>
              <w:t xml:space="preserve"> </w:t>
            </w:r>
            <w:proofErr w:type="spellStart"/>
            <w:r w:rsidR="00E30F8D" w:rsidRPr="00D52ED6">
              <w:rPr>
                <w:sz w:val="22"/>
                <w:szCs w:val="22"/>
              </w:rPr>
              <w:t>nigricans</w:t>
            </w:r>
            <w:proofErr w:type="spellEnd"/>
            <w:r w:rsidR="00E30F8D" w:rsidRPr="00D52ED6">
              <w:rPr>
                <w:sz w:val="22"/>
                <w:szCs w:val="22"/>
              </w:rPr>
              <w:t>) in the Pacific Ocean through 2014</w:t>
            </w:r>
          </w:p>
        </w:tc>
      </w:tr>
      <w:tr w:rsidR="005F6468" w:rsidRPr="00D52ED6" w:rsidTr="004468F6">
        <w:tc>
          <w:tcPr>
            <w:tcW w:w="5000" w:type="pct"/>
            <w:gridSpan w:val="2"/>
            <w:shd w:val="clear" w:color="auto" w:fill="BFBFBF"/>
            <w:vAlign w:val="center"/>
          </w:tcPr>
          <w:p w:rsidR="000A65F9" w:rsidRPr="00D52ED6" w:rsidRDefault="000A65F9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i/>
                <w:sz w:val="22"/>
                <w:szCs w:val="22"/>
                <w:lang w:val="en-NZ"/>
              </w:rPr>
              <w:t xml:space="preserve">SA THEME – </w:t>
            </w:r>
            <w:r w:rsidRPr="00D52ED6">
              <w:rPr>
                <w:b/>
                <w:i/>
                <w:sz w:val="22"/>
                <w:szCs w:val="22"/>
                <w:lang w:val="en-NZ"/>
              </w:rPr>
              <w:t>Information Papers</w:t>
            </w:r>
          </w:p>
        </w:tc>
      </w:tr>
      <w:tr w:rsidR="005F6468" w:rsidRPr="00D52ED6" w:rsidTr="004468F6">
        <w:tc>
          <w:tcPr>
            <w:tcW w:w="803" w:type="pct"/>
          </w:tcPr>
          <w:p w:rsidR="00DC68DF" w:rsidRPr="00D52ED6" w:rsidRDefault="00DC68DF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SA-IP-01</w:t>
            </w:r>
          </w:p>
        </w:tc>
        <w:tc>
          <w:tcPr>
            <w:tcW w:w="4197" w:type="pct"/>
          </w:tcPr>
          <w:p w:rsidR="00DC68DF" w:rsidRPr="00D52ED6" w:rsidDel="00FA2488" w:rsidRDefault="00CD09E1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Pilling G. and S.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Brouwer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>. Report from the SPC pre-assessment workshop, Noumea, April 2016</w:t>
            </w:r>
          </w:p>
        </w:tc>
      </w:tr>
      <w:tr w:rsidR="00FE5FF7" w:rsidRPr="00D52ED6" w:rsidTr="004468F6">
        <w:tc>
          <w:tcPr>
            <w:tcW w:w="803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SA-IP-02</w:t>
            </w:r>
          </w:p>
        </w:tc>
        <w:tc>
          <w:tcPr>
            <w:tcW w:w="4197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proofErr w:type="spellStart"/>
            <w:r w:rsidRPr="00D52ED6">
              <w:rPr>
                <w:sz w:val="22"/>
                <w:szCs w:val="22"/>
              </w:rPr>
              <w:t>Grewe</w:t>
            </w:r>
            <w:proofErr w:type="spellEnd"/>
            <w:r w:rsidRPr="00D52ED6">
              <w:rPr>
                <w:sz w:val="22"/>
                <w:szCs w:val="22"/>
              </w:rPr>
              <w:t xml:space="preserve"> P. M., P. </w:t>
            </w:r>
            <w:proofErr w:type="spellStart"/>
            <w:r w:rsidRPr="00D52ED6">
              <w:rPr>
                <w:sz w:val="22"/>
                <w:szCs w:val="22"/>
              </w:rPr>
              <w:t>Feutry</w:t>
            </w:r>
            <w:proofErr w:type="spellEnd"/>
            <w:r w:rsidRPr="00D52ED6">
              <w:rPr>
                <w:sz w:val="22"/>
                <w:szCs w:val="22"/>
              </w:rPr>
              <w:t xml:space="preserve">, P. L. Hill, R. M. </w:t>
            </w:r>
            <w:proofErr w:type="spellStart"/>
            <w:r w:rsidRPr="00D52ED6">
              <w:rPr>
                <w:sz w:val="22"/>
                <w:szCs w:val="22"/>
              </w:rPr>
              <w:t>Gunasekera</w:t>
            </w:r>
            <w:proofErr w:type="spellEnd"/>
            <w:r w:rsidRPr="00D52ED6">
              <w:rPr>
                <w:sz w:val="22"/>
                <w:szCs w:val="22"/>
              </w:rPr>
              <w:t xml:space="preserve">, K.M. Schaefer, D. G. </w:t>
            </w:r>
            <w:proofErr w:type="spellStart"/>
            <w:r w:rsidRPr="00D52ED6">
              <w:rPr>
                <w:sz w:val="22"/>
                <w:szCs w:val="22"/>
              </w:rPr>
              <w:t>Itano</w:t>
            </w:r>
            <w:proofErr w:type="spellEnd"/>
            <w:r w:rsidRPr="00D52ED6">
              <w:rPr>
                <w:sz w:val="22"/>
                <w:szCs w:val="22"/>
              </w:rPr>
              <w:t xml:space="preserve">, D.W. Fuller, S. D. Foster and C.R. Davies. </w:t>
            </w:r>
            <w:r w:rsidRPr="00D52ED6">
              <w:t>Evidence of discrete yellowfin tuna (</w:t>
            </w:r>
            <w:r w:rsidRPr="00D52ED6">
              <w:rPr>
                <w:i/>
              </w:rPr>
              <w:t xml:space="preserve">Thunnus </w:t>
            </w:r>
            <w:proofErr w:type="spellStart"/>
            <w:r w:rsidRPr="00D52ED6">
              <w:rPr>
                <w:i/>
              </w:rPr>
              <w:t>albacares</w:t>
            </w:r>
            <w:proofErr w:type="spellEnd"/>
            <w:r w:rsidRPr="00D52ED6">
              <w:t>) populations demands rethink of management for this globally important resource.</w:t>
            </w:r>
          </w:p>
        </w:tc>
      </w:tr>
      <w:tr w:rsidR="00FE5FF7" w:rsidRPr="00D52ED6" w:rsidTr="004468F6">
        <w:tc>
          <w:tcPr>
            <w:tcW w:w="803" w:type="pct"/>
            <w:vAlign w:val="center"/>
          </w:tcPr>
          <w:p w:rsidR="00FE5FF7" w:rsidRPr="00D52ED6" w:rsidRDefault="00FE5FF7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SA-IP-03</w:t>
            </w:r>
          </w:p>
        </w:tc>
        <w:tc>
          <w:tcPr>
            <w:tcW w:w="4197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Rico C Innovative Technologies for Tunas’ Assessment for Compliance Across the Oceans (ITTACA-OCEANS</w:t>
            </w:r>
            <w:r w:rsidR="00703E3A" w:rsidRPr="00D52ED6">
              <w:rPr>
                <w:sz w:val="22"/>
                <w:szCs w:val="22"/>
              </w:rPr>
              <w:t>)</w:t>
            </w:r>
          </w:p>
        </w:tc>
      </w:tr>
      <w:tr w:rsidR="00FE5FF7" w:rsidRPr="00D52ED6" w:rsidTr="004468F6">
        <w:tc>
          <w:tcPr>
            <w:tcW w:w="803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SA-IP-04</w:t>
            </w:r>
          </w:p>
        </w:tc>
        <w:tc>
          <w:tcPr>
            <w:tcW w:w="4197" w:type="pct"/>
          </w:tcPr>
          <w:p w:rsidR="00FE5FF7" w:rsidRPr="00D52ED6" w:rsidRDefault="00745A2C" w:rsidP="00D52ED6">
            <w:pPr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Tremblay-Boyer L, G. Pilling, B. Kumasi and T. Usu. </w:t>
            </w:r>
            <w:r w:rsidR="00C845CD" w:rsidRPr="00D52ED6">
              <w:rPr>
                <w:sz w:val="22"/>
                <w:szCs w:val="22"/>
              </w:rPr>
              <w:t xml:space="preserve">Standardized CPUE for </w:t>
            </w:r>
            <w:r w:rsidR="00C658E5" w:rsidRPr="00D52ED6">
              <w:rPr>
                <w:sz w:val="22"/>
                <w:szCs w:val="22"/>
              </w:rPr>
              <w:t>skip</w:t>
            </w:r>
            <w:r w:rsidRPr="00D52ED6">
              <w:rPr>
                <w:sz w:val="22"/>
                <w:szCs w:val="22"/>
              </w:rPr>
              <w:t>jack tuna (</w:t>
            </w:r>
            <w:proofErr w:type="spellStart"/>
            <w:r w:rsidRPr="00D52ED6">
              <w:rPr>
                <w:sz w:val="22"/>
                <w:szCs w:val="22"/>
              </w:rPr>
              <w:t>Katsuwonus</w:t>
            </w:r>
            <w:proofErr w:type="spellEnd"/>
            <w:r w:rsidRPr="00D52ED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2ED6">
              <w:rPr>
                <w:sz w:val="22"/>
                <w:szCs w:val="22"/>
              </w:rPr>
              <w:t>pelamis</w:t>
            </w:r>
            <w:proofErr w:type="spellEnd"/>
            <w:r w:rsidRPr="00D52ED6">
              <w:rPr>
                <w:sz w:val="22"/>
                <w:szCs w:val="22"/>
              </w:rPr>
              <w:t xml:space="preserve"> )</w:t>
            </w:r>
            <w:proofErr w:type="gramEnd"/>
            <w:r w:rsidRPr="00D52ED6">
              <w:rPr>
                <w:sz w:val="22"/>
                <w:szCs w:val="22"/>
              </w:rPr>
              <w:t xml:space="preserve"> from the Papua  New Guinea archipelagic purse seine fishery.</w:t>
            </w:r>
          </w:p>
        </w:tc>
      </w:tr>
      <w:tr w:rsidR="00FE5FF7" w:rsidRPr="00D52ED6" w:rsidTr="004468F6">
        <w:tc>
          <w:tcPr>
            <w:tcW w:w="803" w:type="pct"/>
          </w:tcPr>
          <w:p w:rsidR="00FE5FF7" w:rsidRPr="00D52ED6" w:rsidRDefault="00FE5FF7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SA-IP-05</w:t>
            </w:r>
          </w:p>
        </w:tc>
        <w:tc>
          <w:tcPr>
            <w:tcW w:w="4197" w:type="pct"/>
          </w:tcPr>
          <w:p w:rsidR="00FE5FF7" w:rsidRPr="00D52ED6" w:rsidRDefault="00280016" w:rsidP="00D52ED6">
            <w:pPr>
              <w:tabs>
                <w:tab w:val="left" w:pos="950"/>
              </w:tabs>
            </w:pPr>
            <w:proofErr w:type="spellStart"/>
            <w:r w:rsidRPr="00D52ED6">
              <w:t>McKechnie</w:t>
            </w:r>
            <w:proofErr w:type="spellEnd"/>
            <w:r w:rsidRPr="00D52ED6">
              <w:t xml:space="preserve"> S., D. Ochi, H. </w:t>
            </w:r>
            <w:proofErr w:type="spellStart"/>
            <w:r w:rsidRPr="00D52ED6">
              <w:t>Kiyofuji</w:t>
            </w:r>
            <w:proofErr w:type="spellEnd"/>
            <w:r w:rsidRPr="00D52ED6">
              <w:t>, T. Peatman and S. Caillot. Construction of tagging data input files  for  the 2016  skip jack tuna stock assessment in  the western and central Pacific Ocean</w:t>
            </w:r>
          </w:p>
        </w:tc>
      </w:tr>
      <w:tr w:rsidR="00671320" w:rsidRPr="00D52ED6" w:rsidTr="004468F6">
        <w:tc>
          <w:tcPr>
            <w:tcW w:w="803" w:type="pct"/>
          </w:tcPr>
          <w:p w:rsidR="00671320" w:rsidRPr="00D52ED6" w:rsidRDefault="00671320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SA-IP-06</w:t>
            </w:r>
          </w:p>
        </w:tc>
        <w:tc>
          <w:tcPr>
            <w:tcW w:w="4197" w:type="pct"/>
          </w:tcPr>
          <w:p w:rsidR="00671320" w:rsidRPr="00D52ED6" w:rsidRDefault="001357A2" w:rsidP="00D52ED6">
            <w:pPr>
              <w:tabs>
                <w:tab w:val="left" w:pos="950"/>
              </w:tabs>
            </w:pPr>
            <w:proofErr w:type="spellStart"/>
            <w:r w:rsidRPr="00D52ED6">
              <w:t>McKechnie</w:t>
            </w:r>
            <w:proofErr w:type="spellEnd"/>
            <w:r w:rsidRPr="00D52ED6">
              <w:t xml:space="preserve"> S. Summary of fisheries structures for  the 2016  stock assessment of skip jack tuna in  the western and central Pacific Ocean</w:t>
            </w:r>
          </w:p>
        </w:tc>
      </w:tr>
      <w:tr w:rsidR="00671320" w:rsidRPr="00D52ED6" w:rsidTr="00181116">
        <w:tc>
          <w:tcPr>
            <w:tcW w:w="803" w:type="pct"/>
            <w:shd w:val="clear" w:color="auto" w:fill="auto"/>
          </w:tcPr>
          <w:p w:rsidR="00671320" w:rsidRPr="00D52ED6" w:rsidRDefault="00671320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SA-IP-07</w:t>
            </w:r>
          </w:p>
        </w:tc>
        <w:tc>
          <w:tcPr>
            <w:tcW w:w="4197" w:type="pct"/>
            <w:shd w:val="clear" w:color="auto" w:fill="auto"/>
          </w:tcPr>
          <w:p w:rsidR="00671320" w:rsidRPr="00D52ED6" w:rsidRDefault="00671320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SPC Comparison of MULTIFAN-CL and Stock Synthesis platforms for the 2014 skipjack assessment.</w:t>
            </w:r>
          </w:p>
        </w:tc>
      </w:tr>
      <w:tr w:rsidR="00671320" w:rsidRPr="00D52ED6" w:rsidTr="004468F6">
        <w:tc>
          <w:tcPr>
            <w:tcW w:w="803" w:type="pct"/>
          </w:tcPr>
          <w:p w:rsidR="00671320" w:rsidRPr="00D52ED6" w:rsidRDefault="00671320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SA-IP-08</w:t>
            </w:r>
          </w:p>
        </w:tc>
        <w:tc>
          <w:tcPr>
            <w:tcW w:w="4197" w:type="pct"/>
          </w:tcPr>
          <w:p w:rsidR="00671320" w:rsidRPr="00D52ED6" w:rsidRDefault="00367036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>Ochi</w:t>
            </w:r>
            <w:r w:rsidR="00726A93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D.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, H</w:t>
            </w:r>
            <w:r w:rsidR="00726A93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Ijima and H</w:t>
            </w:r>
            <w:r w:rsidR="00726A93" w:rsidRPr="00D52ED6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Kiyofuji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. A re-consideration of growth pattern of skipjack on the western central Pacific. </w:t>
            </w:r>
            <w:r w:rsidR="00B91632" w:rsidRPr="00D52ED6">
              <w:rPr>
                <w:rFonts w:eastAsia="Malgun Gothic"/>
                <w:sz w:val="22"/>
                <w:szCs w:val="22"/>
                <w:lang w:eastAsia="ko-KR"/>
              </w:rPr>
              <w:t>Rev 1 (19 July 2016)</w:t>
            </w:r>
          </w:p>
        </w:tc>
      </w:tr>
      <w:tr w:rsidR="00671320" w:rsidRPr="00D52ED6" w:rsidTr="004468F6">
        <w:tc>
          <w:tcPr>
            <w:tcW w:w="803" w:type="pct"/>
            <w:vAlign w:val="center"/>
          </w:tcPr>
          <w:p w:rsidR="00671320" w:rsidRPr="00D52ED6" w:rsidRDefault="00671320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SA-IP-09</w:t>
            </w:r>
          </w:p>
        </w:tc>
        <w:tc>
          <w:tcPr>
            <w:tcW w:w="4197" w:type="pct"/>
          </w:tcPr>
          <w:p w:rsidR="00671320" w:rsidRPr="00D52ED6" w:rsidRDefault="00367036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Kiyofuji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, H. and </w:t>
            </w:r>
            <w:r w:rsidR="00726A93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D. 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Ochi. Proposal of alternative spatial structure for skipjack stock assessment</w:t>
            </w:r>
            <w:r w:rsidR="007D4E05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in the WCPO.</w:t>
            </w:r>
          </w:p>
        </w:tc>
      </w:tr>
      <w:tr w:rsidR="004468F6" w:rsidRPr="00D52ED6" w:rsidTr="004468F6">
        <w:tc>
          <w:tcPr>
            <w:tcW w:w="803" w:type="pct"/>
            <w:vAlign w:val="center"/>
          </w:tcPr>
          <w:p w:rsidR="004468F6" w:rsidRPr="00D52ED6" w:rsidRDefault="004468F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SA-IP-10</w:t>
            </w:r>
          </w:p>
        </w:tc>
        <w:tc>
          <w:tcPr>
            <w:tcW w:w="4197" w:type="pct"/>
          </w:tcPr>
          <w:p w:rsidR="004468F6" w:rsidRPr="00D52ED6" w:rsidRDefault="00CA196D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Davies N., D. Fournier, F.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Bouyé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>, and J. Hampton.</w:t>
            </w:r>
            <w:r w:rsidR="004468F6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Developments in the MULTIFAN-</w:t>
            </w:r>
            <w:r w:rsidR="004468F6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CL software 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2015-2016</w:t>
            </w:r>
            <w:r w:rsidR="004468F6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EF6AE1" w:rsidRPr="00D52ED6" w:rsidTr="004468F6">
        <w:tc>
          <w:tcPr>
            <w:tcW w:w="803" w:type="pct"/>
            <w:vAlign w:val="center"/>
          </w:tcPr>
          <w:p w:rsidR="00EF6AE1" w:rsidRPr="00D52ED6" w:rsidRDefault="00EF6AE1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SA-IP-11</w:t>
            </w:r>
          </w:p>
        </w:tc>
        <w:tc>
          <w:tcPr>
            <w:tcW w:w="4197" w:type="pct"/>
          </w:tcPr>
          <w:p w:rsidR="00EF6AE1" w:rsidRPr="00D52ED6" w:rsidRDefault="00EF6AE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Campbell R. Time-line of fleet and management changes in Australia’s tropical tuna longline fishery.</w:t>
            </w:r>
            <w:r w:rsidR="00512F39">
              <w:rPr>
                <w:sz w:val="22"/>
                <w:szCs w:val="22"/>
              </w:rPr>
              <w:t xml:space="preserve"> Rev 1 (19 July 2016)</w:t>
            </w:r>
          </w:p>
        </w:tc>
      </w:tr>
      <w:tr w:rsidR="00EF6AE1" w:rsidRPr="00D52ED6" w:rsidTr="004468F6">
        <w:tc>
          <w:tcPr>
            <w:tcW w:w="803" w:type="pct"/>
            <w:vAlign w:val="center"/>
          </w:tcPr>
          <w:p w:rsidR="00EF6AE1" w:rsidRPr="00D52ED6" w:rsidRDefault="00EF6AE1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SA-IP-12</w:t>
            </w:r>
          </w:p>
        </w:tc>
        <w:tc>
          <w:tcPr>
            <w:tcW w:w="4197" w:type="pct"/>
          </w:tcPr>
          <w:p w:rsidR="00EF6AE1" w:rsidRPr="00D52ED6" w:rsidRDefault="00EF6AE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Bigelow K., E. </w:t>
            </w:r>
            <w:proofErr w:type="gramStart"/>
            <w:r w:rsidRPr="00D52ED6">
              <w:rPr>
                <w:sz w:val="22"/>
                <w:szCs w:val="22"/>
              </w:rPr>
              <w:t>Garvilles  and</w:t>
            </w:r>
            <w:proofErr w:type="gramEnd"/>
            <w:r w:rsidRPr="00D52ED6">
              <w:rPr>
                <w:sz w:val="22"/>
                <w:szCs w:val="22"/>
              </w:rPr>
              <w:t xml:space="preserve"> N. Barut. Relative abundance of skipjack for the purse seine fishery operating in the Philippines Moro Gulf (Region 12) and High Seas Pocket #1.</w:t>
            </w:r>
          </w:p>
        </w:tc>
      </w:tr>
      <w:tr w:rsidR="00EF6AE1" w:rsidRPr="00D52ED6" w:rsidTr="004468F6">
        <w:tc>
          <w:tcPr>
            <w:tcW w:w="803" w:type="pct"/>
            <w:vAlign w:val="center"/>
          </w:tcPr>
          <w:p w:rsidR="00EF6AE1" w:rsidRPr="00D52ED6" w:rsidRDefault="00EF6AE1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SA-IP-13</w:t>
            </w:r>
          </w:p>
        </w:tc>
        <w:tc>
          <w:tcPr>
            <w:tcW w:w="4197" w:type="pct"/>
          </w:tcPr>
          <w:p w:rsidR="00EF6AE1" w:rsidRPr="00D52ED6" w:rsidRDefault="00BB3077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Peatman T., S. Caillot, B. Leroy, S. </w:t>
            </w:r>
            <w:proofErr w:type="spellStart"/>
            <w:r w:rsidRPr="00D52ED6">
              <w:rPr>
                <w:sz w:val="22"/>
                <w:szCs w:val="22"/>
              </w:rPr>
              <w:t>McKechnie</w:t>
            </w:r>
            <w:proofErr w:type="spellEnd"/>
            <w:r w:rsidRPr="00D52ED6">
              <w:rPr>
                <w:sz w:val="22"/>
                <w:szCs w:val="22"/>
              </w:rPr>
              <w:t xml:space="preserve">, F. </w:t>
            </w:r>
            <w:proofErr w:type="spellStart"/>
            <w:r w:rsidRPr="00D52ED6">
              <w:rPr>
                <w:sz w:val="22"/>
                <w:szCs w:val="22"/>
              </w:rPr>
              <w:t>Roupsard</w:t>
            </w:r>
            <w:proofErr w:type="spellEnd"/>
            <w:r w:rsidRPr="00D52ED6">
              <w:rPr>
                <w:sz w:val="22"/>
                <w:szCs w:val="22"/>
              </w:rPr>
              <w:t>, C. Sanchez , S. Nicol</w:t>
            </w:r>
            <w:r w:rsidR="00BA6D30" w:rsidRPr="00D52ED6">
              <w:rPr>
                <w:sz w:val="22"/>
                <w:szCs w:val="22"/>
              </w:rPr>
              <w:t xml:space="preserve"> and </w:t>
            </w:r>
            <w:r w:rsidRPr="00D52ED6">
              <w:rPr>
                <w:sz w:val="22"/>
                <w:szCs w:val="22"/>
              </w:rPr>
              <w:t>N</w:t>
            </w:r>
            <w:r w:rsidR="00BA6D30" w:rsidRPr="00D52ED6">
              <w:rPr>
                <w:sz w:val="22"/>
                <w:szCs w:val="22"/>
              </w:rPr>
              <w:t>. Smith</w:t>
            </w:r>
            <w:r w:rsidRPr="00D52ED6">
              <w:rPr>
                <w:sz w:val="22"/>
                <w:szCs w:val="22"/>
              </w:rPr>
              <w:t>.</w:t>
            </w:r>
            <w:r w:rsidR="00EF6AE1" w:rsidRPr="00D52ED6">
              <w:rPr>
                <w:sz w:val="22"/>
                <w:szCs w:val="22"/>
              </w:rPr>
              <w:t xml:space="preserve"> Analysis of tag </w:t>
            </w:r>
            <w:r w:rsidRPr="00D52ED6">
              <w:rPr>
                <w:sz w:val="22"/>
                <w:szCs w:val="22"/>
              </w:rPr>
              <w:t xml:space="preserve">seeding data and </w:t>
            </w:r>
            <w:r w:rsidR="00EF6AE1" w:rsidRPr="00D52ED6">
              <w:rPr>
                <w:sz w:val="22"/>
                <w:szCs w:val="22"/>
              </w:rPr>
              <w:t>reporting rates</w:t>
            </w:r>
            <w:r w:rsidRPr="00D52ED6">
              <w:t xml:space="preserve"> </w:t>
            </w:r>
          </w:p>
        </w:tc>
      </w:tr>
      <w:tr w:rsidR="004468F6" w:rsidRPr="00D52ED6" w:rsidTr="004468F6">
        <w:tc>
          <w:tcPr>
            <w:tcW w:w="803" w:type="pct"/>
            <w:vAlign w:val="center"/>
          </w:tcPr>
          <w:p w:rsidR="004468F6" w:rsidRPr="00D52ED6" w:rsidRDefault="002122DA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SA-IP-14</w:t>
            </w:r>
          </w:p>
        </w:tc>
        <w:tc>
          <w:tcPr>
            <w:tcW w:w="4197" w:type="pct"/>
          </w:tcPr>
          <w:p w:rsidR="004468F6" w:rsidRPr="00D52ED6" w:rsidRDefault="002122DA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Santiago, J., J. Lopez, G. Moreno, H. </w:t>
            </w:r>
            <w:proofErr w:type="spellStart"/>
            <w:r w:rsidRPr="00D52ED6">
              <w:rPr>
                <w:sz w:val="22"/>
                <w:szCs w:val="22"/>
              </w:rPr>
              <w:t>Murua</w:t>
            </w:r>
            <w:proofErr w:type="spellEnd"/>
            <w:r w:rsidRPr="00D52ED6">
              <w:rPr>
                <w:sz w:val="22"/>
                <w:szCs w:val="22"/>
              </w:rPr>
              <w:t>, I. Quincoces, Towards a Tropical Tuna Buoy-derived Abundance Index (TT-BAI)</w:t>
            </w:r>
          </w:p>
        </w:tc>
      </w:tr>
      <w:tr w:rsidR="00367036" w:rsidRPr="00D52ED6" w:rsidTr="004468F6">
        <w:tc>
          <w:tcPr>
            <w:tcW w:w="803" w:type="pct"/>
            <w:vAlign w:val="center"/>
          </w:tcPr>
          <w:p w:rsidR="00367036" w:rsidRPr="00D52ED6" w:rsidRDefault="00280016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SA-IP-15</w:t>
            </w:r>
          </w:p>
        </w:tc>
        <w:tc>
          <w:tcPr>
            <w:tcW w:w="4197" w:type="pct"/>
          </w:tcPr>
          <w:p w:rsidR="00367036" w:rsidRPr="00D52ED6" w:rsidRDefault="000526D7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Evans K, P. </w:t>
            </w:r>
            <w:proofErr w:type="spellStart"/>
            <w:r w:rsidRPr="00D52ED6">
              <w:rPr>
                <w:sz w:val="22"/>
                <w:szCs w:val="22"/>
              </w:rPr>
              <w:t>Grewe</w:t>
            </w:r>
            <w:proofErr w:type="spellEnd"/>
            <w:r w:rsidRPr="00D52ED6">
              <w:rPr>
                <w:sz w:val="22"/>
                <w:szCs w:val="22"/>
              </w:rPr>
              <w:t xml:space="preserve">, D. </w:t>
            </w:r>
            <w:proofErr w:type="spellStart"/>
            <w:r w:rsidRPr="00D52ED6">
              <w:rPr>
                <w:sz w:val="22"/>
                <w:szCs w:val="22"/>
              </w:rPr>
              <w:t>Kolody</w:t>
            </w:r>
            <w:proofErr w:type="spellEnd"/>
            <w:r w:rsidRPr="00D52ED6">
              <w:rPr>
                <w:sz w:val="22"/>
                <w:szCs w:val="22"/>
              </w:rPr>
              <w:t xml:space="preserve">, R. Hillary, S. Foster, T. Timmiss, M. </w:t>
            </w:r>
            <w:proofErr w:type="spellStart"/>
            <w:r w:rsidRPr="00D52ED6">
              <w:rPr>
                <w:sz w:val="22"/>
                <w:szCs w:val="22"/>
              </w:rPr>
              <w:t>Lansdell</w:t>
            </w:r>
            <w:proofErr w:type="spellEnd"/>
            <w:r w:rsidRPr="00D52ED6">
              <w:rPr>
                <w:sz w:val="22"/>
                <w:szCs w:val="22"/>
              </w:rPr>
              <w:t>,</w:t>
            </w:r>
            <w:r w:rsidR="000E0098" w:rsidRPr="00D52ED6">
              <w:rPr>
                <w:sz w:val="22"/>
                <w:szCs w:val="22"/>
              </w:rPr>
              <w:t xml:space="preserve"> and</w:t>
            </w:r>
            <w:r w:rsidRPr="00D52ED6">
              <w:rPr>
                <w:sz w:val="22"/>
                <w:szCs w:val="22"/>
              </w:rPr>
              <w:t xml:space="preserve"> P. Hill. Connectivity of tuna and billfish species targeted by the Australian Eastern Tuna and Billfish Fishery with the broader Western Pacific Ocean.</w:t>
            </w:r>
            <w:r w:rsidR="00AB4422" w:rsidRPr="00D52ED6">
              <w:rPr>
                <w:sz w:val="22"/>
                <w:szCs w:val="22"/>
              </w:rPr>
              <w:t xml:space="preserve"> Rev 1 (22 July 2016)</w:t>
            </w:r>
          </w:p>
        </w:tc>
      </w:tr>
      <w:tr w:rsidR="000D116C" w:rsidRPr="00D52ED6" w:rsidTr="000006E7">
        <w:tc>
          <w:tcPr>
            <w:tcW w:w="803" w:type="pct"/>
            <w:vAlign w:val="center"/>
          </w:tcPr>
          <w:p w:rsidR="000D116C" w:rsidRPr="00D52ED6" w:rsidRDefault="000D116C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t>SA-IP-16</w:t>
            </w:r>
          </w:p>
        </w:tc>
        <w:tc>
          <w:tcPr>
            <w:tcW w:w="4197" w:type="pct"/>
          </w:tcPr>
          <w:p w:rsidR="000D116C" w:rsidRPr="00D52ED6" w:rsidRDefault="000D116C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proofErr w:type="spellStart"/>
            <w:r w:rsidRPr="00D52ED6">
              <w:rPr>
                <w:sz w:val="22"/>
                <w:szCs w:val="22"/>
              </w:rPr>
              <w:t>Sippel</w:t>
            </w:r>
            <w:proofErr w:type="spellEnd"/>
            <w:r w:rsidRPr="00D52ED6">
              <w:rPr>
                <w:sz w:val="22"/>
                <w:szCs w:val="22"/>
              </w:rPr>
              <w:t xml:space="preserve"> T, J. Wraith, S. </w:t>
            </w:r>
            <w:proofErr w:type="spellStart"/>
            <w:r w:rsidRPr="00D52ED6">
              <w:rPr>
                <w:sz w:val="22"/>
                <w:szCs w:val="22"/>
              </w:rPr>
              <w:t>Kohin</w:t>
            </w:r>
            <w:proofErr w:type="spellEnd"/>
            <w:r w:rsidRPr="00D52ED6">
              <w:rPr>
                <w:sz w:val="22"/>
                <w:szCs w:val="22"/>
              </w:rPr>
              <w:t xml:space="preserve">, V. Taylor, J. </w:t>
            </w:r>
            <w:proofErr w:type="spellStart"/>
            <w:r w:rsidRPr="00D52ED6">
              <w:rPr>
                <w:sz w:val="22"/>
                <w:szCs w:val="22"/>
              </w:rPr>
              <w:t>Holdsworth</w:t>
            </w:r>
            <w:proofErr w:type="spellEnd"/>
            <w:r w:rsidRPr="00D52ED6">
              <w:rPr>
                <w:sz w:val="22"/>
                <w:szCs w:val="22"/>
              </w:rPr>
              <w:t xml:space="preserve">, M. Taguchi, H. Matsunaga and </w:t>
            </w:r>
            <w:r w:rsidRPr="00D52ED6">
              <w:rPr>
                <w:sz w:val="22"/>
                <w:szCs w:val="22"/>
              </w:rPr>
              <w:lastRenderedPageBreak/>
              <w:t xml:space="preserve">K. </w:t>
            </w:r>
            <w:proofErr w:type="spellStart"/>
            <w:r w:rsidRPr="00D52ED6">
              <w:rPr>
                <w:sz w:val="22"/>
                <w:szCs w:val="22"/>
              </w:rPr>
              <w:t>Yokawa</w:t>
            </w:r>
            <w:proofErr w:type="spellEnd"/>
            <w:r w:rsidRPr="00D52ED6">
              <w:rPr>
                <w:sz w:val="22"/>
                <w:szCs w:val="22"/>
              </w:rPr>
              <w:t>. A summary of blue shark (</w:t>
            </w:r>
            <w:proofErr w:type="spellStart"/>
            <w:r w:rsidRPr="00D52ED6">
              <w:rPr>
                <w:sz w:val="22"/>
                <w:szCs w:val="22"/>
              </w:rPr>
              <w:t>Prionace</w:t>
            </w:r>
            <w:proofErr w:type="spellEnd"/>
            <w:r w:rsidRPr="00D52ED6">
              <w:rPr>
                <w:sz w:val="22"/>
                <w:szCs w:val="22"/>
              </w:rPr>
              <w:t xml:space="preserve"> </w:t>
            </w:r>
            <w:proofErr w:type="spellStart"/>
            <w:r w:rsidRPr="00D52ED6">
              <w:rPr>
                <w:sz w:val="22"/>
                <w:szCs w:val="22"/>
              </w:rPr>
              <w:t>glauca</w:t>
            </w:r>
            <w:proofErr w:type="spellEnd"/>
            <w:r w:rsidRPr="00D52ED6">
              <w:rPr>
                <w:sz w:val="22"/>
                <w:szCs w:val="22"/>
              </w:rPr>
              <w:t>) and shortfin mako shark (</w:t>
            </w:r>
            <w:proofErr w:type="spellStart"/>
            <w:r w:rsidRPr="00D52ED6">
              <w:rPr>
                <w:sz w:val="22"/>
                <w:szCs w:val="22"/>
              </w:rPr>
              <w:t>Isurus</w:t>
            </w:r>
            <w:proofErr w:type="spellEnd"/>
            <w:r w:rsidRPr="00D52ED6">
              <w:rPr>
                <w:sz w:val="22"/>
                <w:szCs w:val="22"/>
              </w:rPr>
              <w:t xml:space="preserve"> </w:t>
            </w:r>
            <w:proofErr w:type="spellStart"/>
            <w:r w:rsidRPr="00D52ED6">
              <w:rPr>
                <w:sz w:val="22"/>
                <w:szCs w:val="22"/>
              </w:rPr>
              <w:t>oxyrinchus</w:t>
            </w:r>
            <w:proofErr w:type="spellEnd"/>
            <w:r w:rsidRPr="00D52ED6">
              <w:rPr>
                <w:sz w:val="22"/>
                <w:szCs w:val="22"/>
              </w:rPr>
              <w:t>) tagging data available from the North and Southwest Pacific Ocean. (ISC/11/SHARKWG-2/04).</w:t>
            </w:r>
          </w:p>
        </w:tc>
      </w:tr>
      <w:tr w:rsidR="00AF5B02" w:rsidRPr="00D52ED6" w:rsidTr="000006E7">
        <w:tc>
          <w:tcPr>
            <w:tcW w:w="803" w:type="pct"/>
            <w:vAlign w:val="center"/>
          </w:tcPr>
          <w:p w:rsidR="00AF5B02" w:rsidRPr="00D52ED6" w:rsidRDefault="00AF5B02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b/>
                <w:sz w:val="22"/>
                <w:szCs w:val="22"/>
                <w:lang w:val="en-NZ"/>
              </w:rPr>
              <w:lastRenderedPageBreak/>
              <w:t>SA-IP-17</w:t>
            </w:r>
          </w:p>
        </w:tc>
        <w:tc>
          <w:tcPr>
            <w:tcW w:w="4197" w:type="pct"/>
          </w:tcPr>
          <w:p w:rsidR="00AF5B02" w:rsidRPr="00D52ED6" w:rsidRDefault="00AF5B02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Fu D., M. Roux, S. Clarke, M. Francis, A. Dunn and S. Hoyle. Pacific-wide bigeye thresher shark (</w:t>
            </w:r>
            <w:proofErr w:type="spellStart"/>
            <w:r w:rsidRPr="00D52ED6">
              <w:rPr>
                <w:sz w:val="22"/>
                <w:szCs w:val="22"/>
              </w:rPr>
              <w:t>Alopias</w:t>
            </w:r>
            <w:proofErr w:type="spellEnd"/>
            <w:r w:rsidRPr="00D52ED6">
              <w:rPr>
                <w:sz w:val="22"/>
                <w:szCs w:val="22"/>
              </w:rPr>
              <w:t xml:space="preserve"> </w:t>
            </w:r>
            <w:proofErr w:type="spellStart"/>
            <w:r w:rsidRPr="00D52ED6">
              <w:rPr>
                <w:sz w:val="22"/>
                <w:szCs w:val="22"/>
              </w:rPr>
              <w:t>superciliosus</w:t>
            </w:r>
            <w:proofErr w:type="spellEnd"/>
            <w:r w:rsidRPr="00D52ED6">
              <w:rPr>
                <w:sz w:val="22"/>
                <w:szCs w:val="22"/>
              </w:rPr>
              <w:t>) sustainability status assessment:  Introduction, Datasets and Methodology</w:t>
            </w:r>
          </w:p>
        </w:tc>
      </w:tr>
    </w:tbl>
    <w:p w:rsidR="00020AB5" w:rsidRPr="00D52ED6" w:rsidRDefault="00020AB5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t>MANAGEMENT ISSUES THEME</w:t>
      </w:r>
    </w:p>
    <w:p w:rsidR="009A2A10" w:rsidRPr="00D52ED6" w:rsidRDefault="009A2A10" w:rsidP="00D52ED6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60" w:after="60"/>
        <w:ind w:left="0" w:firstLine="0"/>
        <w:rPr>
          <w:sz w:val="22"/>
          <w:szCs w:val="22"/>
          <w:lang w:val="en-NZ"/>
        </w:rPr>
      </w:pPr>
    </w:p>
    <w:tbl>
      <w:tblPr>
        <w:tblW w:w="489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42"/>
        <w:gridCol w:w="8029"/>
      </w:tblGrid>
      <w:tr w:rsidR="005F6468" w:rsidRPr="00D52ED6" w:rsidTr="00BB3077">
        <w:tc>
          <w:tcPr>
            <w:tcW w:w="5000" w:type="pct"/>
            <w:gridSpan w:val="2"/>
            <w:shd w:val="clear" w:color="auto" w:fill="BFBFBF"/>
            <w:vAlign w:val="center"/>
          </w:tcPr>
          <w:p w:rsidR="00322B4A" w:rsidRPr="00D52ED6" w:rsidRDefault="00322B4A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i/>
                <w:sz w:val="22"/>
                <w:szCs w:val="22"/>
                <w:lang w:val="en-NZ"/>
              </w:rPr>
              <w:t>MI THEME – Working Papers</w:t>
            </w:r>
          </w:p>
        </w:tc>
      </w:tr>
      <w:tr w:rsidR="00717306" w:rsidRPr="00D52ED6" w:rsidTr="00BB3077">
        <w:trPr>
          <w:trHeight w:val="242"/>
        </w:trPr>
        <w:tc>
          <w:tcPr>
            <w:tcW w:w="716" w:type="pct"/>
            <w:vAlign w:val="center"/>
          </w:tcPr>
          <w:p w:rsidR="00717306" w:rsidRPr="00D52ED6" w:rsidRDefault="0071730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MI-WP-01</w:t>
            </w:r>
          </w:p>
        </w:tc>
        <w:tc>
          <w:tcPr>
            <w:tcW w:w="4284" w:type="pct"/>
          </w:tcPr>
          <w:p w:rsidR="00717306" w:rsidRPr="00D52ED6" w:rsidRDefault="00016219" w:rsidP="00D52ED6">
            <w:pPr>
              <w:jc w:val="left"/>
            </w:pPr>
            <w:r w:rsidRPr="00D52ED6">
              <w:t>Pilling G., M. Skirtun, C. Reid and J. Hampton.</w:t>
            </w:r>
            <w:r w:rsidR="00717306" w:rsidRPr="00D52ED6">
              <w:t xml:space="preserve"> Biological and economic consequences of alternative fishery trajectories to achieving a candidate south Pacific albacore target reference point</w:t>
            </w:r>
          </w:p>
        </w:tc>
      </w:tr>
      <w:tr w:rsidR="00717306" w:rsidRPr="00D52ED6" w:rsidTr="00BB3077">
        <w:trPr>
          <w:trHeight w:val="242"/>
        </w:trPr>
        <w:tc>
          <w:tcPr>
            <w:tcW w:w="716" w:type="pct"/>
            <w:vAlign w:val="center"/>
          </w:tcPr>
          <w:p w:rsidR="00717306" w:rsidRPr="00D52ED6" w:rsidRDefault="0071730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MI-WP-02</w:t>
            </w:r>
          </w:p>
        </w:tc>
        <w:tc>
          <w:tcPr>
            <w:tcW w:w="4284" w:type="pct"/>
          </w:tcPr>
          <w:p w:rsidR="00717306" w:rsidRPr="00D52ED6" w:rsidRDefault="00372D00" w:rsidP="00D52ED6">
            <w:pPr>
              <w:jc w:val="left"/>
            </w:pPr>
            <w:r w:rsidRPr="00D52ED6">
              <w:t xml:space="preserve">Pilling G., R. Scott and J. Hampton. </w:t>
            </w:r>
            <w:r w:rsidR="00717306" w:rsidRPr="00D52ED6">
              <w:t>Biologically reasonable rebuilding timeframes for bigeye tuna</w:t>
            </w:r>
          </w:p>
        </w:tc>
      </w:tr>
      <w:tr w:rsidR="009352D4" w:rsidRPr="00D52ED6" w:rsidTr="00BB3077">
        <w:trPr>
          <w:trHeight w:val="242"/>
        </w:trPr>
        <w:tc>
          <w:tcPr>
            <w:tcW w:w="716" w:type="pct"/>
            <w:vAlign w:val="center"/>
          </w:tcPr>
          <w:p w:rsidR="009352D4" w:rsidRPr="00D52ED6" w:rsidRDefault="009352D4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MI-WP-03</w:t>
            </w:r>
          </w:p>
        </w:tc>
        <w:tc>
          <w:tcPr>
            <w:tcW w:w="4284" w:type="pct"/>
          </w:tcPr>
          <w:p w:rsidR="009352D4" w:rsidRPr="00D52ED6" w:rsidRDefault="00717306" w:rsidP="00D52ED6">
            <w:pPr>
              <w:jc w:val="left"/>
            </w:pPr>
            <w:r w:rsidRPr="00D52ED6">
              <w:t>Larcombe J. Proposal for adopting acceptable levels of risk for breaching limit reference points of four key tuna species in the WCPO.</w:t>
            </w:r>
          </w:p>
        </w:tc>
      </w:tr>
      <w:tr w:rsidR="00717306" w:rsidRPr="00D52ED6" w:rsidTr="00BB3077">
        <w:trPr>
          <w:trHeight w:val="242"/>
        </w:trPr>
        <w:tc>
          <w:tcPr>
            <w:tcW w:w="716" w:type="pct"/>
            <w:vAlign w:val="center"/>
          </w:tcPr>
          <w:p w:rsidR="00717306" w:rsidRPr="00D52ED6" w:rsidRDefault="0071730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MI-WP-04</w:t>
            </w:r>
          </w:p>
        </w:tc>
        <w:tc>
          <w:tcPr>
            <w:tcW w:w="4284" w:type="pct"/>
          </w:tcPr>
          <w:p w:rsidR="00717306" w:rsidRPr="00D52ED6" w:rsidRDefault="00F622B9" w:rsidP="00D52ED6">
            <w:pPr>
              <w:jc w:val="left"/>
            </w:pPr>
            <w:r w:rsidRPr="00D52ED6">
              <w:t xml:space="preserve">Scott R., G. Pilling and J. Hampton. </w:t>
            </w:r>
            <w:r w:rsidR="0066475F" w:rsidRPr="00D52ED6">
              <w:t>Performance statistics and monitoring strategies for skipjack and South Pacific albacore commensurate with: candidate management objectives for the Tropical Purse Seine and Southern Longline Fisheries</w:t>
            </w:r>
          </w:p>
        </w:tc>
      </w:tr>
      <w:tr w:rsidR="00717306" w:rsidRPr="00D52ED6" w:rsidTr="00BB3077">
        <w:trPr>
          <w:trHeight w:val="242"/>
        </w:trPr>
        <w:tc>
          <w:tcPr>
            <w:tcW w:w="716" w:type="pct"/>
            <w:vAlign w:val="center"/>
          </w:tcPr>
          <w:p w:rsidR="00717306" w:rsidRPr="00D52ED6" w:rsidRDefault="0071730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MI-WP-05</w:t>
            </w:r>
          </w:p>
        </w:tc>
        <w:tc>
          <w:tcPr>
            <w:tcW w:w="4284" w:type="pct"/>
          </w:tcPr>
          <w:p w:rsidR="00717306" w:rsidRPr="00D52ED6" w:rsidRDefault="00654D67" w:rsidP="00D52ED6">
            <w:pPr>
              <w:jc w:val="left"/>
            </w:pPr>
            <w:r w:rsidRPr="00D52ED6">
              <w:t>Scott R, G. M. Pilling, J. Hampton, C. Reid and N. Davies. Report of the Expert Consultation Workshop on Management Strategy Evaluation</w:t>
            </w:r>
          </w:p>
        </w:tc>
      </w:tr>
      <w:tr w:rsidR="00717306" w:rsidRPr="00D52ED6" w:rsidTr="00BB3077">
        <w:trPr>
          <w:trHeight w:val="242"/>
        </w:trPr>
        <w:tc>
          <w:tcPr>
            <w:tcW w:w="716" w:type="pct"/>
            <w:vAlign w:val="center"/>
          </w:tcPr>
          <w:p w:rsidR="00717306" w:rsidRPr="00D52ED6" w:rsidRDefault="00717306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MI-WP-06</w:t>
            </w:r>
          </w:p>
        </w:tc>
        <w:tc>
          <w:tcPr>
            <w:tcW w:w="4284" w:type="pct"/>
          </w:tcPr>
          <w:p w:rsidR="00717306" w:rsidRPr="00D52ED6" w:rsidRDefault="00016219" w:rsidP="00D52ED6">
            <w:pPr>
              <w:jc w:val="left"/>
            </w:pPr>
            <w:r w:rsidRPr="00D52ED6">
              <w:t xml:space="preserve">Scott R., G. M. Pilling, S. </w:t>
            </w:r>
            <w:proofErr w:type="spellStart"/>
            <w:r w:rsidRPr="00D52ED6">
              <w:t>Brouwer</w:t>
            </w:r>
            <w:proofErr w:type="spellEnd"/>
            <w:r w:rsidRPr="00D52ED6">
              <w:t xml:space="preserve"> </w:t>
            </w:r>
            <w:proofErr w:type="spellStart"/>
            <w:r w:rsidRPr="00D52ED6">
              <w:t>andJ</w:t>
            </w:r>
            <w:proofErr w:type="spellEnd"/>
            <w:r w:rsidRPr="00D52ED6">
              <w:t>. Hampton. Evaluation of candidate harvest control rules for the tropical skipjack purse seine fishery.</w:t>
            </w:r>
          </w:p>
        </w:tc>
      </w:tr>
      <w:tr w:rsidR="005F6468" w:rsidRPr="00D52ED6" w:rsidTr="00BB3077">
        <w:trPr>
          <w:trHeight w:val="242"/>
        </w:trPr>
        <w:tc>
          <w:tcPr>
            <w:tcW w:w="716" w:type="pct"/>
            <w:vAlign w:val="center"/>
          </w:tcPr>
          <w:p w:rsidR="00322B4A" w:rsidRPr="00D52ED6" w:rsidRDefault="00322B4A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MI-WP-07</w:t>
            </w:r>
          </w:p>
        </w:tc>
        <w:tc>
          <w:tcPr>
            <w:tcW w:w="4284" w:type="pct"/>
          </w:tcPr>
          <w:p w:rsidR="00322B4A" w:rsidRPr="00D52ED6" w:rsidRDefault="00DE3418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Cs w:val="24"/>
                <w:lang w:eastAsia="ko-KR"/>
              </w:rPr>
            </w:pPr>
            <w:proofErr w:type="spellStart"/>
            <w:r w:rsidRPr="00D52ED6">
              <w:rPr>
                <w:rFonts w:eastAsia="Malgun Gothic"/>
                <w:szCs w:val="24"/>
                <w:lang w:eastAsia="ko-KR"/>
              </w:rPr>
              <w:t>Kiyofuji</w:t>
            </w:r>
            <w:proofErr w:type="spellEnd"/>
            <w:r w:rsidRPr="00D52ED6">
              <w:rPr>
                <w:rFonts w:eastAsia="Malgun Gothic"/>
                <w:szCs w:val="24"/>
                <w:lang w:eastAsia="ko-KR"/>
              </w:rPr>
              <w:t xml:space="preserve"> H. Recent ISC activities on MSE.</w:t>
            </w:r>
            <w:r w:rsidR="00437A91" w:rsidRPr="00D52ED6">
              <w:rPr>
                <w:rFonts w:eastAsia="Malgun Gothic"/>
                <w:szCs w:val="24"/>
                <w:lang w:eastAsia="ko-KR"/>
              </w:rPr>
              <w:t xml:space="preserve"> </w:t>
            </w:r>
            <w:r w:rsidR="00BC725E" w:rsidRPr="00D52ED6">
              <w:rPr>
                <w:rFonts w:eastAsia="Malgun Gothic"/>
                <w:szCs w:val="24"/>
                <w:lang w:eastAsia="ko-KR"/>
              </w:rPr>
              <w:t>PRESENTATION</w:t>
            </w:r>
          </w:p>
        </w:tc>
      </w:tr>
      <w:tr w:rsidR="005F6468" w:rsidRPr="00D52ED6" w:rsidTr="00BB3077">
        <w:trPr>
          <w:trHeight w:val="242"/>
        </w:trPr>
        <w:tc>
          <w:tcPr>
            <w:tcW w:w="716" w:type="pct"/>
            <w:vAlign w:val="center"/>
          </w:tcPr>
          <w:p w:rsidR="00322B4A" w:rsidRPr="00D52ED6" w:rsidRDefault="00322B4A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MI-WP-08</w:t>
            </w:r>
          </w:p>
        </w:tc>
        <w:tc>
          <w:tcPr>
            <w:tcW w:w="4284" w:type="pct"/>
          </w:tcPr>
          <w:p w:rsidR="00322B4A" w:rsidRPr="00D52ED6" w:rsidDel="00147674" w:rsidRDefault="00372D00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Cs w:val="24"/>
                <w:lang w:eastAsia="ko-KR"/>
              </w:rPr>
            </w:pPr>
            <w:r w:rsidRPr="00D52ED6">
              <w:rPr>
                <w:rFonts w:eastAsia="Malgun Gothic"/>
                <w:szCs w:val="24"/>
                <w:lang w:eastAsia="ko-KR"/>
              </w:rPr>
              <w:t xml:space="preserve">Pilling G., A. Tidd, PNA Office, W. Norris and J. Hampton. </w:t>
            </w:r>
            <w:r w:rsidR="007D5DE2" w:rsidRPr="00D52ED6">
              <w:rPr>
                <w:rFonts w:eastAsia="Malgun Gothic"/>
                <w:szCs w:val="24"/>
                <w:lang w:eastAsia="ko-KR"/>
              </w:rPr>
              <w:t xml:space="preserve"> Examining indicators of effort creep in the WCPO purse seine fishery</w:t>
            </w:r>
          </w:p>
        </w:tc>
      </w:tr>
      <w:tr w:rsidR="00B23E72" w:rsidRPr="00D52ED6" w:rsidTr="00BB3077">
        <w:trPr>
          <w:trHeight w:val="242"/>
        </w:trPr>
        <w:tc>
          <w:tcPr>
            <w:tcW w:w="716" w:type="pct"/>
            <w:vAlign w:val="center"/>
          </w:tcPr>
          <w:p w:rsidR="00B23E72" w:rsidRPr="00D52ED6" w:rsidRDefault="00B23E7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D52ED6">
              <w:rPr>
                <w:b/>
                <w:sz w:val="22"/>
                <w:szCs w:val="22"/>
                <w:lang w:bidi="th-TH"/>
              </w:rPr>
              <w:t>MI-WP-09</w:t>
            </w:r>
          </w:p>
        </w:tc>
        <w:tc>
          <w:tcPr>
            <w:tcW w:w="4284" w:type="pct"/>
          </w:tcPr>
          <w:p w:rsidR="00B23E72" w:rsidRPr="00D52ED6" w:rsidRDefault="00B23E72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Cs w:val="24"/>
                <w:lang w:eastAsia="ko-KR"/>
              </w:rPr>
            </w:pPr>
            <w:r w:rsidRPr="00D52ED6">
              <w:rPr>
                <w:rFonts w:eastAsia="Malgun Gothic"/>
                <w:szCs w:val="24"/>
                <w:lang w:eastAsia="ko-KR"/>
              </w:rPr>
              <w:t>Satoh K. and H. Ijima. Examining a management measure of key purse seine vessels for recovering bigeye tuna stock in the western and central Pacific Ocean</w:t>
            </w:r>
          </w:p>
        </w:tc>
      </w:tr>
      <w:tr w:rsidR="005F6468" w:rsidRPr="00D52ED6" w:rsidTr="00BB3077">
        <w:tc>
          <w:tcPr>
            <w:tcW w:w="5000" w:type="pct"/>
            <w:gridSpan w:val="2"/>
            <w:shd w:val="clear" w:color="auto" w:fill="BFBFBF"/>
            <w:vAlign w:val="center"/>
          </w:tcPr>
          <w:p w:rsidR="00322B4A" w:rsidRPr="00D52ED6" w:rsidRDefault="00322B4A" w:rsidP="00D52ED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D52ED6">
              <w:rPr>
                <w:b/>
                <w:i/>
                <w:sz w:val="22"/>
                <w:szCs w:val="22"/>
                <w:lang w:val="en-NZ"/>
              </w:rPr>
              <w:t>MI THEME – Information Papers</w:t>
            </w:r>
          </w:p>
        </w:tc>
      </w:tr>
      <w:tr w:rsidR="009352D4" w:rsidRPr="00D52ED6" w:rsidTr="00BB3077">
        <w:tc>
          <w:tcPr>
            <w:tcW w:w="716" w:type="pct"/>
            <w:vAlign w:val="center"/>
          </w:tcPr>
          <w:p w:rsidR="009352D4" w:rsidRPr="00D52ED6" w:rsidRDefault="009352D4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MI-IP-01</w:t>
            </w:r>
          </w:p>
        </w:tc>
        <w:tc>
          <w:tcPr>
            <w:tcW w:w="4284" w:type="pct"/>
          </w:tcPr>
          <w:p w:rsidR="009352D4" w:rsidRPr="00D52ED6" w:rsidRDefault="00200FB5" w:rsidP="00D52ED6">
            <w:pPr>
              <w:jc w:val="left"/>
            </w:pPr>
            <w:proofErr w:type="spellStart"/>
            <w:r w:rsidRPr="00D52ED6">
              <w:t>McKechnie</w:t>
            </w:r>
            <w:proofErr w:type="spellEnd"/>
            <w:r w:rsidRPr="00D52ED6">
              <w:t xml:space="preserve"> S., R. Scott and G.  Pilling. Preliminary evaluation of catch-based harvest control rules for  South Pacific albacore tuna</w:t>
            </w:r>
          </w:p>
        </w:tc>
      </w:tr>
      <w:tr w:rsidR="009352D4" w:rsidRPr="00D52ED6" w:rsidTr="00BB3077">
        <w:tc>
          <w:tcPr>
            <w:tcW w:w="716" w:type="pct"/>
            <w:vAlign w:val="center"/>
          </w:tcPr>
          <w:p w:rsidR="009352D4" w:rsidRPr="00D52ED6" w:rsidRDefault="009352D4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MI-IP-02</w:t>
            </w:r>
          </w:p>
        </w:tc>
        <w:tc>
          <w:tcPr>
            <w:tcW w:w="4284" w:type="pct"/>
          </w:tcPr>
          <w:p w:rsidR="009352D4" w:rsidRPr="00D52ED6" w:rsidRDefault="00717306" w:rsidP="00D52ED6">
            <w:pPr>
              <w:jc w:val="left"/>
            </w:pPr>
            <w:r w:rsidRPr="00D52ED6">
              <w:t>Pilling G., R. Scott and J. Hampton. Relative impacts of FAD and free-school purse seine fishing on skipjack tuna stock status, incorporating non-linear purse seine CPUE/abundance dynamics and effort creep</w:t>
            </w:r>
          </w:p>
        </w:tc>
      </w:tr>
      <w:tr w:rsidR="007D5DE2" w:rsidRPr="00D52ED6" w:rsidTr="00BB3077">
        <w:tc>
          <w:tcPr>
            <w:tcW w:w="716" w:type="pct"/>
            <w:vAlign w:val="center"/>
          </w:tcPr>
          <w:p w:rsidR="007D5DE2" w:rsidRPr="00D52ED6" w:rsidRDefault="007D5DE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MI-IP-03</w:t>
            </w:r>
          </w:p>
        </w:tc>
        <w:tc>
          <w:tcPr>
            <w:tcW w:w="4284" w:type="pct"/>
          </w:tcPr>
          <w:p w:rsidR="007D5DE2" w:rsidRPr="00D52ED6" w:rsidRDefault="00016219" w:rsidP="00D52ED6">
            <w:pPr>
              <w:jc w:val="left"/>
            </w:pPr>
            <w:r w:rsidRPr="00D52ED6">
              <w:t xml:space="preserve">Tidd A. and G. Pilling. </w:t>
            </w:r>
            <w:r w:rsidR="007D5DE2" w:rsidRPr="00D52ED6">
              <w:t>Preliminary capacity utilization analysis of the WCPO purse seine fleet using Data Envelopment Analysis (DEA)</w:t>
            </w:r>
          </w:p>
        </w:tc>
      </w:tr>
      <w:tr w:rsidR="007D5DE2" w:rsidRPr="00D52ED6" w:rsidTr="00BB3077">
        <w:tc>
          <w:tcPr>
            <w:tcW w:w="716" w:type="pct"/>
            <w:vAlign w:val="center"/>
          </w:tcPr>
          <w:p w:rsidR="007D5DE2" w:rsidRPr="00D52ED6" w:rsidRDefault="007D5DE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MI-IP-04</w:t>
            </w:r>
          </w:p>
        </w:tc>
        <w:tc>
          <w:tcPr>
            <w:tcW w:w="4284" w:type="pct"/>
          </w:tcPr>
          <w:p w:rsidR="007D5DE2" w:rsidRPr="00D52ED6" w:rsidRDefault="007D5DE2" w:rsidP="00D52ED6">
            <w:pPr>
              <w:jc w:val="left"/>
            </w:pPr>
            <w:r w:rsidRPr="00D52ED6">
              <w:t>Pilling G., R. Scott, N. Davies and J. Hampton. Approaches used to undertake management projections of WCPO tuna stocks based upon MULTIFAN-CL stock assessments</w:t>
            </w:r>
          </w:p>
        </w:tc>
      </w:tr>
      <w:tr w:rsidR="007D5DE2" w:rsidRPr="00D52ED6" w:rsidTr="00BB3077">
        <w:tc>
          <w:tcPr>
            <w:tcW w:w="716" w:type="pct"/>
            <w:vAlign w:val="center"/>
          </w:tcPr>
          <w:p w:rsidR="007D5DE2" w:rsidRPr="00D52ED6" w:rsidRDefault="007D5DE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MI-IP-05</w:t>
            </w:r>
          </w:p>
        </w:tc>
        <w:tc>
          <w:tcPr>
            <w:tcW w:w="4284" w:type="pct"/>
          </w:tcPr>
          <w:p w:rsidR="007D5DE2" w:rsidRPr="00D52ED6" w:rsidRDefault="007D5DE2" w:rsidP="00D52ED6">
            <w:pPr>
              <w:jc w:val="left"/>
            </w:pPr>
            <w:r w:rsidRPr="00D52ED6">
              <w:t xml:space="preserve">SPC Tables of yellowfin catch by gear and flag, 2010-2015 </w:t>
            </w:r>
          </w:p>
        </w:tc>
      </w:tr>
      <w:tr w:rsidR="007D5DE2" w:rsidRPr="00D52ED6" w:rsidTr="00BB3077">
        <w:tc>
          <w:tcPr>
            <w:tcW w:w="716" w:type="pct"/>
            <w:vAlign w:val="center"/>
          </w:tcPr>
          <w:p w:rsidR="007D5DE2" w:rsidRPr="00D52ED6" w:rsidRDefault="007D5DE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lastRenderedPageBreak/>
              <w:t>MI-IP-06</w:t>
            </w:r>
          </w:p>
        </w:tc>
        <w:tc>
          <w:tcPr>
            <w:tcW w:w="4284" w:type="pct"/>
          </w:tcPr>
          <w:p w:rsidR="007D5DE2" w:rsidRPr="00D52ED6" w:rsidRDefault="007D5DE2" w:rsidP="00D52ED6">
            <w:pPr>
              <w:jc w:val="left"/>
            </w:pPr>
            <w:r w:rsidRPr="00D52ED6">
              <w:t>SPC Tables of bigeye purse seine catch by gear and flag, 2010-2015</w:t>
            </w:r>
          </w:p>
        </w:tc>
      </w:tr>
      <w:tr w:rsidR="007D5DE2" w:rsidRPr="00D52ED6" w:rsidTr="00BB3077">
        <w:tc>
          <w:tcPr>
            <w:tcW w:w="716" w:type="pct"/>
            <w:vAlign w:val="center"/>
          </w:tcPr>
          <w:p w:rsidR="007D5DE2" w:rsidRPr="00D52ED6" w:rsidRDefault="007D5DE2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MI-IP-07</w:t>
            </w:r>
          </w:p>
        </w:tc>
        <w:tc>
          <w:tcPr>
            <w:tcW w:w="4284" w:type="pct"/>
          </w:tcPr>
          <w:p w:rsidR="007D5DE2" w:rsidRPr="00D52ED6" w:rsidRDefault="009F705B" w:rsidP="00D52ED6">
            <w:pPr>
              <w:jc w:val="left"/>
            </w:pPr>
            <w:r w:rsidRPr="00D52ED6">
              <w:t>Tidd A., L. Tremblay-Boyer and G. Pilling.</w:t>
            </w:r>
            <w:r w:rsidR="007D5DE2" w:rsidRPr="00D52ED6">
              <w:t xml:space="preserve"> </w:t>
            </w:r>
            <w:r w:rsidRPr="00D52ED6">
              <w:t>Exploratory analysis under Project 77: linking bigeye concentrations with vessel attributes</w:t>
            </w:r>
          </w:p>
        </w:tc>
      </w:tr>
    </w:tbl>
    <w:p w:rsidR="00623A78" w:rsidRPr="00D52ED6" w:rsidRDefault="00623A78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640827" w:rsidRPr="00D52ED6" w:rsidRDefault="00640827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  <w:r w:rsidRPr="00D52ED6">
        <w:rPr>
          <w:b/>
          <w:sz w:val="22"/>
          <w:szCs w:val="22"/>
          <w:u w:val="single"/>
          <w:lang w:val="en-NZ"/>
        </w:rPr>
        <w:t>ECOSYSTEM AND BYCATCH MITIGATION THEME</w:t>
      </w:r>
    </w:p>
    <w:p w:rsidR="00CD29FE" w:rsidRPr="00D52ED6" w:rsidRDefault="00CD29FE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6"/>
        <w:gridCol w:w="8030"/>
      </w:tblGrid>
      <w:tr w:rsidR="00C31954" w:rsidRPr="00D52ED6" w:rsidTr="00BA6486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i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i/>
                <w:sz w:val="22"/>
                <w:szCs w:val="22"/>
                <w:lang w:val="en-NZ" w:eastAsia="zh-CN"/>
              </w:rPr>
              <w:t>EB THEME – Working Papers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847C8D" w:rsidP="00D52ED6">
            <w:proofErr w:type="spellStart"/>
            <w:r w:rsidRPr="00D52ED6">
              <w:t>Senina</w:t>
            </w:r>
            <w:proofErr w:type="spellEnd"/>
            <w:r w:rsidRPr="00D52ED6">
              <w:t xml:space="preserve"> I., P. </w:t>
            </w:r>
            <w:proofErr w:type="spellStart"/>
            <w:r w:rsidRPr="00D52ED6">
              <w:t>Lehodey</w:t>
            </w:r>
            <w:proofErr w:type="spellEnd"/>
            <w:r w:rsidRPr="00D52ED6">
              <w:t xml:space="preserve">, </w:t>
            </w:r>
            <w:r w:rsidR="004B760B" w:rsidRPr="00D52ED6">
              <w:t xml:space="preserve">B. </w:t>
            </w:r>
            <w:proofErr w:type="spellStart"/>
            <w:r w:rsidR="004B760B" w:rsidRPr="00D52ED6">
              <w:t>Calmettesa</w:t>
            </w:r>
            <w:proofErr w:type="spellEnd"/>
            <w:r w:rsidR="004B760B" w:rsidRPr="00D52ED6">
              <w:t xml:space="preserve">, </w:t>
            </w:r>
            <w:proofErr w:type="spellStart"/>
            <w:r w:rsidR="004B760B" w:rsidRPr="00D52ED6">
              <w:t>S.Nicol</w:t>
            </w:r>
            <w:proofErr w:type="spellEnd"/>
            <w:r w:rsidR="004B760B" w:rsidRPr="00D52ED6">
              <w:t>, S. Caillot, J. Hampton and P. Williams.</w:t>
            </w:r>
            <w:r w:rsidR="00C31954" w:rsidRPr="00D52ED6">
              <w:t xml:space="preserve"> </w:t>
            </w:r>
            <w:r w:rsidR="00523200" w:rsidRPr="00D52ED6">
              <w:t>Predicting skipjack tuna dynamics and effects of climate change using SEAPODYM with fishing and tagging data.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DF1A41" w:rsidP="00D52ED6">
            <w:r w:rsidRPr="00D52ED6">
              <w:t xml:space="preserve">Smith N, V. </w:t>
            </w:r>
            <w:proofErr w:type="spellStart"/>
            <w:r w:rsidRPr="00D52ED6">
              <w:t>Allain</w:t>
            </w:r>
            <w:proofErr w:type="spellEnd"/>
            <w:r w:rsidRPr="00D52ED6">
              <w:t>, and G. Pilling. Ecosystem indicators: moving forward to design and testing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845CD" w:rsidP="00D52ED6">
            <w:r w:rsidRPr="00D52ED6">
              <w:t>Peatman T. and G. Pilling.</w:t>
            </w:r>
            <w:r w:rsidR="00C31954" w:rsidRPr="00D52ED6">
              <w:t xml:space="preserve"> Monte Carlo simulation modelling of purse seine catches of silky and oceanic white tip sharks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BF1CBB" w:rsidP="00D52ED6">
            <w:r w:rsidRPr="00D52ED6">
              <w:t>Reassigned located EB-IP-15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r w:rsidRPr="00D52ED6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Clarke S. </w:t>
            </w:r>
            <w:r w:rsidR="00AF5B02" w:rsidRPr="00D52ED6">
              <w:rPr>
                <w:rFonts w:eastAsia="Malgun Gothic"/>
                <w:bCs/>
                <w:sz w:val="22"/>
                <w:szCs w:val="22"/>
                <w:lang w:eastAsia="ko-KR"/>
              </w:rPr>
              <w:t>Elaboration of technical details regarding shark targeting and shark management plans for CMM 2014-05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EB-WB-06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B24904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t>Harley S. and G. Pilling.</w:t>
            </w:r>
            <w:r w:rsidR="00C31954" w:rsidRPr="00D52ED6">
              <w:t xml:space="preserve"> </w:t>
            </w:r>
            <w:r w:rsidRPr="00D52ED6">
              <w:t>Potential implications of the choice of longline mitigation approach allowed within CMM  2014-05</w:t>
            </w:r>
            <w:r w:rsidR="002B36B5" w:rsidRPr="00D52ED6">
              <w:t xml:space="preserve"> Rev 1 (21 July 201)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EB-WP-07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sz w:val="22"/>
                <w:szCs w:val="22"/>
                <w:lang w:eastAsia="zh-CN"/>
              </w:rPr>
              <w:t>Hutchinson M. and K. Bigelow: Assessing shark bycatch condition and the effects of discard practices in the Hawaii-permitted tuna longline fishery</w:t>
            </w:r>
            <w:r w:rsidR="00512F39">
              <w:rPr>
                <w:sz w:val="22"/>
                <w:szCs w:val="22"/>
                <w:lang w:eastAsia="zh-CN"/>
              </w:rPr>
              <w:t>. Rev 1 (22 July 2016)</w:t>
            </w:r>
            <w:bookmarkStart w:id="1" w:name="_GoBack"/>
            <w:bookmarkEnd w:id="1"/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EB-WP-08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4E75C6" w:rsidP="00D52ED6">
            <w:r w:rsidRPr="00D52ED6">
              <w:t xml:space="preserve">Tremblay-Boyer L. and S. </w:t>
            </w:r>
            <w:proofErr w:type="spellStart"/>
            <w:r w:rsidRPr="00D52ED6">
              <w:t>Brouwer</w:t>
            </w:r>
            <w:proofErr w:type="spellEnd"/>
            <w:r w:rsidRPr="00D52ED6">
              <w:t xml:space="preserve">. </w:t>
            </w:r>
            <w:r w:rsidR="00C31954" w:rsidRPr="00D52ED6">
              <w:t xml:space="preserve"> Review of available information on non-key shark </w:t>
            </w:r>
            <w:proofErr w:type="spellStart"/>
            <w:r w:rsidR="00C31954" w:rsidRPr="00D52ED6">
              <w:t>spp</w:t>
            </w:r>
            <w:proofErr w:type="spellEnd"/>
            <w:r w:rsidR="00C31954" w:rsidRPr="00D52ED6">
              <w:t xml:space="preserve">, incl. </w:t>
            </w:r>
            <w:proofErr w:type="spellStart"/>
            <w:r w:rsidR="00C31954" w:rsidRPr="00D52ED6">
              <w:t>mobulid</w:t>
            </w:r>
            <w:proofErr w:type="spellEnd"/>
            <w:r w:rsidR="00C31954" w:rsidRPr="00D52ED6">
              <w:t xml:space="preserve"> species, and fisheries interactions 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EB-WP-09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proofErr w:type="spellStart"/>
            <w:r w:rsidRPr="00D52ED6">
              <w:rPr>
                <w:sz w:val="22"/>
                <w:szCs w:val="22"/>
                <w:lang w:eastAsia="zh-CN"/>
              </w:rPr>
              <w:t>Debski</w:t>
            </w:r>
            <w:proofErr w:type="spellEnd"/>
            <w:r w:rsidRPr="00D52ED6">
              <w:rPr>
                <w:sz w:val="22"/>
                <w:szCs w:val="22"/>
                <w:lang w:eastAsia="zh-CN"/>
              </w:rPr>
              <w:t xml:space="preserve"> I., F. </w:t>
            </w:r>
            <w:proofErr w:type="spellStart"/>
            <w:r w:rsidRPr="00D52ED6">
              <w:rPr>
                <w:sz w:val="22"/>
                <w:szCs w:val="22"/>
                <w:lang w:eastAsia="zh-CN"/>
              </w:rPr>
              <w:t>Hjörvarsdóttir</w:t>
            </w:r>
            <w:proofErr w:type="spellEnd"/>
            <w:r w:rsidRPr="00D52ED6">
              <w:rPr>
                <w:sz w:val="22"/>
                <w:szCs w:val="22"/>
                <w:lang w:eastAsia="zh-CN"/>
              </w:rPr>
              <w:t xml:space="preserve"> and K. Knowles. Distribution of highly at-risk New Zealand seabirds in the Western Central Pacific Fisheries Commission area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EB-WP-10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Pierre J., D. Goad, I.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Debski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and K. Knowles. Improving tori line performance in small-vessel longline fisheries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EB-WP-11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r w:rsidRPr="00D52ED6">
              <w:rPr>
                <w:sz w:val="22"/>
                <w:szCs w:val="22"/>
                <w:lang w:eastAsia="zh-CN"/>
              </w:rPr>
              <w:t>Clarke S., T. Peatman and S. Caillot. Results from the First Workshop on Joint Analysis of Sea Turtle Mitigation Effectiveness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EB-WP-12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E333EB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Williams P, N. Smith, I</w:t>
            </w:r>
            <w:r w:rsidR="00294998" w:rsidRPr="00D52ED6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Tuiloma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, C.</w:t>
            </w:r>
            <w:r w:rsidR="00294998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294998" w:rsidRPr="00D52ED6">
              <w:rPr>
                <w:rFonts w:eastAsia="Batang"/>
                <w:sz w:val="22"/>
                <w:szCs w:val="22"/>
                <w:lang w:val="en-US" w:eastAsia="ko-KR"/>
              </w:rPr>
              <w:t>Falasi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and S. Clarke.</w:t>
            </w:r>
            <w:r w:rsidR="00082069" w:rsidRPr="00D52ED6">
              <w:rPr>
                <w:rFonts w:eastAsia="Batang"/>
                <w:sz w:val="22"/>
                <w:szCs w:val="22"/>
                <w:lang w:val="en-US" w:eastAsia="ko-KR"/>
              </w:rPr>
              <w:t xml:space="preserve"> Trial Application of the BDEP Template for Summarizing Bycatch Data</w:t>
            </w:r>
          </w:p>
        </w:tc>
      </w:tr>
      <w:tr w:rsidR="00536022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6022" w:rsidRPr="00D52ED6" w:rsidRDefault="006B7C82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EB-WP-13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6022" w:rsidRPr="00D52ED6" w:rsidRDefault="00536022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/>
              </w:rPr>
              <w:t>Katsumata K., K. Okamoto, D. Ochi, Y. Inoue, H. Matsunaga, H. Minami and K. Oshima. Examination of effectiveness of seabird bycatch mitigation measures for small-scale longline vessels fishing north of 23ºN specified in CMM 2015-03</w:t>
            </w:r>
          </w:p>
        </w:tc>
      </w:tr>
      <w:tr w:rsidR="00C31954" w:rsidRPr="00D52ED6" w:rsidTr="00BA6486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i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i/>
                <w:sz w:val="22"/>
                <w:szCs w:val="22"/>
                <w:lang w:val="en-NZ" w:eastAsia="zh-CN"/>
              </w:rPr>
              <w:t>EB THEME – Information Papers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EB-IP-01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9D6666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Scutt Phillips J. A. Sen Gupta1, E. van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Sebille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, I.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Senina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, P.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Lehodey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and S. Nicol</w:t>
            </w:r>
            <w:r w:rsidR="00C31954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. Individual-based methods for simulation of movement by WCPO skipjack and other pelagic species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EB-IP-02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Clarke S., Manarangi-Trott L and A. Taholo. </w:t>
            </w:r>
            <w:r w:rsidR="00AF5B0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Data Available to the Commission to Address the Implementation and Effectiveness of CMM 2010-07 regarding Shark Finning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lastRenderedPageBreak/>
              <w:t>EB-IP-03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523200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AU" w:eastAsia="zh-CN"/>
              </w:rPr>
            </w:pPr>
            <w:r w:rsidRPr="00D52ED6">
              <w:rPr>
                <w:sz w:val="22"/>
                <w:szCs w:val="22"/>
                <w:lang w:val="en-AU" w:eastAsia="zh-CN"/>
              </w:rPr>
              <w:t>Withdrawn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EB-IP-04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845CD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Gilman E. M.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Chaloupka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, Y. Swimmer and S. </w:t>
            </w: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Plovano</w:t>
            </w:r>
            <w:proofErr w:type="spellEnd"/>
            <w:r w:rsidR="00C31954" w:rsidRPr="00D52ED6">
              <w:rPr>
                <w:rFonts w:eastAsia="Malgun Gothic"/>
                <w:sz w:val="22"/>
                <w:szCs w:val="22"/>
                <w:lang w:eastAsia="ko-KR"/>
              </w:rPr>
              <w:t>. A cross-</w:t>
            </w:r>
            <w:proofErr w:type="spellStart"/>
            <w:r w:rsidR="00C31954" w:rsidRPr="00D52ED6">
              <w:rPr>
                <w:rFonts w:eastAsia="Malgun Gothic"/>
                <w:sz w:val="22"/>
                <w:szCs w:val="22"/>
                <w:lang w:eastAsia="ko-KR"/>
              </w:rPr>
              <w:t>taxa</w:t>
            </w:r>
            <w:proofErr w:type="spellEnd"/>
            <w:r w:rsidR="00C31954"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assessment of pelagic longline bycatch mitigation measures: Conflicts and mutual benefits to elasmobranchs</w:t>
            </w:r>
            <w:r w:rsidRPr="00D52ED6">
              <w:rPr>
                <w:rFonts w:eastAsia="Malgun Gothic"/>
                <w:sz w:val="22"/>
                <w:szCs w:val="22"/>
                <w:lang w:eastAsia="ko-KR"/>
              </w:rPr>
              <w:t>.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EB-IP-05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AU" w:eastAsia="zh-CN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Favero M., A. Wolfaardt and N. Walker</w:t>
            </w:r>
            <w:r w:rsidR="00296F67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. </w:t>
            </w: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ACAP advice for reducing the impact of pelagic longline fishing operations on seabirds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Walker N., I.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Debski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, B. Sullivan and K. Knowles. Development and testing of a novel seabird mitigation option, the Hook Pod, in New Zealand pelagic longline fisheries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EB-IP-07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Debski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I., J. Pierre and K. Knowles. Observer coverage to monitor seabird captures in pelagic longline fisheries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D52ED6">
              <w:rPr>
                <w:b/>
                <w:sz w:val="22"/>
                <w:szCs w:val="22"/>
                <w:lang w:val="en-NZ" w:eastAsia="zh-CN"/>
              </w:rPr>
              <w:t>EB-IP-08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D52ED6">
              <w:rPr>
                <w:rFonts w:eastAsia="Malgun Gothic"/>
                <w:sz w:val="22"/>
                <w:szCs w:val="22"/>
                <w:lang w:eastAsia="ko-KR"/>
              </w:rPr>
              <w:t>Simpendorfer</w:t>
            </w:r>
            <w:proofErr w:type="spellEnd"/>
            <w:r w:rsidRPr="00D52ED6">
              <w:rPr>
                <w:rFonts w:eastAsia="Malgun Gothic"/>
                <w:sz w:val="22"/>
                <w:szCs w:val="22"/>
                <w:lang w:eastAsia="ko-KR"/>
              </w:rPr>
              <w:t xml:space="preserve"> C. and C. Rigby. CITES Pacific Shark Workshop Report on Non-detrimental Findings for CITES Appendix II Sharks and Rays</w:t>
            </w:r>
          </w:p>
        </w:tc>
      </w:tr>
      <w:tr w:rsidR="00C31954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31954" w:rsidRPr="00D52ED6" w:rsidRDefault="00C31954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EB-IP-09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1954" w:rsidRPr="00D52ED6" w:rsidRDefault="00C31954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FAO Report of the fifth FAO Expert Advisory Panel for the Assessment of Proposals to Amend Appendices I and II of CITES Concerning Commercially-exploited Aquatic Species</w:t>
            </w:r>
          </w:p>
        </w:tc>
      </w:tr>
      <w:tr w:rsidR="00536022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6022" w:rsidRPr="00D52ED6" w:rsidRDefault="006B7C82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EB-IP-10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6022" w:rsidRPr="00D52ED6" w:rsidRDefault="00126D0B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Semba Y., H. Okamoto, K.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Shiozaki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and Y. Fujinami</w:t>
            </w:r>
            <w:r w:rsidR="0053602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. Investigation of fin to body weight ratio for blue shark (</w:t>
            </w:r>
            <w:proofErr w:type="spellStart"/>
            <w:r w:rsidR="0053602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Prionace</w:t>
            </w:r>
            <w:proofErr w:type="spellEnd"/>
            <w:r w:rsidR="0053602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</w:t>
            </w:r>
            <w:proofErr w:type="spellStart"/>
            <w:r w:rsidR="0053602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glauca</w:t>
            </w:r>
            <w:proofErr w:type="spellEnd"/>
            <w:r w:rsidR="00536022"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) caught by Japanese longline fisheries in the North Pacific</w:t>
            </w:r>
          </w:p>
        </w:tc>
      </w:tr>
      <w:tr w:rsidR="002122DA" w:rsidRPr="00D52ED6" w:rsidTr="00BA6486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22DA" w:rsidRPr="00D52ED6" w:rsidRDefault="002122DA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EB-IP-11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22DA" w:rsidRPr="00D52ED6" w:rsidRDefault="002122DA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Lopez, J., J.M.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Ferarios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, J. Santiago, O.G. Alvarez, G. Moreno, H. </w:t>
            </w:r>
            <w:proofErr w:type="spellStart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Murua</w:t>
            </w:r>
            <w:proofErr w:type="spellEnd"/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Evaluating potential biodegradable twines for use in the tropical tuna fishery</w:t>
            </w:r>
          </w:p>
        </w:tc>
      </w:tr>
      <w:tr w:rsidR="0030554F" w:rsidRPr="00D52ED6" w:rsidTr="000006E7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54F" w:rsidRPr="00D52ED6" w:rsidRDefault="0030554F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EB-IP-12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54F" w:rsidRPr="00D52ED6" w:rsidRDefault="00CF7B0F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rFonts w:eastAsia="Batang"/>
                <w:sz w:val="22"/>
                <w:szCs w:val="22"/>
                <w:lang w:val="en-US" w:eastAsia="ko-KR" w:bidi="th-TH"/>
              </w:rPr>
              <w:t>Smith N and S. Nicol. Annual WCPFC Report: Joint Tuna RFMO Bycatch Technical Working Group</w:t>
            </w:r>
          </w:p>
        </w:tc>
      </w:tr>
      <w:tr w:rsidR="00CF7B0F" w:rsidRPr="00D52ED6" w:rsidTr="000006E7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7B0F" w:rsidRPr="00D52ED6" w:rsidRDefault="00CF7B0F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EB-IP-13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7B0F" w:rsidRPr="00D52ED6" w:rsidRDefault="00E4727D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D52ED6">
              <w:rPr>
                <w:sz w:val="23"/>
                <w:szCs w:val="23"/>
                <w:lang w:val="en-AU"/>
              </w:rPr>
              <w:t>Dunn D. C</w:t>
            </w:r>
            <w:proofErr w:type="gramStart"/>
            <w:r w:rsidRPr="00D52ED6">
              <w:rPr>
                <w:sz w:val="23"/>
                <w:szCs w:val="23"/>
                <w:lang w:val="en-AU"/>
              </w:rPr>
              <w:t>. ,</w:t>
            </w:r>
            <w:proofErr w:type="gramEnd"/>
            <w:r w:rsidRPr="00D52ED6">
              <w:rPr>
                <w:sz w:val="23"/>
                <w:szCs w:val="23"/>
                <w:lang w:val="en-AU"/>
              </w:rPr>
              <w:t xml:space="preserve"> T. </w:t>
            </w:r>
            <w:proofErr w:type="spellStart"/>
            <w:r w:rsidRPr="00D52ED6">
              <w:rPr>
                <w:sz w:val="23"/>
                <w:szCs w:val="23"/>
                <w:lang w:val="en-AU"/>
              </w:rPr>
              <w:t>Morato</w:t>
            </w:r>
            <w:proofErr w:type="spellEnd"/>
            <w:r w:rsidRPr="00D52ED6">
              <w:rPr>
                <w:sz w:val="23"/>
                <w:szCs w:val="23"/>
                <w:lang w:val="en-AU"/>
              </w:rPr>
              <w:t>, P. I. Miller, S. Nicol, and N. Smith.</w:t>
            </w:r>
            <w:r w:rsidR="00CF7B0F" w:rsidRPr="00D52ED6">
              <w:rPr>
                <w:sz w:val="23"/>
                <w:szCs w:val="23"/>
                <w:lang w:val="en-AU"/>
              </w:rPr>
              <w:t xml:space="preserve"> Drivers of catch and biodiversity around Western and Central Pacific Seamounts</w:t>
            </w:r>
          </w:p>
        </w:tc>
      </w:tr>
      <w:tr w:rsidR="00DE78F7" w:rsidRPr="00D52ED6" w:rsidTr="000006E7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78F7" w:rsidRPr="00D52ED6" w:rsidRDefault="00DE78F7" w:rsidP="00D52ED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EB-IP</w:t>
            </w:r>
            <w:r w:rsidR="0042403F" w:rsidRPr="00D52ED6">
              <w:rPr>
                <w:rFonts w:eastAsia="Batang"/>
                <w:b/>
                <w:sz w:val="22"/>
                <w:szCs w:val="22"/>
                <w:lang w:val="en-NZ" w:eastAsia="ko-KR"/>
              </w:rPr>
              <w:t>-14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78F7" w:rsidRPr="00D52ED6" w:rsidRDefault="0042403F" w:rsidP="00D52ED6">
            <w:pPr>
              <w:adjustRightInd w:val="0"/>
              <w:snapToGrid w:val="0"/>
              <w:spacing w:before="60" w:after="60"/>
              <w:jc w:val="left"/>
              <w:rPr>
                <w:sz w:val="23"/>
                <w:szCs w:val="23"/>
                <w:lang w:val="en-AU"/>
              </w:rPr>
            </w:pPr>
            <w:r w:rsidRPr="00D52ED6">
              <w:rPr>
                <w:sz w:val="23"/>
                <w:szCs w:val="23"/>
                <w:lang w:val="en-AU"/>
              </w:rPr>
              <w:t>Nicol</w:t>
            </w:r>
            <w:r w:rsidR="000D542F" w:rsidRPr="00D52ED6">
              <w:rPr>
                <w:sz w:val="23"/>
                <w:szCs w:val="23"/>
                <w:lang w:val="en-AU"/>
              </w:rPr>
              <w:t xml:space="preserve"> S.</w:t>
            </w:r>
            <w:r w:rsidRPr="00D52ED6">
              <w:rPr>
                <w:sz w:val="23"/>
                <w:szCs w:val="23"/>
                <w:lang w:val="en-AU"/>
              </w:rPr>
              <w:t xml:space="preserve">, </w:t>
            </w:r>
            <w:r w:rsidR="000D542F" w:rsidRPr="00D52ED6">
              <w:rPr>
                <w:sz w:val="23"/>
                <w:szCs w:val="23"/>
                <w:lang w:val="en-AU"/>
              </w:rPr>
              <w:t xml:space="preserve">N. Smith, </w:t>
            </w:r>
            <w:r w:rsidRPr="00D52ED6">
              <w:rPr>
                <w:sz w:val="23"/>
                <w:szCs w:val="23"/>
                <w:lang w:val="en-AU"/>
              </w:rPr>
              <w:t xml:space="preserve">P. </w:t>
            </w:r>
            <w:proofErr w:type="spellStart"/>
            <w:r w:rsidRPr="00D52ED6">
              <w:rPr>
                <w:sz w:val="23"/>
                <w:szCs w:val="23"/>
                <w:lang w:val="en-AU"/>
              </w:rPr>
              <w:t>Lehodey</w:t>
            </w:r>
            <w:proofErr w:type="spellEnd"/>
            <w:r w:rsidR="000D542F" w:rsidRPr="00D52ED6">
              <w:rPr>
                <w:sz w:val="23"/>
                <w:szCs w:val="23"/>
                <w:lang w:val="en-AU"/>
              </w:rPr>
              <w:t xml:space="preserve"> and</w:t>
            </w:r>
            <w:r w:rsidRPr="00D52ED6">
              <w:rPr>
                <w:sz w:val="23"/>
                <w:szCs w:val="23"/>
                <w:lang w:val="en-AU"/>
              </w:rPr>
              <w:t xml:space="preserve"> I. </w:t>
            </w:r>
            <w:proofErr w:type="spellStart"/>
            <w:r w:rsidRPr="00D52ED6">
              <w:rPr>
                <w:sz w:val="23"/>
                <w:szCs w:val="23"/>
                <w:lang w:val="en-AU"/>
              </w:rPr>
              <w:t>Senina</w:t>
            </w:r>
            <w:proofErr w:type="spellEnd"/>
            <w:r w:rsidRPr="00D52ED6">
              <w:rPr>
                <w:sz w:val="23"/>
                <w:szCs w:val="23"/>
                <w:lang w:val="en-AU"/>
              </w:rPr>
              <w:t>. SEAPODYM review with an update about ongoing developments and preliminary results</w:t>
            </w:r>
            <w:r w:rsidR="000D542F" w:rsidRPr="00D52ED6">
              <w:rPr>
                <w:sz w:val="23"/>
                <w:szCs w:val="23"/>
                <w:lang w:val="en-AU"/>
              </w:rPr>
              <w:t>.</w:t>
            </w:r>
          </w:p>
        </w:tc>
      </w:tr>
      <w:tr w:rsidR="00BF1CBB" w:rsidRPr="00D52ED6" w:rsidTr="00BF1CB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CBB" w:rsidRPr="00D52ED6" w:rsidRDefault="00BF1CBB" w:rsidP="00D52ED6">
            <w:pPr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EB-IP-15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1CBB" w:rsidRPr="00D52ED6" w:rsidRDefault="00BF1CBB" w:rsidP="00D52ED6">
            <w:r w:rsidRPr="00D52ED6">
              <w:t xml:space="preserve">Cramp J., R. L. Pressey, M. Heupel and C. </w:t>
            </w:r>
            <w:proofErr w:type="spellStart"/>
            <w:r w:rsidRPr="00D52ED6">
              <w:t>Simpfendorfer</w:t>
            </w:r>
            <w:proofErr w:type="spellEnd"/>
            <w:r w:rsidRPr="00D52ED6">
              <w:t>. Evaluating the effectiveness of large-scale marine reserves on wide-ranging sharks</w:t>
            </w:r>
          </w:p>
        </w:tc>
      </w:tr>
      <w:tr w:rsidR="00B51DE1" w:rsidRPr="00D52ED6" w:rsidTr="00BF1CB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51DE1" w:rsidRPr="00D52ED6" w:rsidRDefault="00B51DE1" w:rsidP="00D52ED6">
            <w:pPr>
              <w:jc w:val="center"/>
              <w:rPr>
                <w:b/>
                <w:sz w:val="22"/>
                <w:szCs w:val="22"/>
              </w:rPr>
            </w:pPr>
            <w:r w:rsidRPr="00D52ED6">
              <w:rPr>
                <w:b/>
                <w:sz w:val="22"/>
                <w:szCs w:val="22"/>
              </w:rPr>
              <w:t>EB-IP-16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1DE1" w:rsidRPr="00D52ED6" w:rsidRDefault="00B51DE1" w:rsidP="00D52ED6">
            <w:r w:rsidRPr="00D52ED6">
              <w:t>Secretariat</w:t>
            </w:r>
            <w:r w:rsidR="00ED5A3D">
              <w:t>.</w:t>
            </w:r>
            <w:r w:rsidRPr="00D52ED6">
              <w:t xml:space="preserve"> Progress on the WCPFC stock assessments and shark research plan</w:t>
            </w:r>
          </w:p>
        </w:tc>
      </w:tr>
    </w:tbl>
    <w:p w:rsidR="00C31954" w:rsidRPr="00D52ED6" w:rsidRDefault="00C31954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623A78" w:rsidRPr="00D52ED6" w:rsidRDefault="00623A78" w:rsidP="00D52ED6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D52ED6" w:rsidRDefault="00207719" w:rsidP="00D52ED6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US"/>
        </w:rPr>
        <w:t>RESEARCH PROJECTS</w:t>
      </w:r>
    </w:p>
    <w:p w:rsidR="00207719" w:rsidRPr="00D52ED6" w:rsidRDefault="00207719" w:rsidP="00D52ED6">
      <w:pPr>
        <w:adjustRightInd w:val="0"/>
        <w:snapToGrid w:val="0"/>
        <w:spacing w:before="60" w:after="60"/>
        <w:jc w:val="left"/>
        <w:rPr>
          <w:rFonts w:eastAsia="Malgun Gothic"/>
          <w:b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72"/>
        <w:gridCol w:w="7804"/>
      </w:tblGrid>
      <w:tr w:rsidR="00B37501" w:rsidRPr="00D52ED6" w:rsidTr="000220B1">
        <w:tc>
          <w:tcPr>
            <w:tcW w:w="5000" w:type="pct"/>
            <w:gridSpan w:val="2"/>
            <w:shd w:val="clear" w:color="auto" w:fill="BFBFBF" w:themeFill="background1" w:themeFillShade="BF"/>
          </w:tcPr>
          <w:p w:rsidR="00B37501" w:rsidRPr="00D52ED6" w:rsidRDefault="00B3750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 w:rsidRPr="00D52ED6">
              <w:rPr>
                <w:b/>
                <w:bCs/>
                <w:i/>
                <w:sz w:val="22"/>
                <w:szCs w:val="22"/>
                <w:lang w:val="en-US"/>
              </w:rPr>
              <w:t>GEF ABNJ Shark and BMIS project</w:t>
            </w:r>
          </w:p>
        </w:tc>
      </w:tr>
      <w:tr w:rsidR="00B37501" w:rsidRPr="00D52ED6" w:rsidTr="000220B1">
        <w:tc>
          <w:tcPr>
            <w:tcW w:w="925" w:type="pct"/>
          </w:tcPr>
          <w:p w:rsidR="00B37501" w:rsidRPr="00D52ED6" w:rsidRDefault="00B37501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RP-ABNJ-01</w:t>
            </w:r>
          </w:p>
        </w:tc>
        <w:tc>
          <w:tcPr>
            <w:tcW w:w="4075" w:type="pct"/>
          </w:tcPr>
          <w:p w:rsidR="00B37501" w:rsidRPr="00ED5A3D" w:rsidRDefault="004B6F85" w:rsidP="00D52ED6">
            <w:pPr>
              <w:ind w:left="100"/>
              <w:rPr>
                <w:rFonts w:ascii="Cambria" w:eastAsia="Cambria" w:hAnsi="Cambria" w:cs="Cambria"/>
                <w:szCs w:val="24"/>
              </w:rPr>
            </w:pPr>
            <w:r w:rsidRPr="00ED5A3D">
              <w:rPr>
                <w:szCs w:val="24"/>
              </w:rPr>
              <w:t>Clarke S.</w:t>
            </w:r>
            <w:r w:rsidR="00B37501" w:rsidRPr="00ED5A3D">
              <w:rPr>
                <w:bCs/>
                <w:szCs w:val="24"/>
                <w:lang w:val="en-US"/>
              </w:rPr>
              <w:t xml:space="preserve"> Update on the ABNJ (Common Oceans) Tuna Project’s Shark and Bycatch Components</w:t>
            </w:r>
          </w:p>
        </w:tc>
      </w:tr>
      <w:tr w:rsidR="005F6468" w:rsidRPr="00D52ED6" w:rsidTr="005F6468">
        <w:tc>
          <w:tcPr>
            <w:tcW w:w="5000" w:type="pct"/>
            <w:gridSpan w:val="2"/>
            <w:shd w:val="clear" w:color="auto" w:fill="BFBFBF"/>
          </w:tcPr>
          <w:p w:rsidR="00FF3F21" w:rsidRPr="00D52ED6" w:rsidRDefault="00FF3F2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i/>
                <w:iCs/>
                <w:sz w:val="22"/>
                <w:szCs w:val="22"/>
                <w:lang w:val="en-NZ"/>
              </w:rPr>
              <w:t>JAPAN TRUST FUND</w:t>
            </w:r>
          </w:p>
        </w:tc>
      </w:tr>
      <w:tr w:rsidR="005F6468" w:rsidRPr="00D52ED6" w:rsidTr="005F6468">
        <w:tc>
          <w:tcPr>
            <w:tcW w:w="92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RP-JTF-01</w:t>
            </w:r>
          </w:p>
        </w:tc>
        <w:tc>
          <w:tcPr>
            <w:tcW w:w="407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  <w:lang w:val="en-NZ"/>
              </w:rPr>
              <w:t>Secretariat. Japan Trust Fund Status Report (</w:t>
            </w:r>
            <w:r w:rsidR="001478C1" w:rsidRPr="00D52ED6">
              <w:rPr>
                <w:sz w:val="22"/>
                <w:szCs w:val="22"/>
                <w:lang w:val="en-NZ"/>
              </w:rPr>
              <w:t>2016</w:t>
            </w:r>
            <w:r w:rsidRPr="00D52ED6">
              <w:rPr>
                <w:sz w:val="22"/>
                <w:szCs w:val="22"/>
                <w:lang w:val="en-NZ"/>
              </w:rPr>
              <w:t xml:space="preserve">) </w:t>
            </w:r>
          </w:p>
        </w:tc>
      </w:tr>
      <w:tr w:rsidR="005F6468" w:rsidRPr="00D52ED6" w:rsidTr="005F6468">
        <w:tc>
          <w:tcPr>
            <w:tcW w:w="92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RP-JTF-02</w:t>
            </w:r>
          </w:p>
        </w:tc>
        <w:tc>
          <w:tcPr>
            <w:tcW w:w="407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  <w:lang w:val="en-NZ"/>
              </w:rPr>
              <w:t>Secretariat. Japan Trust Fund Steering Committee Report</w:t>
            </w:r>
          </w:p>
        </w:tc>
      </w:tr>
      <w:tr w:rsidR="00B37501" w:rsidRPr="00D52ED6" w:rsidTr="000220B1">
        <w:tc>
          <w:tcPr>
            <w:tcW w:w="5000" w:type="pct"/>
            <w:gridSpan w:val="2"/>
            <w:shd w:val="clear" w:color="auto" w:fill="BFBFBF"/>
          </w:tcPr>
          <w:p w:rsidR="00B37501" w:rsidRPr="00D52ED6" w:rsidRDefault="00B3750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i/>
                <w:iCs/>
                <w:sz w:val="22"/>
                <w:szCs w:val="22"/>
                <w:lang w:val="en-NZ"/>
              </w:rPr>
              <w:t>PROJECT 35 BIGEYE BIOLOGY &amp; 35b  WCPFC TISSUE BANK</w:t>
            </w:r>
          </w:p>
        </w:tc>
      </w:tr>
      <w:tr w:rsidR="00B37501" w:rsidRPr="00D52ED6" w:rsidTr="000220B1">
        <w:tc>
          <w:tcPr>
            <w:tcW w:w="925" w:type="pct"/>
          </w:tcPr>
          <w:p w:rsidR="00B37501" w:rsidRPr="00D52ED6" w:rsidRDefault="00B37501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lastRenderedPageBreak/>
              <w:t>RP-P35-01</w:t>
            </w:r>
          </w:p>
        </w:tc>
        <w:tc>
          <w:tcPr>
            <w:tcW w:w="4075" w:type="pct"/>
          </w:tcPr>
          <w:p w:rsidR="00B37501" w:rsidRPr="00D52ED6" w:rsidRDefault="00B37501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Project 35: Bigeye biology, and Project 35b: WCPFC Tissue Bank</w:t>
            </w:r>
          </w:p>
        </w:tc>
      </w:tr>
      <w:tr w:rsidR="005F6468" w:rsidRPr="00D52ED6" w:rsidTr="005F6468">
        <w:tc>
          <w:tcPr>
            <w:tcW w:w="5000" w:type="pct"/>
            <w:gridSpan w:val="2"/>
            <w:shd w:val="clear" w:color="auto" w:fill="BFBFBF"/>
          </w:tcPr>
          <w:p w:rsidR="00FF3F21" w:rsidRPr="00D52ED6" w:rsidRDefault="00FF3F21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52ED6">
              <w:rPr>
                <w:b/>
                <w:bCs/>
                <w:i/>
                <w:iCs/>
                <w:sz w:val="22"/>
                <w:szCs w:val="22"/>
              </w:rPr>
              <w:t>PACIFIC TUNA TAGGING PROJECT</w:t>
            </w:r>
          </w:p>
        </w:tc>
      </w:tr>
      <w:tr w:rsidR="005F6468" w:rsidRPr="00D52ED6" w:rsidTr="005F6468">
        <w:tc>
          <w:tcPr>
            <w:tcW w:w="92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RP-PTTP-01</w:t>
            </w:r>
          </w:p>
        </w:tc>
        <w:tc>
          <w:tcPr>
            <w:tcW w:w="4075" w:type="pct"/>
          </w:tcPr>
          <w:p w:rsidR="00207719" w:rsidRPr="00D52ED6" w:rsidRDefault="00207719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D52ED6">
              <w:rPr>
                <w:sz w:val="22"/>
                <w:szCs w:val="22"/>
              </w:rPr>
              <w:t>PTTP-SC. Report of the PTTP Steering Committee</w:t>
            </w:r>
          </w:p>
        </w:tc>
      </w:tr>
      <w:tr w:rsidR="005F6468" w:rsidRPr="00D52ED6" w:rsidTr="005F6468">
        <w:tc>
          <w:tcPr>
            <w:tcW w:w="925" w:type="pct"/>
          </w:tcPr>
          <w:p w:rsidR="00455554" w:rsidRPr="00D52ED6" w:rsidRDefault="00455554" w:rsidP="00D52ED6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RP-PTTP-02</w:t>
            </w:r>
          </w:p>
        </w:tc>
        <w:tc>
          <w:tcPr>
            <w:tcW w:w="4075" w:type="pct"/>
          </w:tcPr>
          <w:p w:rsidR="00455554" w:rsidRPr="00D52ED6" w:rsidRDefault="00115F37" w:rsidP="00D52ED6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SPC-OFP.</w:t>
            </w:r>
            <w:r w:rsidR="00D81636" w:rsidRPr="00D52ED6">
              <w:rPr>
                <w:sz w:val="22"/>
                <w:szCs w:val="22"/>
              </w:rPr>
              <w:t xml:space="preserve"> </w:t>
            </w:r>
            <w:r w:rsidRPr="00D52ED6">
              <w:rPr>
                <w:sz w:val="22"/>
                <w:szCs w:val="22"/>
              </w:rPr>
              <w:t xml:space="preserve">Pacific Tuna Tagging Project Report and Workplan for </w:t>
            </w:r>
            <w:r w:rsidR="001478C1" w:rsidRPr="00D52ED6">
              <w:rPr>
                <w:sz w:val="22"/>
                <w:szCs w:val="22"/>
              </w:rPr>
              <w:t>2016</w:t>
            </w:r>
          </w:p>
        </w:tc>
      </w:tr>
      <w:tr w:rsidR="005F6468" w:rsidRPr="00D52ED6" w:rsidTr="005F6468">
        <w:tc>
          <w:tcPr>
            <w:tcW w:w="5000" w:type="pct"/>
            <w:gridSpan w:val="2"/>
            <w:shd w:val="clear" w:color="auto" w:fill="BFBFBF"/>
          </w:tcPr>
          <w:p w:rsidR="00FF3F21" w:rsidRPr="00D52ED6" w:rsidRDefault="006B498A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D52ED6">
              <w:rPr>
                <w:b/>
                <w:bCs/>
                <w:i/>
                <w:iCs/>
                <w:sz w:val="22"/>
                <w:szCs w:val="22"/>
                <w:lang w:val="en-NZ"/>
              </w:rPr>
              <w:t>WEST PACIFIC EAST ASIA PROJECT</w:t>
            </w:r>
          </w:p>
        </w:tc>
      </w:tr>
      <w:tr w:rsidR="005F6468" w:rsidRPr="00D52ED6" w:rsidTr="005F6468">
        <w:tc>
          <w:tcPr>
            <w:tcW w:w="925" w:type="pct"/>
          </w:tcPr>
          <w:p w:rsidR="006B498A" w:rsidRPr="00D52ED6" w:rsidRDefault="006B498A" w:rsidP="00D52ED6">
            <w:pPr>
              <w:adjustRightInd w:val="0"/>
              <w:snapToGrid w:val="0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D52ED6">
              <w:rPr>
                <w:rFonts w:eastAsia="Malgun Gothic"/>
                <w:b/>
                <w:sz w:val="22"/>
                <w:szCs w:val="22"/>
                <w:lang w:val="en-NZ" w:eastAsia="ko-KR"/>
              </w:rPr>
              <w:t>RP-WPEA-01</w:t>
            </w:r>
          </w:p>
        </w:tc>
        <w:tc>
          <w:tcPr>
            <w:tcW w:w="4075" w:type="pct"/>
          </w:tcPr>
          <w:p w:rsidR="00A0079A" w:rsidRPr="00D52ED6" w:rsidRDefault="006B498A" w:rsidP="00D52ED6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D52ED6">
              <w:rPr>
                <w:bCs/>
                <w:sz w:val="22"/>
                <w:szCs w:val="22"/>
                <w:lang w:val="en-US"/>
              </w:rPr>
              <w:t xml:space="preserve">Secretariat. WPEA Project </w:t>
            </w:r>
            <w:r w:rsidR="00837A89" w:rsidRPr="00D52ED6">
              <w:rPr>
                <w:bCs/>
                <w:sz w:val="22"/>
                <w:szCs w:val="22"/>
                <w:lang w:val="en-US"/>
              </w:rPr>
              <w:t>Progress Report</w:t>
            </w:r>
          </w:p>
        </w:tc>
      </w:tr>
    </w:tbl>
    <w:p w:rsidR="00207719" w:rsidRPr="00D52ED6" w:rsidRDefault="00207719" w:rsidP="00D52ED6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lang w:val="en-NZ"/>
        </w:rPr>
      </w:pPr>
    </w:p>
    <w:p w:rsidR="001B4949" w:rsidRPr="00D52ED6" w:rsidRDefault="001B4949" w:rsidP="00D52ED6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lang w:val="en-NZ"/>
        </w:rPr>
      </w:pPr>
    </w:p>
    <w:p w:rsidR="00837771" w:rsidRPr="00D52ED6" w:rsidRDefault="00837771" w:rsidP="00D52ED6">
      <w:pPr>
        <w:jc w:val="left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br w:type="page"/>
      </w:r>
    </w:p>
    <w:p w:rsidR="007967C5" w:rsidRPr="00D52ED6" w:rsidRDefault="007967C5" w:rsidP="00D52ED6">
      <w:pPr>
        <w:tabs>
          <w:tab w:val="left" w:pos="0"/>
        </w:tabs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D52ED6">
        <w:rPr>
          <w:b/>
          <w:bCs/>
          <w:sz w:val="22"/>
          <w:szCs w:val="22"/>
          <w:u w:val="single"/>
          <w:lang w:val="en-NZ"/>
        </w:rPr>
        <w:lastRenderedPageBreak/>
        <w:t>ANNUAL REPORT – PART 1</w:t>
      </w:r>
    </w:p>
    <w:p w:rsidR="00AE4F8C" w:rsidRPr="00D52ED6" w:rsidRDefault="00AE4F8C" w:rsidP="00D52ED6">
      <w:pPr>
        <w:tabs>
          <w:tab w:val="left" w:pos="0"/>
        </w:tabs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3028"/>
        <w:gridCol w:w="6548"/>
      </w:tblGrid>
      <w:tr w:rsidR="005F6468" w:rsidRPr="00D52ED6" w:rsidTr="005F6468">
        <w:trPr>
          <w:trHeight w:val="255"/>
        </w:trPr>
        <w:tc>
          <w:tcPr>
            <w:tcW w:w="1581" w:type="pct"/>
            <w:shd w:val="clear" w:color="auto" w:fill="BFBFBF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D52ED6">
              <w:rPr>
                <w:b/>
                <w:bCs/>
                <w:sz w:val="22"/>
                <w:szCs w:val="22"/>
                <w:lang w:val="en-US" w:eastAsia="zh-CN"/>
              </w:rPr>
              <w:t>Symbol</w:t>
            </w:r>
          </w:p>
        </w:tc>
        <w:tc>
          <w:tcPr>
            <w:tcW w:w="3419" w:type="pct"/>
            <w:shd w:val="clear" w:color="auto" w:fill="BFBFBF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D52ED6">
              <w:rPr>
                <w:b/>
                <w:bCs/>
                <w:sz w:val="22"/>
                <w:szCs w:val="22"/>
                <w:lang w:val="en-US" w:eastAsia="zh-CN"/>
              </w:rPr>
              <w:t>CCMs</w:t>
            </w:r>
          </w:p>
        </w:tc>
      </w:tr>
      <w:tr w:rsidR="005F6468" w:rsidRPr="00D52ED6" w:rsidTr="005F6468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Australia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Canada </w:t>
            </w:r>
            <w:r w:rsidR="002A669F" w:rsidRPr="00D52ED6">
              <w:rPr>
                <w:sz w:val="22"/>
                <w:szCs w:val="22"/>
                <w:lang w:val="en-US" w:eastAsia="zh-CN"/>
              </w:rPr>
              <w:t>Rev 1 (22 June 2016)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China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Cook Islands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European Union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Federated States of Micronesia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Fiji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6450D1" w:rsidP="00D52ED6">
            <w:pPr>
              <w:adjustRightInd w:val="0"/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sz w:val="22"/>
                <w:szCs w:val="22"/>
                <w:lang w:val="en-US" w:eastAsia="zh-CN"/>
              </w:rPr>
              <w:t>Covered by its territories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sz w:val="22"/>
                <w:szCs w:val="22"/>
                <w:lang w:val="en-US" w:eastAsia="zh-CN"/>
              </w:rPr>
              <w:t>France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AR-CCM-08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French Polynesia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AR-CCM-09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Indonesia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5F6468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Japan </w:t>
            </w:r>
            <w:r w:rsidR="00241911" w:rsidRPr="00D52ED6">
              <w:rPr>
                <w:sz w:val="22"/>
                <w:szCs w:val="22"/>
                <w:lang w:val="en-US" w:eastAsia="zh-CN"/>
              </w:rPr>
              <w:t>Rev 1 (5 July 2016_)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Kiribati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AR-CCM-12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D52ED6" w:rsidRDefault="004B38C4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Korea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Marshall Islands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Nauru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New Caledonia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New Zealand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Niue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Palau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AR-CCM-19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Papua New Guinea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Philippines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Samoa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Solomon Islands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Chinese Taipei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Tokelau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Tonga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Tuvalu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United States of America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AR-CCM-28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D52ED6" w:rsidRDefault="00CE2D87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Vanuatu </w:t>
            </w:r>
          </w:p>
        </w:tc>
      </w:tr>
      <w:tr w:rsidR="005F6468" w:rsidRPr="00D52ED6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</w:tcPr>
          <w:p w:rsidR="001A246D" w:rsidRPr="00D52ED6" w:rsidRDefault="00D3556C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AR-CC</w:t>
            </w:r>
            <w:r w:rsidR="007C2D3D" w:rsidRPr="00D52ED6">
              <w:rPr>
                <w:sz w:val="22"/>
                <w:szCs w:val="22"/>
                <w:lang w:val="en-US" w:eastAsia="zh-CN"/>
              </w:rPr>
              <w:t>M-29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Wallis and Futuna</w:t>
            </w:r>
            <w:r w:rsidR="004871AA" w:rsidRPr="00D52ED6">
              <w:rPr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5F6468" w:rsidRPr="00D52ED6" w:rsidTr="00CE2D87">
        <w:trPr>
          <w:trHeight w:val="300"/>
        </w:trPr>
        <w:tc>
          <w:tcPr>
            <w:tcW w:w="1581" w:type="pct"/>
            <w:vMerge w:val="restart"/>
            <w:shd w:val="clear" w:color="auto" w:fill="auto"/>
            <w:noWrap/>
            <w:vAlign w:val="center"/>
            <w:hideMark/>
          </w:tcPr>
          <w:p w:rsidR="001A246D" w:rsidRPr="00D52ED6" w:rsidRDefault="006450D1" w:rsidP="00D52ED6">
            <w:pPr>
              <w:adjustRightInd w:val="0"/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sz w:val="22"/>
                <w:szCs w:val="22"/>
                <w:lang w:val="en-US" w:eastAsia="zh-CN"/>
              </w:rPr>
              <w:lastRenderedPageBreak/>
              <w:t>Covered by USA Annual Report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iCs/>
                <w:sz w:val="22"/>
                <w:szCs w:val="22"/>
                <w:lang w:val="en-US" w:eastAsia="zh-CN"/>
              </w:rPr>
              <w:t>American Samoa</w:t>
            </w:r>
          </w:p>
        </w:tc>
      </w:tr>
      <w:tr w:rsidR="005F6468" w:rsidRPr="00D52ED6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iCs/>
                <w:sz w:val="22"/>
                <w:szCs w:val="22"/>
                <w:lang w:val="en-US" w:eastAsia="zh-CN"/>
              </w:rPr>
              <w:t>Guam</w:t>
            </w:r>
          </w:p>
        </w:tc>
      </w:tr>
      <w:tr w:rsidR="005F6468" w:rsidRPr="00D52ED6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D52ED6" w:rsidRDefault="001A246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D52ED6">
              <w:rPr>
                <w:i/>
                <w:iCs/>
                <w:sz w:val="22"/>
                <w:szCs w:val="22"/>
                <w:lang w:val="en-US" w:eastAsia="zh-CN"/>
              </w:rPr>
              <w:t>Northern Mariana Islands</w:t>
            </w:r>
          </w:p>
        </w:tc>
      </w:tr>
      <w:tr w:rsidR="005F6468" w:rsidRPr="00D52ED6" w:rsidTr="00653E22">
        <w:trPr>
          <w:trHeight w:val="373"/>
        </w:trPr>
        <w:tc>
          <w:tcPr>
            <w:tcW w:w="1581" w:type="pct"/>
            <w:shd w:val="clear" w:color="auto" w:fill="auto"/>
            <w:noWrap/>
            <w:hideMark/>
          </w:tcPr>
          <w:p w:rsidR="00BF295C" w:rsidRPr="00D52ED6" w:rsidRDefault="00BF295C" w:rsidP="00D52ED6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D52ED6">
              <w:rPr>
                <w:sz w:val="22"/>
                <w:szCs w:val="22"/>
              </w:rPr>
              <w:t>AR-CNM-30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BF295C" w:rsidRPr="00D52ED6" w:rsidRDefault="00BF295C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rFonts w:eastAsia="Malgun Gothic"/>
                <w:sz w:val="22"/>
                <w:szCs w:val="22"/>
                <w:lang w:val="en-US" w:eastAsia="ko-KR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>Ecuador</w:t>
            </w:r>
          </w:p>
        </w:tc>
      </w:tr>
      <w:tr w:rsidR="005F6468" w:rsidRPr="00D52ED6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D52ED6" w:rsidRDefault="00BF295C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AR-CNM-31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BF295C" w:rsidRPr="00D52ED6" w:rsidRDefault="00BF295C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b/>
                <w:bCs/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  <w:lang w:val="en-US" w:eastAsia="zh-CN"/>
              </w:rPr>
              <w:t xml:space="preserve">El Salvador </w:t>
            </w:r>
          </w:p>
        </w:tc>
      </w:tr>
      <w:tr w:rsidR="005F6468" w:rsidRPr="00D52ED6" w:rsidTr="00E20C0C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D52ED6" w:rsidRDefault="00BF295C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</w:t>
            </w:r>
            <w:r w:rsidR="00882CAC" w:rsidRPr="00D52ED6">
              <w:rPr>
                <w:sz w:val="22"/>
                <w:szCs w:val="22"/>
              </w:rPr>
              <w:t>2</w:t>
            </w:r>
          </w:p>
        </w:tc>
        <w:tc>
          <w:tcPr>
            <w:tcW w:w="3419" w:type="pct"/>
            <w:shd w:val="clear" w:color="auto" w:fill="auto"/>
          </w:tcPr>
          <w:p w:rsidR="00BF295C" w:rsidRPr="00D52ED6" w:rsidRDefault="00081B4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</w:rPr>
              <w:t>Liberia</w:t>
            </w:r>
          </w:p>
        </w:tc>
      </w:tr>
      <w:tr w:rsidR="00081B4D" w:rsidRPr="00D52ED6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</w:t>
            </w:r>
            <w:r w:rsidR="00882CAC" w:rsidRPr="00D52ED6">
              <w:rPr>
                <w:sz w:val="22"/>
                <w:szCs w:val="22"/>
              </w:rPr>
              <w:t>3</w:t>
            </w:r>
          </w:p>
        </w:tc>
        <w:tc>
          <w:tcPr>
            <w:tcW w:w="3419" w:type="pct"/>
            <w:shd w:val="clear" w:color="auto" w:fill="auto"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D52ED6">
              <w:rPr>
                <w:sz w:val="22"/>
                <w:szCs w:val="22"/>
              </w:rPr>
              <w:t>Mexico</w:t>
            </w:r>
          </w:p>
        </w:tc>
      </w:tr>
      <w:tr w:rsidR="00081B4D" w:rsidRPr="00D52ED6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</w:t>
            </w:r>
            <w:r w:rsidR="00882CAC" w:rsidRPr="00D52ED6">
              <w:rPr>
                <w:rFonts w:eastAsia="Malgun Gothic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419" w:type="pct"/>
            <w:shd w:val="clear" w:color="auto" w:fill="auto"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Panama </w:t>
            </w:r>
          </w:p>
        </w:tc>
      </w:tr>
      <w:tr w:rsidR="00081B4D" w:rsidRPr="00D52ED6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</w:t>
            </w:r>
            <w:r w:rsidR="00882CAC" w:rsidRPr="00D52ED6">
              <w:rPr>
                <w:rFonts w:eastAsia="Malgun Gothic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419" w:type="pct"/>
            <w:shd w:val="clear" w:color="auto" w:fill="auto"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Thailand</w:t>
            </w:r>
          </w:p>
        </w:tc>
      </w:tr>
      <w:tr w:rsidR="00081B4D" w:rsidRPr="00D52ED6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AR-CNM-3</w:t>
            </w:r>
            <w:r w:rsidR="00882CAC" w:rsidRPr="00D52ED6">
              <w:rPr>
                <w:sz w:val="22"/>
                <w:szCs w:val="22"/>
              </w:rPr>
              <w:t>6</w:t>
            </w:r>
          </w:p>
        </w:tc>
        <w:tc>
          <w:tcPr>
            <w:tcW w:w="3419" w:type="pct"/>
            <w:shd w:val="clear" w:color="auto" w:fill="auto"/>
          </w:tcPr>
          <w:p w:rsidR="00081B4D" w:rsidRPr="00D52ED6" w:rsidRDefault="00081B4D" w:rsidP="00D52ED6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 xml:space="preserve">Vietnam </w:t>
            </w:r>
          </w:p>
        </w:tc>
      </w:tr>
    </w:tbl>
    <w:p w:rsidR="00FF3F21" w:rsidRPr="00D52ED6" w:rsidRDefault="00FF3F21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lang w:val="en-NZ"/>
        </w:rPr>
      </w:pPr>
    </w:p>
    <w:p w:rsidR="00DA21B5" w:rsidRPr="00D52ED6" w:rsidRDefault="00DA21B5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D52ED6">
        <w:rPr>
          <w:b/>
          <w:bCs/>
          <w:sz w:val="22"/>
          <w:szCs w:val="22"/>
          <w:u w:val="single"/>
          <w:lang w:val="en-NZ"/>
        </w:rPr>
        <w:t>NGO and Others</w:t>
      </w:r>
    </w:p>
    <w:p w:rsidR="00FF3F21" w:rsidRPr="00D52ED6" w:rsidRDefault="00FF3F21" w:rsidP="00D52ED6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76"/>
      </w:tblGrid>
      <w:tr w:rsidR="005F6468" w:rsidRPr="00D52ED6" w:rsidTr="00A075AB">
        <w:tc>
          <w:tcPr>
            <w:tcW w:w="5000" w:type="pct"/>
            <w:vAlign w:val="center"/>
          </w:tcPr>
          <w:p w:rsidR="00FF3F21" w:rsidRPr="00D52ED6" w:rsidRDefault="00BC725E" w:rsidP="00D52ED6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Pew Statement for WPCPFC SC12</w:t>
            </w:r>
          </w:p>
        </w:tc>
      </w:tr>
      <w:tr w:rsidR="005F6468" w:rsidRPr="00D52ED6" w:rsidTr="003631B6">
        <w:tc>
          <w:tcPr>
            <w:tcW w:w="5000" w:type="pct"/>
          </w:tcPr>
          <w:p w:rsidR="00952806" w:rsidRPr="00D52ED6" w:rsidRDefault="00BC725E" w:rsidP="00D52ED6">
            <w:pPr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WWF Statement to WCPFC SC12</w:t>
            </w:r>
          </w:p>
        </w:tc>
      </w:tr>
      <w:tr w:rsidR="00B51DE1" w:rsidRPr="00D52ED6" w:rsidTr="003631B6">
        <w:tc>
          <w:tcPr>
            <w:tcW w:w="5000" w:type="pct"/>
          </w:tcPr>
          <w:p w:rsidR="00B51DE1" w:rsidRPr="00D52ED6" w:rsidRDefault="00B51DE1" w:rsidP="00D52ED6">
            <w:pPr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WWF Statement SPALB TRP CMM (English)</w:t>
            </w:r>
          </w:p>
        </w:tc>
      </w:tr>
      <w:tr w:rsidR="00B51DE1" w:rsidRPr="005F6468" w:rsidTr="003631B6">
        <w:tc>
          <w:tcPr>
            <w:tcW w:w="5000" w:type="pct"/>
          </w:tcPr>
          <w:p w:rsidR="00B51DE1" w:rsidRDefault="00B51DE1" w:rsidP="00D52ED6">
            <w:pPr>
              <w:rPr>
                <w:sz w:val="22"/>
                <w:szCs w:val="22"/>
              </w:rPr>
            </w:pPr>
            <w:r w:rsidRPr="00D52ED6">
              <w:rPr>
                <w:sz w:val="22"/>
                <w:szCs w:val="22"/>
              </w:rPr>
              <w:t>WWF Statement SPALB TRP CMM (Chinese)</w:t>
            </w:r>
          </w:p>
        </w:tc>
      </w:tr>
    </w:tbl>
    <w:p w:rsidR="00DA21B5" w:rsidRPr="005F6468" w:rsidRDefault="00DA21B5" w:rsidP="00D52ED6">
      <w:pPr>
        <w:tabs>
          <w:tab w:val="left" w:pos="0"/>
        </w:tabs>
        <w:adjustRightInd w:val="0"/>
        <w:snapToGrid w:val="0"/>
        <w:spacing w:before="60" w:after="60"/>
        <w:rPr>
          <w:rFonts w:eastAsia="Batang"/>
          <w:sz w:val="22"/>
          <w:szCs w:val="22"/>
          <w:lang w:val="en-NZ" w:eastAsia="ko-KR"/>
        </w:rPr>
      </w:pPr>
    </w:p>
    <w:sectPr w:rsidR="00DA21B5" w:rsidRPr="005F6468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00" w:rsidRDefault="00A56D00">
      <w:r>
        <w:separator/>
      </w:r>
    </w:p>
  </w:endnote>
  <w:endnote w:type="continuationSeparator" w:id="0">
    <w:p w:rsidR="00A56D00" w:rsidRDefault="00A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00" w:rsidRDefault="00A56D00">
      <w:r>
        <w:separator/>
      </w:r>
    </w:p>
  </w:footnote>
  <w:footnote w:type="continuationSeparator" w:id="0">
    <w:p w:rsidR="00A56D00" w:rsidRDefault="00A5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5"/>
  </w:num>
  <w:num w:numId="5">
    <w:abstractNumId w:val="11"/>
  </w:num>
  <w:num w:numId="6">
    <w:abstractNumId w:val="19"/>
  </w:num>
  <w:num w:numId="7">
    <w:abstractNumId w:val="17"/>
  </w:num>
  <w:num w:numId="8">
    <w:abstractNumId w:val="23"/>
  </w:num>
  <w:num w:numId="9">
    <w:abstractNumId w:val="6"/>
  </w:num>
  <w:num w:numId="10">
    <w:abstractNumId w:val="9"/>
  </w:num>
  <w:num w:numId="11">
    <w:abstractNumId w:val="27"/>
  </w:num>
  <w:num w:numId="12">
    <w:abstractNumId w:val="8"/>
  </w:num>
  <w:num w:numId="13">
    <w:abstractNumId w:val="25"/>
  </w:num>
  <w:num w:numId="14">
    <w:abstractNumId w:val="20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22"/>
  </w:num>
  <w:num w:numId="20">
    <w:abstractNumId w:val="0"/>
  </w:num>
  <w:num w:numId="21">
    <w:abstractNumId w:val="10"/>
  </w:num>
  <w:num w:numId="22">
    <w:abstractNumId w:val="2"/>
  </w:num>
  <w:num w:numId="23">
    <w:abstractNumId w:val="12"/>
  </w:num>
  <w:num w:numId="24">
    <w:abstractNumId w:val="5"/>
  </w:num>
  <w:num w:numId="25">
    <w:abstractNumId w:val="28"/>
  </w:num>
  <w:num w:numId="26">
    <w:abstractNumId w:val="1"/>
  </w:num>
  <w:num w:numId="27">
    <w:abstractNumId w:val="14"/>
  </w:num>
  <w:num w:numId="28">
    <w:abstractNumId w:val="7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4"/>
    <w:rsid w:val="00000466"/>
    <w:rsid w:val="000006E7"/>
    <w:rsid w:val="00000A17"/>
    <w:rsid w:val="00001EA8"/>
    <w:rsid w:val="000022B5"/>
    <w:rsid w:val="00002E28"/>
    <w:rsid w:val="0000309B"/>
    <w:rsid w:val="00003198"/>
    <w:rsid w:val="00004127"/>
    <w:rsid w:val="00005725"/>
    <w:rsid w:val="00005F3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16219"/>
    <w:rsid w:val="00020AA0"/>
    <w:rsid w:val="00020AB5"/>
    <w:rsid w:val="00020AE7"/>
    <w:rsid w:val="000220B1"/>
    <w:rsid w:val="000236AD"/>
    <w:rsid w:val="000241B9"/>
    <w:rsid w:val="000241FA"/>
    <w:rsid w:val="00025443"/>
    <w:rsid w:val="00027A20"/>
    <w:rsid w:val="000320BB"/>
    <w:rsid w:val="000335B3"/>
    <w:rsid w:val="00034F2B"/>
    <w:rsid w:val="000357E8"/>
    <w:rsid w:val="00036885"/>
    <w:rsid w:val="000379E9"/>
    <w:rsid w:val="0004254C"/>
    <w:rsid w:val="000428AC"/>
    <w:rsid w:val="00042A72"/>
    <w:rsid w:val="00043442"/>
    <w:rsid w:val="0004470E"/>
    <w:rsid w:val="00045D2E"/>
    <w:rsid w:val="000465CA"/>
    <w:rsid w:val="000471A2"/>
    <w:rsid w:val="00047785"/>
    <w:rsid w:val="00050045"/>
    <w:rsid w:val="000502E0"/>
    <w:rsid w:val="000511D1"/>
    <w:rsid w:val="00051243"/>
    <w:rsid w:val="0005151E"/>
    <w:rsid w:val="000526D7"/>
    <w:rsid w:val="00052ADD"/>
    <w:rsid w:val="000540A2"/>
    <w:rsid w:val="00055D41"/>
    <w:rsid w:val="00057D9F"/>
    <w:rsid w:val="0006244D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2D7C"/>
    <w:rsid w:val="00073FB5"/>
    <w:rsid w:val="00074FAE"/>
    <w:rsid w:val="00076C21"/>
    <w:rsid w:val="000771CA"/>
    <w:rsid w:val="0007781A"/>
    <w:rsid w:val="0008007E"/>
    <w:rsid w:val="000810BF"/>
    <w:rsid w:val="00081B4D"/>
    <w:rsid w:val="00081B68"/>
    <w:rsid w:val="00082069"/>
    <w:rsid w:val="000823EA"/>
    <w:rsid w:val="00084788"/>
    <w:rsid w:val="00090F17"/>
    <w:rsid w:val="000916A1"/>
    <w:rsid w:val="000933D3"/>
    <w:rsid w:val="00093ACB"/>
    <w:rsid w:val="00093B0E"/>
    <w:rsid w:val="00093CCE"/>
    <w:rsid w:val="0009566F"/>
    <w:rsid w:val="00097A0B"/>
    <w:rsid w:val="00097F84"/>
    <w:rsid w:val="000A1C88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372"/>
    <w:rsid w:val="000B1793"/>
    <w:rsid w:val="000B2E80"/>
    <w:rsid w:val="000B4818"/>
    <w:rsid w:val="000B672A"/>
    <w:rsid w:val="000B7590"/>
    <w:rsid w:val="000B7958"/>
    <w:rsid w:val="000C19D8"/>
    <w:rsid w:val="000C1B19"/>
    <w:rsid w:val="000C27E1"/>
    <w:rsid w:val="000C2DC6"/>
    <w:rsid w:val="000C3988"/>
    <w:rsid w:val="000C3DD5"/>
    <w:rsid w:val="000C4AFD"/>
    <w:rsid w:val="000C4E39"/>
    <w:rsid w:val="000C5646"/>
    <w:rsid w:val="000C5EBC"/>
    <w:rsid w:val="000D0B78"/>
    <w:rsid w:val="000D0FD4"/>
    <w:rsid w:val="000D1163"/>
    <w:rsid w:val="000D116C"/>
    <w:rsid w:val="000D2CE7"/>
    <w:rsid w:val="000D3758"/>
    <w:rsid w:val="000D4397"/>
    <w:rsid w:val="000D4784"/>
    <w:rsid w:val="000D4798"/>
    <w:rsid w:val="000D495D"/>
    <w:rsid w:val="000D542F"/>
    <w:rsid w:val="000D614B"/>
    <w:rsid w:val="000D68BD"/>
    <w:rsid w:val="000D6E4E"/>
    <w:rsid w:val="000D7DFA"/>
    <w:rsid w:val="000E0098"/>
    <w:rsid w:val="000E0E32"/>
    <w:rsid w:val="000E1CEC"/>
    <w:rsid w:val="000E228E"/>
    <w:rsid w:val="000E2A71"/>
    <w:rsid w:val="000E3447"/>
    <w:rsid w:val="000E3EE6"/>
    <w:rsid w:val="000E4BA8"/>
    <w:rsid w:val="000E4E0E"/>
    <w:rsid w:val="000E5D5B"/>
    <w:rsid w:val="000E639E"/>
    <w:rsid w:val="000E65C7"/>
    <w:rsid w:val="000E688D"/>
    <w:rsid w:val="000E7258"/>
    <w:rsid w:val="000E7BBF"/>
    <w:rsid w:val="000F1C74"/>
    <w:rsid w:val="000F4F5D"/>
    <w:rsid w:val="000F5701"/>
    <w:rsid w:val="000F6643"/>
    <w:rsid w:val="00100E53"/>
    <w:rsid w:val="00102753"/>
    <w:rsid w:val="0010287E"/>
    <w:rsid w:val="00102E3D"/>
    <w:rsid w:val="00104514"/>
    <w:rsid w:val="0010527A"/>
    <w:rsid w:val="00106046"/>
    <w:rsid w:val="001106F7"/>
    <w:rsid w:val="0011132B"/>
    <w:rsid w:val="00112E4E"/>
    <w:rsid w:val="001136C4"/>
    <w:rsid w:val="00115F37"/>
    <w:rsid w:val="001169CC"/>
    <w:rsid w:val="001172EC"/>
    <w:rsid w:val="00117870"/>
    <w:rsid w:val="00117DB6"/>
    <w:rsid w:val="00120BA7"/>
    <w:rsid w:val="00121B57"/>
    <w:rsid w:val="001228E9"/>
    <w:rsid w:val="00123032"/>
    <w:rsid w:val="00123BA7"/>
    <w:rsid w:val="00123DFF"/>
    <w:rsid w:val="00125A7E"/>
    <w:rsid w:val="001264D9"/>
    <w:rsid w:val="001269F3"/>
    <w:rsid w:val="00126D0B"/>
    <w:rsid w:val="001278D2"/>
    <w:rsid w:val="00127B45"/>
    <w:rsid w:val="00127CD9"/>
    <w:rsid w:val="00130685"/>
    <w:rsid w:val="00131A09"/>
    <w:rsid w:val="0013332C"/>
    <w:rsid w:val="001353B7"/>
    <w:rsid w:val="001357A2"/>
    <w:rsid w:val="00136AC2"/>
    <w:rsid w:val="00136EF2"/>
    <w:rsid w:val="001409C8"/>
    <w:rsid w:val="00140EE2"/>
    <w:rsid w:val="001414FC"/>
    <w:rsid w:val="00141C24"/>
    <w:rsid w:val="00141D73"/>
    <w:rsid w:val="00141D80"/>
    <w:rsid w:val="0014421D"/>
    <w:rsid w:val="001449B0"/>
    <w:rsid w:val="001449F4"/>
    <w:rsid w:val="00144A29"/>
    <w:rsid w:val="00145F41"/>
    <w:rsid w:val="001478C1"/>
    <w:rsid w:val="00147F6D"/>
    <w:rsid w:val="0015089A"/>
    <w:rsid w:val="00150A4D"/>
    <w:rsid w:val="00150C58"/>
    <w:rsid w:val="00151121"/>
    <w:rsid w:val="001524D5"/>
    <w:rsid w:val="001527C5"/>
    <w:rsid w:val="001531CF"/>
    <w:rsid w:val="001534EB"/>
    <w:rsid w:val="001548B5"/>
    <w:rsid w:val="00154E2F"/>
    <w:rsid w:val="00155682"/>
    <w:rsid w:val="00160865"/>
    <w:rsid w:val="0016164C"/>
    <w:rsid w:val="00161E9D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0A80"/>
    <w:rsid w:val="001713C4"/>
    <w:rsid w:val="0017255D"/>
    <w:rsid w:val="00172825"/>
    <w:rsid w:val="00173114"/>
    <w:rsid w:val="00173287"/>
    <w:rsid w:val="00174AEB"/>
    <w:rsid w:val="00175394"/>
    <w:rsid w:val="00175EF4"/>
    <w:rsid w:val="00176E6E"/>
    <w:rsid w:val="00177757"/>
    <w:rsid w:val="00181082"/>
    <w:rsid w:val="001810F3"/>
    <w:rsid w:val="00181116"/>
    <w:rsid w:val="001817C2"/>
    <w:rsid w:val="0018289D"/>
    <w:rsid w:val="00183767"/>
    <w:rsid w:val="001841E3"/>
    <w:rsid w:val="0018650A"/>
    <w:rsid w:val="00186EC0"/>
    <w:rsid w:val="001875E5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A7C8B"/>
    <w:rsid w:val="001B0732"/>
    <w:rsid w:val="001B104F"/>
    <w:rsid w:val="001B1865"/>
    <w:rsid w:val="001B26E0"/>
    <w:rsid w:val="001B373E"/>
    <w:rsid w:val="001B4949"/>
    <w:rsid w:val="001B55E4"/>
    <w:rsid w:val="001B6286"/>
    <w:rsid w:val="001B6861"/>
    <w:rsid w:val="001B7F34"/>
    <w:rsid w:val="001C1FA4"/>
    <w:rsid w:val="001C25DE"/>
    <w:rsid w:val="001C28A7"/>
    <w:rsid w:val="001C4F9B"/>
    <w:rsid w:val="001C636B"/>
    <w:rsid w:val="001C68F7"/>
    <w:rsid w:val="001C6A74"/>
    <w:rsid w:val="001C73CE"/>
    <w:rsid w:val="001D02FD"/>
    <w:rsid w:val="001D0590"/>
    <w:rsid w:val="001D2E7D"/>
    <w:rsid w:val="001D30D1"/>
    <w:rsid w:val="001D447C"/>
    <w:rsid w:val="001D4CC8"/>
    <w:rsid w:val="001D5D5B"/>
    <w:rsid w:val="001D6610"/>
    <w:rsid w:val="001D6977"/>
    <w:rsid w:val="001E08B4"/>
    <w:rsid w:val="001E12B6"/>
    <w:rsid w:val="001E1955"/>
    <w:rsid w:val="001E1BC7"/>
    <w:rsid w:val="001E391F"/>
    <w:rsid w:val="001E3B61"/>
    <w:rsid w:val="001E45B1"/>
    <w:rsid w:val="001E589B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1F6586"/>
    <w:rsid w:val="0020008C"/>
    <w:rsid w:val="002000CD"/>
    <w:rsid w:val="00200FB5"/>
    <w:rsid w:val="00201068"/>
    <w:rsid w:val="002024E2"/>
    <w:rsid w:val="00202E3A"/>
    <w:rsid w:val="00203392"/>
    <w:rsid w:val="00203556"/>
    <w:rsid w:val="00203DB9"/>
    <w:rsid w:val="00203F3F"/>
    <w:rsid w:val="00204EC0"/>
    <w:rsid w:val="00205A43"/>
    <w:rsid w:val="0020686F"/>
    <w:rsid w:val="00207719"/>
    <w:rsid w:val="0021106F"/>
    <w:rsid w:val="002122DA"/>
    <w:rsid w:val="002135AE"/>
    <w:rsid w:val="00217567"/>
    <w:rsid w:val="00217686"/>
    <w:rsid w:val="002177C6"/>
    <w:rsid w:val="002177FF"/>
    <w:rsid w:val="00217BC2"/>
    <w:rsid w:val="00217F92"/>
    <w:rsid w:val="00220303"/>
    <w:rsid w:val="002243D6"/>
    <w:rsid w:val="00225369"/>
    <w:rsid w:val="002265F8"/>
    <w:rsid w:val="00226D4E"/>
    <w:rsid w:val="00227AC8"/>
    <w:rsid w:val="00227DC9"/>
    <w:rsid w:val="00230772"/>
    <w:rsid w:val="002340CA"/>
    <w:rsid w:val="00235591"/>
    <w:rsid w:val="00240169"/>
    <w:rsid w:val="00240ECD"/>
    <w:rsid w:val="00241911"/>
    <w:rsid w:val="002429BC"/>
    <w:rsid w:val="00242AA9"/>
    <w:rsid w:val="00244062"/>
    <w:rsid w:val="00244714"/>
    <w:rsid w:val="0024506D"/>
    <w:rsid w:val="00245DF1"/>
    <w:rsid w:val="002462CF"/>
    <w:rsid w:val="002466F4"/>
    <w:rsid w:val="0024696F"/>
    <w:rsid w:val="0024705C"/>
    <w:rsid w:val="00247B7E"/>
    <w:rsid w:val="00250457"/>
    <w:rsid w:val="00250F4E"/>
    <w:rsid w:val="00251273"/>
    <w:rsid w:val="00251B2C"/>
    <w:rsid w:val="00251CB5"/>
    <w:rsid w:val="00252090"/>
    <w:rsid w:val="00252C71"/>
    <w:rsid w:val="00253159"/>
    <w:rsid w:val="00254805"/>
    <w:rsid w:val="002568AE"/>
    <w:rsid w:val="00261E00"/>
    <w:rsid w:val="0026240C"/>
    <w:rsid w:val="00264BF1"/>
    <w:rsid w:val="00267338"/>
    <w:rsid w:val="002702C6"/>
    <w:rsid w:val="00270F0A"/>
    <w:rsid w:val="002718B9"/>
    <w:rsid w:val="002721D6"/>
    <w:rsid w:val="00272B84"/>
    <w:rsid w:val="0027493B"/>
    <w:rsid w:val="00274989"/>
    <w:rsid w:val="00274B80"/>
    <w:rsid w:val="002758B0"/>
    <w:rsid w:val="00275E8B"/>
    <w:rsid w:val="002770C8"/>
    <w:rsid w:val="00277AB3"/>
    <w:rsid w:val="00280016"/>
    <w:rsid w:val="00280054"/>
    <w:rsid w:val="002803B5"/>
    <w:rsid w:val="00280432"/>
    <w:rsid w:val="00280D60"/>
    <w:rsid w:val="00282FE9"/>
    <w:rsid w:val="002830B8"/>
    <w:rsid w:val="002830F6"/>
    <w:rsid w:val="00283181"/>
    <w:rsid w:val="00285849"/>
    <w:rsid w:val="0029078E"/>
    <w:rsid w:val="00291538"/>
    <w:rsid w:val="00291693"/>
    <w:rsid w:val="00291CA9"/>
    <w:rsid w:val="00293C24"/>
    <w:rsid w:val="00294998"/>
    <w:rsid w:val="0029516A"/>
    <w:rsid w:val="002957EB"/>
    <w:rsid w:val="00296529"/>
    <w:rsid w:val="00296540"/>
    <w:rsid w:val="00296837"/>
    <w:rsid w:val="00296CEA"/>
    <w:rsid w:val="00296F67"/>
    <w:rsid w:val="0029746B"/>
    <w:rsid w:val="002A01AE"/>
    <w:rsid w:val="002A01F6"/>
    <w:rsid w:val="002A0C54"/>
    <w:rsid w:val="002A0C5A"/>
    <w:rsid w:val="002A10F5"/>
    <w:rsid w:val="002A4472"/>
    <w:rsid w:val="002A4B6A"/>
    <w:rsid w:val="002A537B"/>
    <w:rsid w:val="002A58C6"/>
    <w:rsid w:val="002A5F9C"/>
    <w:rsid w:val="002A64E9"/>
    <w:rsid w:val="002A669F"/>
    <w:rsid w:val="002A6D14"/>
    <w:rsid w:val="002B0C9C"/>
    <w:rsid w:val="002B1534"/>
    <w:rsid w:val="002B1CBC"/>
    <w:rsid w:val="002B36B5"/>
    <w:rsid w:val="002B44F3"/>
    <w:rsid w:val="002B4564"/>
    <w:rsid w:val="002B5718"/>
    <w:rsid w:val="002B60CE"/>
    <w:rsid w:val="002B64AE"/>
    <w:rsid w:val="002B6F6A"/>
    <w:rsid w:val="002B6F79"/>
    <w:rsid w:val="002B70EF"/>
    <w:rsid w:val="002B7F8E"/>
    <w:rsid w:val="002C1264"/>
    <w:rsid w:val="002C39F8"/>
    <w:rsid w:val="002C3E0D"/>
    <w:rsid w:val="002C7009"/>
    <w:rsid w:val="002D121F"/>
    <w:rsid w:val="002D1DE9"/>
    <w:rsid w:val="002D2053"/>
    <w:rsid w:val="002D2D63"/>
    <w:rsid w:val="002D4000"/>
    <w:rsid w:val="002D4A0C"/>
    <w:rsid w:val="002D521E"/>
    <w:rsid w:val="002D54E2"/>
    <w:rsid w:val="002D5855"/>
    <w:rsid w:val="002D6016"/>
    <w:rsid w:val="002D721E"/>
    <w:rsid w:val="002D7671"/>
    <w:rsid w:val="002E059A"/>
    <w:rsid w:val="002E1749"/>
    <w:rsid w:val="002E19C6"/>
    <w:rsid w:val="002E3646"/>
    <w:rsid w:val="002E45E8"/>
    <w:rsid w:val="002E47AC"/>
    <w:rsid w:val="002E4F3A"/>
    <w:rsid w:val="002E6896"/>
    <w:rsid w:val="002F02EF"/>
    <w:rsid w:val="002F09B6"/>
    <w:rsid w:val="002F1871"/>
    <w:rsid w:val="002F26D7"/>
    <w:rsid w:val="002F5863"/>
    <w:rsid w:val="002F5D1C"/>
    <w:rsid w:val="002F785D"/>
    <w:rsid w:val="003003E2"/>
    <w:rsid w:val="0030166B"/>
    <w:rsid w:val="00302B0D"/>
    <w:rsid w:val="003035F3"/>
    <w:rsid w:val="00303CCF"/>
    <w:rsid w:val="003053DE"/>
    <w:rsid w:val="0030554F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6BA4"/>
    <w:rsid w:val="003178F1"/>
    <w:rsid w:val="0031794D"/>
    <w:rsid w:val="003217F7"/>
    <w:rsid w:val="00321CF7"/>
    <w:rsid w:val="003229C7"/>
    <w:rsid w:val="00322B4A"/>
    <w:rsid w:val="00323173"/>
    <w:rsid w:val="00323E98"/>
    <w:rsid w:val="00324423"/>
    <w:rsid w:val="00325BAE"/>
    <w:rsid w:val="00326C27"/>
    <w:rsid w:val="00326DF1"/>
    <w:rsid w:val="0032728C"/>
    <w:rsid w:val="00327A67"/>
    <w:rsid w:val="00327E72"/>
    <w:rsid w:val="00331E45"/>
    <w:rsid w:val="00333F4E"/>
    <w:rsid w:val="0033465F"/>
    <w:rsid w:val="00335E7B"/>
    <w:rsid w:val="00336B2E"/>
    <w:rsid w:val="00336E92"/>
    <w:rsid w:val="00337B59"/>
    <w:rsid w:val="00337BAE"/>
    <w:rsid w:val="00340E6A"/>
    <w:rsid w:val="00341BEA"/>
    <w:rsid w:val="00342273"/>
    <w:rsid w:val="003459E6"/>
    <w:rsid w:val="003463DB"/>
    <w:rsid w:val="00346850"/>
    <w:rsid w:val="00346ECF"/>
    <w:rsid w:val="0034714B"/>
    <w:rsid w:val="0034726E"/>
    <w:rsid w:val="003473C4"/>
    <w:rsid w:val="00351E03"/>
    <w:rsid w:val="00354119"/>
    <w:rsid w:val="0035428A"/>
    <w:rsid w:val="00354290"/>
    <w:rsid w:val="00354AB7"/>
    <w:rsid w:val="00354DCB"/>
    <w:rsid w:val="00360753"/>
    <w:rsid w:val="003609A9"/>
    <w:rsid w:val="00361BAA"/>
    <w:rsid w:val="003631B6"/>
    <w:rsid w:val="0036361C"/>
    <w:rsid w:val="003636A3"/>
    <w:rsid w:val="00364D28"/>
    <w:rsid w:val="00364D31"/>
    <w:rsid w:val="00365A7B"/>
    <w:rsid w:val="00366004"/>
    <w:rsid w:val="0036629B"/>
    <w:rsid w:val="00366C3D"/>
    <w:rsid w:val="00367036"/>
    <w:rsid w:val="00371649"/>
    <w:rsid w:val="003721EE"/>
    <w:rsid w:val="00372D00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66B"/>
    <w:rsid w:val="00383C36"/>
    <w:rsid w:val="00384434"/>
    <w:rsid w:val="00385E0C"/>
    <w:rsid w:val="00386753"/>
    <w:rsid w:val="00387AE1"/>
    <w:rsid w:val="0039005C"/>
    <w:rsid w:val="00390751"/>
    <w:rsid w:val="00391535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4D"/>
    <w:rsid w:val="00396EED"/>
    <w:rsid w:val="00397B18"/>
    <w:rsid w:val="00397B4F"/>
    <w:rsid w:val="003A057E"/>
    <w:rsid w:val="003A36F9"/>
    <w:rsid w:val="003A4A57"/>
    <w:rsid w:val="003A535A"/>
    <w:rsid w:val="003A57BB"/>
    <w:rsid w:val="003A6E7D"/>
    <w:rsid w:val="003A74E9"/>
    <w:rsid w:val="003A7D38"/>
    <w:rsid w:val="003B04DE"/>
    <w:rsid w:val="003B188F"/>
    <w:rsid w:val="003B2EA9"/>
    <w:rsid w:val="003B359C"/>
    <w:rsid w:val="003B3678"/>
    <w:rsid w:val="003B3D31"/>
    <w:rsid w:val="003B46A4"/>
    <w:rsid w:val="003B4939"/>
    <w:rsid w:val="003B49DE"/>
    <w:rsid w:val="003B55E9"/>
    <w:rsid w:val="003B5A3F"/>
    <w:rsid w:val="003B753B"/>
    <w:rsid w:val="003B7D30"/>
    <w:rsid w:val="003C0F01"/>
    <w:rsid w:val="003C1243"/>
    <w:rsid w:val="003C208F"/>
    <w:rsid w:val="003C2EF2"/>
    <w:rsid w:val="003C4274"/>
    <w:rsid w:val="003C5929"/>
    <w:rsid w:val="003C671D"/>
    <w:rsid w:val="003C6C35"/>
    <w:rsid w:val="003C70A6"/>
    <w:rsid w:val="003D014E"/>
    <w:rsid w:val="003D05D1"/>
    <w:rsid w:val="003D2C19"/>
    <w:rsid w:val="003D4E45"/>
    <w:rsid w:val="003D5872"/>
    <w:rsid w:val="003D67B8"/>
    <w:rsid w:val="003D6CA6"/>
    <w:rsid w:val="003E1B7A"/>
    <w:rsid w:val="003E366F"/>
    <w:rsid w:val="003E5B11"/>
    <w:rsid w:val="003E5C82"/>
    <w:rsid w:val="003E6035"/>
    <w:rsid w:val="003E6240"/>
    <w:rsid w:val="003E7BA4"/>
    <w:rsid w:val="003F0F66"/>
    <w:rsid w:val="003F2589"/>
    <w:rsid w:val="003F29ED"/>
    <w:rsid w:val="003F2A3E"/>
    <w:rsid w:val="003F4799"/>
    <w:rsid w:val="003F4C52"/>
    <w:rsid w:val="003F502C"/>
    <w:rsid w:val="003F5523"/>
    <w:rsid w:val="003F5AE5"/>
    <w:rsid w:val="003F5B1C"/>
    <w:rsid w:val="003F5BF5"/>
    <w:rsid w:val="003F60A8"/>
    <w:rsid w:val="003F75CD"/>
    <w:rsid w:val="0040016A"/>
    <w:rsid w:val="00400495"/>
    <w:rsid w:val="00401635"/>
    <w:rsid w:val="004024DC"/>
    <w:rsid w:val="00402987"/>
    <w:rsid w:val="00403197"/>
    <w:rsid w:val="004033A3"/>
    <w:rsid w:val="00404B9C"/>
    <w:rsid w:val="004069F6"/>
    <w:rsid w:val="00406CAF"/>
    <w:rsid w:val="004117FC"/>
    <w:rsid w:val="00412128"/>
    <w:rsid w:val="004125DE"/>
    <w:rsid w:val="00412617"/>
    <w:rsid w:val="00413AB2"/>
    <w:rsid w:val="00414681"/>
    <w:rsid w:val="004162C4"/>
    <w:rsid w:val="0041722F"/>
    <w:rsid w:val="004204B6"/>
    <w:rsid w:val="00421707"/>
    <w:rsid w:val="00422670"/>
    <w:rsid w:val="00423D37"/>
    <w:rsid w:val="0042403F"/>
    <w:rsid w:val="00427F97"/>
    <w:rsid w:val="00431193"/>
    <w:rsid w:val="00434759"/>
    <w:rsid w:val="00435815"/>
    <w:rsid w:val="004367AE"/>
    <w:rsid w:val="00437A91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68F6"/>
    <w:rsid w:val="00446D67"/>
    <w:rsid w:val="00447042"/>
    <w:rsid w:val="00447285"/>
    <w:rsid w:val="00447C5A"/>
    <w:rsid w:val="00450540"/>
    <w:rsid w:val="004529CE"/>
    <w:rsid w:val="00452E42"/>
    <w:rsid w:val="00453A39"/>
    <w:rsid w:val="00454C24"/>
    <w:rsid w:val="00454F73"/>
    <w:rsid w:val="00455554"/>
    <w:rsid w:val="00455826"/>
    <w:rsid w:val="00455A36"/>
    <w:rsid w:val="00455E42"/>
    <w:rsid w:val="00457021"/>
    <w:rsid w:val="004608F8"/>
    <w:rsid w:val="00460E8C"/>
    <w:rsid w:val="004613F8"/>
    <w:rsid w:val="004626E7"/>
    <w:rsid w:val="0046460A"/>
    <w:rsid w:val="00465823"/>
    <w:rsid w:val="004666C0"/>
    <w:rsid w:val="00470544"/>
    <w:rsid w:val="0047133D"/>
    <w:rsid w:val="004729B9"/>
    <w:rsid w:val="00472ED5"/>
    <w:rsid w:val="004738FC"/>
    <w:rsid w:val="00473ADD"/>
    <w:rsid w:val="00475A8F"/>
    <w:rsid w:val="00475F52"/>
    <w:rsid w:val="00476563"/>
    <w:rsid w:val="00476B1F"/>
    <w:rsid w:val="00476CFD"/>
    <w:rsid w:val="00477215"/>
    <w:rsid w:val="00477E18"/>
    <w:rsid w:val="00480C49"/>
    <w:rsid w:val="004812A3"/>
    <w:rsid w:val="004823E7"/>
    <w:rsid w:val="00482C01"/>
    <w:rsid w:val="00483321"/>
    <w:rsid w:val="00484C94"/>
    <w:rsid w:val="004859ED"/>
    <w:rsid w:val="004871AA"/>
    <w:rsid w:val="00487FCC"/>
    <w:rsid w:val="00492574"/>
    <w:rsid w:val="00495EF4"/>
    <w:rsid w:val="004A0F2D"/>
    <w:rsid w:val="004A1496"/>
    <w:rsid w:val="004A5A10"/>
    <w:rsid w:val="004A5AEF"/>
    <w:rsid w:val="004A679B"/>
    <w:rsid w:val="004B1229"/>
    <w:rsid w:val="004B38C4"/>
    <w:rsid w:val="004B64D4"/>
    <w:rsid w:val="004B6F85"/>
    <w:rsid w:val="004B760B"/>
    <w:rsid w:val="004B7763"/>
    <w:rsid w:val="004C1633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237B"/>
    <w:rsid w:val="004D38DF"/>
    <w:rsid w:val="004D48AE"/>
    <w:rsid w:val="004D5584"/>
    <w:rsid w:val="004D5B00"/>
    <w:rsid w:val="004D6621"/>
    <w:rsid w:val="004E2A08"/>
    <w:rsid w:val="004E2C3C"/>
    <w:rsid w:val="004E309F"/>
    <w:rsid w:val="004E42F9"/>
    <w:rsid w:val="004E4FEC"/>
    <w:rsid w:val="004E5DDE"/>
    <w:rsid w:val="004E60D0"/>
    <w:rsid w:val="004E75C6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4F7642"/>
    <w:rsid w:val="005011C4"/>
    <w:rsid w:val="00501669"/>
    <w:rsid w:val="005026CA"/>
    <w:rsid w:val="0050349C"/>
    <w:rsid w:val="00504699"/>
    <w:rsid w:val="005052B5"/>
    <w:rsid w:val="00506653"/>
    <w:rsid w:val="00506B1C"/>
    <w:rsid w:val="00507B5F"/>
    <w:rsid w:val="00507BCF"/>
    <w:rsid w:val="00512C36"/>
    <w:rsid w:val="00512E06"/>
    <w:rsid w:val="00512F39"/>
    <w:rsid w:val="00513587"/>
    <w:rsid w:val="00514B9F"/>
    <w:rsid w:val="005150F5"/>
    <w:rsid w:val="00515424"/>
    <w:rsid w:val="005164A8"/>
    <w:rsid w:val="00516E1D"/>
    <w:rsid w:val="0051741B"/>
    <w:rsid w:val="0051763C"/>
    <w:rsid w:val="00517F97"/>
    <w:rsid w:val="0052150F"/>
    <w:rsid w:val="00521BB0"/>
    <w:rsid w:val="00523200"/>
    <w:rsid w:val="005232DE"/>
    <w:rsid w:val="00523BC7"/>
    <w:rsid w:val="00523EB6"/>
    <w:rsid w:val="00524052"/>
    <w:rsid w:val="00524275"/>
    <w:rsid w:val="00525C81"/>
    <w:rsid w:val="00527053"/>
    <w:rsid w:val="00527D22"/>
    <w:rsid w:val="005306A2"/>
    <w:rsid w:val="00530FE5"/>
    <w:rsid w:val="00533A9A"/>
    <w:rsid w:val="00535859"/>
    <w:rsid w:val="00536022"/>
    <w:rsid w:val="0053776D"/>
    <w:rsid w:val="00537E8D"/>
    <w:rsid w:val="00540A9E"/>
    <w:rsid w:val="0054137F"/>
    <w:rsid w:val="00541996"/>
    <w:rsid w:val="00541D63"/>
    <w:rsid w:val="005431C9"/>
    <w:rsid w:val="00544117"/>
    <w:rsid w:val="00544492"/>
    <w:rsid w:val="00544AC6"/>
    <w:rsid w:val="00545F81"/>
    <w:rsid w:val="00546147"/>
    <w:rsid w:val="0054635F"/>
    <w:rsid w:val="00547570"/>
    <w:rsid w:val="00547F20"/>
    <w:rsid w:val="00552728"/>
    <w:rsid w:val="005539A4"/>
    <w:rsid w:val="00555954"/>
    <w:rsid w:val="00556A5C"/>
    <w:rsid w:val="005574FA"/>
    <w:rsid w:val="00557CB8"/>
    <w:rsid w:val="00561489"/>
    <w:rsid w:val="00562E7A"/>
    <w:rsid w:val="00565466"/>
    <w:rsid w:val="00565FEF"/>
    <w:rsid w:val="005664AF"/>
    <w:rsid w:val="005667D0"/>
    <w:rsid w:val="00566FAB"/>
    <w:rsid w:val="005670BD"/>
    <w:rsid w:val="005673A7"/>
    <w:rsid w:val="00567D31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43D0"/>
    <w:rsid w:val="00597538"/>
    <w:rsid w:val="005A0A0D"/>
    <w:rsid w:val="005A207B"/>
    <w:rsid w:val="005A4977"/>
    <w:rsid w:val="005A4D6F"/>
    <w:rsid w:val="005A587A"/>
    <w:rsid w:val="005A6B4B"/>
    <w:rsid w:val="005A7B1B"/>
    <w:rsid w:val="005A7C90"/>
    <w:rsid w:val="005B1D95"/>
    <w:rsid w:val="005B25CF"/>
    <w:rsid w:val="005B3FB2"/>
    <w:rsid w:val="005B40C4"/>
    <w:rsid w:val="005B5AAD"/>
    <w:rsid w:val="005B6347"/>
    <w:rsid w:val="005B6517"/>
    <w:rsid w:val="005B6876"/>
    <w:rsid w:val="005B7AB1"/>
    <w:rsid w:val="005C24BF"/>
    <w:rsid w:val="005C31C7"/>
    <w:rsid w:val="005C32C8"/>
    <w:rsid w:val="005C367B"/>
    <w:rsid w:val="005C39FF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D7DD6"/>
    <w:rsid w:val="005E15BF"/>
    <w:rsid w:val="005E21E1"/>
    <w:rsid w:val="005E585C"/>
    <w:rsid w:val="005E7C71"/>
    <w:rsid w:val="005F0924"/>
    <w:rsid w:val="005F0C5E"/>
    <w:rsid w:val="005F1E43"/>
    <w:rsid w:val="005F2E0C"/>
    <w:rsid w:val="005F398C"/>
    <w:rsid w:val="005F4079"/>
    <w:rsid w:val="005F6468"/>
    <w:rsid w:val="005F666F"/>
    <w:rsid w:val="005F6C18"/>
    <w:rsid w:val="00605419"/>
    <w:rsid w:val="0060687D"/>
    <w:rsid w:val="00610736"/>
    <w:rsid w:val="0061194E"/>
    <w:rsid w:val="00615104"/>
    <w:rsid w:val="0061533B"/>
    <w:rsid w:val="006160C0"/>
    <w:rsid w:val="00617308"/>
    <w:rsid w:val="00622078"/>
    <w:rsid w:val="006230A4"/>
    <w:rsid w:val="00623209"/>
    <w:rsid w:val="00623800"/>
    <w:rsid w:val="00623A78"/>
    <w:rsid w:val="00624F56"/>
    <w:rsid w:val="00625C1D"/>
    <w:rsid w:val="00625C64"/>
    <w:rsid w:val="00626692"/>
    <w:rsid w:val="0062739A"/>
    <w:rsid w:val="006300A0"/>
    <w:rsid w:val="006305EB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8E8"/>
    <w:rsid w:val="00646A83"/>
    <w:rsid w:val="00651608"/>
    <w:rsid w:val="006519C1"/>
    <w:rsid w:val="0065207F"/>
    <w:rsid w:val="006523E1"/>
    <w:rsid w:val="00652A10"/>
    <w:rsid w:val="00652B66"/>
    <w:rsid w:val="00653E22"/>
    <w:rsid w:val="006540A3"/>
    <w:rsid w:val="00654570"/>
    <w:rsid w:val="00654D67"/>
    <w:rsid w:val="00654F7B"/>
    <w:rsid w:val="006553E5"/>
    <w:rsid w:val="00656AFE"/>
    <w:rsid w:val="00657153"/>
    <w:rsid w:val="00660AF0"/>
    <w:rsid w:val="00662422"/>
    <w:rsid w:val="0066456E"/>
    <w:rsid w:val="0066475F"/>
    <w:rsid w:val="00664AAF"/>
    <w:rsid w:val="0066716A"/>
    <w:rsid w:val="00667734"/>
    <w:rsid w:val="006677B2"/>
    <w:rsid w:val="00667C1A"/>
    <w:rsid w:val="00670DF6"/>
    <w:rsid w:val="0067123E"/>
    <w:rsid w:val="00671320"/>
    <w:rsid w:val="00674312"/>
    <w:rsid w:val="006750CD"/>
    <w:rsid w:val="00675847"/>
    <w:rsid w:val="00676187"/>
    <w:rsid w:val="00676BBD"/>
    <w:rsid w:val="006775F2"/>
    <w:rsid w:val="00680464"/>
    <w:rsid w:val="00680FE8"/>
    <w:rsid w:val="0068108A"/>
    <w:rsid w:val="0068197C"/>
    <w:rsid w:val="0068279A"/>
    <w:rsid w:val="0068507F"/>
    <w:rsid w:val="006854FA"/>
    <w:rsid w:val="00686D54"/>
    <w:rsid w:val="00687596"/>
    <w:rsid w:val="00690F34"/>
    <w:rsid w:val="00694950"/>
    <w:rsid w:val="00694A1C"/>
    <w:rsid w:val="006956A6"/>
    <w:rsid w:val="00696045"/>
    <w:rsid w:val="00696100"/>
    <w:rsid w:val="006965F4"/>
    <w:rsid w:val="006A1BE5"/>
    <w:rsid w:val="006A1E12"/>
    <w:rsid w:val="006A207E"/>
    <w:rsid w:val="006A2A69"/>
    <w:rsid w:val="006A328A"/>
    <w:rsid w:val="006A3F2C"/>
    <w:rsid w:val="006A5D8A"/>
    <w:rsid w:val="006A601F"/>
    <w:rsid w:val="006B002F"/>
    <w:rsid w:val="006B28E2"/>
    <w:rsid w:val="006B3063"/>
    <w:rsid w:val="006B3437"/>
    <w:rsid w:val="006B3CE0"/>
    <w:rsid w:val="006B498A"/>
    <w:rsid w:val="006B62DD"/>
    <w:rsid w:val="006B73A7"/>
    <w:rsid w:val="006B7A38"/>
    <w:rsid w:val="006B7C82"/>
    <w:rsid w:val="006C0BC3"/>
    <w:rsid w:val="006C16AF"/>
    <w:rsid w:val="006C7B97"/>
    <w:rsid w:val="006C7C99"/>
    <w:rsid w:val="006D15FF"/>
    <w:rsid w:val="006D1D3C"/>
    <w:rsid w:val="006D1FB4"/>
    <w:rsid w:val="006D2031"/>
    <w:rsid w:val="006D2584"/>
    <w:rsid w:val="006D272A"/>
    <w:rsid w:val="006D3088"/>
    <w:rsid w:val="006D4D0B"/>
    <w:rsid w:val="006D5036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5C67"/>
    <w:rsid w:val="006E64F6"/>
    <w:rsid w:val="006E7F25"/>
    <w:rsid w:val="006F1D6C"/>
    <w:rsid w:val="006F2988"/>
    <w:rsid w:val="006F2FB3"/>
    <w:rsid w:val="006F3A5C"/>
    <w:rsid w:val="006F3FD4"/>
    <w:rsid w:val="006F4820"/>
    <w:rsid w:val="006F5113"/>
    <w:rsid w:val="00700602"/>
    <w:rsid w:val="0070116D"/>
    <w:rsid w:val="007015A8"/>
    <w:rsid w:val="00702861"/>
    <w:rsid w:val="007030C9"/>
    <w:rsid w:val="00703E3A"/>
    <w:rsid w:val="007055F7"/>
    <w:rsid w:val="00707D9A"/>
    <w:rsid w:val="007100BC"/>
    <w:rsid w:val="0071115D"/>
    <w:rsid w:val="00712317"/>
    <w:rsid w:val="0071257C"/>
    <w:rsid w:val="007144E5"/>
    <w:rsid w:val="0071456F"/>
    <w:rsid w:val="00715DF6"/>
    <w:rsid w:val="00716365"/>
    <w:rsid w:val="007164AD"/>
    <w:rsid w:val="00717306"/>
    <w:rsid w:val="00720E13"/>
    <w:rsid w:val="00721CE5"/>
    <w:rsid w:val="007229BF"/>
    <w:rsid w:val="0072304F"/>
    <w:rsid w:val="007231DA"/>
    <w:rsid w:val="007235F1"/>
    <w:rsid w:val="00724564"/>
    <w:rsid w:val="007257E6"/>
    <w:rsid w:val="00726079"/>
    <w:rsid w:val="00726A93"/>
    <w:rsid w:val="007312DA"/>
    <w:rsid w:val="00731B16"/>
    <w:rsid w:val="00732AAF"/>
    <w:rsid w:val="00732F3F"/>
    <w:rsid w:val="0073364C"/>
    <w:rsid w:val="00734942"/>
    <w:rsid w:val="00734F76"/>
    <w:rsid w:val="00735198"/>
    <w:rsid w:val="007364DF"/>
    <w:rsid w:val="00736E57"/>
    <w:rsid w:val="00741AE3"/>
    <w:rsid w:val="00742E20"/>
    <w:rsid w:val="00743170"/>
    <w:rsid w:val="00743CD8"/>
    <w:rsid w:val="00744F83"/>
    <w:rsid w:val="007451E7"/>
    <w:rsid w:val="00745A2C"/>
    <w:rsid w:val="007467CD"/>
    <w:rsid w:val="00746CC2"/>
    <w:rsid w:val="0074768E"/>
    <w:rsid w:val="0075044F"/>
    <w:rsid w:val="007519E0"/>
    <w:rsid w:val="00752527"/>
    <w:rsid w:val="00753A08"/>
    <w:rsid w:val="00753BC3"/>
    <w:rsid w:val="007540E5"/>
    <w:rsid w:val="00756AEF"/>
    <w:rsid w:val="00756CEE"/>
    <w:rsid w:val="007579AE"/>
    <w:rsid w:val="00762532"/>
    <w:rsid w:val="00767717"/>
    <w:rsid w:val="00770069"/>
    <w:rsid w:val="00770DD2"/>
    <w:rsid w:val="007727ED"/>
    <w:rsid w:val="007734BA"/>
    <w:rsid w:val="00773688"/>
    <w:rsid w:val="00774A7A"/>
    <w:rsid w:val="00775020"/>
    <w:rsid w:val="0077505B"/>
    <w:rsid w:val="00775849"/>
    <w:rsid w:val="00776453"/>
    <w:rsid w:val="00776766"/>
    <w:rsid w:val="0077790B"/>
    <w:rsid w:val="007779F5"/>
    <w:rsid w:val="0078008F"/>
    <w:rsid w:val="00780137"/>
    <w:rsid w:val="0078296F"/>
    <w:rsid w:val="0078322C"/>
    <w:rsid w:val="007846B0"/>
    <w:rsid w:val="00784A6B"/>
    <w:rsid w:val="00786574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A0667"/>
    <w:rsid w:val="007A0C59"/>
    <w:rsid w:val="007A0DE3"/>
    <w:rsid w:val="007A164B"/>
    <w:rsid w:val="007A1AAA"/>
    <w:rsid w:val="007A2BF2"/>
    <w:rsid w:val="007A3514"/>
    <w:rsid w:val="007A47E0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2BEB"/>
    <w:rsid w:val="007B3EE2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961"/>
    <w:rsid w:val="007C2D3D"/>
    <w:rsid w:val="007C31BE"/>
    <w:rsid w:val="007C37F9"/>
    <w:rsid w:val="007C3FD5"/>
    <w:rsid w:val="007C79DF"/>
    <w:rsid w:val="007D04E0"/>
    <w:rsid w:val="007D1F4A"/>
    <w:rsid w:val="007D324C"/>
    <w:rsid w:val="007D4D69"/>
    <w:rsid w:val="007D4E05"/>
    <w:rsid w:val="007D5145"/>
    <w:rsid w:val="007D564A"/>
    <w:rsid w:val="007D5DE2"/>
    <w:rsid w:val="007D650E"/>
    <w:rsid w:val="007D7EF1"/>
    <w:rsid w:val="007E44A6"/>
    <w:rsid w:val="007E4E86"/>
    <w:rsid w:val="007E5517"/>
    <w:rsid w:val="007E7726"/>
    <w:rsid w:val="007E7943"/>
    <w:rsid w:val="007F0A74"/>
    <w:rsid w:val="007F1564"/>
    <w:rsid w:val="007F1BB9"/>
    <w:rsid w:val="007F2187"/>
    <w:rsid w:val="007F2C34"/>
    <w:rsid w:val="007F2FE8"/>
    <w:rsid w:val="007F30BB"/>
    <w:rsid w:val="007F342F"/>
    <w:rsid w:val="007F4DE1"/>
    <w:rsid w:val="007F4F24"/>
    <w:rsid w:val="007F56CC"/>
    <w:rsid w:val="007F629D"/>
    <w:rsid w:val="007F71FF"/>
    <w:rsid w:val="007F7771"/>
    <w:rsid w:val="007F78D5"/>
    <w:rsid w:val="008005BA"/>
    <w:rsid w:val="00802632"/>
    <w:rsid w:val="0080268E"/>
    <w:rsid w:val="00805F94"/>
    <w:rsid w:val="00806C8A"/>
    <w:rsid w:val="00810858"/>
    <w:rsid w:val="00811109"/>
    <w:rsid w:val="008111DC"/>
    <w:rsid w:val="00812089"/>
    <w:rsid w:val="00812614"/>
    <w:rsid w:val="008137FC"/>
    <w:rsid w:val="00813B5C"/>
    <w:rsid w:val="00815019"/>
    <w:rsid w:val="0081591F"/>
    <w:rsid w:val="00815E95"/>
    <w:rsid w:val="00816568"/>
    <w:rsid w:val="00816CDA"/>
    <w:rsid w:val="008200DF"/>
    <w:rsid w:val="008208FB"/>
    <w:rsid w:val="00820BFA"/>
    <w:rsid w:val="00820DA8"/>
    <w:rsid w:val="008227DA"/>
    <w:rsid w:val="0082294A"/>
    <w:rsid w:val="0082304E"/>
    <w:rsid w:val="0082346F"/>
    <w:rsid w:val="00824B7B"/>
    <w:rsid w:val="0082565B"/>
    <w:rsid w:val="00825F9E"/>
    <w:rsid w:val="008272FC"/>
    <w:rsid w:val="0083076C"/>
    <w:rsid w:val="00831E0D"/>
    <w:rsid w:val="00833DBF"/>
    <w:rsid w:val="008343D4"/>
    <w:rsid w:val="008350A3"/>
    <w:rsid w:val="00836DA0"/>
    <w:rsid w:val="00837771"/>
    <w:rsid w:val="00837A89"/>
    <w:rsid w:val="00840858"/>
    <w:rsid w:val="00840B9F"/>
    <w:rsid w:val="00840DC8"/>
    <w:rsid w:val="0084129D"/>
    <w:rsid w:val="00841D86"/>
    <w:rsid w:val="00842C19"/>
    <w:rsid w:val="0084662E"/>
    <w:rsid w:val="00846757"/>
    <w:rsid w:val="008474A1"/>
    <w:rsid w:val="00847C8D"/>
    <w:rsid w:val="00850220"/>
    <w:rsid w:val="00851D0D"/>
    <w:rsid w:val="00852FDA"/>
    <w:rsid w:val="00854878"/>
    <w:rsid w:val="00854D62"/>
    <w:rsid w:val="00855208"/>
    <w:rsid w:val="008558B9"/>
    <w:rsid w:val="00857EA8"/>
    <w:rsid w:val="00857FBF"/>
    <w:rsid w:val="0086094B"/>
    <w:rsid w:val="00861869"/>
    <w:rsid w:val="00862800"/>
    <w:rsid w:val="00862E3A"/>
    <w:rsid w:val="008640D0"/>
    <w:rsid w:val="008644B5"/>
    <w:rsid w:val="00864CE9"/>
    <w:rsid w:val="0086631A"/>
    <w:rsid w:val="008675C5"/>
    <w:rsid w:val="008703EE"/>
    <w:rsid w:val="00873100"/>
    <w:rsid w:val="00873500"/>
    <w:rsid w:val="00874D00"/>
    <w:rsid w:val="008758E2"/>
    <w:rsid w:val="00875F5F"/>
    <w:rsid w:val="008760D5"/>
    <w:rsid w:val="00876B28"/>
    <w:rsid w:val="008771DB"/>
    <w:rsid w:val="0088046A"/>
    <w:rsid w:val="00880D3C"/>
    <w:rsid w:val="00880F47"/>
    <w:rsid w:val="00881A47"/>
    <w:rsid w:val="00882CAC"/>
    <w:rsid w:val="00883072"/>
    <w:rsid w:val="0088423F"/>
    <w:rsid w:val="008845E6"/>
    <w:rsid w:val="00885636"/>
    <w:rsid w:val="008865B8"/>
    <w:rsid w:val="00886923"/>
    <w:rsid w:val="008876BF"/>
    <w:rsid w:val="008900F2"/>
    <w:rsid w:val="00893163"/>
    <w:rsid w:val="008955A0"/>
    <w:rsid w:val="008A0E9D"/>
    <w:rsid w:val="008A20FE"/>
    <w:rsid w:val="008A2DCA"/>
    <w:rsid w:val="008A2E96"/>
    <w:rsid w:val="008A6D09"/>
    <w:rsid w:val="008B3A6E"/>
    <w:rsid w:val="008B43B6"/>
    <w:rsid w:val="008B460C"/>
    <w:rsid w:val="008B5DF7"/>
    <w:rsid w:val="008B68F6"/>
    <w:rsid w:val="008B7365"/>
    <w:rsid w:val="008B7892"/>
    <w:rsid w:val="008B7C88"/>
    <w:rsid w:val="008C2BBD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39"/>
    <w:rsid w:val="008D354F"/>
    <w:rsid w:val="008D36DD"/>
    <w:rsid w:val="008D3D98"/>
    <w:rsid w:val="008D4586"/>
    <w:rsid w:val="008D4D6D"/>
    <w:rsid w:val="008D5039"/>
    <w:rsid w:val="008E018D"/>
    <w:rsid w:val="008E0ED8"/>
    <w:rsid w:val="008E28D5"/>
    <w:rsid w:val="008E2A7C"/>
    <w:rsid w:val="008E2E52"/>
    <w:rsid w:val="008E3B9B"/>
    <w:rsid w:val="008E3CA5"/>
    <w:rsid w:val="008E402F"/>
    <w:rsid w:val="008E4117"/>
    <w:rsid w:val="008E578F"/>
    <w:rsid w:val="008E66D1"/>
    <w:rsid w:val="008F534D"/>
    <w:rsid w:val="008F5972"/>
    <w:rsid w:val="008F5DAE"/>
    <w:rsid w:val="008F6F43"/>
    <w:rsid w:val="00902E23"/>
    <w:rsid w:val="0090309C"/>
    <w:rsid w:val="009040C0"/>
    <w:rsid w:val="0090412B"/>
    <w:rsid w:val="00904922"/>
    <w:rsid w:val="00904935"/>
    <w:rsid w:val="00907475"/>
    <w:rsid w:val="009076C6"/>
    <w:rsid w:val="00907F77"/>
    <w:rsid w:val="0091031C"/>
    <w:rsid w:val="00910554"/>
    <w:rsid w:val="0091256B"/>
    <w:rsid w:val="00913294"/>
    <w:rsid w:val="009132B8"/>
    <w:rsid w:val="00913E92"/>
    <w:rsid w:val="009140F4"/>
    <w:rsid w:val="00914389"/>
    <w:rsid w:val="00914A3F"/>
    <w:rsid w:val="00916F43"/>
    <w:rsid w:val="009173A7"/>
    <w:rsid w:val="0092082B"/>
    <w:rsid w:val="00925E5D"/>
    <w:rsid w:val="00930626"/>
    <w:rsid w:val="00930FE9"/>
    <w:rsid w:val="00933F92"/>
    <w:rsid w:val="00933FEF"/>
    <w:rsid w:val="009349E4"/>
    <w:rsid w:val="009352D4"/>
    <w:rsid w:val="009359B7"/>
    <w:rsid w:val="00935CB8"/>
    <w:rsid w:val="00935DE5"/>
    <w:rsid w:val="0093770D"/>
    <w:rsid w:val="009408BF"/>
    <w:rsid w:val="00940AD5"/>
    <w:rsid w:val="00940BD8"/>
    <w:rsid w:val="00942529"/>
    <w:rsid w:val="00942A96"/>
    <w:rsid w:val="00942E22"/>
    <w:rsid w:val="00943451"/>
    <w:rsid w:val="009447C7"/>
    <w:rsid w:val="009455EB"/>
    <w:rsid w:val="00945A13"/>
    <w:rsid w:val="00946B17"/>
    <w:rsid w:val="0094702A"/>
    <w:rsid w:val="0094799C"/>
    <w:rsid w:val="00950509"/>
    <w:rsid w:val="009514CC"/>
    <w:rsid w:val="00951AB7"/>
    <w:rsid w:val="00952385"/>
    <w:rsid w:val="00952806"/>
    <w:rsid w:val="00952F14"/>
    <w:rsid w:val="009555CE"/>
    <w:rsid w:val="00955AAF"/>
    <w:rsid w:val="00956A7C"/>
    <w:rsid w:val="00957DE6"/>
    <w:rsid w:val="00957FA8"/>
    <w:rsid w:val="0096028E"/>
    <w:rsid w:val="00962656"/>
    <w:rsid w:val="00962E95"/>
    <w:rsid w:val="0096371D"/>
    <w:rsid w:val="0096696C"/>
    <w:rsid w:val="009706A0"/>
    <w:rsid w:val="00975263"/>
    <w:rsid w:val="009753EF"/>
    <w:rsid w:val="00975F48"/>
    <w:rsid w:val="009760A8"/>
    <w:rsid w:val="00977958"/>
    <w:rsid w:val="00980213"/>
    <w:rsid w:val="00980D09"/>
    <w:rsid w:val="00981412"/>
    <w:rsid w:val="00981DB4"/>
    <w:rsid w:val="00981E2C"/>
    <w:rsid w:val="00982B20"/>
    <w:rsid w:val="009844B5"/>
    <w:rsid w:val="00985593"/>
    <w:rsid w:val="0098679E"/>
    <w:rsid w:val="00986B0A"/>
    <w:rsid w:val="0098783E"/>
    <w:rsid w:val="0099073B"/>
    <w:rsid w:val="00991F8D"/>
    <w:rsid w:val="00992579"/>
    <w:rsid w:val="00992EAC"/>
    <w:rsid w:val="00995DD6"/>
    <w:rsid w:val="009967AA"/>
    <w:rsid w:val="009968FC"/>
    <w:rsid w:val="009975CE"/>
    <w:rsid w:val="00997B46"/>
    <w:rsid w:val="009A001E"/>
    <w:rsid w:val="009A002A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FBD"/>
    <w:rsid w:val="009B035D"/>
    <w:rsid w:val="009B09C9"/>
    <w:rsid w:val="009B1103"/>
    <w:rsid w:val="009B2101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637B"/>
    <w:rsid w:val="009B6D76"/>
    <w:rsid w:val="009C0186"/>
    <w:rsid w:val="009C0420"/>
    <w:rsid w:val="009C06E4"/>
    <w:rsid w:val="009C07CC"/>
    <w:rsid w:val="009C1ABC"/>
    <w:rsid w:val="009C1BBE"/>
    <w:rsid w:val="009C311A"/>
    <w:rsid w:val="009C31CF"/>
    <w:rsid w:val="009C3A08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6666"/>
    <w:rsid w:val="009D7591"/>
    <w:rsid w:val="009E19A9"/>
    <w:rsid w:val="009E1B5A"/>
    <w:rsid w:val="009E350B"/>
    <w:rsid w:val="009E38A6"/>
    <w:rsid w:val="009E3DDC"/>
    <w:rsid w:val="009E594F"/>
    <w:rsid w:val="009E6F9F"/>
    <w:rsid w:val="009E73D9"/>
    <w:rsid w:val="009E7CA2"/>
    <w:rsid w:val="009F0911"/>
    <w:rsid w:val="009F1CCF"/>
    <w:rsid w:val="009F40AF"/>
    <w:rsid w:val="009F4E09"/>
    <w:rsid w:val="009F5634"/>
    <w:rsid w:val="009F6AB0"/>
    <w:rsid w:val="009F705B"/>
    <w:rsid w:val="009F7CD1"/>
    <w:rsid w:val="00A0079A"/>
    <w:rsid w:val="00A0149A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0E5A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301F8"/>
    <w:rsid w:val="00A3020C"/>
    <w:rsid w:val="00A31748"/>
    <w:rsid w:val="00A31E49"/>
    <w:rsid w:val="00A36779"/>
    <w:rsid w:val="00A37783"/>
    <w:rsid w:val="00A3786A"/>
    <w:rsid w:val="00A416FF"/>
    <w:rsid w:val="00A4398D"/>
    <w:rsid w:val="00A44103"/>
    <w:rsid w:val="00A44A18"/>
    <w:rsid w:val="00A44B11"/>
    <w:rsid w:val="00A44E45"/>
    <w:rsid w:val="00A459A2"/>
    <w:rsid w:val="00A46035"/>
    <w:rsid w:val="00A50236"/>
    <w:rsid w:val="00A50856"/>
    <w:rsid w:val="00A50965"/>
    <w:rsid w:val="00A52BCF"/>
    <w:rsid w:val="00A5376F"/>
    <w:rsid w:val="00A5512A"/>
    <w:rsid w:val="00A55292"/>
    <w:rsid w:val="00A552FF"/>
    <w:rsid w:val="00A55E45"/>
    <w:rsid w:val="00A5634D"/>
    <w:rsid w:val="00A56D00"/>
    <w:rsid w:val="00A57178"/>
    <w:rsid w:val="00A5754F"/>
    <w:rsid w:val="00A632C6"/>
    <w:rsid w:val="00A64B5C"/>
    <w:rsid w:val="00A658B3"/>
    <w:rsid w:val="00A66891"/>
    <w:rsid w:val="00A678B5"/>
    <w:rsid w:val="00A67A87"/>
    <w:rsid w:val="00A70854"/>
    <w:rsid w:val="00A71016"/>
    <w:rsid w:val="00A7155A"/>
    <w:rsid w:val="00A71B4C"/>
    <w:rsid w:val="00A732E0"/>
    <w:rsid w:val="00A73D51"/>
    <w:rsid w:val="00A74145"/>
    <w:rsid w:val="00A755FB"/>
    <w:rsid w:val="00A761C0"/>
    <w:rsid w:val="00A77B72"/>
    <w:rsid w:val="00A77D6E"/>
    <w:rsid w:val="00A80657"/>
    <w:rsid w:val="00A818C9"/>
    <w:rsid w:val="00A82249"/>
    <w:rsid w:val="00A82BBC"/>
    <w:rsid w:val="00A939B4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AC5"/>
    <w:rsid w:val="00AA7D1E"/>
    <w:rsid w:val="00AB023E"/>
    <w:rsid w:val="00AB07B2"/>
    <w:rsid w:val="00AB1D83"/>
    <w:rsid w:val="00AB239F"/>
    <w:rsid w:val="00AB419E"/>
    <w:rsid w:val="00AB4422"/>
    <w:rsid w:val="00AB4D32"/>
    <w:rsid w:val="00AB5968"/>
    <w:rsid w:val="00AB7C21"/>
    <w:rsid w:val="00AC0322"/>
    <w:rsid w:val="00AC04DF"/>
    <w:rsid w:val="00AC0D9C"/>
    <w:rsid w:val="00AC1FDC"/>
    <w:rsid w:val="00AC438B"/>
    <w:rsid w:val="00AC4D24"/>
    <w:rsid w:val="00AC5017"/>
    <w:rsid w:val="00AC57D5"/>
    <w:rsid w:val="00AC6200"/>
    <w:rsid w:val="00AC73AB"/>
    <w:rsid w:val="00AC79B6"/>
    <w:rsid w:val="00AC7A50"/>
    <w:rsid w:val="00AD13E3"/>
    <w:rsid w:val="00AD171A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4F8C"/>
    <w:rsid w:val="00AE67E4"/>
    <w:rsid w:val="00AF01F9"/>
    <w:rsid w:val="00AF0415"/>
    <w:rsid w:val="00AF06C1"/>
    <w:rsid w:val="00AF0EA6"/>
    <w:rsid w:val="00AF0F6B"/>
    <w:rsid w:val="00AF3D5A"/>
    <w:rsid w:val="00AF48A6"/>
    <w:rsid w:val="00AF4BF2"/>
    <w:rsid w:val="00AF5B02"/>
    <w:rsid w:val="00AF6E49"/>
    <w:rsid w:val="00AF74DE"/>
    <w:rsid w:val="00B00647"/>
    <w:rsid w:val="00B009EF"/>
    <w:rsid w:val="00B01145"/>
    <w:rsid w:val="00B014A6"/>
    <w:rsid w:val="00B01913"/>
    <w:rsid w:val="00B023FD"/>
    <w:rsid w:val="00B030BE"/>
    <w:rsid w:val="00B056E9"/>
    <w:rsid w:val="00B07F6A"/>
    <w:rsid w:val="00B10BBC"/>
    <w:rsid w:val="00B10BEF"/>
    <w:rsid w:val="00B11B08"/>
    <w:rsid w:val="00B12DD8"/>
    <w:rsid w:val="00B1490E"/>
    <w:rsid w:val="00B14E09"/>
    <w:rsid w:val="00B15D26"/>
    <w:rsid w:val="00B17B72"/>
    <w:rsid w:val="00B2093E"/>
    <w:rsid w:val="00B21398"/>
    <w:rsid w:val="00B23744"/>
    <w:rsid w:val="00B23851"/>
    <w:rsid w:val="00B23E72"/>
    <w:rsid w:val="00B24032"/>
    <w:rsid w:val="00B24904"/>
    <w:rsid w:val="00B25C38"/>
    <w:rsid w:val="00B279AC"/>
    <w:rsid w:val="00B30DDC"/>
    <w:rsid w:val="00B321C4"/>
    <w:rsid w:val="00B32C47"/>
    <w:rsid w:val="00B336D4"/>
    <w:rsid w:val="00B33909"/>
    <w:rsid w:val="00B339DD"/>
    <w:rsid w:val="00B340DF"/>
    <w:rsid w:val="00B34BC6"/>
    <w:rsid w:val="00B37501"/>
    <w:rsid w:val="00B40421"/>
    <w:rsid w:val="00B40642"/>
    <w:rsid w:val="00B41977"/>
    <w:rsid w:val="00B422C2"/>
    <w:rsid w:val="00B424FE"/>
    <w:rsid w:val="00B43C49"/>
    <w:rsid w:val="00B43FC3"/>
    <w:rsid w:val="00B44CBB"/>
    <w:rsid w:val="00B46435"/>
    <w:rsid w:val="00B4656D"/>
    <w:rsid w:val="00B46710"/>
    <w:rsid w:val="00B46EDE"/>
    <w:rsid w:val="00B478F8"/>
    <w:rsid w:val="00B47F80"/>
    <w:rsid w:val="00B50B10"/>
    <w:rsid w:val="00B50FA9"/>
    <w:rsid w:val="00B51639"/>
    <w:rsid w:val="00B51DE1"/>
    <w:rsid w:val="00B52326"/>
    <w:rsid w:val="00B52571"/>
    <w:rsid w:val="00B52817"/>
    <w:rsid w:val="00B54D92"/>
    <w:rsid w:val="00B55E62"/>
    <w:rsid w:val="00B57449"/>
    <w:rsid w:val="00B577DD"/>
    <w:rsid w:val="00B57BF5"/>
    <w:rsid w:val="00B601A8"/>
    <w:rsid w:val="00B62715"/>
    <w:rsid w:val="00B6302F"/>
    <w:rsid w:val="00B635DA"/>
    <w:rsid w:val="00B6619D"/>
    <w:rsid w:val="00B6773C"/>
    <w:rsid w:val="00B67FCA"/>
    <w:rsid w:val="00B70AC4"/>
    <w:rsid w:val="00B70F6C"/>
    <w:rsid w:val="00B7242C"/>
    <w:rsid w:val="00B7294C"/>
    <w:rsid w:val="00B72BBB"/>
    <w:rsid w:val="00B72DFD"/>
    <w:rsid w:val="00B733DF"/>
    <w:rsid w:val="00B74142"/>
    <w:rsid w:val="00B74A71"/>
    <w:rsid w:val="00B75EDA"/>
    <w:rsid w:val="00B80D70"/>
    <w:rsid w:val="00B80EA0"/>
    <w:rsid w:val="00B81BC1"/>
    <w:rsid w:val="00B82D27"/>
    <w:rsid w:val="00B8309D"/>
    <w:rsid w:val="00B83F1C"/>
    <w:rsid w:val="00B84175"/>
    <w:rsid w:val="00B850A1"/>
    <w:rsid w:val="00B866BD"/>
    <w:rsid w:val="00B87D24"/>
    <w:rsid w:val="00B90643"/>
    <w:rsid w:val="00B90E9A"/>
    <w:rsid w:val="00B91632"/>
    <w:rsid w:val="00B92F38"/>
    <w:rsid w:val="00B9366F"/>
    <w:rsid w:val="00B94693"/>
    <w:rsid w:val="00B950A7"/>
    <w:rsid w:val="00B95111"/>
    <w:rsid w:val="00B957C5"/>
    <w:rsid w:val="00B95AF6"/>
    <w:rsid w:val="00BA003F"/>
    <w:rsid w:val="00BA05E6"/>
    <w:rsid w:val="00BA1852"/>
    <w:rsid w:val="00BA3E77"/>
    <w:rsid w:val="00BA4BB9"/>
    <w:rsid w:val="00BA6173"/>
    <w:rsid w:val="00BA6486"/>
    <w:rsid w:val="00BA6C69"/>
    <w:rsid w:val="00BA6D30"/>
    <w:rsid w:val="00BA6D65"/>
    <w:rsid w:val="00BA7443"/>
    <w:rsid w:val="00BB0127"/>
    <w:rsid w:val="00BB0F61"/>
    <w:rsid w:val="00BB1CE2"/>
    <w:rsid w:val="00BB1E45"/>
    <w:rsid w:val="00BB201A"/>
    <w:rsid w:val="00BB2DE7"/>
    <w:rsid w:val="00BB3077"/>
    <w:rsid w:val="00BB3712"/>
    <w:rsid w:val="00BB3D78"/>
    <w:rsid w:val="00BB4F22"/>
    <w:rsid w:val="00BB560D"/>
    <w:rsid w:val="00BB5F28"/>
    <w:rsid w:val="00BB604C"/>
    <w:rsid w:val="00BB61FE"/>
    <w:rsid w:val="00BB74E3"/>
    <w:rsid w:val="00BC031E"/>
    <w:rsid w:val="00BC1157"/>
    <w:rsid w:val="00BC1598"/>
    <w:rsid w:val="00BC185C"/>
    <w:rsid w:val="00BC2579"/>
    <w:rsid w:val="00BC37D9"/>
    <w:rsid w:val="00BC3F54"/>
    <w:rsid w:val="00BC45CA"/>
    <w:rsid w:val="00BC516F"/>
    <w:rsid w:val="00BC5477"/>
    <w:rsid w:val="00BC5E29"/>
    <w:rsid w:val="00BC6002"/>
    <w:rsid w:val="00BC68D8"/>
    <w:rsid w:val="00BC725E"/>
    <w:rsid w:val="00BD07CF"/>
    <w:rsid w:val="00BD09D6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2E4B"/>
    <w:rsid w:val="00BE4141"/>
    <w:rsid w:val="00BE4F44"/>
    <w:rsid w:val="00BE53D0"/>
    <w:rsid w:val="00BE55C1"/>
    <w:rsid w:val="00BE5B71"/>
    <w:rsid w:val="00BF07B1"/>
    <w:rsid w:val="00BF0D7D"/>
    <w:rsid w:val="00BF1CBB"/>
    <w:rsid w:val="00BF295C"/>
    <w:rsid w:val="00BF3419"/>
    <w:rsid w:val="00BF34E3"/>
    <w:rsid w:val="00BF4D37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0734E"/>
    <w:rsid w:val="00C1076D"/>
    <w:rsid w:val="00C115DA"/>
    <w:rsid w:val="00C11640"/>
    <w:rsid w:val="00C118C2"/>
    <w:rsid w:val="00C123BC"/>
    <w:rsid w:val="00C12A5D"/>
    <w:rsid w:val="00C13950"/>
    <w:rsid w:val="00C14338"/>
    <w:rsid w:val="00C15BEA"/>
    <w:rsid w:val="00C164BC"/>
    <w:rsid w:val="00C16745"/>
    <w:rsid w:val="00C16AA5"/>
    <w:rsid w:val="00C17251"/>
    <w:rsid w:val="00C20621"/>
    <w:rsid w:val="00C22B5E"/>
    <w:rsid w:val="00C232EE"/>
    <w:rsid w:val="00C2366F"/>
    <w:rsid w:val="00C23674"/>
    <w:rsid w:val="00C23E0D"/>
    <w:rsid w:val="00C245AF"/>
    <w:rsid w:val="00C24764"/>
    <w:rsid w:val="00C247B5"/>
    <w:rsid w:val="00C2537C"/>
    <w:rsid w:val="00C26190"/>
    <w:rsid w:val="00C27DD0"/>
    <w:rsid w:val="00C30B66"/>
    <w:rsid w:val="00C31954"/>
    <w:rsid w:val="00C31A23"/>
    <w:rsid w:val="00C347CB"/>
    <w:rsid w:val="00C351D0"/>
    <w:rsid w:val="00C3781E"/>
    <w:rsid w:val="00C37C33"/>
    <w:rsid w:val="00C4118A"/>
    <w:rsid w:val="00C41521"/>
    <w:rsid w:val="00C41CB1"/>
    <w:rsid w:val="00C42334"/>
    <w:rsid w:val="00C42E97"/>
    <w:rsid w:val="00C439B6"/>
    <w:rsid w:val="00C43B26"/>
    <w:rsid w:val="00C44116"/>
    <w:rsid w:val="00C4437F"/>
    <w:rsid w:val="00C44581"/>
    <w:rsid w:val="00C44FEF"/>
    <w:rsid w:val="00C45886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38E"/>
    <w:rsid w:val="00C645EC"/>
    <w:rsid w:val="00C646AE"/>
    <w:rsid w:val="00C64A9E"/>
    <w:rsid w:val="00C658E5"/>
    <w:rsid w:val="00C70CA0"/>
    <w:rsid w:val="00C70FD1"/>
    <w:rsid w:val="00C7284A"/>
    <w:rsid w:val="00C73AC5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8D6"/>
    <w:rsid w:val="00C83BF3"/>
    <w:rsid w:val="00C845CD"/>
    <w:rsid w:val="00C86D1E"/>
    <w:rsid w:val="00C9000F"/>
    <w:rsid w:val="00C92C68"/>
    <w:rsid w:val="00C9362E"/>
    <w:rsid w:val="00C937FE"/>
    <w:rsid w:val="00C94008"/>
    <w:rsid w:val="00C946AE"/>
    <w:rsid w:val="00C9485A"/>
    <w:rsid w:val="00C94B65"/>
    <w:rsid w:val="00C97942"/>
    <w:rsid w:val="00C97BB0"/>
    <w:rsid w:val="00CA1556"/>
    <w:rsid w:val="00CA196D"/>
    <w:rsid w:val="00CA295F"/>
    <w:rsid w:val="00CA2D35"/>
    <w:rsid w:val="00CA308C"/>
    <w:rsid w:val="00CA4D82"/>
    <w:rsid w:val="00CA4FCC"/>
    <w:rsid w:val="00CB09D1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6FB"/>
    <w:rsid w:val="00CC6AD5"/>
    <w:rsid w:val="00CC7DE9"/>
    <w:rsid w:val="00CD09E1"/>
    <w:rsid w:val="00CD29FE"/>
    <w:rsid w:val="00CD4F6B"/>
    <w:rsid w:val="00CD661F"/>
    <w:rsid w:val="00CE05F1"/>
    <w:rsid w:val="00CE0C86"/>
    <w:rsid w:val="00CE11DF"/>
    <w:rsid w:val="00CE1A06"/>
    <w:rsid w:val="00CE220C"/>
    <w:rsid w:val="00CE2D87"/>
    <w:rsid w:val="00CE2DAD"/>
    <w:rsid w:val="00CE6EF6"/>
    <w:rsid w:val="00CE7C16"/>
    <w:rsid w:val="00CF00B4"/>
    <w:rsid w:val="00CF1558"/>
    <w:rsid w:val="00CF3CC7"/>
    <w:rsid w:val="00CF3CD5"/>
    <w:rsid w:val="00CF4A61"/>
    <w:rsid w:val="00CF63C1"/>
    <w:rsid w:val="00CF6B2A"/>
    <w:rsid w:val="00CF7B0F"/>
    <w:rsid w:val="00CF7E8D"/>
    <w:rsid w:val="00D006C9"/>
    <w:rsid w:val="00D01487"/>
    <w:rsid w:val="00D01AE9"/>
    <w:rsid w:val="00D01AEA"/>
    <w:rsid w:val="00D04799"/>
    <w:rsid w:val="00D04B16"/>
    <w:rsid w:val="00D0624D"/>
    <w:rsid w:val="00D062E9"/>
    <w:rsid w:val="00D067E0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A6C"/>
    <w:rsid w:val="00D22014"/>
    <w:rsid w:val="00D22557"/>
    <w:rsid w:val="00D2294F"/>
    <w:rsid w:val="00D22E47"/>
    <w:rsid w:val="00D22F53"/>
    <w:rsid w:val="00D248A7"/>
    <w:rsid w:val="00D248F1"/>
    <w:rsid w:val="00D252F7"/>
    <w:rsid w:val="00D2648C"/>
    <w:rsid w:val="00D325AC"/>
    <w:rsid w:val="00D339E8"/>
    <w:rsid w:val="00D340C2"/>
    <w:rsid w:val="00D345E2"/>
    <w:rsid w:val="00D3556C"/>
    <w:rsid w:val="00D36A1C"/>
    <w:rsid w:val="00D41F91"/>
    <w:rsid w:val="00D42827"/>
    <w:rsid w:val="00D42E7C"/>
    <w:rsid w:val="00D44B59"/>
    <w:rsid w:val="00D44E60"/>
    <w:rsid w:val="00D4539B"/>
    <w:rsid w:val="00D465F6"/>
    <w:rsid w:val="00D4666C"/>
    <w:rsid w:val="00D46C1F"/>
    <w:rsid w:val="00D471E9"/>
    <w:rsid w:val="00D474A8"/>
    <w:rsid w:val="00D4791F"/>
    <w:rsid w:val="00D506B8"/>
    <w:rsid w:val="00D528A7"/>
    <w:rsid w:val="00D52ED6"/>
    <w:rsid w:val="00D53283"/>
    <w:rsid w:val="00D53499"/>
    <w:rsid w:val="00D53918"/>
    <w:rsid w:val="00D559C7"/>
    <w:rsid w:val="00D562DD"/>
    <w:rsid w:val="00D56664"/>
    <w:rsid w:val="00D575E9"/>
    <w:rsid w:val="00D57990"/>
    <w:rsid w:val="00D61B84"/>
    <w:rsid w:val="00D62645"/>
    <w:rsid w:val="00D649B2"/>
    <w:rsid w:val="00D65871"/>
    <w:rsid w:val="00D6595D"/>
    <w:rsid w:val="00D65F0F"/>
    <w:rsid w:val="00D67D51"/>
    <w:rsid w:val="00D709DA"/>
    <w:rsid w:val="00D71328"/>
    <w:rsid w:val="00D715FC"/>
    <w:rsid w:val="00D7187D"/>
    <w:rsid w:val="00D718EE"/>
    <w:rsid w:val="00D725DE"/>
    <w:rsid w:val="00D746B4"/>
    <w:rsid w:val="00D767B6"/>
    <w:rsid w:val="00D8046D"/>
    <w:rsid w:val="00D80E7F"/>
    <w:rsid w:val="00D80F27"/>
    <w:rsid w:val="00D81636"/>
    <w:rsid w:val="00D81CB5"/>
    <w:rsid w:val="00D81FFD"/>
    <w:rsid w:val="00D824DF"/>
    <w:rsid w:val="00D83246"/>
    <w:rsid w:val="00D83F46"/>
    <w:rsid w:val="00D852AF"/>
    <w:rsid w:val="00D86DC0"/>
    <w:rsid w:val="00D87768"/>
    <w:rsid w:val="00D87E25"/>
    <w:rsid w:val="00D9065F"/>
    <w:rsid w:val="00D91471"/>
    <w:rsid w:val="00D92F94"/>
    <w:rsid w:val="00D94FCF"/>
    <w:rsid w:val="00D9585D"/>
    <w:rsid w:val="00D97FCE"/>
    <w:rsid w:val="00DA0401"/>
    <w:rsid w:val="00DA0D13"/>
    <w:rsid w:val="00DA1544"/>
    <w:rsid w:val="00DA1DD3"/>
    <w:rsid w:val="00DA21B5"/>
    <w:rsid w:val="00DA3DB5"/>
    <w:rsid w:val="00DA4695"/>
    <w:rsid w:val="00DA5C2E"/>
    <w:rsid w:val="00DA6484"/>
    <w:rsid w:val="00DA64F2"/>
    <w:rsid w:val="00DA7C32"/>
    <w:rsid w:val="00DB07A4"/>
    <w:rsid w:val="00DB0FFB"/>
    <w:rsid w:val="00DB1153"/>
    <w:rsid w:val="00DB3CC3"/>
    <w:rsid w:val="00DB4941"/>
    <w:rsid w:val="00DB4B29"/>
    <w:rsid w:val="00DB6175"/>
    <w:rsid w:val="00DB6DE6"/>
    <w:rsid w:val="00DB7751"/>
    <w:rsid w:val="00DB7A47"/>
    <w:rsid w:val="00DC4A1B"/>
    <w:rsid w:val="00DC4D32"/>
    <w:rsid w:val="00DC4D5C"/>
    <w:rsid w:val="00DC4F74"/>
    <w:rsid w:val="00DC505C"/>
    <w:rsid w:val="00DC68DF"/>
    <w:rsid w:val="00DC7185"/>
    <w:rsid w:val="00DC7838"/>
    <w:rsid w:val="00DD056F"/>
    <w:rsid w:val="00DD0802"/>
    <w:rsid w:val="00DD0EB1"/>
    <w:rsid w:val="00DD1C36"/>
    <w:rsid w:val="00DD363D"/>
    <w:rsid w:val="00DD3AAA"/>
    <w:rsid w:val="00DD426D"/>
    <w:rsid w:val="00DD5599"/>
    <w:rsid w:val="00DD59F1"/>
    <w:rsid w:val="00DD5E4D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418"/>
    <w:rsid w:val="00DE354C"/>
    <w:rsid w:val="00DE5493"/>
    <w:rsid w:val="00DE72C0"/>
    <w:rsid w:val="00DE78F7"/>
    <w:rsid w:val="00DF0846"/>
    <w:rsid w:val="00DF15BC"/>
    <w:rsid w:val="00DF1A41"/>
    <w:rsid w:val="00DF1C9D"/>
    <w:rsid w:val="00DF1FFC"/>
    <w:rsid w:val="00DF23AF"/>
    <w:rsid w:val="00DF2F96"/>
    <w:rsid w:val="00DF35FC"/>
    <w:rsid w:val="00DF6462"/>
    <w:rsid w:val="00DF71E3"/>
    <w:rsid w:val="00DF7650"/>
    <w:rsid w:val="00DF7B7D"/>
    <w:rsid w:val="00E035EE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172A3"/>
    <w:rsid w:val="00E20C0C"/>
    <w:rsid w:val="00E21402"/>
    <w:rsid w:val="00E21673"/>
    <w:rsid w:val="00E2320E"/>
    <w:rsid w:val="00E24473"/>
    <w:rsid w:val="00E25000"/>
    <w:rsid w:val="00E25F32"/>
    <w:rsid w:val="00E300DA"/>
    <w:rsid w:val="00E30AD2"/>
    <w:rsid w:val="00E30F8D"/>
    <w:rsid w:val="00E315AF"/>
    <w:rsid w:val="00E31B48"/>
    <w:rsid w:val="00E31BDA"/>
    <w:rsid w:val="00E33351"/>
    <w:rsid w:val="00E333EB"/>
    <w:rsid w:val="00E33DA5"/>
    <w:rsid w:val="00E3421F"/>
    <w:rsid w:val="00E35A60"/>
    <w:rsid w:val="00E35DB9"/>
    <w:rsid w:val="00E37238"/>
    <w:rsid w:val="00E40C49"/>
    <w:rsid w:val="00E4163B"/>
    <w:rsid w:val="00E416E3"/>
    <w:rsid w:val="00E43BBB"/>
    <w:rsid w:val="00E44676"/>
    <w:rsid w:val="00E4727D"/>
    <w:rsid w:val="00E47865"/>
    <w:rsid w:val="00E53F3A"/>
    <w:rsid w:val="00E544B5"/>
    <w:rsid w:val="00E54ACD"/>
    <w:rsid w:val="00E56685"/>
    <w:rsid w:val="00E56E63"/>
    <w:rsid w:val="00E57DAE"/>
    <w:rsid w:val="00E60073"/>
    <w:rsid w:val="00E60333"/>
    <w:rsid w:val="00E6193C"/>
    <w:rsid w:val="00E626F6"/>
    <w:rsid w:val="00E66BFD"/>
    <w:rsid w:val="00E6762B"/>
    <w:rsid w:val="00E67C96"/>
    <w:rsid w:val="00E70A68"/>
    <w:rsid w:val="00E70B12"/>
    <w:rsid w:val="00E719ED"/>
    <w:rsid w:val="00E71A2B"/>
    <w:rsid w:val="00E72623"/>
    <w:rsid w:val="00E730F4"/>
    <w:rsid w:val="00E733B1"/>
    <w:rsid w:val="00E75F9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8728D"/>
    <w:rsid w:val="00E9251D"/>
    <w:rsid w:val="00E9254D"/>
    <w:rsid w:val="00E9282D"/>
    <w:rsid w:val="00E93C92"/>
    <w:rsid w:val="00E966E4"/>
    <w:rsid w:val="00E967FD"/>
    <w:rsid w:val="00EA6398"/>
    <w:rsid w:val="00EA7132"/>
    <w:rsid w:val="00EA79C1"/>
    <w:rsid w:val="00EB219E"/>
    <w:rsid w:val="00EB3907"/>
    <w:rsid w:val="00EB3E9E"/>
    <w:rsid w:val="00EB44F1"/>
    <w:rsid w:val="00EB49A8"/>
    <w:rsid w:val="00EB4FD5"/>
    <w:rsid w:val="00EB681A"/>
    <w:rsid w:val="00EB71EC"/>
    <w:rsid w:val="00EC01D6"/>
    <w:rsid w:val="00EC06E8"/>
    <w:rsid w:val="00EC0787"/>
    <w:rsid w:val="00EC0D0C"/>
    <w:rsid w:val="00EC147B"/>
    <w:rsid w:val="00EC1636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14F3"/>
    <w:rsid w:val="00ED1D80"/>
    <w:rsid w:val="00ED26DD"/>
    <w:rsid w:val="00ED3D04"/>
    <w:rsid w:val="00ED5A3D"/>
    <w:rsid w:val="00ED7475"/>
    <w:rsid w:val="00EE16A9"/>
    <w:rsid w:val="00EE17F7"/>
    <w:rsid w:val="00EE26B9"/>
    <w:rsid w:val="00EE3EA7"/>
    <w:rsid w:val="00EE3F83"/>
    <w:rsid w:val="00EE4C14"/>
    <w:rsid w:val="00EE6044"/>
    <w:rsid w:val="00EE6420"/>
    <w:rsid w:val="00EE65BA"/>
    <w:rsid w:val="00EE7BF4"/>
    <w:rsid w:val="00EF0DF4"/>
    <w:rsid w:val="00EF27FE"/>
    <w:rsid w:val="00EF2864"/>
    <w:rsid w:val="00EF3958"/>
    <w:rsid w:val="00EF477B"/>
    <w:rsid w:val="00EF6115"/>
    <w:rsid w:val="00EF63CD"/>
    <w:rsid w:val="00EF6AE1"/>
    <w:rsid w:val="00EF6F77"/>
    <w:rsid w:val="00EF6FC6"/>
    <w:rsid w:val="00F01CD8"/>
    <w:rsid w:val="00F02EF8"/>
    <w:rsid w:val="00F04F90"/>
    <w:rsid w:val="00F103BC"/>
    <w:rsid w:val="00F10796"/>
    <w:rsid w:val="00F10C77"/>
    <w:rsid w:val="00F11143"/>
    <w:rsid w:val="00F12A1A"/>
    <w:rsid w:val="00F13709"/>
    <w:rsid w:val="00F13F54"/>
    <w:rsid w:val="00F14040"/>
    <w:rsid w:val="00F15F30"/>
    <w:rsid w:val="00F16865"/>
    <w:rsid w:val="00F20430"/>
    <w:rsid w:val="00F20490"/>
    <w:rsid w:val="00F22AA3"/>
    <w:rsid w:val="00F2307F"/>
    <w:rsid w:val="00F2329A"/>
    <w:rsid w:val="00F238DE"/>
    <w:rsid w:val="00F24707"/>
    <w:rsid w:val="00F251EF"/>
    <w:rsid w:val="00F261D5"/>
    <w:rsid w:val="00F27803"/>
    <w:rsid w:val="00F30D42"/>
    <w:rsid w:val="00F311C4"/>
    <w:rsid w:val="00F31705"/>
    <w:rsid w:val="00F31CAB"/>
    <w:rsid w:val="00F3336A"/>
    <w:rsid w:val="00F3388D"/>
    <w:rsid w:val="00F346B1"/>
    <w:rsid w:val="00F3555E"/>
    <w:rsid w:val="00F3680D"/>
    <w:rsid w:val="00F36C07"/>
    <w:rsid w:val="00F41A9B"/>
    <w:rsid w:val="00F41D51"/>
    <w:rsid w:val="00F4210F"/>
    <w:rsid w:val="00F43210"/>
    <w:rsid w:val="00F4361D"/>
    <w:rsid w:val="00F43785"/>
    <w:rsid w:val="00F44939"/>
    <w:rsid w:val="00F46426"/>
    <w:rsid w:val="00F469CE"/>
    <w:rsid w:val="00F47B68"/>
    <w:rsid w:val="00F50208"/>
    <w:rsid w:val="00F50358"/>
    <w:rsid w:val="00F5111D"/>
    <w:rsid w:val="00F5117A"/>
    <w:rsid w:val="00F5245D"/>
    <w:rsid w:val="00F530BE"/>
    <w:rsid w:val="00F5362F"/>
    <w:rsid w:val="00F53E00"/>
    <w:rsid w:val="00F5556B"/>
    <w:rsid w:val="00F5618E"/>
    <w:rsid w:val="00F56AFD"/>
    <w:rsid w:val="00F61303"/>
    <w:rsid w:val="00F6144E"/>
    <w:rsid w:val="00F622B9"/>
    <w:rsid w:val="00F624A1"/>
    <w:rsid w:val="00F66818"/>
    <w:rsid w:val="00F700B5"/>
    <w:rsid w:val="00F704E6"/>
    <w:rsid w:val="00F70BFF"/>
    <w:rsid w:val="00F738C6"/>
    <w:rsid w:val="00F73B4E"/>
    <w:rsid w:val="00F73CE6"/>
    <w:rsid w:val="00F742F1"/>
    <w:rsid w:val="00F75068"/>
    <w:rsid w:val="00F75797"/>
    <w:rsid w:val="00F75C9B"/>
    <w:rsid w:val="00F75CA3"/>
    <w:rsid w:val="00F75CC6"/>
    <w:rsid w:val="00F80F83"/>
    <w:rsid w:val="00F83DBB"/>
    <w:rsid w:val="00F850B5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49C1"/>
    <w:rsid w:val="00F94F87"/>
    <w:rsid w:val="00F967A4"/>
    <w:rsid w:val="00F97B53"/>
    <w:rsid w:val="00FA0115"/>
    <w:rsid w:val="00FA2112"/>
    <w:rsid w:val="00FA21F4"/>
    <w:rsid w:val="00FA2370"/>
    <w:rsid w:val="00FA2A98"/>
    <w:rsid w:val="00FA2B79"/>
    <w:rsid w:val="00FA31FA"/>
    <w:rsid w:val="00FA42EA"/>
    <w:rsid w:val="00FA46A7"/>
    <w:rsid w:val="00FA5ED1"/>
    <w:rsid w:val="00FA609C"/>
    <w:rsid w:val="00FA77A0"/>
    <w:rsid w:val="00FA7875"/>
    <w:rsid w:val="00FB0419"/>
    <w:rsid w:val="00FB159D"/>
    <w:rsid w:val="00FB26DC"/>
    <w:rsid w:val="00FB46FE"/>
    <w:rsid w:val="00FB487E"/>
    <w:rsid w:val="00FB5363"/>
    <w:rsid w:val="00FB6353"/>
    <w:rsid w:val="00FB6781"/>
    <w:rsid w:val="00FC023A"/>
    <w:rsid w:val="00FC02FF"/>
    <w:rsid w:val="00FC0AE6"/>
    <w:rsid w:val="00FC0F61"/>
    <w:rsid w:val="00FC13E2"/>
    <w:rsid w:val="00FC173F"/>
    <w:rsid w:val="00FC210D"/>
    <w:rsid w:val="00FC2A99"/>
    <w:rsid w:val="00FC315E"/>
    <w:rsid w:val="00FC3934"/>
    <w:rsid w:val="00FC4057"/>
    <w:rsid w:val="00FC407A"/>
    <w:rsid w:val="00FC5ABB"/>
    <w:rsid w:val="00FC6F57"/>
    <w:rsid w:val="00FC71A1"/>
    <w:rsid w:val="00FC7C06"/>
    <w:rsid w:val="00FD06C4"/>
    <w:rsid w:val="00FD1AD9"/>
    <w:rsid w:val="00FD1C38"/>
    <w:rsid w:val="00FD2D6F"/>
    <w:rsid w:val="00FD3D15"/>
    <w:rsid w:val="00FD719E"/>
    <w:rsid w:val="00FD757A"/>
    <w:rsid w:val="00FD77D2"/>
    <w:rsid w:val="00FD7C05"/>
    <w:rsid w:val="00FE0E47"/>
    <w:rsid w:val="00FE3FAC"/>
    <w:rsid w:val="00FE4427"/>
    <w:rsid w:val="00FE5878"/>
    <w:rsid w:val="00FE5FF7"/>
    <w:rsid w:val="00FF0B91"/>
    <w:rsid w:val="00FF14C8"/>
    <w:rsid w:val="00FF1737"/>
    <w:rsid w:val="00FF1EFA"/>
    <w:rsid w:val="00FF2D64"/>
    <w:rsid w:val="00FF37CD"/>
    <w:rsid w:val="00FF3F21"/>
    <w:rsid w:val="00FF4095"/>
    <w:rsid w:val="00FF426D"/>
    <w:rsid w:val="00FF52BE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DB6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DB6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F568-6B89-43B8-A7D0-BECE9EA8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17442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2016-07-28T07:15:00Z</dcterms:created>
  <dcterms:modified xsi:type="dcterms:W3CDTF">2016-07-28T07:27:00Z</dcterms:modified>
</cp:coreProperties>
</file>