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C6" w:rsidRPr="00F502AA" w:rsidRDefault="001C6DC6" w:rsidP="001C6DC6">
      <w:pPr>
        <w:jc w:val="center"/>
        <w:rPr>
          <w:lang w:val="en-NZ"/>
        </w:rPr>
      </w:pPr>
      <w:r w:rsidRPr="00F502AA">
        <w:rPr>
          <w:noProof/>
        </w:rPr>
        <w:drawing>
          <wp:inline distT="0" distB="0" distL="0" distR="0" wp14:anchorId="078BAF0C" wp14:editId="14C7214D">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1C6DC6" w:rsidRPr="00F502AA" w:rsidRDefault="001C6DC6" w:rsidP="001C6DC6">
      <w:pPr>
        <w:snapToGrid w:val="0"/>
        <w:jc w:val="center"/>
        <w:rPr>
          <w:b/>
          <w:lang w:val="en-NZ" w:eastAsia="ja-JP"/>
        </w:rPr>
      </w:pPr>
      <w:r w:rsidRPr="00F502AA">
        <w:rPr>
          <w:b/>
          <w:lang w:val="en-NZ"/>
        </w:rPr>
        <w:t>NORTHERN COMMITTEE</w:t>
      </w:r>
      <w:r w:rsidRPr="00F502AA">
        <w:rPr>
          <w:b/>
          <w:lang w:val="en-NZ" w:eastAsia="ja-JP"/>
        </w:rPr>
        <w:t xml:space="preserve"> </w:t>
      </w:r>
    </w:p>
    <w:p w:rsidR="001C6DC6" w:rsidRPr="00F502AA" w:rsidRDefault="001C6DC6" w:rsidP="001C6DC6">
      <w:pPr>
        <w:snapToGrid w:val="0"/>
        <w:jc w:val="center"/>
        <w:rPr>
          <w:b/>
          <w:lang w:val="en-NZ" w:eastAsia="ja-JP"/>
        </w:rPr>
      </w:pPr>
      <w:r>
        <w:rPr>
          <w:rFonts w:eastAsiaTheme="minorEastAsia" w:hint="eastAsia"/>
          <w:b/>
          <w:lang w:val="en-NZ" w:eastAsia="ko-KR"/>
        </w:rPr>
        <w:t>ELEVENTH</w:t>
      </w:r>
      <w:r w:rsidRPr="00F502AA">
        <w:rPr>
          <w:b/>
          <w:lang w:val="en-NZ" w:eastAsia="ja-JP"/>
        </w:rPr>
        <w:t xml:space="preserve"> REGULAR SESSION</w:t>
      </w:r>
    </w:p>
    <w:p w:rsidR="001C6DC6" w:rsidRPr="00F502AA" w:rsidRDefault="001C6DC6" w:rsidP="001C6DC6">
      <w:pPr>
        <w:snapToGrid w:val="0"/>
        <w:jc w:val="center"/>
        <w:rPr>
          <w:rFonts w:eastAsiaTheme="minorEastAsia"/>
          <w:lang w:val="en-NZ" w:eastAsia="ko-KR"/>
        </w:rPr>
      </w:pPr>
      <w:r>
        <w:rPr>
          <w:rFonts w:eastAsiaTheme="minorEastAsia" w:hint="eastAsia"/>
          <w:lang w:val="en-NZ" w:eastAsia="ko-KR"/>
        </w:rPr>
        <w:t>3</w:t>
      </w:r>
      <w:r w:rsidRPr="00F502AA">
        <w:rPr>
          <w:rFonts w:eastAsiaTheme="minorEastAsia" w:hint="eastAsia"/>
          <w:lang w:val="en-NZ" w:eastAsia="ko-KR"/>
        </w:rPr>
        <w:t>1</w:t>
      </w:r>
      <w:r>
        <w:rPr>
          <w:rFonts w:eastAsiaTheme="minorEastAsia" w:hint="eastAsia"/>
          <w:lang w:val="en-NZ" w:eastAsia="ko-KR"/>
        </w:rPr>
        <w:t xml:space="preserve"> August </w:t>
      </w:r>
      <w:r w:rsidRPr="00F502AA">
        <w:rPr>
          <w:lang w:val="en-NZ" w:eastAsia="ja-JP"/>
        </w:rPr>
        <w:t>-</w:t>
      </w:r>
      <w:r>
        <w:rPr>
          <w:rFonts w:eastAsiaTheme="minorEastAsia" w:hint="eastAsia"/>
          <w:lang w:val="en-NZ" w:eastAsia="ko-KR"/>
        </w:rPr>
        <w:t xml:space="preserve"> 3</w:t>
      </w:r>
      <w:r w:rsidRPr="00F502AA">
        <w:rPr>
          <w:lang w:val="en-NZ"/>
        </w:rPr>
        <w:t xml:space="preserve"> September 20</w:t>
      </w:r>
      <w:r w:rsidRPr="00F502AA">
        <w:rPr>
          <w:lang w:val="en-NZ" w:eastAsia="ja-JP"/>
        </w:rPr>
        <w:t>1</w:t>
      </w:r>
      <w:r>
        <w:rPr>
          <w:rFonts w:eastAsiaTheme="minorEastAsia" w:hint="eastAsia"/>
          <w:lang w:val="en-NZ" w:eastAsia="ko-KR"/>
        </w:rPr>
        <w:t>5</w:t>
      </w:r>
    </w:p>
    <w:p w:rsidR="001C6DC6" w:rsidRPr="00F502AA" w:rsidRDefault="001C6DC6" w:rsidP="001C6DC6">
      <w:pPr>
        <w:snapToGrid w:val="0"/>
        <w:jc w:val="center"/>
        <w:rPr>
          <w:lang w:val="en-NZ"/>
        </w:rPr>
      </w:pPr>
      <w:r>
        <w:rPr>
          <w:rFonts w:eastAsiaTheme="minorEastAsia" w:hint="eastAsia"/>
          <w:lang w:val="en-GB" w:eastAsia="ko-KR"/>
        </w:rPr>
        <w:t>Sapporo</w:t>
      </w:r>
      <w:r w:rsidRPr="00F502AA">
        <w:t xml:space="preserve">, </w:t>
      </w:r>
      <w:r>
        <w:rPr>
          <w:rFonts w:eastAsiaTheme="minorEastAsia" w:hint="eastAsia"/>
          <w:lang w:eastAsia="ko-KR"/>
        </w:rPr>
        <w:t xml:space="preserve">Hokkaido, </w:t>
      </w:r>
      <w:r w:rsidRPr="00F502AA">
        <w:rPr>
          <w:lang w:val="en-NZ"/>
        </w:rPr>
        <w:t>Japan</w:t>
      </w:r>
    </w:p>
    <w:p w:rsidR="001C6DC6" w:rsidRPr="00F502AA" w:rsidRDefault="001C6DC6" w:rsidP="00A87DED">
      <w:pPr>
        <w:pStyle w:val="BodyText3"/>
        <w:pBdr>
          <w:top w:val="single" w:sz="12" w:space="0" w:color="auto"/>
          <w:bottom w:val="single" w:sz="12" w:space="1" w:color="auto"/>
        </w:pBdr>
        <w:adjustRightInd w:val="0"/>
        <w:snapToGrid w:val="0"/>
        <w:spacing w:before="60" w:after="60"/>
        <w:jc w:val="center"/>
        <w:rPr>
          <w:b/>
          <w:sz w:val="22"/>
          <w:szCs w:val="22"/>
          <w:lang w:eastAsia="ko-KR"/>
        </w:rPr>
      </w:pPr>
      <w:r>
        <w:rPr>
          <w:rFonts w:hint="eastAsia"/>
          <w:b/>
          <w:sz w:val="22"/>
          <w:szCs w:val="22"/>
          <w:lang w:eastAsia="ko-KR"/>
        </w:rPr>
        <w:t>Member</w:t>
      </w:r>
      <w:r>
        <w:rPr>
          <w:b/>
          <w:sz w:val="22"/>
          <w:szCs w:val="22"/>
          <w:lang w:eastAsia="ko-KR"/>
        </w:rPr>
        <w:t>’</w:t>
      </w:r>
      <w:r w:rsidR="00855B65">
        <w:rPr>
          <w:rFonts w:hint="eastAsia"/>
          <w:b/>
          <w:sz w:val="22"/>
          <w:szCs w:val="22"/>
          <w:lang w:eastAsia="ko-KR"/>
        </w:rPr>
        <w:t>s Report on I</w:t>
      </w:r>
      <w:r>
        <w:rPr>
          <w:rFonts w:hint="eastAsia"/>
          <w:b/>
          <w:sz w:val="22"/>
          <w:szCs w:val="22"/>
          <w:lang w:eastAsia="ko-KR"/>
        </w:rPr>
        <w:t>mplementation of CMM 2005-03</w:t>
      </w:r>
    </w:p>
    <w:p w:rsidR="001C6DC6" w:rsidRPr="00796474" w:rsidRDefault="001C6DC6" w:rsidP="001C6DC6">
      <w:pPr>
        <w:spacing w:before="60"/>
        <w:jc w:val="right"/>
        <w:rPr>
          <w:rFonts w:eastAsia="Malgun Gothic"/>
          <w:b/>
          <w:bCs/>
          <w:lang w:eastAsia="ko-KR"/>
        </w:rPr>
      </w:pPr>
      <w:r w:rsidRPr="00F502AA">
        <w:rPr>
          <w:b/>
          <w:bCs/>
        </w:rPr>
        <w:t>WCPFC-NC</w:t>
      </w:r>
      <w:r w:rsidR="00796474">
        <w:rPr>
          <w:rFonts w:eastAsiaTheme="minorEastAsia" w:hint="eastAsia"/>
          <w:b/>
          <w:bCs/>
          <w:lang w:eastAsia="ko-KR"/>
        </w:rPr>
        <w:t>1</w:t>
      </w:r>
      <w:r w:rsidR="00796474">
        <w:rPr>
          <w:rFonts w:eastAsia="Malgun Gothic" w:hint="eastAsia"/>
          <w:b/>
          <w:bCs/>
          <w:lang w:eastAsia="ko-KR"/>
        </w:rPr>
        <w:t>1</w:t>
      </w:r>
      <w:r w:rsidRPr="00F502AA">
        <w:rPr>
          <w:b/>
          <w:bCs/>
        </w:rPr>
        <w:t>-201</w:t>
      </w:r>
      <w:r w:rsidRPr="00F502AA">
        <w:rPr>
          <w:rFonts w:hint="eastAsia"/>
          <w:b/>
          <w:bCs/>
          <w:lang w:eastAsia="ko-KR"/>
        </w:rPr>
        <w:t>4</w:t>
      </w:r>
      <w:r w:rsidRPr="00F502AA">
        <w:rPr>
          <w:b/>
          <w:bCs/>
        </w:rPr>
        <w:t>/</w:t>
      </w:r>
      <w:r w:rsidR="00796474">
        <w:rPr>
          <w:rFonts w:eastAsia="Malgun Gothic" w:hint="eastAsia"/>
          <w:b/>
          <w:bCs/>
          <w:lang w:eastAsia="ko-KR"/>
        </w:rPr>
        <w:t>W</w:t>
      </w:r>
      <w:r w:rsidR="00796474">
        <w:rPr>
          <w:rFonts w:eastAsiaTheme="minorEastAsia" w:hint="eastAsia"/>
          <w:b/>
          <w:bCs/>
          <w:lang w:eastAsia="ko-KR"/>
        </w:rPr>
        <w:t>P-0</w:t>
      </w:r>
      <w:r w:rsidR="00796474">
        <w:rPr>
          <w:rFonts w:eastAsia="Malgun Gothic" w:hint="eastAsia"/>
          <w:b/>
          <w:bCs/>
          <w:lang w:eastAsia="ko-KR"/>
        </w:rPr>
        <w:t>2</w:t>
      </w:r>
    </w:p>
    <w:p w:rsidR="00B84135" w:rsidRPr="00560601" w:rsidRDefault="00B84135" w:rsidP="00560601">
      <w:pPr>
        <w:adjustRightInd w:val="0"/>
        <w:snapToGrid w:val="0"/>
        <w:rPr>
          <w:rFonts w:cs="Times New Roman"/>
          <w:lang w:eastAsia="ko-KR"/>
        </w:rPr>
      </w:pPr>
    </w:p>
    <w:p w:rsidR="00E4421A" w:rsidRPr="00796474" w:rsidRDefault="00796474" w:rsidP="00796474">
      <w:pPr>
        <w:adjustRightInd w:val="0"/>
        <w:snapToGrid w:val="0"/>
        <w:jc w:val="center"/>
        <w:rPr>
          <w:rFonts w:cs="Times New Roman"/>
          <w:b/>
          <w:lang w:eastAsia="ko-KR"/>
        </w:rPr>
      </w:pPr>
      <w:r w:rsidRPr="00796474">
        <w:rPr>
          <w:rFonts w:cs="Times New Roman" w:hint="eastAsia"/>
          <w:b/>
          <w:lang w:eastAsia="ko-KR"/>
        </w:rPr>
        <w:t>Secretariat</w:t>
      </w:r>
    </w:p>
    <w:p w:rsidR="00796474" w:rsidRDefault="00796474" w:rsidP="00796474">
      <w:pPr>
        <w:adjustRightInd w:val="0"/>
        <w:snapToGrid w:val="0"/>
        <w:jc w:val="center"/>
        <w:rPr>
          <w:rFonts w:cs="Times New Roman"/>
          <w:lang w:eastAsia="ko-KR"/>
        </w:rPr>
      </w:pPr>
    </w:p>
    <w:p w:rsidR="00796474" w:rsidRPr="00560601" w:rsidRDefault="00796474" w:rsidP="00796474">
      <w:pPr>
        <w:adjustRightInd w:val="0"/>
        <w:snapToGrid w:val="0"/>
        <w:jc w:val="center"/>
        <w:rPr>
          <w:rFonts w:cs="Times New Roman"/>
          <w:lang w:eastAsia="ko-KR"/>
        </w:rPr>
      </w:pPr>
    </w:p>
    <w:p w:rsidR="00E4421A" w:rsidRPr="001C6DC6" w:rsidRDefault="001C6DC6" w:rsidP="001C6DC6">
      <w:pPr>
        <w:pStyle w:val="ListParagraph"/>
        <w:numPr>
          <w:ilvl w:val="0"/>
          <w:numId w:val="10"/>
        </w:numPr>
        <w:adjustRightInd w:val="0"/>
        <w:snapToGrid w:val="0"/>
        <w:ind w:left="0" w:firstLine="0"/>
        <w:jc w:val="both"/>
        <w:rPr>
          <w:rFonts w:cs="Times New Roman"/>
          <w:lang w:eastAsia="ko-KR"/>
        </w:rPr>
      </w:pPr>
      <w:r w:rsidRPr="001C6DC6">
        <w:rPr>
          <w:rFonts w:cs="Times New Roman" w:hint="eastAsia"/>
          <w:lang w:eastAsia="ko-KR"/>
        </w:rPr>
        <w:t xml:space="preserve">As requested by the </w:t>
      </w:r>
      <w:r>
        <w:rPr>
          <w:rFonts w:cs="Times New Roman" w:hint="eastAsia"/>
          <w:lang w:eastAsia="ko-KR"/>
        </w:rPr>
        <w:t>Work Programme for the Northern Committee</w:t>
      </w:r>
      <w:r w:rsidR="008938C5">
        <w:rPr>
          <w:rFonts w:cs="Times New Roman" w:hint="eastAsia"/>
          <w:lang w:eastAsia="ko-KR"/>
        </w:rPr>
        <w:t xml:space="preserve"> and Paragraph</w:t>
      </w:r>
      <w:r w:rsidR="008938C5" w:rsidRPr="001C6DC6">
        <w:rPr>
          <w:rFonts w:cs="Times New Roman"/>
          <w:lang w:eastAsia="ko-KR"/>
        </w:rPr>
        <w:t xml:space="preserve"> 36 of NC6 Summary Report</w:t>
      </w:r>
      <w:r>
        <w:rPr>
          <w:rFonts w:cs="Times New Roman" w:hint="eastAsia"/>
          <w:lang w:eastAsia="ko-KR"/>
        </w:rPr>
        <w:t>, CCM</w:t>
      </w:r>
      <w:r>
        <w:rPr>
          <w:rFonts w:cs="Times New Roman"/>
          <w:lang w:eastAsia="ko-KR"/>
        </w:rPr>
        <w:t>’</w:t>
      </w:r>
      <w:r>
        <w:rPr>
          <w:rFonts w:cs="Times New Roman" w:hint="eastAsia"/>
          <w:lang w:eastAsia="ko-KR"/>
        </w:rPr>
        <w:t>s report</w:t>
      </w:r>
      <w:r w:rsidR="00796474">
        <w:rPr>
          <w:rFonts w:cs="Times New Roman" w:hint="eastAsia"/>
          <w:lang w:eastAsia="ko-KR"/>
        </w:rPr>
        <w:t>s</w:t>
      </w:r>
      <w:r>
        <w:rPr>
          <w:rFonts w:cs="Times New Roman" w:hint="eastAsia"/>
          <w:lang w:eastAsia="ko-KR"/>
        </w:rPr>
        <w:t xml:space="preserve"> on Paragraph 2 that </w:t>
      </w:r>
      <w:r w:rsidR="00796474">
        <w:rPr>
          <w:rFonts w:cs="Times New Roman" w:hint="eastAsia"/>
          <w:lang w:eastAsia="ko-KR"/>
        </w:rPr>
        <w:t>were</w:t>
      </w:r>
      <w:r>
        <w:rPr>
          <w:rFonts w:cs="Times New Roman" w:hint="eastAsia"/>
          <w:lang w:eastAsia="ko-KR"/>
        </w:rPr>
        <w:t xml:space="preserve"> reported through the </w:t>
      </w:r>
      <w:r w:rsidR="00560601" w:rsidRPr="001C6DC6">
        <w:rPr>
          <w:rFonts w:cs="Times New Roman"/>
          <w:lang w:eastAsia="ko-KR"/>
        </w:rPr>
        <w:t>2011 Ann</w:t>
      </w:r>
      <w:r w:rsidR="00E4421A" w:rsidRPr="001C6DC6">
        <w:rPr>
          <w:rFonts w:cs="Times New Roman"/>
          <w:lang w:eastAsia="ko-KR"/>
        </w:rPr>
        <w:t xml:space="preserve">ual Report – Part 2 </w:t>
      </w:r>
      <w:r>
        <w:rPr>
          <w:rFonts w:cs="Times New Roman" w:hint="eastAsia"/>
          <w:lang w:eastAsia="ko-KR"/>
        </w:rPr>
        <w:t xml:space="preserve">are compiled in the Table </w:t>
      </w:r>
      <w:r w:rsidR="00796474">
        <w:rPr>
          <w:rFonts w:cs="Times New Roman" w:hint="eastAsia"/>
          <w:lang w:eastAsia="ko-KR"/>
        </w:rPr>
        <w:t xml:space="preserve">1 </w:t>
      </w:r>
      <w:r>
        <w:rPr>
          <w:rFonts w:cs="Times New Roman" w:hint="eastAsia"/>
          <w:lang w:eastAsia="ko-KR"/>
        </w:rPr>
        <w:t xml:space="preserve">below. </w:t>
      </w:r>
      <w:r w:rsidR="00E4421A" w:rsidRPr="001C6DC6">
        <w:rPr>
          <w:rFonts w:cs="Times New Roman"/>
          <w:lang w:eastAsia="ko-KR"/>
        </w:rPr>
        <w:t xml:space="preserve"> </w:t>
      </w:r>
    </w:p>
    <w:p w:rsidR="00560601" w:rsidRPr="00560601" w:rsidRDefault="00560601" w:rsidP="00560601">
      <w:pPr>
        <w:pStyle w:val="ListParagraph"/>
        <w:adjustRightInd w:val="0"/>
        <w:snapToGrid w:val="0"/>
        <w:ind w:left="840"/>
        <w:contextualSpacing w:val="0"/>
        <w:rPr>
          <w:rFonts w:cs="Times New Roman"/>
          <w:lang w:eastAsia="ko-KR"/>
        </w:rPr>
      </w:pPr>
    </w:p>
    <w:p w:rsidR="00560601" w:rsidRPr="00560601" w:rsidRDefault="00560601" w:rsidP="00796474">
      <w:pPr>
        <w:adjustRightInd w:val="0"/>
        <w:snapToGrid w:val="0"/>
        <w:ind w:left="720"/>
        <w:rPr>
          <w:rFonts w:cs="Times New Roman"/>
          <w:b/>
          <w:lang w:eastAsia="ko-KR"/>
        </w:rPr>
      </w:pPr>
      <w:r w:rsidRPr="00560601">
        <w:rPr>
          <w:rFonts w:cs="Times New Roman"/>
          <w:b/>
          <w:lang w:eastAsia="ko-KR"/>
        </w:rPr>
        <w:t>(CMM 2005-03)</w:t>
      </w:r>
    </w:p>
    <w:p w:rsidR="00560601" w:rsidRPr="00560601" w:rsidRDefault="00560601" w:rsidP="00796474">
      <w:pPr>
        <w:widowControl w:val="0"/>
        <w:adjustRightInd w:val="0"/>
        <w:snapToGrid w:val="0"/>
        <w:ind w:left="720"/>
        <w:jc w:val="both"/>
        <w:rPr>
          <w:rFonts w:cs="Times New Roman"/>
        </w:rPr>
      </w:pPr>
      <w:r w:rsidRPr="00560601">
        <w:rPr>
          <w:rFonts w:cs="Times New Roman"/>
          <w:lang w:eastAsia="ko-KR"/>
        </w:rPr>
        <w:t xml:space="preserve">2. </w:t>
      </w:r>
      <w:r w:rsidRPr="00560601">
        <w:rPr>
          <w:rFonts w:cs="Times New Roman"/>
          <w:lang w:eastAsia="ko-KR"/>
        </w:rPr>
        <w:tab/>
      </w:r>
      <w:r w:rsidRPr="00560601">
        <w:rPr>
          <w:rFonts w:cs="Times New Roman"/>
        </w:rPr>
        <w:t xml:space="preserve">The Members,  Cooperating Non-Members and participating Territories (hereinafter referred to as CCMs) shall take necessary measures to ensure that the level of fishing effort by their vessels </w:t>
      </w:r>
      <w:r w:rsidRPr="00796474">
        <w:rPr>
          <w:rFonts w:cs="Times New Roman"/>
        </w:rPr>
        <w:t>fishing for</w:t>
      </w:r>
      <w:r w:rsidRPr="00560601">
        <w:rPr>
          <w:rFonts w:cs="Times New Roman"/>
        </w:rPr>
        <w:t xml:space="preserve"> North Pacific albacore in the WCPF Convention Area is not increased beyond current levels;</w:t>
      </w:r>
    </w:p>
    <w:p w:rsidR="00560601" w:rsidRPr="00560601" w:rsidRDefault="00560601" w:rsidP="00796474">
      <w:pPr>
        <w:adjustRightInd w:val="0"/>
        <w:snapToGrid w:val="0"/>
        <w:ind w:left="720"/>
        <w:rPr>
          <w:rFonts w:cs="Times New Roman"/>
          <w:lang w:eastAsia="ko-KR"/>
        </w:rPr>
      </w:pPr>
    </w:p>
    <w:p w:rsidR="00560601" w:rsidRPr="00560601" w:rsidRDefault="00560601" w:rsidP="00796474">
      <w:pPr>
        <w:adjustRightInd w:val="0"/>
        <w:snapToGrid w:val="0"/>
        <w:ind w:left="720"/>
        <w:rPr>
          <w:rFonts w:cs="Times New Roman"/>
          <w:b/>
          <w:lang w:eastAsia="ko-KR"/>
        </w:rPr>
      </w:pPr>
      <w:r w:rsidRPr="00560601">
        <w:rPr>
          <w:rFonts w:cs="Times New Roman"/>
          <w:b/>
          <w:lang w:eastAsia="ko-KR"/>
        </w:rPr>
        <w:t>(NC6 Summary Report)</w:t>
      </w:r>
    </w:p>
    <w:p w:rsidR="00560601" w:rsidRPr="00796474" w:rsidRDefault="00560601" w:rsidP="00796474">
      <w:pPr>
        <w:adjustRightInd w:val="0"/>
        <w:snapToGrid w:val="0"/>
        <w:ind w:left="720"/>
        <w:rPr>
          <w:rFonts w:eastAsia="Times New Roman" w:cs="Times New Roman"/>
        </w:rPr>
      </w:pPr>
      <w:r w:rsidRPr="00560601">
        <w:rPr>
          <w:rFonts w:eastAsia="Times New Roman" w:cs="Times New Roman"/>
        </w:rPr>
        <w:t xml:space="preserve">36. </w:t>
      </w:r>
      <w:r w:rsidRPr="00560601">
        <w:rPr>
          <w:rFonts w:eastAsia="Malgun Gothic" w:cs="Times New Roman"/>
          <w:lang w:eastAsia="ko-KR"/>
        </w:rPr>
        <w:tab/>
      </w:r>
      <w:r w:rsidR="00796474">
        <w:t>NC6 discussed how to evaluate the implementation of CMM 2005-03, and agreed that members should report back on the measures they have taken to implement it. NC6 agreed that for the purpose of evaluating the implementation of paragraph 2 of CMM 2005-03, CCMs shall include the following information in their 2011 annual reports, part 2:</w:t>
      </w:r>
    </w:p>
    <w:p w:rsidR="00560601" w:rsidRPr="00560601" w:rsidRDefault="00796474" w:rsidP="00796474">
      <w:pPr>
        <w:pStyle w:val="ListParagraph"/>
        <w:numPr>
          <w:ilvl w:val="1"/>
          <w:numId w:val="12"/>
        </w:numPr>
        <w:adjustRightInd w:val="0"/>
        <w:snapToGrid w:val="0"/>
        <w:contextualSpacing w:val="0"/>
        <w:rPr>
          <w:rFonts w:eastAsia="Times New Roman" w:cs="Times New Roman"/>
        </w:rPr>
      </w:pPr>
      <w:r>
        <w:t>a list of their specific fisheries or fleets that they have determined to be ―fishing for‖ North Pacific albacore in the Convention Area; and</w:t>
      </w:r>
    </w:p>
    <w:p w:rsidR="00560601" w:rsidRPr="00560601" w:rsidRDefault="00796474" w:rsidP="00796474">
      <w:pPr>
        <w:pStyle w:val="ListParagraph"/>
        <w:numPr>
          <w:ilvl w:val="1"/>
          <w:numId w:val="12"/>
        </w:numPr>
        <w:adjustRightInd w:val="0"/>
        <w:snapToGrid w:val="0"/>
        <w:contextualSpacing w:val="0"/>
        <w:rPr>
          <w:rFonts w:eastAsia="Times New Roman" w:cs="Times New Roman"/>
        </w:rPr>
      </w:pPr>
      <w:proofErr w:type="gramStart"/>
      <w:r>
        <w:t>a</w:t>
      </w:r>
      <w:proofErr w:type="gramEnd"/>
      <w:r>
        <w:t xml:space="preserve"> description of the particular measures, as well as monitoring mechanisms, that they have established to ensure that fishing effort in each of the fisheries or fleets does not increase above 2002–2004 average levels.</w:t>
      </w:r>
    </w:p>
    <w:p w:rsidR="00560601" w:rsidRPr="00560601" w:rsidRDefault="00560601" w:rsidP="00560601">
      <w:pPr>
        <w:adjustRightInd w:val="0"/>
        <w:snapToGrid w:val="0"/>
        <w:rPr>
          <w:rFonts w:cs="Times New Roman"/>
          <w:lang w:eastAsia="ko-KR"/>
        </w:rPr>
      </w:pPr>
    </w:p>
    <w:p w:rsidR="000C435B" w:rsidRDefault="000C435B">
      <w:pPr>
        <w:rPr>
          <w:rFonts w:cs="Times New Roman"/>
          <w:b/>
          <w:lang w:eastAsia="ko-KR"/>
        </w:rPr>
      </w:pPr>
      <w:r>
        <w:rPr>
          <w:rFonts w:cs="Times New Roman"/>
          <w:b/>
          <w:lang w:eastAsia="ko-KR"/>
        </w:rPr>
        <w:br w:type="page"/>
      </w:r>
    </w:p>
    <w:p w:rsidR="00E4421A" w:rsidRPr="00796474" w:rsidRDefault="00796474" w:rsidP="00796474">
      <w:pPr>
        <w:adjustRightInd w:val="0"/>
        <w:snapToGrid w:val="0"/>
        <w:rPr>
          <w:rFonts w:cs="Times New Roman"/>
          <w:lang w:eastAsia="ko-KR"/>
        </w:rPr>
      </w:pPr>
      <w:proofErr w:type="gramStart"/>
      <w:r>
        <w:rPr>
          <w:rFonts w:cs="Times New Roman" w:hint="eastAsia"/>
          <w:b/>
          <w:lang w:eastAsia="ko-KR"/>
        </w:rPr>
        <w:lastRenderedPageBreak/>
        <w:t>Table 1.</w:t>
      </w:r>
      <w:proofErr w:type="gramEnd"/>
      <w:r>
        <w:rPr>
          <w:rFonts w:cs="Times New Roman" w:hint="eastAsia"/>
          <w:b/>
          <w:lang w:eastAsia="ko-KR"/>
        </w:rPr>
        <w:t xml:space="preserve"> </w:t>
      </w:r>
      <w:r w:rsidR="00560601" w:rsidRPr="00796474">
        <w:rPr>
          <w:rFonts w:cs="Times New Roman" w:hint="eastAsia"/>
          <w:lang w:eastAsia="ko-KR"/>
        </w:rPr>
        <w:t>Compiled information from 2011 Annual Report Part 2 for 2010 activities</w:t>
      </w:r>
    </w:p>
    <w:p w:rsidR="00560601" w:rsidRPr="00560601" w:rsidRDefault="00796474" w:rsidP="00796474">
      <w:pPr>
        <w:adjustRightInd w:val="0"/>
        <w:snapToGrid w:val="0"/>
        <w:jc w:val="right"/>
        <w:rPr>
          <w:rFonts w:cs="Times New Roman"/>
          <w:lang w:eastAsia="ko-KR"/>
        </w:rPr>
      </w:pPr>
      <w:r>
        <w:rPr>
          <w:rFonts w:cs="Times New Roman" w:hint="eastAsia"/>
          <w:lang w:eastAsia="ko-KR"/>
        </w:rPr>
        <w:t>(</w:t>
      </w:r>
      <w:r w:rsidR="000C435B">
        <w:rPr>
          <w:rFonts w:cs="Times New Roman" w:hint="eastAsia"/>
          <w:lang w:eastAsia="ko-KR"/>
        </w:rPr>
        <w:t>NA = not applicable</w:t>
      </w:r>
      <w:r>
        <w:rPr>
          <w:rFonts w:cs="Times New Roman" w:hint="eastAsia"/>
          <w:lang w:eastAsia="ko-KR"/>
        </w:rPr>
        <w:t>)</w:t>
      </w:r>
    </w:p>
    <w:tbl>
      <w:tblPr>
        <w:tblStyle w:val="TableGrid"/>
        <w:tblW w:w="0" w:type="auto"/>
        <w:tblLook w:val="04A0" w:firstRow="1" w:lastRow="0" w:firstColumn="1" w:lastColumn="0" w:noHBand="0" w:noVBand="1"/>
      </w:tblPr>
      <w:tblGrid>
        <w:gridCol w:w="1207"/>
        <w:gridCol w:w="930"/>
        <w:gridCol w:w="7439"/>
      </w:tblGrid>
      <w:tr w:rsidR="00881D9E" w:rsidRPr="00560601" w:rsidTr="00A87DED">
        <w:tc>
          <w:tcPr>
            <w:tcW w:w="1207" w:type="dxa"/>
            <w:shd w:val="clear" w:color="auto" w:fill="BFBFBF" w:themeFill="background1" w:themeFillShade="BF"/>
          </w:tcPr>
          <w:p w:rsidR="00881D9E" w:rsidRPr="000C435B" w:rsidRDefault="00A87DED" w:rsidP="000C435B">
            <w:pPr>
              <w:adjustRightInd w:val="0"/>
              <w:snapToGrid w:val="0"/>
              <w:jc w:val="center"/>
              <w:rPr>
                <w:rFonts w:cs="Times New Roman"/>
                <w:b/>
                <w:lang w:eastAsia="ko-KR"/>
              </w:rPr>
            </w:pPr>
            <w:r>
              <w:rPr>
                <w:rFonts w:cs="Times New Roman" w:hint="eastAsia"/>
                <w:b/>
                <w:lang w:eastAsia="ko-KR"/>
              </w:rPr>
              <w:t>CCM</w:t>
            </w:r>
          </w:p>
        </w:tc>
        <w:tc>
          <w:tcPr>
            <w:tcW w:w="930" w:type="dxa"/>
            <w:shd w:val="clear" w:color="auto" w:fill="BFBFBF" w:themeFill="background1" w:themeFillShade="BF"/>
          </w:tcPr>
          <w:p w:rsidR="00881D9E" w:rsidRPr="000C435B" w:rsidRDefault="00881D9E" w:rsidP="000C435B">
            <w:pPr>
              <w:adjustRightInd w:val="0"/>
              <w:snapToGrid w:val="0"/>
              <w:jc w:val="center"/>
              <w:rPr>
                <w:rFonts w:cs="Times New Roman"/>
                <w:b/>
                <w:lang w:eastAsia="ko-KR"/>
              </w:rPr>
            </w:pPr>
            <w:r w:rsidRPr="000C435B">
              <w:rPr>
                <w:rFonts w:cs="Times New Roman"/>
                <w:b/>
                <w:lang w:eastAsia="ko-KR"/>
              </w:rPr>
              <w:t>Para 2.</w:t>
            </w:r>
          </w:p>
        </w:tc>
        <w:tc>
          <w:tcPr>
            <w:tcW w:w="7439" w:type="dxa"/>
            <w:shd w:val="clear" w:color="auto" w:fill="BFBFBF" w:themeFill="background1" w:themeFillShade="BF"/>
          </w:tcPr>
          <w:p w:rsidR="00881D9E" w:rsidRPr="000C435B" w:rsidRDefault="00881D9E" w:rsidP="000C435B">
            <w:pPr>
              <w:adjustRightInd w:val="0"/>
              <w:snapToGrid w:val="0"/>
              <w:jc w:val="center"/>
              <w:rPr>
                <w:rFonts w:cs="Times New Roman"/>
                <w:b/>
                <w:lang w:eastAsia="ko-KR"/>
              </w:rPr>
            </w:pPr>
            <w:r>
              <w:rPr>
                <w:rFonts w:cs="Times New Roman" w:hint="eastAsia"/>
                <w:b/>
                <w:lang w:eastAsia="ko-KR"/>
              </w:rPr>
              <w:t xml:space="preserve">Measures in place; </w:t>
            </w:r>
            <w:r w:rsidRPr="000C435B">
              <w:rPr>
                <w:rFonts w:cs="Times New Roman" w:hint="eastAsia"/>
                <w:b/>
                <w:lang w:eastAsia="ko-KR"/>
              </w:rPr>
              <w:t>Para 36, NC6 Summary Report</w:t>
            </w:r>
          </w:p>
        </w:tc>
      </w:tr>
      <w:tr w:rsidR="00E271B0" w:rsidRPr="00560601" w:rsidTr="00881D9E">
        <w:tc>
          <w:tcPr>
            <w:tcW w:w="1207" w:type="dxa"/>
          </w:tcPr>
          <w:p w:rsidR="00E271B0" w:rsidRPr="00560601" w:rsidRDefault="00E271B0" w:rsidP="00560601">
            <w:pPr>
              <w:adjustRightInd w:val="0"/>
              <w:snapToGrid w:val="0"/>
              <w:rPr>
                <w:rFonts w:cs="Times New Roman"/>
                <w:lang w:eastAsia="ko-KR"/>
              </w:rPr>
            </w:pPr>
            <w:r w:rsidRPr="00560601">
              <w:rPr>
                <w:rFonts w:cs="Times New Roman"/>
                <w:lang w:eastAsia="ko-KR"/>
              </w:rPr>
              <w:t>Canada</w:t>
            </w:r>
          </w:p>
        </w:tc>
        <w:tc>
          <w:tcPr>
            <w:tcW w:w="930" w:type="dxa"/>
          </w:tcPr>
          <w:p w:rsidR="00E271B0" w:rsidRPr="00560601" w:rsidRDefault="00E271B0" w:rsidP="00560601">
            <w:pPr>
              <w:adjustRightInd w:val="0"/>
              <w:snapToGrid w:val="0"/>
              <w:rPr>
                <w:rFonts w:cs="Times New Roman"/>
              </w:rPr>
            </w:pPr>
            <w:r w:rsidRPr="00560601">
              <w:rPr>
                <w:rFonts w:cs="Times New Roman"/>
              </w:rPr>
              <w:t xml:space="preserve">Yes </w:t>
            </w:r>
          </w:p>
        </w:tc>
        <w:tc>
          <w:tcPr>
            <w:tcW w:w="7439" w:type="dxa"/>
          </w:tcPr>
          <w:p w:rsidR="00E271B0" w:rsidRDefault="00E271B0" w:rsidP="00E271B0">
            <w:pPr>
              <w:adjustRightInd w:val="0"/>
              <w:snapToGrid w:val="0"/>
              <w:rPr>
                <w:b/>
              </w:rPr>
            </w:pPr>
            <w:r w:rsidRPr="00B87317">
              <w:rPr>
                <w:b/>
              </w:rPr>
              <w:t>Undated information for NC11:</w:t>
            </w:r>
          </w:p>
          <w:p w:rsidR="00E271B0" w:rsidRPr="00B87317" w:rsidRDefault="00E271B0" w:rsidP="00E271B0">
            <w:pPr>
              <w:adjustRightInd w:val="0"/>
              <w:snapToGrid w:val="0"/>
              <w:rPr>
                <w:b/>
              </w:rPr>
            </w:pPr>
          </w:p>
          <w:p w:rsidR="00E271B0" w:rsidRPr="00E271B0" w:rsidRDefault="00E271B0" w:rsidP="00E271B0">
            <w:pPr>
              <w:pStyle w:val="ListParagraph"/>
              <w:numPr>
                <w:ilvl w:val="0"/>
                <w:numId w:val="13"/>
              </w:numPr>
              <w:adjustRightInd w:val="0"/>
              <w:snapToGrid w:val="0"/>
              <w:ind w:left="383"/>
              <w:rPr>
                <w:rFonts w:cs="Times New Roman"/>
                <w:lang w:eastAsia="ko-KR"/>
              </w:rPr>
            </w:pPr>
            <w:r w:rsidRPr="00E271B0">
              <w:rPr>
                <w:rFonts w:cs="Times New Roman"/>
                <w:lang w:eastAsia="ko-KR"/>
              </w:rPr>
              <w:t>Canada has a single troll fleet targeting north Pacific albacore tuna in the Convention Area. This fleet is based in British Columbia, Canada.</w:t>
            </w:r>
          </w:p>
          <w:p w:rsidR="00E271B0" w:rsidRPr="00E271B0" w:rsidRDefault="00E271B0" w:rsidP="00E271B0">
            <w:pPr>
              <w:pStyle w:val="ListParagraph"/>
              <w:numPr>
                <w:ilvl w:val="0"/>
                <w:numId w:val="13"/>
              </w:numPr>
              <w:adjustRightInd w:val="0"/>
              <w:snapToGrid w:val="0"/>
              <w:ind w:left="383"/>
              <w:rPr>
                <w:rFonts w:cs="Times New Roman"/>
                <w:lang w:eastAsia="ko-KR"/>
              </w:rPr>
            </w:pPr>
            <w:r w:rsidRPr="00E271B0">
              <w:rPr>
                <w:rFonts w:cs="Times New Roman"/>
                <w:lang w:eastAsia="ko-KR"/>
              </w:rPr>
              <w:t xml:space="preserve">The Canadian fleet is not subject to any effort controls at present.  </w:t>
            </w:r>
            <w:proofErr w:type="spellStart"/>
            <w:r w:rsidRPr="00E271B0">
              <w:rPr>
                <w:rFonts w:cs="Times New Roman"/>
                <w:lang w:eastAsia="ko-KR"/>
              </w:rPr>
              <w:t>Licencing</w:t>
            </w:r>
            <w:proofErr w:type="spellEnd"/>
            <w:r w:rsidRPr="00E271B0">
              <w:rPr>
                <w:rFonts w:cs="Times New Roman"/>
                <w:lang w:eastAsia="ko-KR"/>
              </w:rPr>
              <w:t xml:space="preserve"> conditions require vessels to complete and report logbooks by mid-Nov and vessels must hail into and out of the fishery within 24 hours of starting and stopping fishing. The hail data and logbooks permit Canada to monitor catch levels, fishing effort and participation in the fishery. Very few Canadian vessels have entered the Convention Area to fish since 2006 and given this trend, Canada does not anticipate any increase in effort for the foreseeable future and certainly no increase relative to the 2002-04 </w:t>
            </w:r>
            <w:proofErr w:type="gramStart"/>
            <w:r w:rsidRPr="00E271B0">
              <w:rPr>
                <w:rFonts w:cs="Times New Roman"/>
                <w:lang w:eastAsia="ko-KR"/>
              </w:rPr>
              <w:t>period</w:t>
            </w:r>
            <w:proofErr w:type="gramEnd"/>
            <w:r w:rsidRPr="00E271B0">
              <w:rPr>
                <w:rFonts w:cs="Times New Roman"/>
                <w:lang w:eastAsia="ko-KR"/>
              </w:rPr>
              <w:t xml:space="preserve">. </w:t>
            </w:r>
          </w:p>
          <w:p w:rsidR="00E271B0" w:rsidRDefault="00E271B0" w:rsidP="008E6F44">
            <w:pPr>
              <w:adjustRightInd w:val="0"/>
              <w:snapToGrid w:val="0"/>
              <w:rPr>
                <w:rFonts w:cs="Times New Roman"/>
                <w:lang w:eastAsia="ko-KR"/>
              </w:rPr>
            </w:pPr>
          </w:p>
          <w:p w:rsidR="00E271B0" w:rsidRPr="000A59DA" w:rsidRDefault="00E271B0" w:rsidP="008E6F44">
            <w:pPr>
              <w:adjustRightInd w:val="0"/>
              <w:snapToGrid w:val="0"/>
              <w:rPr>
                <w:rFonts w:cs="Times New Roman"/>
                <w:lang w:eastAsia="ko-KR"/>
              </w:rPr>
            </w:pPr>
            <w:r>
              <w:rPr>
                <w:rFonts w:cs="Times New Roman"/>
                <w:lang w:eastAsia="ko-KR"/>
              </w:rPr>
              <w:t>Canada has submitted 6 month catch reports to the WCPFC as required.</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China</w:t>
            </w:r>
          </w:p>
        </w:tc>
        <w:tc>
          <w:tcPr>
            <w:tcW w:w="930" w:type="dxa"/>
          </w:tcPr>
          <w:p w:rsidR="00881D9E" w:rsidRPr="00560601" w:rsidRDefault="00557083" w:rsidP="00560601">
            <w:pPr>
              <w:adjustRightInd w:val="0"/>
              <w:snapToGrid w:val="0"/>
              <w:rPr>
                <w:rFonts w:cs="Times New Roman"/>
                <w:lang w:eastAsia="ko-KR"/>
              </w:rPr>
            </w:pPr>
            <w:r>
              <w:rPr>
                <w:rFonts w:cs="Times New Roman"/>
                <w:lang w:eastAsia="ko-KR"/>
              </w:rPr>
              <w:t>Yes</w:t>
            </w:r>
          </w:p>
        </w:tc>
        <w:tc>
          <w:tcPr>
            <w:tcW w:w="7439" w:type="dxa"/>
          </w:tcPr>
          <w:p w:rsidR="00557083" w:rsidRPr="00557083" w:rsidRDefault="00557083" w:rsidP="0017665A">
            <w:pPr>
              <w:adjustRightInd w:val="0"/>
              <w:snapToGrid w:val="0"/>
              <w:rPr>
                <w:rFonts w:eastAsia="Microsoft YaHei" w:cs="Times New Roman"/>
                <w:b/>
              </w:rPr>
            </w:pPr>
            <w:r w:rsidRPr="00557083">
              <w:rPr>
                <w:rFonts w:eastAsia="Microsoft YaHei" w:cs="Times New Roman"/>
                <w:b/>
              </w:rPr>
              <w:t>From C</w:t>
            </w:r>
            <w:r>
              <w:rPr>
                <w:rFonts w:eastAsia="Microsoft YaHei" w:cs="Times New Roman"/>
                <w:b/>
              </w:rPr>
              <w:t xml:space="preserve">ompliance </w:t>
            </w:r>
            <w:r w:rsidRPr="00557083">
              <w:rPr>
                <w:rFonts w:eastAsia="Microsoft YaHei" w:cs="Times New Roman"/>
                <w:b/>
              </w:rPr>
              <w:t>M</w:t>
            </w:r>
            <w:r>
              <w:rPr>
                <w:rFonts w:eastAsia="Microsoft YaHei" w:cs="Times New Roman"/>
                <w:b/>
              </w:rPr>
              <w:t xml:space="preserve">onitoring </w:t>
            </w:r>
            <w:r w:rsidRPr="00557083">
              <w:rPr>
                <w:rFonts w:eastAsia="Microsoft YaHei" w:cs="Times New Roman"/>
                <w:b/>
              </w:rPr>
              <w:t>R</w:t>
            </w:r>
            <w:r>
              <w:rPr>
                <w:rFonts w:eastAsia="Microsoft YaHei" w:cs="Times New Roman"/>
                <w:b/>
              </w:rPr>
              <w:t>eport</w:t>
            </w:r>
            <w:bookmarkStart w:id="0" w:name="_GoBack"/>
            <w:bookmarkEnd w:id="0"/>
          </w:p>
          <w:p w:rsidR="00557083" w:rsidRDefault="00557083" w:rsidP="0017665A">
            <w:pPr>
              <w:adjustRightInd w:val="0"/>
              <w:snapToGrid w:val="0"/>
              <w:rPr>
                <w:rFonts w:eastAsia="Microsoft YaHei" w:cs="Times New Roman"/>
              </w:rPr>
            </w:pPr>
          </w:p>
          <w:p w:rsidR="0017665A" w:rsidRPr="0017665A" w:rsidRDefault="0017665A" w:rsidP="0017665A">
            <w:pPr>
              <w:adjustRightInd w:val="0"/>
              <w:snapToGrid w:val="0"/>
              <w:rPr>
                <w:rFonts w:eastAsia="Microsoft YaHei" w:cs="Times New Roman"/>
              </w:rPr>
            </w:pPr>
            <w:r>
              <w:rPr>
                <w:rFonts w:eastAsia="Microsoft YaHei" w:cs="Times New Roman"/>
              </w:rPr>
              <w:t>N</w:t>
            </w:r>
            <w:r w:rsidRPr="0017665A">
              <w:rPr>
                <w:rFonts w:eastAsia="Microsoft YaHei" w:cs="Times New Roman"/>
              </w:rPr>
              <w:t xml:space="preserve">o new added fishing effort is allowed by Chinese </w:t>
            </w:r>
            <w:r w:rsidRPr="0017665A">
              <w:rPr>
                <w:rFonts w:eastAsia="Microsoft YaHei" w:cs="Times New Roman"/>
              </w:rPr>
              <w:t>Government</w:t>
            </w:r>
            <w:r w:rsidRPr="0017665A">
              <w:rPr>
                <w:rFonts w:eastAsia="Microsoft YaHei" w:cs="Times New Roman"/>
              </w:rPr>
              <w:t xml:space="preserve"> in area applicable to the Measure. The total limit for such vessel by the Chinese Government is ten vessels.</w:t>
            </w:r>
          </w:p>
          <w:p w:rsidR="0017665A" w:rsidRPr="0017665A" w:rsidRDefault="0017665A" w:rsidP="0017665A">
            <w:pPr>
              <w:adjustRightInd w:val="0"/>
              <w:snapToGrid w:val="0"/>
              <w:rPr>
                <w:rFonts w:eastAsia="Microsoft YaHei" w:cs="Times New Roman"/>
              </w:rPr>
            </w:pPr>
          </w:p>
          <w:p w:rsidR="003C3EF6" w:rsidRPr="0017665A" w:rsidRDefault="0017665A" w:rsidP="0017665A">
            <w:pPr>
              <w:adjustRightInd w:val="0"/>
              <w:snapToGrid w:val="0"/>
              <w:rPr>
                <w:rFonts w:cs="Times New Roman"/>
                <w:lang w:eastAsia="ko-KR"/>
              </w:rPr>
            </w:pPr>
            <w:r w:rsidRPr="0017665A">
              <w:rPr>
                <w:rFonts w:eastAsia="Microsoft YaHei" w:cs="Times New Roman"/>
              </w:rPr>
              <w:t>No new vessel/effort is allowed to operate north to the equator. Fishing license for new vessels limits the fishing area for such vessels, normally with annotation "allowed to operate between the equator and S20"</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Cook Is.</w:t>
            </w:r>
          </w:p>
        </w:tc>
        <w:tc>
          <w:tcPr>
            <w:tcW w:w="930" w:type="dxa"/>
          </w:tcPr>
          <w:p w:rsidR="00881D9E" w:rsidRPr="00560601" w:rsidRDefault="00557083" w:rsidP="003F3FE8">
            <w:pPr>
              <w:adjustRightInd w:val="0"/>
              <w:snapToGrid w:val="0"/>
              <w:rPr>
                <w:rFonts w:cs="Times New Roman"/>
              </w:rPr>
            </w:pPr>
            <w:r>
              <w:rPr>
                <w:rFonts w:cs="Times New Roman"/>
              </w:rPr>
              <w:t>NA</w:t>
            </w:r>
            <w:r w:rsidR="00881D9E" w:rsidRPr="00560601">
              <w:rPr>
                <w:rFonts w:cs="Times New Roman"/>
              </w:rPr>
              <w:t xml:space="preserve"> </w:t>
            </w:r>
          </w:p>
        </w:tc>
        <w:tc>
          <w:tcPr>
            <w:tcW w:w="7439" w:type="dxa"/>
          </w:tcPr>
          <w:p w:rsidR="00B87317" w:rsidRDefault="00B87317" w:rsidP="00560601">
            <w:pPr>
              <w:adjustRightInd w:val="0"/>
              <w:snapToGrid w:val="0"/>
              <w:rPr>
                <w:b/>
              </w:rPr>
            </w:pPr>
            <w:r w:rsidRPr="00B87317">
              <w:rPr>
                <w:b/>
              </w:rPr>
              <w:t>Undated information for NC11:</w:t>
            </w:r>
          </w:p>
          <w:p w:rsidR="00E271B0" w:rsidRPr="00B87317" w:rsidRDefault="00E271B0" w:rsidP="00560601">
            <w:pPr>
              <w:adjustRightInd w:val="0"/>
              <w:snapToGrid w:val="0"/>
              <w:rPr>
                <w:b/>
              </w:rPr>
            </w:pPr>
          </w:p>
          <w:p w:rsidR="00B87317" w:rsidRDefault="00B87317" w:rsidP="00560601">
            <w:pPr>
              <w:adjustRightInd w:val="0"/>
              <w:snapToGrid w:val="0"/>
              <w:rPr>
                <w:lang w:eastAsia="ko-KR"/>
              </w:rPr>
            </w:pPr>
            <w:r>
              <w:t>This CMM is not applicable to the Cook Islands as does not have any flagged vessels fishing north of the equator. Catch reporting provisions under the WCPFC Report Criteria, CMMs and Marine Resources legislation</w:t>
            </w:r>
            <w:r>
              <w:rPr>
                <w:rFonts w:hint="eastAsia"/>
                <w:lang w:eastAsia="ko-KR"/>
              </w:rPr>
              <w:t>.</w:t>
            </w:r>
          </w:p>
          <w:p w:rsidR="00B87317" w:rsidRDefault="00B87317" w:rsidP="00560601">
            <w:pPr>
              <w:adjustRightInd w:val="0"/>
              <w:snapToGrid w:val="0"/>
              <w:rPr>
                <w:lang w:eastAsia="ko-KR"/>
              </w:rPr>
            </w:pPr>
          </w:p>
          <w:p w:rsidR="00B87317" w:rsidRDefault="00B87317" w:rsidP="00560601">
            <w:pPr>
              <w:adjustRightInd w:val="0"/>
              <w:snapToGrid w:val="0"/>
              <w:rPr>
                <w:b/>
                <w:lang w:eastAsia="ko-KR"/>
              </w:rPr>
            </w:pPr>
            <w:r w:rsidRPr="00B87317">
              <w:rPr>
                <w:b/>
                <w:lang w:eastAsia="ko-KR"/>
              </w:rPr>
              <w:t>From 2011 AR-Part 2:</w:t>
            </w:r>
          </w:p>
          <w:p w:rsidR="00E271B0" w:rsidRPr="00B87317" w:rsidRDefault="00E271B0" w:rsidP="00560601">
            <w:pPr>
              <w:adjustRightInd w:val="0"/>
              <w:snapToGrid w:val="0"/>
              <w:rPr>
                <w:b/>
                <w:lang w:eastAsia="ko-KR"/>
              </w:rPr>
            </w:pPr>
          </w:p>
          <w:p w:rsidR="00881D9E" w:rsidRPr="00560601" w:rsidRDefault="00881D9E" w:rsidP="00560601">
            <w:pPr>
              <w:adjustRightInd w:val="0"/>
              <w:snapToGrid w:val="0"/>
              <w:rPr>
                <w:rFonts w:cs="Times New Roman"/>
                <w:lang w:eastAsia="ko-KR"/>
              </w:rPr>
            </w:pPr>
            <w:r>
              <w:t>Catch reporting provisions under the WCPFC Report Criteria, CMMs and Marine Resources legislation</w:t>
            </w:r>
            <w:r>
              <w:rPr>
                <w:rFonts w:hint="eastAsia"/>
                <w:lang w:eastAsia="ko-KR"/>
              </w:rPr>
              <w:t>.</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Japan</w:t>
            </w:r>
          </w:p>
        </w:tc>
        <w:tc>
          <w:tcPr>
            <w:tcW w:w="930" w:type="dxa"/>
          </w:tcPr>
          <w:p w:rsidR="00881D9E" w:rsidRPr="00560601" w:rsidRDefault="00881D9E" w:rsidP="00560601">
            <w:pPr>
              <w:adjustRightInd w:val="0"/>
              <w:snapToGrid w:val="0"/>
              <w:rPr>
                <w:rFonts w:cs="Times New Roman"/>
                <w:lang w:eastAsia="ko-KR"/>
              </w:rPr>
            </w:pPr>
            <w:r>
              <w:rPr>
                <w:rFonts w:cs="Times New Roman"/>
                <w:lang w:eastAsia="ko-KR"/>
              </w:rPr>
              <w:t>Y</w:t>
            </w:r>
            <w:r>
              <w:rPr>
                <w:rFonts w:cs="Times New Roman" w:hint="eastAsia"/>
                <w:lang w:eastAsia="ko-KR"/>
              </w:rPr>
              <w:t xml:space="preserve">es </w:t>
            </w:r>
          </w:p>
        </w:tc>
        <w:tc>
          <w:tcPr>
            <w:tcW w:w="7439" w:type="dxa"/>
          </w:tcPr>
          <w:p w:rsidR="00881D9E" w:rsidRPr="00560601" w:rsidRDefault="00881D9E" w:rsidP="00560601">
            <w:pPr>
              <w:adjustRightInd w:val="0"/>
              <w:snapToGrid w:val="0"/>
              <w:rPr>
                <w:rFonts w:cs="Times New Roman"/>
              </w:rPr>
            </w:pPr>
            <w:r>
              <w:t>In Japan, north Pacific albacore is harvested mainly by two types of fisheries, namely longline and pole-and-line. Respectively they represent 50% and 48% of the total catch of the north Pacific albacore by Japan in 2010. In longline fishery, north Pacific albacore is a by-catch species while it is one of target species in pole-and-line fishery. The entry to the above mentioned two types of fishery is restricted under licensing system and in fact the number of vessels has declined since 02-04 to 2010 (from 929 to 628 and from 141 to 101).</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Korea</w:t>
            </w:r>
          </w:p>
        </w:tc>
        <w:tc>
          <w:tcPr>
            <w:tcW w:w="930" w:type="dxa"/>
          </w:tcPr>
          <w:p w:rsidR="00881D9E" w:rsidRPr="00560601" w:rsidRDefault="00881D9E" w:rsidP="00560601">
            <w:pPr>
              <w:adjustRightInd w:val="0"/>
              <w:snapToGrid w:val="0"/>
              <w:rPr>
                <w:rFonts w:cs="Times New Roman"/>
                <w:lang w:eastAsia="ko-KR"/>
              </w:rPr>
            </w:pPr>
            <w:r>
              <w:rPr>
                <w:rFonts w:cs="Times New Roman" w:hint="eastAsia"/>
                <w:lang w:eastAsia="ko-KR"/>
              </w:rPr>
              <w:t>Yes</w:t>
            </w:r>
          </w:p>
        </w:tc>
        <w:tc>
          <w:tcPr>
            <w:tcW w:w="7439" w:type="dxa"/>
          </w:tcPr>
          <w:p w:rsidR="00881D9E" w:rsidRPr="00560601" w:rsidRDefault="00881D9E" w:rsidP="00560601">
            <w:pPr>
              <w:adjustRightInd w:val="0"/>
              <w:snapToGrid w:val="0"/>
              <w:rPr>
                <w:rFonts w:cs="Times New Roman"/>
              </w:rPr>
            </w:pPr>
            <w:r>
              <w:t>Korea reported all catches of North Pacific albacore to the WCPFC every six months.</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Philippines</w:t>
            </w:r>
          </w:p>
        </w:tc>
        <w:tc>
          <w:tcPr>
            <w:tcW w:w="930" w:type="dxa"/>
          </w:tcPr>
          <w:p w:rsidR="00881D9E" w:rsidRPr="00560601" w:rsidRDefault="00881D9E" w:rsidP="00560601">
            <w:pPr>
              <w:adjustRightInd w:val="0"/>
              <w:snapToGrid w:val="0"/>
              <w:rPr>
                <w:rFonts w:cs="Times New Roman"/>
                <w:lang w:eastAsia="ko-KR"/>
              </w:rPr>
            </w:pPr>
            <w:r>
              <w:rPr>
                <w:rFonts w:cs="Times New Roman" w:hint="eastAsia"/>
                <w:lang w:eastAsia="ko-KR"/>
              </w:rPr>
              <w:t>NA</w:t>
            </w:r>
          </w:p>
        </w:tc>
        <w:tc>
          <w:tcPr>
            <w:tcW w:w="7439" w:type="dxa"/>
          </w:tcPr>
          <w:p w:rsidR="00881D9E" w:rsidRPr="00560601" w:rsidRDefault="00881D9E" w:rsidP="00881D9E">
            <w:pPr>
              <w:adjustRightInd w:val="0"/>
              <w:snapToGrid w:val="0"/>
              <w:rPr>
                <w:rFonts w:cs="Times New Roman"/>
                <w:lang w:eastAsia="ko-KR"/>
              </w:rPr>
            </w:pPr>
            <w:r>
              <w:t xml:space="preserve">Not applicable as this is </w:t>
            </w:r>
            <w:proofErr w:type="gramStart"/>
            <w:r>
              <w:t>not a target species nor</w:t>
            </w:r>
            <w:proofErr w:type="gramEnd"/>
            <w:r>
              <w:t xml:space="preserve"> does the Philippines have any fishing vessel operating north of 20</w:t>
            </w:r>
            <w:r>
              <w:rPr>
                <w:rFonts w:cs="Times New Roman"/>
              </w:rPr>
              <w:t>°</w:t>
            </w:r>
            <w:r>
              <w:t>N targeting North Pacific Albacore</w:t>
            </w:r>
            <w:r>
              <w:rPr>
                <w:rFonts w:hint="eastAsia"/>
                <w:lang w:eastAsia="ko-KR"/>
              </w:rPr>
              <w:t>.</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Chinese Taipei</w:t>
            </w:r>
          </w:p>
        </w:tc>
        <w:tc>
          <w:tcPr>
            <w:tcW w:w="930" w:type="dxa"/>
          </w:tcPr>
          <w:p w:rsidR="00881D9E" w:rsidRPr="00560601" w:rsidRDefault="00881D9E" w:rsidP="00560601">
            <w:pPr>
              <w:adjustRightInd w:val="0"/>
              <w:snapToGrid w:val="0"/>
              <w:rPr>
                <w:rFonts w:cs="Times New Roman"/>
                <w:lang w:eastAsia="ko-KR"/>
              </w:rPr>
            </w:pPr>
            <w:r>
              <w:rPr>
                <w:rFonts w:cs="Times New Roman" w:hint="eastAsia"/>
                <w:lang w:eastAsia="ko-KR"/>
              </w:rPr>
              <w:t>Yes</w:t>
            </w:r>
          </w:p>
        </w:tc>
        <w:tc>
          <w:tcPr>
            <w:tcW w:w="7439" w:type="dxa"/>
          </w:tcPr>
          <w:p w:rsidR="00881D9E" w:rsidRPr="00560601" w:rsidRDefault="00881D9E" w:rsidP="00560601">
            <w:pPr>
              <w:adjustRightInd w:val="0"/>
              <w:snapToGrid w:val="0"/>
              <w:rPr>
                <w:rFonts w:cs="Times New Roman"/>
              </w:rPr>
            </w:pPr>
            <w:r>
              <w:t xml:space="preserve">North Pacific albacore is the target of our commercial albacore longline fishery. Boat owners of longliners shall seek prior approval from Fisheries Agency to conduct fishing for this species. The number of fishing vessels fishing for north </w:t>
            </w:r>
            <w:r>
              <w:lastRenderedPageBreak/>
              <w:t>Pacific albacore has been limited under recent historical levels by means of this registration scheme, VMS monitoring and weekly catch report. The reports of catch and fishing effort of 2010 were submitted to the WCPFC.</w:t>
            </w:r>
          </w:p>
        </w:tc>
      </w:tr>
      <w:tr w:rsidR="00881D9E" w:rsidRPr="00560601" w:rsidTr="00881D9E">
        <w:tc>
          <w:tcPr>
            <w:tcW w:w="1207" w:type="dxa"/>
          </w:tcPr>
          <w:p w:rsidR="00881D9E" w:rsidRPr="00560601" w:rsidRDefault="00881D9E" w:rsidP="003F3FE8">
            <w:pPr>
              <w:adjustRightInd w:val="0"/>
              <w:snapToGrid w:val="0"/>
              <w:rPr>
                <w:rFonts w:cs="Times New Roman"/>
                <w:lang w:eastAsia="ko-KR"/>
              </w:rPr>
            </w:pPr>
            <w:r w:rsidRPr="00560601">
              <w:rPr>
                <w:rFonts w:cs="Times New Roman"/>
                <w:lang w:eastAsia="ko-KR"/>
              </w:rPr>
              <w:lastRenderedPageBreak/>
              <w:t>USA</w:t>
            </w:r>
          </w:p>
        </w:tc>
        <w:tc>
          <w:tcPr>
            <w:tcW w:w="930" w:type="dxa"/>
          </w:tcPr>
          <w:p w:rsidR="00881D9E" w:rsidRPr="00560601" w:rsidRDefault="00881D9E" w:rsidP="003F3FE8">
            <w:pPr>
              <w:adjustRightInd w:val="0"/>
              <w:snapToGrid w:val="0"/>
              <w:rPr>
                <w:rFonts w:cs="Times New Roman"/>
              </w:rPr>
            </w:pPr>
            <w:r w:rsidRPr="00560601">
              <w:rPr>
                <w:rFonts w:cs="Times New Roman"/>
              </w:rPr>
              <w:t xml:space="preserve">Yes </w:t>
            </w:r>
          </w:p>
        </w:tc>
        <w:tc>
          <w:tcPr>
            <w:tcW w:w="7439" w:type="dxa"/>
          </w:tcPr>
          <w:p w:rsidR="00881D9E" w:rsidRPr="00560601" w:rsidRDefault="00881D9E" w:rsidP="003F3FE8">
            <w:pPr>
              <w:adjustRightInd w:val="0"/>
              <w:snapToGrid w:val="0"/>
              <w:rPr>
                <w:rFonts w:cs="Times New Roman"/>
                <w:lang w:eastAsia="ko-KR"/>
              </w:rPr>
            </w:pPr>
            <w:r w:rsidRPr="00560601">
              <w:rPr>
                <w:rFonts w:cs="Times New Roman"/>
              </w:rPr>
              <w:t>Per the Northern Committee agreement on reporting on implementation of paragraph 2 of the CMM (para.</w:t>
            </w:r>
            <w:r w:rsidRPr="00560601">
              <w:rPr>
                <w:rFonts w:cs="Times New Roman"/>
                <w:lang w:eastAsia="ko-KR"/>
              </w:rPr>
              <w:t xml:space="preserve"> </w:t>
            </w:r>
            <w:r w:rsidRPr="00560601">
              <w:rPr>
                <w:rFonts w:cs="Times New Roman"/>
              </w:rPr>
              <w:t xml:space="preserve">36 of the report of the NC6): </w:t>
            </w:r>
          </w:p>
          <w:p w:rsidR="00881D9E" w:rsidRPr="00560601" w:rsidRDefault="00881D9E" w:rsidP="003F3FE8">
            <w:pPr>
              <w:pStyle w:val="ListParagraph"/>
              <w:numPr>
                <w:ilvl w:val="0"/>
                <w:numId w:val="1"/>
              </w:numPr>
              <w:adjustRightInd w:val="0"/>
              <w:snapToGrid w:val="0"/>
              <w:contextualSpacing w:val="0"/>
              <w:rPr>
                <w:rFonts w:cs="Times New Roman"/>
                <w:lang w:eastAsia="ko-KR"/>
              </w:rPr>
            </w:pPr>
            <w:r w:rsidRPr="00560601">
              <w:rPr>
                <w:rFonts w:cs="Times New Roman"/>
              </w:rPr>
              <w:t xml:space="preserve">The U.S. has a single fleet that fishes for North Pacific albacore in the Convention Area: the albacore troll fleet based on the U.S. West Coast. </w:t>
            </w:r>
          </w:p>
          <w:p w:rsidR="00881D9E" w:rsidRPr="00560601" w:rsidRDefault="00881D9E" w:rsidP="003F3FE8">
            <w:pPr>
              <w:pStyle w:val="ListParagraph"/>
              <w:numPr>
                <w:ilvl w:val="0"/>
                <w:numId w:val="1"/>
              </w:numPr>
              <w:adjustRightInd w:val="0"/>
              <w:snapToGrid w:val="0"/>
              <w:contextualSpacing w:val="0"/>
              <w:rPr>
                <w:rFonts w:cs="Times New Roman"/>
                <w:lang w:eastAsia="ko-KR"/>
              </w:rPr>
            </w:pPr>
            <w:r w:rsidRPr="00560601">
              <w:rPr>
                <w:rFonts w:cs="Times New Roman"/>
              </w:rPr>
              <w:t xml:space="preserve">The albacore troll fleet is not currently subject to any effort or catch controls, but permitting and reporting (vessel logbooks) requirements enable the U.S. to monitor the fishery, including levels of participation, fishing effort and catches. Given recent trends in the fishery, the U.S. does not expect any increase in fishing effort relative to the 2002-2004 </w:t>
            </w:r>
            <w:proofErr w:type="gramStart"/>
            <w:r w:rsidRPr="00560601">
              <w:rPr>
                <w:rFonts w:cs="Times New Roman"/>
              </w:rPr>
              <w:t>period</w:t>
            </w:r>
            <w:proofErr w:type="gramEnd"/>
            <w:r w:rsidRPr="00560601">
              <w:rPr>
                <w:rFonts w:cs="Times New Roman"/>
              </w:rPr>
              <w:t xml:space="preserve">. The U.S. will continue to monitor fishing effort and implement any controls needed to comply with paragraph 2 of the CMM, as well as with relevant decisions adopted in other RFMOs (IATTC). </w:t>
            </w:r>
          </w:p>
          <w:p w:rsidR="00881D9E" w:rsidRPr="00560601" w:rsidRDefault="00881D9E" w:rsidP="003F3FE8">
            <w:pPr>
              <w:adjustRightInd w:val="0"/>
              <w:snapToGrid w:val="0"/>
              <w:rPr>
                <w:rFonts w:cs="Times New Roman"/>
                <w:lang w:eastAsia="ko-KR"/>
              </w:rPr>
            </w:pPr>
            <w:r w:rsidRPr="00560601">
              <w:rPr>
                <w:rFonts w:cs="Times New Roman"/>
              </w:rPr>
              <w:t>The U.S. submitted to the Secretariat both its annual catch and effort report for 2009 and its semiannual catch report for the first half of 2010 on 5 November 2010.</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Vanuatu</w:t>
            </w:r>
          </w:p>
        </w:tc>
        <w:tc>
          <w:tcPr>
            <w:tcW w:w="930" w:type="dxa"/>
          </w:tcPr>
          <w:p w:rsidR="00881D9E" w:rsidRPr="00560601" w:rsidRDefault="00881D9E" w:rsidP="00560601">
            <w:pPr>
              <w:adjustRightInd w:val="0"/>
              <w:snapToGrid w:val="0"/>
              <w:rPr>
                <w:rFonts w:cs="Times New Roman"/>
                <w:lang w:eastAsia="ko-KR"/>
              </w:rPr>
            </w:pPr>
            <w:r>
              <w:rPr>
                <w:rFonts w:cs="Times New Roman" w:hint="eastAsia"/>
                <w:lang w:eastAsia="ko-KR"/>
              </w:rPr>
              <w:t xml:space="preserve">- </w:t>
            </w:r>
          </w:p>
        </w:tc>
        <w:tc>
          <w:tcPr>
            <w:tcW w:w="7439" w:type="dxa"/>
          </w:tcPr>
          <w:p w:rsidR="00881D9E" w:rsidRPr="00560601" w:rsidRDefault="0036071F" w:rsidP="00881D9E">
            <w:pPr>
              <w:tabs>
                <w:tab w:val="left" w:pos="937"/>
              </w:tabs>
              <w:adjustRightInd w:val="0"/>
              <w:snapToGrid w:val="0"/>
              <w:rPr>
                <w:rFonts w:cs="Times New Roman"/>
                <w:lang w:eastAsia="ko-KR"/>
              </w:rPr>
            </w:pPr>
            <w:r>
              <w:rPr>
                <w:rFonts w:cs="Times New Roman" w:hint="eastAsia"/>
                <w:lang w:eastAsia="ko-KR"/>
              </w:rPr>
              <w:t xml:space="preserve">- </w:t>
            </w:r>
          </w:p>
        </w:tc>
      </w:tr>
      <w:tr w:rsidR="00881D9E" w:rsidRPr="00560601" w:rsidTr="00881D9E">
        <w:tc>
          <w:tcPr>
            <w:tcW w:w="1207" w:type="dxa"/>
          </w:tcPr>
          <w:p w:rsidR="00881D9E" w:rsidRPr="00560601" w:rsidRDefault="00881D9E" w:rsidP="00560601">
            <w:pPr>
              <w:adjustRightInd w:val="0"/>
              <w:snapToGrid w:val="0"/>
              <w:rPr>
                <w:rFonts w:cs="Times New Roman"/>
                <w:lang w:eastAsia="ko-KR"/>
              </w:rPr>
            </w:pPr>
            <w:r>
              <w:rPr>
                <w:rFonts w:cs="Times New Roman" w:hint="eastAsia"/>
                <w:lang w:eastAsia="ko-KR"/>
              </w:rPr>
              <w:t>Belize</w:t>
            </w:r>
          </w:p>
        </w:tc>
        <w:tc>
          <w:tcPr>
            <w:tcW w:w="930" w:type="dxa"/>
          </w:tcPr>
          <w:p w:rsidR="00881D9E" w:rsidRPr="00560601" w:rsidRDefault="00881D9E" w:rsidP="00560601">
            <w:pPr>
              <w:adjustRightInd w:val="0"/>
              <w:snapToGrid w:val="0"/>
              <w:rPr>
                <w:rFonts w:cs="Times New Roman"/>
                <w:lang w:eastAsia="ko-KR"/>
              </w:rPr>
            </w:pPr>
            <w:r>
              <w:rPr>
                <w:rFonts w:cs="Times New Roman" w:hint="eastAsia"/>
                <w:lang w:eastAsia="ko-KR"/>
              </w:rPr>
              <w:t>Yes</w:t>
            </w:r>
          </w:p>
        </w:tc>
        <w:tc>
          <w:tcPr>
            <w:tcW w:w="7439" w:type="dxa"/>
          </w:tcPr>
          <w:p w:rsidR="00881D9E" w:rsidRPr="00560601" w:rsidRDefault="00881D9E" w:rsidP="00560601">
            <w:pPr>
              <w:adjustRightInd w:val="0"/>
              <w:snapToGrid w:val="0"/>
              <w:rPr>
                <w:rFonts w:cs="Times New Roman"/>
                <w:lang w:eastAsia="ko-KR"/>
              </w:rPr>
            </w:pPr>
            <w:r>
              <w:t>In accordance with Para.1 we shall limit the number of fishing vessels which target north pacific albacore north of the equator to 5 vessels.</w:t>
            </w:r>
          </w:p>
        </w:tc>
      </w:tr>
      <w:tr w:rsidR="00881D9E" w:rsidRPr="00560601" w:rsidTr="00881D9E">
        <w:tc>
          <w:tcPr>
            <w:tcW w:w="1207" w:type="dxa"/>
          </w:tcPr>
          <w:p w:rsidR="00881D9E" w:rsidRPr="00560601" w:rsidRDefault="0036071F" w:rsidP="00560601">
            <w:pPr>
              <w:adjustRightInd w:val="0"/>
              <w:snapToGrid w:val="0"/>
              <w:rPr>
                <w:rFonts w:cs="Times New Roman"/>
                <w:lang w:eastAsia="ko-KR"/>
              </w:rPr>
            </w:pPr>
            <w:r>
              <w:rPr>
                <w:rFonts w:cs="Times New Roman" w:hint="eastAsia"/>
                <w:lang w:eastAsia="ko-KR"/>
              </w:rPr>
              <w:t>FSM</w:t>
            </w:r>
          </w:p>
        </w:tc>
        <w:tc>
          <w:tcPr>
            <w:tcW w:w="930" w:type="dxa"/>
          </w:tcPr>
          <w:p w:rsidR="00881D9E" w:rsidRPr="00560601" w:rsidRDefault="0036071F" w:rsidP="00560601">
            <w:pPr>
              <w:adjustRightInd w:val="0"/>
              <w:snapToGrid w:val="0"/>
              <w:rPr>
                <w:rFonts w:cs="Times New Roman"/>
                <w:lang w:eastAsia="ko-KR"/>
              </w:rPr>
            </w:pPr>
            <w:r>
              <w:rPr>
                <w:rFonts w:cs="Times New Roman" w:hint="eastAsia"/>
                <w:lang w:eastAsia="ko-KR"/>
              </w:rPr>
              <w:t>Yes</w:t>
            </w:r>
          </w:p>
        </w:tc>
        <w:tc>
          <w:tcPr>
            <w:tcW w:w="7439" w:type="dxa"/>
          </w:tcPr>
          <w:p w:rsidR="00881D9E" w:rsidRPr="0036071F" w:rsidRDefault="00881D9E" w:rsidP="0036071F">
            <w:pPr>
              <w:pStyle w:val="ListParagraph"/>
              <w:numPr>
                <w:ilvl w:val="0"/>
                <w:numId w:val="9"/>
              </w:numPr>
              <w:adjustRightInd w:val="0"/>
              <w:snapToGrid w:val="0"/>
              <w:rPr>
                <w:rFonts w:cs="Times New Roman"/>
                <w:lang w:eastAsia="ko-KR"/>
              </w:rPr>
            </w:pPr>
          </w:p>
        </w:tc>
      </w:tr>
      <w:tr w:rsidR="00881D9E" w:rsidRPr="00560601" w:rsidTr="00881D9E">
        <w:tc>
          <w:tcPr>
            <w:tcW w:w="1207" w:type="dxa"/>
          </w:tcPr>
          <w:p w:rsidR="00881D9E" w:rsidRPr="00560601" w:rsidRDefault="001C6DC6" w:rsidP="00560601">
            <w:pPr>
              <w:adjustRightInd w:val="0"/>
              <w:snapToGrid w:val="0"/>
              <w:rPr>
                <w:rFonts w:cs="Times New Roman"/>
                <w:lang w:eastAsia="ko-KR"/>
              </w:rPr>
            </w:pPr>
            <w:r>
              <w:rPr>
                <w:rFonts w:cs="Times New Roman" w:hint="eastAsia"/>
                <w:lang w:eastAsia="ko-KR"/>
              </w:rPr>
              <w:t>RMI</w:t>
            </w:r>
          </w:p>
        </w:tc>
        <w:tc>
          <w:tcPr>
            <w:tcW w:w="930" w:type="dxa"/>
          </w:tcPr>
          <w:p w:rsidR="00881D9E" w:rsidRPr="00560601" w:rsidRDefault="001C6DC6" w:rsidP="00560601">
            <w:pPr>
              <w:adjustRightInd w:val="0"/>
              <w:snapToGrid w:val="0"/>
              <w:rPr>
                <w:rFonts w:cs="Times New Roman"/>
                <w:lang w:eastAsia="ko-KR"/>
              </w:rPr>
            </w:pPr>
            <w:r>
              <w:rPr>
                <w:rFonts w:cs="Times New Roman" w:hint="eastAsia"/>
                <w:lang w:eastAsia="ko-KR"/>
              </w:rPr>
              <w:t>NA</w:t>
            </w:r>
          </w:p>
        </w:tc>
        <w:tc>
          <w:tcPr>
            <w:tcW w:w="7439" w:type="dxa"/>
          </w:tcPr>
          <w:p w:rsidR="00881D9E" w:rsidRPr="00560601" w:rsidRDefault="00881D9E" w:rsidP="00560601">
            <w:pPr>
              <w:adjustRightInd w:val="0"/>
              <w:snapToGrid w:val="0"/>
              <w:rPr>
                <w:rFonts w:cs="Times New Roman"/>
                <w:lang w:eastAsia="ko-KR"/>
              </w:rPr>
            </w:pPr>
          </w:p>
        </w:tc>
      </w:tr>
      <w:tr w:rsidR="00881D9E" w:rsidRPr="00560601" w:rsidTr="00881D9E">
        <w:tc>
          <w:tcPr>
            <w:tcW w:w="1207" w:type="dxa"/>
          </w:tcPr>
          <w:p w:rsidR="00881D9E" w:rsidRPr="00560601" w:rsidRDefault="001C6DC6" w:rsidP="00560601">
            <w:pPr>
              <w:adjustRightInd w:val="0"/>
              <w:snapToGrid w:val="0"/>
              <w:rPr>
                <w:rFonts w:cs="Times New Roman"/>
                <w:lang w:eastAsia="ko-KR"/>
              </w:rPr>
            </w:pPr>
            <w:r>
              <w:rPr>
                <w:rFonts w:cs="Times New Roman" w:hint="eastAsia"/>
                <w:lang w:eastAsia="ko-KR"/>
              </w:rPr>
              <w:t>Kiribati</w:t>
            </w:r>
          </w:p>
        </w:tc>
        <w:tc>
          <w:tcPr>
            <w:tcW w:w="930" w:type="dxa"/>
          </w:tcPr>
          <w:p w:rsidR="00881D9E" w:rsidRPr="00560601" w:rsidRDefault="001C6DC6" w:rsidP="00560601">
            <w:pPr>
              <w:adjustRightInd w:val="0"/>
              <w:snapToGrid w:val="0"/>
              <w:rPr>
                <w:rFonts w:cs="Times New Roman"/>
                <w:lang w:eastAsia="ko-KR"/>
              </w:rPr>
            </w:pPr>
            <w:r>
              <w:rPr>
                <w:rFonts w:cs="Times New Roman" w:hint="eastAsia"/>
                <w:lang w:eastAsia="ko-KR"/>
              </w:rPr>
              <w:t>-</w:t>
            </w:r>
          </w:p>
        </w:tc>
        <w:tc>
          <w:tcPr>
            <w:tcW w:w="7439" w:type="dxa"/>
          </w:tcPr>
          <w:p w:rsidR="00881D9E" w:rsidRPr="00560601" w:rsidRDefault="001C6DC6" w:rsidP="00560601">
            <w:pPr>
              <w:adjustRightInd w:val="0"/>
              <w:snapToGrid w:val="0"/>
              <w:rPr>
                <w:rFonts w:cs="Times New Roman"/>
                <w:lang w:eastAsia="ko-KR"/>
              </w:rPr>
            </w:pPr>
            <w:r>
              <w:rPr>
                <w:rFonts w:cs="Times New Roman" w:hint="eastAsia"/>
                <w:lang w:eastAsia="ko-KR"/>
              </w:rPr>
              <w:t>NA</w:t>
            </w:r>
          </w:p>
        </w:tc>
      </w:tr>
      <w:tr w:rsidR="00881D9E" w:rsidRPr="00560601" w:rsidTr="00881D9E">
        <w:tc>
          <w:tcPr>
            <w:tcW w:w="1207" w:type="dxa"/>
          </w:tcPr>
          <w:p w:rsidR="00881D9E" w:rsidRPr="00560601" w:rsidRDefault="001C6DC6" w:rsidP="001C6DC6">
            <w:pPr>
              <w:adjustRightInd w:val="0"/>
              <w:snapToGrid w:val="0"/>
              <w:rPr>
                <w:rFonts w:cs="Times New Roman"/>
                <w:lang w:eastAsia="ko-KR"/>
              </w:rPr>
            </w:pPr>
            <w:r>
              <w:rPr>
                <w:rFonts w:cs="Times New Roman" w:hint="eastAsia"/>
                <w:lang w:eastAsia="ko-KR"/>
              </w:rPr>
              <w:t xml:space="preserve">Mexico </w:t>
            </w:r>
          </w:p>
        </w:tc>
        <w:tc>
          <w:tcPr>
            <w:tcW w:w="930" w:type="dxa"/>
          </w:tcPr>
          <w:p w:rsidR="00881D9E" w:rsidRPr="00560601" w:rsidRDefault="00881D9E" w:rsidP="00560601">
            <w:pPr>
              <w:adjustRightInd w:val="0"/>
              <w:snapToGrid w:val="0"/>
              <w:rPr>
                <w:rFonts w:cs="Times New Roman"/>
                <w:lang w:eastAsia="ko-KR"/>
              </w:rPr>
            </w:pPr>
          </w:p>
        </w:tc>
        <w:tc>
          <w:tcPr>
            <w:tcW w:w="7439" w:type="dxa"/>
          </w:tcPr>
          <w:p w:rsidR="00881D9E" w:rsidRPr="00560601" w:rsidRDefault="001C6DC6" w:rsidP="00560601">
            <w:pPr>
              <w:adjustRightInd w:val="0"/>
              <w:snapToGrid w:val="0"/>
              <w:rPr>
                <w:rFonts w:cs="Times New Roman"/>
                <w:lang w:eastAsia="ko-KR"/>
              </w:rPr>
            </w:pPr>
            <w:r>
              <w:rPr>
                <w:rFonts w:cs="Times New Roman" w:hint="eastAsia"/>
                <w:lang w:eastAsia="ko-KR"/>
              </w:rPr>
              <w:t xml:space="preserve">Part 2 not </w:t>
            </w:r>
            <w:r>
              <w:rPr>
                <w:rFonts w:cs="Times New Roman"/>
                <w:lang w:eastAsia="ko-KR"/>
              </w:rPr>
              <w:t>submitted</w:t>
            </w:r>
          </w:p>
        </w:tc>
      </w:tr>
      <w:tr w:rsidR="00881D9E" w:rsidRPr="00560601" w:rsidTr="00881D9E">
        <w:tc>
          <w:tcPr>
            <w:tcW w:w="1207" w:type="dxa"/>
          </w:tcPr>
          <w:p w:rsidR="00881D9E" w:rsidRPr="00560601" w:rsidRDefault="001C6DC6" w:rsidP="00560601">
            <w:pPr>
              <w:adjustRightInd w:val="0"/>
              <w:snapToGrid w:val="0"/>
              <w:rPr>
                <w:rFonts w:cs="Times New Roman"/>
                <w:lang w:eastAsia="ko-KR"/>
              </w:rPr>
            </w:pPr>
            <w:r>
              <w:rPr>
                <w:rFonts w:cs="Times New Roman" w:hint="eastAsia"/>
                <w:lang w:eastAsia="ko-KR"/>
              </w:rPr>
              <w:t>Vietnam</w:t>
            </w:r>
          </w:p>
        </w:tc>
        <w:tc>
          <w:tcPr>
            <w:tcW w:w="930" w:type="dxa"/>
          </w:tcPr>
          <w:p w:rsidR="00881D9E" w:rsidRPr="00560601" w:rsidRDefault="00881D9E" w:rsidP="00560601">
            <w:pPr>
              <w:adjustRightInd w:val="0"/>
              <w:snapToGrid w:val="0"/>
              <w:rPr>
                <w:rFonts w:cs="Times New Roman"/>
                <w:lang w:eastAsia="ko-KR"/>
              </w:rPr>
            </w:pPr>
          </w:p>
        </w:tc>
        <w:tc>
          <w:tcPr>
            <w:tcW w:w="7439" w:type="dxa"/>
          </w:tcPr>
          <w:p w:rsidR="00881D9E" w:rsidRPr="00560601" w:rsidRDefault="001C6DC6" w:rsidP="00560601">
            <w:pPr>
              <w:adjustRightInd w:val="0"/>
              <w:snapToGrid w:val="0"/>
              <w:rPr>
                <w:rFonts w:cs="Times New Roman"/>
                <w:lang w:eastAsia="ko-KR"/>
              </w:rPr>
            </w:pPr>
            <w:r>
              <w:rPr>
                <w:rFonts w:cs="Times New Roman" w:hint="eastAsia"/>
                <w:lang w:eastAsia="ko-KR"/>
              </w:rPr>
              <w:t>NA</w:t>
            </w:r>
          </w:p>
        </w:tc>
      </w:tr>
    </w:tbl>
    <w:p w:rsidR="00E4421A" w:rsidRPr="00560601" w:rsidRDefault="00E4421A" w:rsidP="00560601">
      <w:pPr>
        <w:adjustRightInd w:val="0"/>
        <w:snapToGrid w:val="0"/>
        <w:rPr>
          <w:rFonts w:cs="Times New Roman"/>
          <w:lang w:eastAsia="ko-KR"/>
        </w:rPr>
      </w:pPr>
    </w:p>
    <w:sectPr w:rsidR="00E4421A" w:rsidRPr="00560601" w:rsidSect="00881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30" w:rsidRDefault="00560430" w:rsidP="00560601">
      <w:r>
        <w:separator/>
      </w:r>
    </w:p>
  </w:endnote>
  <w:endnote w:type="continuationSeparator" w:id="0">
    <w:p w:rsidR="00560430" w:rsidRDefault="00560430" w:rsidP="0056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8D"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30" w:rsidRDefault="00560430" w:rsidP="00560601">
      <w:r>
        <w:separator/>
      </w:r>
    </w:p>
  </w:footnote>
  <w:footnote w:type="continuationSeparator" w:id="0">
    <w:p w:rsidR="00560430" w:rsidRDefault="00560430" w:rsidP="00560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6AC"/>
    <w:multiLevelType w:val="hybridMultilevel"/>
    <w:tmpl w:val="82BAADC2"/>
    <w:lvl w:ilvl="0" w:tplc="4724884E">
      <w:start w:val="201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79A0"/>
    <w:multiLevelType w:val="hybridMultilevel"/>
    <w:tmpl w:val="806E68C0"/>
    <w:lvl w:ilvl="0" w:tplc="7274607A">
      <w:start w:val="1"/>
      <w:numFmt w:val="lowerLetter"/>
      <w:lvlText w:val="%1."/>
      <w:lvlJc w:val="left"/>
      <w:pPr>
        <w:ind w:left="720" w:hanging="360"/>
      </w:pPr>
      <w:rPr>
        <w:rFonts w:hint="default"/>
        <w:sz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322B7"/>
    <w:multiLevelType w:val="hybridMultilevel"/>
    <w:tmpl w:val="F766B4FC"/>
    <w:lvl w:ilvl="0" w:tplc="8020B87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33C31"/>
    <w:multiLevelType w:val="hybridMultilevel"/>
    <w:tmpl w:val="54B052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16B75"/>
    <w:multiLevelType w:val="hybridMultilevel"/>
    <w:tmpl w:val="56240234"/>
    <w:lvl w:ilvl="0" w:tplc="7274607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0008E"/>
    <w:multiLevelType w:val="hybridMultilevel"/>
    <w:tmpl w:val="0134AAAE"/>
    <w:lvl w:ilvl="0" w:tplc="578ACCB6">
      <w:start w:val="1"/>
      <w:numFmt w:val="bullet"/>
      <w:lvlText w:val=""/>
      <w:lvlJc w:val="left"/>
      <w:pPr>
        <w:ind w:left="720" w:hanging="360"/>
      </w:pPr>
      <w:rPr>
        <w:rFonts w:ascii="Wingdings" w:hAnsi="Wingdings" w:hint="default"/>
        <w:color w:val="0033C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118AC"/>
    <w:multiLevelType w:val="hybridMultilevel"/>
    <w:tmpl w:val="663A2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B10471"/>
    <w:multiLevelType w:val="hybridMultilevel"/>
    <w:tmpl w:val="DA9C160A"/>
    <w:lvl w:ilvl="0" w:tplc="9062A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A1BA0"/>
    <w:multiLevelType w:val="hybridMultilevel"/>
    <w:tmpl w:val="F69C6C28"/>
    <w:lvl w:ilvl="0" w:tplc="4FCA4CE2">
      <w:start w:val="201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A3BA1"/>
    <w:multiLevelType w:val="hybridMultilevel"/>
    <w:tmpl w:val="7902E680"/>
    <w:lvl w:ilvl="0" w:tplc="578ACCB6">
      <w:start w:val="1"/>
      <w:numFmt w:val="bullet"/>
      <w:lvlText w:val=""/>
      <w:lvlJc w:val="left"/>
      <w:pPr>
        <w:ind w:left="2460" w:hanging="360"/>
      </w:pPr>
      <w:rPr>
        <w:rFonts w:ascii="Wingdings" w:hAnsi="Wingdings" w:hint="default"/>
        <w:color w:val="0033CC"/>
        <w:sz w:val="22"/>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0">
    <w:nsid w:val="60235786"/>
    <w:multiLevelType w:val="hybridMultilevel"/>
    <w:tmpl w:val="FDD0B4C2"/>
    <w:lvl w:ilvl="0" w:tplc="7274607A">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FB6F91"/>
    <w:multiLevelType w:val="hybridMultilevel"/>
    <w:tmpl w:val="AAA876C6"/>
    <w:lvl w:ilvl="0" w:tplc="7274607A">
      <w:start w:val="1"/>
      <w:numFmt w:val="lowerLetter"/>
      <w:lvlText w:val="%1."/>
      <w:lvlJc w:val="left"/>
      <w:pPr>
        <w:ind w:left="720" w:hanging="360"/>
      </w:pPr>
      <w:rPr>
        <w:rFonts w:hint="default"/>
        <w:sz w:val="22"/>
      </w:rPr>
    </w:lvl>
    <w:lvl w:ilvl="1" w:tplc="7274607A">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5F2B9D"/>
    <w:multiLevelType w:val="hybridMultilevel"/>
    <w:tmpl w:val="39969740"/>
    <w:lvl w:ilvl="0" w:tplc="578ACCB6">
      <w:start w:val="1"/>
      <w:numFmt w:val="bullet"/>
      <w:lvlText w:val=""/>
      <w:lvlJc w:val="left"/>
      <w:pPr>
        <w:ind w:left="720" w:hanging="360"/>
      </w:pPr>
      <w:rPr>
        <w:rFonts w:ascii="Wingdings" w:hAnsi="Wingdings" w:hint="default"/>
        <w:color w:val="0033C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14FFD"/>
    <w:multiLevelType w:val="hybridMultilevel"/>
    <w:tmpl w:val="C60E836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9"/>
  </w:num>
  <w:num w:numId="4">
    <w:abstractNumId w:val="12"/>
  </w:num>
  <w:num w:numId="5">
    <w:abstractNumId w:val="5"/>
  </w:num>
  <w:num w:numId="6">
    <w:abstractNumId w:val="6"/>
  </w:num>
  <w:num w:numId="7">
    <w:abstractNumId w:val="0"/>
  </w:num>
  <w:num w:numId="8">
    <w:abstractNumId w:val="10"/>
  </w:num>
  <w:num w:numId="9">
    <w:abstractNumId w:val="8"/>
  </w:num>
  <w:num w:numId="10">
    <w:abstractNumId w:val="7"/>
  </w:num>
  <w:num w:numId="11">
    <w:abstractNumId w:val="1"/>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1A"/>
    <w:rsid w:val="000C435B"/>
    <w:rsid w:val="0017665A"/>
    <w:rsid w:val="001C6DC6"/>
    <w:rsid w:val="0036071F"/>
    <w:rsid w:val="003C3EF6"/>
    <w:rsid w:val="00557083"/>
    <w:rsid w:val="00560430"/>
    <w:rsid w:val="00560601"/>
    <w:rsid w:val="00796474"/>
    <w:rsid w:val="00855B65"/>
    <w:rsid w:val="00881D9E"/>
    <w:rsid w:val="008938C5"/>
    <w:rsid w:val="00A027DC"/>
    <w:rsid w:val="00A87DED"/>
    <w:rsid w:val="00A941BF"/>
    <w:rsid w:val="00B84135"/>
    <w:rsid w:val="00B87317"/>
    <w:rsid w:val="00BA14D5"/>
    <w:rsid w:val="00BE7DC6"/>
    <w:rsid w:val="00C3769B"/>
    <w:rsid w:val="00E271B0"/>
    <w:rsid w:val="00E4421A"/>
    <w:rsid w:val="00E4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Batang"/>
        <w:color w:val="000000"/>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21A"/>
    <w:pPr>
      <w:ind w:left="720"/>
      <w:contextualSpacing/>
    </w:pPr>
  </w:style>
  <w:style w:type="paragraph" w:styleId="FootnoteText">
    <w:name w:val="footnote text"/>
    <w:basedOn w:val="Normal"/>
    <w:link w:val="FootnoteTextChar"/>
    <w:uiPriority w:val="99"/>
    <w:rsid w:val="00560601"/>
    <w:rPr>
      <w:rFonts w:cs="Times New Roman"/>
      <w:color w:val="auto"/>
      <w:sz w:val="20"/>
      <w:szCs w:val="20"/>
      <w:lang w:eastAsia="en-US"/>
    </w:rPr>
  </w:style>
  <w:style w:type="character" w:customStyle="1" w:styleId="FootnoteTextChar">
    <w:name w:val="Footnote Text Char"/>
    <w:basedOn w:val="DefaultParagraphFont"/>
    <w:link w:val="FootnoteText"/>
    <w:uiPriority w:val="99"/>
    <w:rsid w:val="00560601"/>
    <w:rPr>
      <w:rFonts w:cs="Times New Roman"/>
      <w:color w:val="auto"/>
      <w:sz w:val="20"/>
      <w:szCs w:val="20"/>
      <w:lang w:eastAsia="en-US"/>
    </w:rPr>
  </w:style>
  <w:style w:type="character" w:styleId="FootnoteReference">
    <w:name w:val="footnote reference"/>
    <w:uiPriority w:val="99"/>
    <w:rsid w:val="00560601"/>
    <w:rPr>
      <w:vertAlign w:val="superscript"/>
    </w:rPr>
  </w:style>
  <w:style w:type="paragraph" w:styleId="BodyText3">
    <w:name w:val="Body Text 3"/>
    <w:basedOn w:val="Normal"/>
    <w:link w:val="BodyText3Char"/>
    <w:rsid w:val="001C6DC6"/>
    <w:pPr>
      <w:spacing w:after="120"/>
    </w:pPr>
    <w:rPr>
      <w:rFonts w:cs="Times New Roman"/>
      <w:color w:val="auto"/>
      <w:sz w:val="16"/>
      <w:szCs w:val="16"/>
      <w:lang w:val="en-AU" w:eastAsia="en-US"/>
    </w:rPr>
  </w:style>
  <w:style w:type="character" w:customStyle="1" w:styleId="BodyText3Char">
    <w:name w:val="Body Text 3 Char"/>
    <w:basedOn w:val="DefaultParagraphFont"/>
    <w:link w:val="BodyText3"/>
    <w:rsid w:val="001C6DC6"/>
    <w:rPr>
      <w:rFonts w:cs="Times New Roman"/>
      <w:color w:val="auto"/>
      <w:sz w:val="16"/>
      <w:szCs w:val="16"/>
      <w:lang w:val="en-AU" w:eastAsia="en-US"/>
    </w:rPr>
  </w:style>
  <w:style w:type="paragraph" w:styleId="BalloonText">
    <w:name w:val="Balloon Text"/>
    <w:basedOn w:val="Normal"/>
    <w:link w:val="BalloonTextChar"/>
    <w:uiPriority w:val="99"/>
    <w:semiHidden/>
    <w:unhideWhenUsed/>
    <w:rsid w:val="001C6DC6"/>
    <w:rPr>
      <w:rFonts w:ascii="Tahoma" w:hAnsi="Tahoma" w:cs="Tahoma"/>
      <w:sz w:val="16"/>
      <w:szCs w:val="16"/>
    </w:rPr>
  </w:style>
  <w:style w:type="character" w:customStyle="1" w:styleId="BalloonTextChar">
    <w:name w:val="Balloon Text Char"/>
    <w:basedOn w:val="DefaultParagraphFont"/>
    <w:link w:val="BalloonText"/>
    <w:uiPriority w:val="99"/>
    <w:semiHidden/>
    <w:rsid w:val="001C6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Batang"/>
        <w:color w:val="000000"/>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21A"/>
    <w:pPr>
      <w:ind w:left="720"/>
      <w:contextualSpacing/>
    </w:pPr>
  </w:style>
  <w:style w:type="paragraph" w:styleId="FootnoteText">
    <w:name w:val="footnote text"/>
    <w:basedOn w:val="Normal"/>
    <w:link w:val="FootnoteTextChar"/>
    <w:uiPriority w:val="99"/>
    <w:rsid w:val="00560601"/>
    <w:rPr>
      <w:rFonts w:cs="Times New Roman"/>
      <w:color w:val="auto"/>
      <w:sz w:val="20"/>
      <w:szCs w:val="20"/>
      <w:lang w:eastAsia="en-US"/>
    </w:rPr>
  </w:style>
  <w:style w:type="character" w:customStyle="1" w:styleId="FootnoteTextChar">
    <w:name w:val="Footnote Text Char"/>
    <w:basedOn w:val="DefaultParagraphFont"/>
    <w:link w:val="FootnoteText"/>
    <w:uiPriority w:val="99"/>
    <w:rsid w:val="00560601"/>
    <w:rPr>
      <w:rFonts w:cs="Times New Roman"/>
      <w:color w:val="auto"/>
      <w:sz w:val="20"/>
      <w:szCs w:val="20"/>
      <w:lang w:eastAsia="en-US"/>
    </w:rPr>
  </w:style>
  <w:style w:type="character" w:styleId="FootnoteReference">
    <w:name w:val="footnote reference"/>
    <w:uiPriority w:val="99"/>
    <w:rsid w:val="00560601"/>
    <w:rPr>
      <w:vertAlign w:val="superscript"/>
    </w:rPr>
  </w:style>
  <w:style w:type="paragraph" w:styleId="BodyText3">
    <w:name w:val="Body Text 3"/>
    <w:basedOn w:val="Normal"/>
    <w:link w:val="BodyText3Char"/>
    <w:rsid w:val="001C6DC6"/>
    <w:pPr>
      <w:spacing w:after="120"/>
    </w:pPr>
    <w:rPr>
      <w:rFonts w:cs="Times New Roman"/>
      <w:color w:val="auto"/>
      <w:sz w:val="16"/>
      <w:szCs w:val="16"/>
      <w:lang w:val="en-AU" w:eastAsia="en-US"/>
    </w:rPr>
  </w:style>
  <w:style w:type="character" w:customStyle="1" w:styleId="BodyText3Char">
    <w:name w:val="Body Text 3 Char"/>
    <w:basedOn w:val="DefaultParagraphFont"/>
    <w:link w:val="BodyText3"/>
    <w:rsid w:val="001C6DC6"/>
    <w:rPr>
      <w:rFonts w:cs="Times New Roman"/>
      <w:color w:val="auto"/>
      <w:sz w:val="16"/>
      <w:szCs w:val="16"/>
      <w:lang w:val="en-AU" w:eastAsia="en-US"/>
    </w:rPr>
  </w:style>
  <w:style w:type="paragraph" w:styleId="BalloonText">
    <w:name w:val="Balloon Text"/>
    <w:basedOn w:val="Normal"/>
    <w:link w:val="BalloonTextChar"/>
    <w:uiPriority w:val="99"/>
    <w:semiHidden/>
    <w:unhideWhenUsed/>
    <w:rsid w:val="001C6DC6"/>
    <w:rPr>
      <w:rFonts w:ascii="Tahoma" w:hAnsi="Tahoma" w:cs="Tahoma"/>
      <w:sz w:val="16"/>
      <w:szCs w:val="16"/>
    </w:rPr>
  </w:style>
  <w:style w:type="character" w:customStyle="1" w:styleId="BalloonTextChar">
    <w:name w:val="Balloon Text Char"/>
    <w:basedOn w:val="DefaultParagraphFont"/>
    <w:link w:val="BalloonText"/>
    <w:uiPriority w:val="99"/>
    <w:semiHidden/>
    <w:rsid w:val="001C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5</cp:revision>
  <dcterms:created xsi:type="dcterms:W3CDTF">2015-08-20T00:34:00Z</dcterms:created>
  <dcterms:modified xsi:type="dcterms:W3CDTF">2015-08-23T21:56:00Z</dcterms:modified>
</cp:coreProperties>
</file>